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322"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516890</wp:posOffset>
            </wp:positionH>
            <wp:positionV relativeFrom="paragraph">
              <wp:posOffset>1905</wp:posOffset>
            </wp:positionV>
            <wp:extent cx="57607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60720" cy="1714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53340</wp:posOffset>
            </wp:positionV>
            <wp:extent cx="5760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7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ind w:left="44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3"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12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1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43" w:lineRule="exact"/>
        <w:rPr>
          <w:sz w:val="24"/>
          <w:szCs w:val="24"/>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ind w:left="82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04" w:lineRule="exact"/>
        <w:rPr>
          <w:sz w:val="24"/>
          <w:szCs w:val="24"/>
          <w:color w:val="auto"/>
        </w:rPr>
      </w:pPr>
    </w:p>
    <w:p>
      <w:pPr>
        <w:ind w:left="1180" w:hanging="364"/>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1180" w:hanging="364"/>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66" w:lineRule="exact"/>
        <w:rPr>
          <w:rFonts w:ascii="MS PGothic" w:cs="MS PGothic" w:eastAsia="MS PGothic" w:hAnsi="MS PGothic"/>
          <w:sz w:val="18"/>
          <w:szCs w:val="18"/>
          <w:color w:val="auto"/>
        </w:rPr>
      </w:pPr>
    </w:p>
    <w:p>
      <w:pPr>
        <w:ind w:left="8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144" w:lineRule="exact"/>
        <w:rPr>
          <w:rFonts w:ascii="MS PGothic" w:cs="MS PGothic" w:eastAsia="MS PGothic" w:hAnsi="MS PGothic"/>
          <w:sz w:val="18"/>
          <w:szCs w:val="18"/>
          <w:color w:val="auto"/>
        </w:rPr>
      </w:pPr>
    </w:p>
    <w:p>
      <w:pPr>
        <w:ind w:left="1180" w:hanging="364"/>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03" w:lineRule="exact"/>
        <w:rPr>
          <w:rFonts w:ascii="MS PGothic" w:cs="MS PGothic" w:eastAsia="MS PGothic" w:hAnsi="MS PGothic"/>
          <w:sz w:val="18"/>
          <w:szCs w:val="18"/>
          <w:color w:val="auto"/>
        </w:rPr>
      </w:pPr>
    </w:p>
    <w:p>
      <w:pPr>
        <w:ind w:left="1180" w:hanging="364"/>
        <w:spacing w:after="0"/>
        <w:tabs>
          <w:tab w:leader="none" w:pos="11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04"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22"/>
          <w:szCs w:val="22"/>
          <w:b w:val="1"/>
          <w:bCs w:val="1"/>
          <w:color w:val="auto"/>
        </w:rPr>
        <w:t>Waste Management, Inc.</w:t>
      </w: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516890</wp:posOffset>
            </wp:positionH>
            <wp:positionV relativeFrom="paragraph">
              <wp:posOffset>56515</wp:posOffset>
            </wp:positionV>
            <wp:extent cx="5760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05"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516890</wp:posOffset>
            </wp:positionH>
            <wp:positionV relativeFrom="paragraph">
              <wp:posOffset>248920</wp:posOffset>
            </wp:positionV>
            <wp:extent cx="57607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394"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04" w:lineRule="exact"/>
        <w:rPr>
          <w:sz w:val="24"/>
          <w:szCs w:val="24"/>
          <w:color w:val="auto"/>
        </w:rPr>
      </w:pPr>
    </w:p>
    <w:p>
      <w:pPr>
        <w:ind w:left="1180" w:hanging="364"/>
        <w:spacing w:after="0"/>
        <w:tabs>
          <w:tab w:leader="none" w:pos="11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1180" w:hanging="364"/>
        <w:spacing w:after="0"/>
        <w:tabs>
          <w:tab w:leader="none" w:pos="11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03" w:lineRule="exact"/>
        <w:rPr>
          <w:rFonts w:ascii="MS PGothic" w:cs="MS PGothic" w:eastAsia="MS PGothic" w:hAnsi="MS PGothic"/>
          <w:sz w:val="18"/>
          <w:szCs w:val="18"/>
          <w:color w:val="auto"/>
        </w:rPr>
      </w:pPr>
    </w:p>
    <w:p>
      <w:pPr>
        <w:ind w:left="1180" w:hanging="364"/>
        <w:spacing w:after="0"/>
        <w:tabs>
          <w:tab w:leader="none" w:pos="11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516890</wp:posOffset>
            </wp:positionH>
            <wp:positionV relativeFrom="paragraph">
              <wp:posOffset>4114800</wp:posOffset>
            </wp:positionV>
            <wp:extent cx="5760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227330</wp:posOffset>
            </wp:positionV>
            <wp:extent cx="2057400" cy="548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5740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820" w:right="2680"/>
        <w:spacing w:after="0" w:line="223" w:lineRule="auto"/>
        <w:rPr>
          <w:sz w:val="20"/>
          <w:szCs w:val="20"/>
          <w:color w:val="auto"/>
        </w:rPr>
      </w:pPr>
      <w:r>
        <w:rPr>
          <w:rFonts w:ascii="Arial" w:cs="Arial" w:eastAsia="Arial" w:hAnsi="Arial"/>
          <w:sz w:val="36"/>
          <w:szCs w:val="36"/>
          <w:b w:val="1"/>
          <w:bCs w:val="1"/>
          <w:color w:val="457157"/>
        </w:rPr>
        <w:t>NOTICE OF ANNUAL MEETING OF STOCKHOLDERS</w:t>
      </w:r>
      <w:r>
        <w:rPr>
          <w:rFonts w:ascii="Times New Roman" w:cs="Times New Roman" w:eastAsia="Times New Roman" w:hAnsi="Times New Roman"/>
          <w:sz w:val="64"/>
          <w:szCs w:val="64"/>
          <w:color w:val="000000"/>
        </w:rPr>
        <w:t>​</w:t>
      </w:r>
    </w:p>
    <w:p>
      <w:pPr>
        <w:sectPr>
          <w:pgSz w:w="11900" w:h="16838" w:orient="portrait"/>
          <w:cols w:equalWidth="0" w:num="1">
            <w:col w:w="9880"/>
          </w:cols>
          <w:pgMar w:left="580" w:top="97" w:right="1439" w:bottom="1440" w:gutter="0" w:footer="0" w:header="0"/>
        </w:sectPr>
      </w:pPr>
    </w:p>
    <w:p>
      <w:pPr>
        <w:spacing w:after="0" w:line="185"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Date and Time:</w:t>
      </w:r>
    </w:p>
    <w:p>
      <w:pPr>
        <w:spacing w:after="0" w:line="112" w:lineRule="exact"/>
        <w:rPr>
          <w:sz w:val="20"/>
          <w:szCs w:val="20"/>
          <w:color w:val="auto"/>
        </w:rPr>
      </w:pPr>
    </w:p>
    <w:p>
      <w:pPr>
        <w:ind w:left="820"/>
        <w:spacing w:after="0" w:line="263" w:lineRule="auto"/>
        <w:rPr>
          <w:sz w:val="20"/>
          <w:szCs w:val="20"/>
          <w:color w:val="auto"/>
        </w:rPr>
      </w:pPr>
      <w:r>
        <w:rPr>
          <w:rFonts w:ascii="Arial" w:cs="Arial" w:eastAsia="Arial" w:hAnsi="Arial"/>
          <w:sz w:val="18"/>
          <w:szCs w:val="18"/>
          <w:color w:val="auto"/>
        </w:rPr>
        <w:t>Tuesday, May 13, 2025 at 11:00 a.m. Central Time</w:t>
      </w:r>
    </w:p>
    <w:p>
      <w:pPr>
        <w:spacing w:after="0" w:line="200" w:lineRule="exact"/>
        <w:rPr>
          <w:sz w:val="20"/>
          <w:szCs w:val="20"/>
          <w:color w:val="auto"/>
        </w:rPr>
      </w:pPr>
    </w:p>
    <w:p>
      <w:pPr>
        <w:spacing w:after="0" w:line="21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Place:</w:t>
      </w:r>
    </w:p>
    <w:p>
      <w:pPr>
        <w:spacing w:after="0" w:line="12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Waste Management, Inc.</w:t>
      </w:r>
    </w:p>
    <w:p>
      <w:pPr>
        <w:spacing w:after="0" w:line="2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800 Capitol Street, Suite 3000</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Houston, Texas 77002</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Record Date:</w:t>
      </w:r>
    </w:p>
    <w:p>
      <w:pPr>
        <w:spacing w:after="0" w:line="11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March 18, 2025</w:t>
      </w:r>
    </w:p>
    <w:p>
      <w:pPr>
        <w:spacing w:after="0" w:line="220" w:lineRule="exact"/>
        <w:rPr>
          <w:sz w:val="20"/>
          <w:szCs w:val="20"/>
          <w:color w:val="auto"/>
        </w:rPr>
      </w:pPr>
    </w:p>
    <w:p>
      <w:pPr>
        <w:ind w:left="820" w:right="340"/>
        <w:spacing w:after="0" w:line="284" w:lineRule="auto"/>
        <w:rPr>
          <w:sz w:val="20"/>
          <w:szCs w:val="20"/>
          <w:color w:val="auto"/>
        </w:rPr>
      </w:pPr>
      <w:r>
        <w:rPr>
          <w:rFonts w:ascii="Arial" w:cs="Arial" w:eastAsia="Arial" w:hAnsi="Arial"/>
          <w:sz w:val="20"/>
          <w:szCs w:val="20"/>
          <w:b w:val="1"/>
          <w:bCs w:val="1"/>
          <w:color w:val="457157"/>
        </w:rPr>
        <w:t>Agenda for the Annual Meeting (or any adjournment or postponement thereof):</w:t>
      </w:r>
    </w:p>
    <w:p>
      <w:pPr>
        <w:spacing w:after="0" w:line="41" w:lineRule="exact"/>
        <w:rPr>
          <w:sz w:val="20"/>
          <w:szCs w:val="20"/>
          <w:color w:val="auto"/>
        </w:rPr>
      </w:pPr>
    </w:p>
    <w:p>
      <w:pPr>
        <w:jc w:val="both"/>
        <w:ind w:left="1000" w:hanging="184"/>
        <w:spacing w:after="0" w:line="278" w:lineRule="auto"/>
        <w:tabs>
          <w:tab w:leader="none" w:pos="1000" w:val="left"/>
        </w:tabs>
        <w:numPr>
          <w:ilvl w:val="0"/>
          <w:numId w:val="4"/>
        </w:numPr>
        <w:rPr>
          <w:rFonts w:ascii="Arial" w:cs="Arial" w:eastAsia="Arial" w:hAnsi="Arial"/>
          <w:sz w:val="18"/>
          <w:szCs w:val="18"/>
          <w:color w:val="457157"/>
        </w:rPr>
      </w:pPr>
      <w:r>
        <w:rPr>
          <w:rFonts w:ascii="Arial" w:cs="Arial" w:eastAsia="Arial" w:hAnsi="Arial"/>
          <w:sz w:val="18"/>
          <w:szCs w:val="18"/>
          <w:color w:val="auto"/>
        </w:rPr>
        <w:t>To elect the nine nominees named in the attached proxy statement to our Board of Directors;</w:t>
      </w:r>
    </w:p>
    <w:p>
      <w:pPr>
        <w:spacing w:after="0" w:line="276" w:lineRule="exact"/>
        <w:rPr>
          <w:rFonts w:ascii="Arial" w:cs="Arial" w:eastAsia="Arial" w:hAnsi="Arial"/>
          <w:sz w:val="18"/>
          <w:szCs w:val="18"/>
          <w:color w:val="457157"/>
        </w:rPr>
      </w:pPr>
    </w:p>
    <w:p>
      <w:pPr>
        <w:jc w:val="both"/>
        <w:ind w:left="1000" w:hanging="184"/>
        <w:spacing w:after="0" w:line="262" w:lineRule="auto"/>
        <w:tabs>
          <w:tab w:leader="none" w:pos="1000" w:val="left"/>
        </w:tabs>
        <w:numPr>
          <w:ilvl w:val="0"/>
          <w:numId w:val="4"/>
        </w:numPr>
        <w:rPr>
          <w:rFonts w:ascii="Arial" w:cs="Arial" w:eastAsia="Arial" w:hAnsi="Arial"/>
          <w:sz w:val="18"/>
          <w:szCs w:val="18"/>
          <w:color w:val="457157"/>
        </w:rPr>
      </w:pPr>
      <w:r>
        <w:rPr>
          <w:rFonts w:ascii="Arial" w:cs="Arial" w:eastAsia="Arial" w:hAnsi="Arial"/>
          <w:sz w:val="18"/>
          <w:szCs w:val="18"/>
          <w:color w:val="auto"/>
        </w:rPr>
        <w:t>To vote on a proposal to ratify the appointment of Ernst &amp; Young LLP as our independent registered public accounting firm for the fiscal year ending December 31, 2025;</w:t>
      </w:r>
    </w:p>
    <w:p>
      <w:pPr>
        <w:spacing w:after="0" w:line="68" w:lineRule="exact"/>
        <w:rPr>
          <w:rFonts w:ascii="Arial" w:cs="Arial" w:eastAsia="Arial" w:hAnsi="Arial"/>
          <w:sz w:val="18"/>
          <w:szCs w:val="18"/>
          <w:color w:val="457157"/>
        </w:rPr>
      </w:pPr>
    </w:p>
    <w:p>
      <w:pPr>
        <w:ind w:left="1000" w:hanging="184"/>
        <w:spacing w:after="0" w:line="287" w:lineRule="auto"/>
        <w:tabs>
          <w:tab w:leader="none" w:pos="1000" w:val="left"/>
        </w:tabs>
        <w:numPr>
          <w:ilvl w:val="0"/>
          <w:numId w:val="4"/>
        </w:numPr>
        <w:rPr>
          <w:rFonts w:ascii="Arial" w:cs="Arial" w:eastAsia="Arial" w:hAnsi="Arial"/>
          <w:sz w:val="18"/>
          <w:szCs w:val="18"/>
          <w:color w:val="457157"/>
        </w:rPr>
      </w:pPr>
      <w:r>
        <w:rPr>
          <w:rFonts w:ascii="Arial" w:cs="Arial" w:eastAsia="Arial" w:hAnsi="Arial"/>
          <w:sz w:val="18"/>
          <w:szCs w:val="18"/>
          <w:color w:val="auto"/>
        </w:rPr>
        <w:t>To vote on a non-binding, advisory proposal to approve our executive compensation; and</w:t>
      </w:r>
    </w:p>
    <w:p>
      <w:pPr>
        <w:spacing w:after="0" w:line="44" w:lineRule="exact"/>
        <w:rPr>
          <w:rFonts w:ascii="Arial" w:cs="Arial" w:eastAsia="Arial" w:hAnsi="Arial"/>
          <w:sz w:val="18"/>
          <w:szCs w:val="18"/>
          <w:color w:val="457157"/>
        </w:rPr>
      </w:pPr>
    </w:p>
    <w:p>
      <w:pPr>
        <w:ind w:left="1000" w:right="20" w:hanging="184"/>
        <w:spacing w:after="0" w:line="287" w:lineRule="auto"/>
        <w:tabs>
          <w:tab w:leader="none" w:pos="1000" w:val="left"/>
        </w:tabs>
        <w:numPr>
          <w:ilvl w:val="0"/>
          <w:numId w:val="4"/>
        </w:numPr>
        <w:rPr>
          <w:rFonts w:ascii="Arial" w:cs="Arial" w:eastAsia="Arial" w:hAnsi="Arial"/>
          <w:sz w:val="18"/>
          <w:szCs w:val="18"/>
          <w:color w:val="457157"/>
        </w:rPr>
      </w:pPr>
      <w:r>
        <w:rPr>
          <w:rFonts w:ascii="Arial" w:cs="Arial" w:eastAsia="Arial" w:hAnsi="Arial"/>
          <w:sz w:val="18"/>
          <w:szCs w:val="18"/>
          <w:color w:val="auto"/>
        </w:rPr>
        <w:t>To conduct other business that is properly raised at the meeting.</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457157"/>
        </w:rPr>
        <w:t>IMPORTANT NOTICE REGARDING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-187325</wp:posOffset>
            </wp:positionV>
            <wp:extent cx="2811780" cy="5640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11780" cy="5640705"/>
                    </a:xfrm>
                    <a:prstGeom prst="rect">
                      <a:avLst/>
                    </a:prstGeom>
                    <a:noFill/>
                  </pic:spPr>
                </pic:pic>
              </a:graphicData>
            </a:graphic>
          </wp:anchor>
        </w:drawing>
      </w:r>
    </w:p>
    <w:p>
      <w:pPr>
        <w:ind w:left="180"/>
        <w:spacing w:after="0" w:line="234" w:lineRule="auto"/>
        <w:rPr>
          <w:sz w:val="20"/>
          <w:szCs w:val="20"/>
          <w:color w:val="auto"/>
        </w:rPr>
      </w:pPr>
      <w:r>
        <w:rPr>
          <w:rFonts w:ascii="Arial" w:cs="Arial" w:eastAsia="Arial" w:hAnsi="Arial"/>
          <w:sz w:val="18"/>
          <w:szCs w:val="18"/>
          <w:b w:val="1"/>
          <w:bCs w:val="1"/>
          <w:color w:val="457157"/>
        </w:rPr>
        <w:t>AVAILABILITY OF PROXY MATERIALS FOR</w:t>
      </w:r>
    </w:p>
    <w:p>
      <w:pPr>
        <w:ind w:left="40"/>
        <w:spacing w:after="0" w:line="185" w:lineRule="auto"/>
        <w:tabs>
          <w:tab w:leader="none" w:pos="1940" w:val="left"/>
          <w:tab w:leader="none" w:pos="4320" w:val="left"/>
        </w:tabs>
        <w:rPr>
          <w:sz w:val="20"/>
          <w:szCs w:val="20"/>
          <w:color w:val="auto"/>
        </w:rPr>
      </w:pPr>
      <w:r>
        <w:rPr>
          <w:rFonts w:ascii="Arial" w:cs="Arial" w:eastAsia="Arial" w:hAnsi="Arial"/>
          <w:sz w:val="27"/>
          <w:szCs w:val="27"/>
          <w:b w:val="1"/>
          <w:bCs w:val="1"/>
          <w:color w:val="457157"/>
          <w:vertAlign w:val="superscript"/>
        </w:rPr>
        <w:t>​</w:t>
      </w:r>
      <w:r>
        <w:rPr>
          <w:sz w:val="20"/>
          <w:szCs w:val="20"/>
          <w:color w:val="auto"/>
        </w:rPr>
        <w:tab/>
      </w:r>
      <w:r>
        <w:rPr>
          <w:rFonts w:ascii="Arial" w:cs="Arial" w:eastAsia="Arial" w:hAnsi="Arial"/>
          <w:sz w:val="15"/>
          <w:szCs w:val="15"/>
          <w:b w:val="1"/>
          <w:bCs w:val="1"/>
          <w:color w:val="457157"/>
        </w:rPr>
        <w:t>THE</w:t>
      </w:r>
      <w:r>
        <w:rPr>
          <w:sz w:val="20"/>
          <w:szCs w:val="20"/>
          <w:color w:val="auto"/>
        </w:rPr>
        <w:tab/>
      </w:r>
      <w:r>
        <w:rPr>
          <w:rFonts w:ascii="Arial" w:cs="Arial" w:eastAsia="Arial" w:hAnsi="Arial"/>
          <w:sz w:val="29"/>
          <w:szCs w:val="29"/>
          <w:b w:val="1"/>
          <w:bCs w:val="1"/>
          <w:color w:val="457157"/>
          <w:vertAlign w:val="superscript"/>
        </w:rPr>
        <w:t>​</w:t>
      </w:r>
    </w:p>
    <w:p>
      <w:pPr>
        <w:jc w:val="center"/>
        <w:spacing w:after="0"/>
        <w:rPr>
          <w:sz w:val="20"/>
          <w:szCs w:val="20"/>
          <w:color w:val="auto"/>
        </w:rPr>
      </w:pPr>
      <w:r>
        <w:rPr>
          <w:rFonts w:ascii="Arial" w:cs="Arial" w:eastAsia="Arial" w:hAnsi="Arial"/>
          <w:sz w:val="18"/>
          <w:szCs w:val="18"/>
          <w:b w:val="1"/>
          <w:bCs w:val="1"/>
          <w:color w:val="457157"/>
        </w:rPr>
        <w:t>STOCKHOLDER MEETING TO BE HELD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457157"/>
        </w:rPr>
        <w:t>MAY 13, 2025:</w:t>
      </w:r>
    </w:p>
    <w:p>
      <w:pPr>
        <w:spacing w:after="0" w:line="45" w:lineRule="exact"/>
        <w:rPr>
          <w:sz w:val="20"/>
          <w:szCs w:val="20"/>
          <w:color w:val="auto"/>
        </w:rPr>
      </w:pPr>
    </w:p>
    <w:p>
      <w:pPr>
        <w:jc w:val="both"/>
        <w:ind w:right="60" w:firstLine="95"/>
        <w:spacing w:after="0" w:line="263" w:lineRule="auto"/>
        <w:rPr>
          <w:sz w:val="20"/>
          <w:szCs w:val="20"/>
          <w:color w:val="auto"/>
        </w:rPr>
      </w:pPr>
      <w:r>
        <w:rPr>
          <w:rFonts w:ascii="Arial" w:cs="Arial" w:eastAsia="Arial" w:hAnsi="Arial"/>
          <w:sz w:val="18"/>
          <w:szCs w:val="18"/>
          <w:b w:val="1"/>
          <w:bCs w:val="1"/>
          <w:color w:val="auto"/>
        </w:rPr>
        <w:t>This Notice of Annual Meeting and Proxy Statement and the Company’s Annual ​ Report on Form 10-K for the year ended ​ December 31, 2024 are available at investors.wm.com.</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0" w:type="dxa"/>
            <w:vAlign w:val="bottom"/>
          </w:tcPr>
          <w:p>
            <w:pPr>
              <w:spacing w:after="0"/>
              <w:rPr>
                <w:sz w:val="19"/>
                <w:szCs w:val="19"/>
                <w:color w:val="auto"/>
              </w:rPr>
            </w:pPr>
          </w:p>
        </w:tc>
        <w:tc>
          <w:tcPr>
            <w:tcW w:w="800" w:type="dxa"/>
            <w:vAlign w:val="bottom"/>
            <w:shd w:val="clear" w:color="auto" w:fill="ECF1EE"/>
          </w:tcPr>
          <w:p>
            <w:pPr>
              <w:spacing w:after="0"/>
              <w:rPr>
                <w:sz w:val="19"/>
                <w:szCs w:val="19"/>
                <w:color w:val="auto"/>
              </w:rPr>
            </w:pPr>
          </w:p>
        </w:tc>
        <w:tc>
          <w:tcPr>
            <w:tcW w:w="120" w:type="dxa"/>
            <w:vAlign w:val="bottom"/>
          </w:tcPr>
          <w:p>
            <w:pPr>
              <w:spacing w:after="0"/>
              <w:rPr>
                <w:sz w:val="19"/>
                <w:szCs w:val="19"/>
                <w:color w:val="auto"/>
              </w:rPr>
            </w:pPr>
          </w:p>
        </w:tc>
        <w:tc>
          <w:tcPr>
            <w:tcW w:w="3280" w:type="dxa"/>
            <w:vAlign w:val="bottom"/>
            <w:gridSpan w:val="8"/>
          </w:tcPr>
          <w:p>
            <w:pPr>
              <w:ind w:left="100"/>
              <w:spacing w:after="0"/>
              <w:rPr>
                <w:sz w:val="20"/>
                <w:szCs w:val="20"/>
                <w:color w:val="auto"/>
              </w:rPr>
            </w:pPr>
            <w:r>
              <w:rPr>
                <w:rFonts w:ascii="Arial" w:cs="Arial" w:eastAsia="Arial" w:hAnsi="Arial"/>
                <w:sz w:val="18"/>
                <w:szCs w:val="18"/>
                <w:color w:val="auto"/>
              </w:rPr>
              <w:t>You may submit your proxy via the</w:t>
            </w:r>
          </w:p>
        </w:tc>
        <w:tc>
          <w:tcPr>
            <w:tcW w:w="120" w:type="dxa"/>
            <w:vAlign w:val="bottom"/>
          </w:tcPr>
          <w:p>
            <w:pPr>
              <w:spacing w:after="0"/>
              <w:rPr>
                <w:sz w:val="19"/>
                <w:szCs w:val="19"/>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color w:val="auto"/>
              </w:rPr>
              <w:t>Internet</w:t>
            </w:r>
          </w:p>
        </w:tc>
        <w:tc>
          <w:tcPr>
            <w:tcW w:w="800" w:type="dxa"/>
            <w:vAlign w:val="bottom"/>
            <w:gridSpan w:val="2"/>
          </w:tcPr>
          <w:p>
            <w:pPr>
              <w:ind w:left="200"/>
              <w:spacing w:after="0"/>
              <w:rPr>
                <w:sz w:val="20"/>
                <w:szCs w:val="20"/>
                <w:color w:val="auto"/>
              </w:rPr>
            </w:pPr>
            <w:r>
              <w:rPr>
                <w:rFonts w:ascii="Arial" w:cs="Arial" w:eastAsia="Arial" w:hAnsi="Arial"/>
                <w:sz w:val="18"/>
                <w:szCs w:val="18"/>
                <w:color w:val="auto"/>
              </w:rPr>
              <w:t>by</w:t>
            </w:r>
          </w:p>
        </w:tc>
        <w:tc>
          <w:tcPr>
            <w:tcW w:w="1080" w:type="dxa"/>
            <w:vAlign w:val="bottom"/>
            <w:gridSpan w:val="3"/>
          </w:tcPr>
          <w:p>
            <w:pPr>
              <w:ind w:left="20"/>
              <w:spacing w:after="0"/>
              <w:rPr>
                <w:sz w:val="20"/>
                <w:szCs w:val="20"/>
                <w:color w:val="auto"/>
              </w:rPr>
            </w:pPr>
            <w:r>
              <w:rPr>
                <w:rFonts w:ascii="Arial" w:cs="Arial" w:eastAsia="Arial" w:hAnsi="Arial"/>
                <w:sz w:val="18"/>
                <w:szCs w:val="18"/>
                <w:color w:val="auto"/>
              </w:rPr>
              <w:t>following</w:t>
            </w:r>
          </w:p>
        </w:tc>
        <w:tc>
          <w:tcPr>
            <w:tcW w:w="400" w:type="dxa"/>
            <w:vAlign w:val="bottom"/>
          </w:tcPr>
          <w:p>
            <w:pPr>
              <w:jc w:val="right"/>
              <w:spacing w:after="0"/>
              <w:rPr>
                <w:sz w:val="20"/>
                <w:szCs w:val="20"/>
                <w:color w:val="auto"/>
              </w:rPr>
            </w:pPr>
            <w:r>
              <w:rPr>
                <w:rFonts w:ascii="Arial" w:cs="Arial" w:eastAsia="Arial" w:hAnsi="Arial"/>
                <w:sz w:val="18"/>
                <w:szCs w:val="18"/>
                <w:color w:val="auto"/>
              </w:rPr>
              <w:t>the</w:t>
            </w:r>
          </w:p>
        </w:tc>
        <w:tc>
          <w:tcPr>
            <w:tcW w:w="12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ECF1EE"/>
          </w:tcPr>
          <w:p>
            <w:pPr>
              <w:spacing w:after="0"/>
              <w:rPr>
                <w:sz w:val="20"/>
                <w:szCs w:val="20"/>
                <w:color w:val="auto"/>
              </w:rPr>
            </w:pPr>
          </w:p>
        </w:tc>
        <w:tc>
          <w:tcPr>
            <w:tcW w:w="2120" w:type="dxa"/>
            <w:vAlign w:val="bottom"/>
            <w:gridSpan w:val="6"/>
          </w:tcPr>
          <w:p>
            <w:pPr>
              <w:spacing w:after="0" w:line="233" w:lineRule="exact"/>
              <w:rPr>
                <w:sz w:val="20"/>
                <w:szCs w:val="20"/>
                <w:color w:val="auto"/>
              </w:rPr>
            </w:pPr>
            <w:r>
              <w:rPr>
                <w:rFonts w:ascii="Arial" w:cs="Arial" w:eastAsia="Arial" w:hAnsi="Arial"/>
                <w:sz w:val="27"/>
                <w:szCs w:val="27"/>
                <w:color w:val="auto"/>
                <w:vertAlign w:val="subscript"/>
              </w:rPr>
              <w:t>​ ​</w:t>
            </w:r>
            <w:r>
              <w:rPr>
                <w:rFonts w:ascii="Arial" w:cs="Arial" w:eastAsia="Arial" w:hAnsi="Arial"/>
                <w:sz w:val="15"/>
                <w:szCs w:val="15"/>
                <w:color w:val="auto"/>
              </w:rPr>
              <w:t xml:space="preserve"> instructions provided</w:t>
            </w:r>
          </w:p>
        </w:tc>
        <w:tc>
          <w:tcPr>
            <w:tcW w:w="260" w:type="dxa"/>
            <w:vAlign w:val="bottom"/>
          </w:tcPr>
          <w:p>
            <w:pPr>
              <w:ind w:left="80"/>
              <w:spacing w:after="0"/>
              <w:rPr>
                <w:sz w:val="20"/>
                <w:szCs w:val="20"/>
                <w:color w:val="auto"/>
              </w:rPr>
            </w:pPr>
            <w:r>
              <w:rPr>
                <w:rFonts w:ascii="Arial" w:cs="Arial" w:eastAsia="Arial" w:hAnsi="Arial"/>
                <w:sz w:val="18"/>
                <w:szCs w:val="18"/>
                <w:color w:val="auto"/>
              </w:rPr>
              <w:t>in</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the Notice</w:t>
            </w:r>
          </w:p>
        </w:tc>
        <w:tc>
          <w:tcPr>
            <w:tcW w:w="120" w:type="dxa"/>
            <w:vAlign w:val="bottom"/>
          </w:tcPr>
          <w:p>
            <w:pPr>
              <w:spacing w:after="0"/>
              <w:rPr>
                <w:sz w:val="20"/>
                <w:szCs w:val="20"/>
                <w:color w:val="auto"/>
              </w:rPr>
            </w:pPr>
            <w:r>
              <w:rPr>
                <w:rFonts w:ascii="Arial" w:cs="Arial" w:eastAsia="Arial" w:hAnsi="Arial"/>
                <w:sz w:val="18"/>
                <w:szCs w:val="18"/>
                <w:color w:val="auto"/>
              </w:rPr>
              <w:t>​</w:t>
            </w:r>
          </w:p>
        </w:tc>
      </w:tr>
      <w:tr>
        <w:trPr>
          <w:trHeight w:val="198"/>
        </w:trPr>
        <w:tc>
          <w:tcPr>
            <w:tcW w:w="80" w:type="dxa"/>
            <w:vAlign w:val="bottom"/>
          </w:tcPr>
          <w:p>
            <w:pPr>
              <w:spacing w:after="0"/>
              <w:rPr>
                <w:sz w:val="17"/>
                <w:szCs w:val="17"/>
                <w:color w:val="auto"/>
              </w:rPr>
            </w:pPr>
          </w:p>
        </w:tc>
        <w:tc>
          <w:tcPr>
            <w:tcW w:w="800" w:type="dxa"/>
            <w:vAlign w:val="bottom"/>
            <w:shd w:val="clear" w:color="auto" w:fill="ECF1EE"/>
          </w:tcPr>
          <w:p>
            <w:pPr>
              <w:spacing w:after="0"/>
              <w:rPr>
                <w:sz w:val="17"/>
                <w:szCs w:val="17"/>
                <w:color w:val="auto"/>
              </w:rPr>
            </w:pPr>
          </w:p>
        </w:tc>
        <w:tc>
          <w:tcPr>
            <w:tcW w:w="120" w:type="dxa"/>
            <w:vAlign w:val="bottom"/>
          </w:tcPr>
          <w:p>
            <w:pPr>
              <w:spacing w:after="0"/>
              <w:rPr>
                <w:sz w:val="17"/>
                <w:szCs w:val="17"/>
                <w:color w:val="auto"/>
              </w:rPr>
            </w:pPr>
          </w:p>
        </w:tc>
        <w:tc>
          <w:tcPr>
            <w:tcW w:w="3280" w:type="dxa"/>
            <w:vAlign w:val="bottom"/>
            <w:gridSpan w:val="8"/>
          </w:tcPr>
          <w:p>
            <w:pPr>
              <w:ind w:left="100"/>
              <w:spacing w:after="0" w:line="198" w:lineRule="exact"/>
              <w:rPr>
                <w:sz w:val="20"/>
                <w:szCs w:val="20"/>
                <w:color w:val="auto"/>
              </w:rPr>
            </w:pPr>
            <w:r>
              <w:rPr>
                <w:rFonts w:ascii="Arial" w:cs="Arial" w:eastAsia="Arial" w:hAnsi="Arial"/>
                <w:sz w:val="18"/>
                <w:szCs w:val="18"/>
                <w:color w:val="auto"/>
              </w:rPr>
              <w:t>or, if you received printed copies of</w:t>
            </w:r>
          </w:p>
        </w:tc>
        <w:tc>
          <w:tcPr>
            <w:tcW w:w="120" w:type="dxa"/>
            <w:vAlign w:val="bottom"/>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tcPr>
          <w:p>
            <w:pPr>
              <w:spacing w:after="0"/>
              <w:rPr>
                <w:sz w:val="18"/>
                <w:szCs w:val="18"/>
                <w:color w:val="auto"/>
              </w:rPr>
            </w:pPr>
          </w:p>
        </w:tc>
        <w:tc>
          <w:tcPr>
            <w:tcW w:w="3280" w:type="dxa"/>
            <w:vAlign w:val="bottom"/>
            <w:gridSpan w:val="8"/>
          </w:tcPr>
          <w:p>
            <w:pPr>
              <w:ind w:left="100"/>
              <w:spacing w:after="0"/>
              <w:rPr>
                <w:sz w:val="20"/>
                <w:szCs w:val="20"/>
                <w:color w:val="auto"/>
              </w:rPr>
            </w:pPr>
            <w:r>
              <w:rPr>
                <w:rFonts w:ascii="Arial" w:cs="Arial" w:eastAsia="Arial" w:hAnsi="Arial"/>
                <w:sz w:val="18"/>
                <w:szCs w:val="18"/>
                <w:color w:val="auto"/>
              </w:rPr>
              <w:t>the proxy materials, on your proxy</w:t>
            </w:r>
          </w:p>
        </w:tc>
        <w:tc>
          <w:tcPr>
            <w:tcW w:w="120" w:type="dxa"/>
            <w:vAlign w:val="bottom"/>
          </w:tcPr>
          <w:p>
            <w:pPr>
              <w:spacing w:after="0"/>
              <w:rPr>
                <w:sz w:val="18"/>
                <w:szCs w:val="18"/>
                <w:color w:val="auto"/>
              </w:rPr>
            </w:pPr>
          </w:p>
        </w:tc>
      </w:tr>
      <w:tr>
        <w:trPr>
          <w:trHeight w:val="244"/>
        </w:trPr>
        <w:tc>
          <w:tcPr>
            <w:tcW w:w="80" w:type="dxa"/>
            <w:vAlign w:val="bottom"/>
          </w:tcPr>
          <w:p>
            <w:pPr>
              <w:spacing w:after="0"/>
              <w:rPr>
                <w:sz w:val="21"/>
                <w:szCs w:val="21"/>
                <w:color w:val="auto"/>
              </w:rPr>
            </w:pPr>
          </w:p>
        </w:tc>
        <w:tc>
          <w:tcPr>
            <w:tcW w:w="800" w:type="dxa"/>
            <w:vAlign w:val="bottom"/>
            <w:shd w:val="clear" w:color="auto" w:fill="ECF1EE"/>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auto"/>
              </w:rPr>
              <w:t>card.</w:t>
            </w: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2"/>
        </w:trPr>
        <w:tc>
          <w:tcPr>
            <w:tcW w:w="80" w:type="dxa"/>
            <w:vAlign w:val="bottom"/>
          </w:tcPr>
          <w:p>
            <w:pPr>
              <w:spacing w:after="0"/>
              <w:rPr>
                <w:sz w:val="21"/>
                <w:szCs w:val="21"/>
                <w:color w:val="auto"/>
              </w:rPr>
            </w:pPr>
          </w:p>
        </w:tc>
        <w:tc>
          <w:tcPr>
            <w:tcW w:w="800" w:type="dxa"/>
            <w:vAlign w:val="bottom"/>
            <w:shd w:val="clear" w:color="auto" w:fill="ECF1EE"/>
          </w:tcPr>
          <w:p>
            <w:pPr>
              <w:spacing w:after="0"/>
              <w:rPr>
                <w:sz w:val="21"/>
                <w:szCs w:val="21"/>
                <w:color w:val="auto"/>
              </w:rPr>
            </w:pPr>
          </w:p>
        </w:tc>
        <w:tc>
          <w:tcPr>
            <w:tcW w:w="120" w:type="dxa"/>
            <w:vAlign w:val="bottom"/>
            <w:shd w:val="clear" w:color="auto" w:fill="ECF1EE"/>
          </w:tcPr>
          <w:p>
            <w:pPr>
              <w:spacing w:after="0"/>
              <w:rPr>
                <w:sz w:val="21"/>
                <w:szCs w:val="21"/>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If you received printed copies of the</w:t>
            </w:r>
          </w:p>
        </w:tc>
        <w:tc>
          <w:tcPr>
            <w:tcW w:w="120" w:type="dxa"/>
            <w:vAlign w:val="bottom"/>
            <w:shd w:val="clear" w:color="auto" w:fill="ECF1EE"/>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materials  in  accordance  with  the</w:t>
            </w:r>
          </w:p>
        </w:tc>
        <w:tc>
          <w:tcPr>
            <w:tcW w:w="120" w:type="dxa"/>
            <w:vAlign w:val="bottom"/>
            <w:shd w:val="clear" w:color="auto" w:fill="ECF1EE"/>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instructions in the Notice, you also</w:t>
            </w:r>
          </w:p>
        </w:tc>
        <w:tc>
          <w:tcPr>
            <w:tcW w:w="120" w:type="dxa"/>
            <w:vAlign w:val="bottom"/>
            <w:shd w:val="clear" w:color="auto" w:fill="ECF1EE"/>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640" w:type="dxa"/>
            <w:vAlign w:val="bottom"/>
            <w:shd w:val="clear" w:color="auto" w:fill="ECF1EE"/>
          </w:tcPr>
          <w:p>
            <w:pPr>
              <w:ind w:left="100"/>
              <w:spacing w:after="0"/>
              <w:rPr>
                <w:sz w:val="20"/>
                <w:szCs w:val="20"/>
                <w:color w:val="auto"/>
              </w:rPr>
            </w:pPr>
            <w:r>
              <w:rPr>
                <w:rFonts w:ascii="Arial" w:cs="Arial" w:eastAsia="Arial" w:hAnsi="Arial"/>
                <w:sz w:val="18"/>
                <w:szCs w:val="18"/>
                <w:color w:val="auto"/>
              </w:rPr>
              <w:t>have</w:t>
            </w:r>
          </w:p>
        </w:tc>
        <w:tc>
          <w:tcPr>
            <w:tcW w:w="360" w:type="dxa"/>
            <w:vAlign w:val="bottom"/>
            <w:shd w:val="clear" w:color="auto" w:fill="ECF1EE"/>
          </w:tcPr>
          <w:p>
            <w:pPr>
              <w:ind w:left="40"/>
              <w:spacing w:after="0"/>
              <w:rPr>
                <w:sz w:val="20"/>
                <w:szCs w:val="20"/>
                <w:color w:val="auto"/>
              </w:rPr>
            </w:pPr>
            <w:r>
              <w:rPr>
                <w:rFonts w:ascii="Arial" w:cs="Arial" w:eastAsia="Arial" w:hAnsi="Arial"/>
                <w:sz w:val="18"/>
                <w:szCs w:val="18"/>
                <w:color w:val="auto"/>
              </w:rPr>
              <w:t>the</w:t>
            </w:r>
          </w:p>
        </w:tc>
        <w:tc>
          <w:tcPr>
            <w:tcW w:w="800" w:type="dxa"/>
            <w:vAlign w:val="bottom"/>
            <w:gridSpan w:val="2"/>
            <w:shd w:val="clear" w:color="auto" w:fill="ECF1EE"/>
          </w:tcPr>
          <w:p>
            <w:pPr>
              <w:ind w:left="120"/>
              <w:spacing w:after="0"/>
              <w:rPr>
                <w:sz w:val="20"/>
                <w:szCs w:val="20"/>
                <w:color w:val="auto"/>
              </w:rPr>
            </w:pPr>
            <w:r>
              <w:rPr>
                <w:rFonts w:ascii="Arial" w:cs="Arial" w:eastAsia="Arial" w:hAnsi="Arial"/>
                <w:sz w:val="18"/>
                <w:szCs w:val="18"/>
                <w:color w:val="auto"/>
              </w:rPr>
              <w:t>option</w:t>
            </w:r>
          </w:p>
        </w:tc>
        <w:tc>
          <w:tcPr>
            <w:tcW w:w="200" w:type="dxa"/>
            <w:vAlign w:val="bottom"/>
            <w:shd w:val="clear" w:color="auto" w:fill="ECF1EE"/>
          </w:tcPr>
          <w:p>
            <w:pPr>
              <w:ind w:left="20"/>
              <w:spacing w:after="0"/>
              <w:rPr>
                <w:sz w:val="20"/>
                <w:szCs w:val="20"/>
                <w:color w:val="auto"/>
              </w:rPr>
            </w:pPr>
            <w:r>
              <w:rPr>
                <w:rFonts w:ascii="Arial" w:cs="Arial" w:eastAsia="Arial" w:hAnsi="Arial"/>
                <w:sz w:val="18"/>
                <w:szCs w:val="18"/>
                <w:color w:val="auto"/>
              </w:rPr>
              <w:t>to</w:t>
            </w:r>
          </w:p>
        </w:tc>
        <w:tc>
          <w:tcPr>
            <w:tcW w:w="880" w:type="dxa"/>
            <w:vAlign w:val="bottom"/>
            <w:gridSpan w:val="2"/>
            <w:shd w:val="clear" w:color="auto" w:fill="ECF1EE"/>
          </w:tcPr>
          <w:p>
            <w:pPr>
              <w:jc w:val="right"/>
              <w:ind w:right="70"/>
              <w:spacing w:after="0"/>
              <w:rPr>
                <w:sz w:val="20"/>
                <w:szCs w:val="20"/>
                <w:color w:val="auto"/>
              </w:rPr>
            </w:pPr>
            <w:r>
              <w:rPr>
                <w:rFonts w:ascii="Arial" w:cs="Arial" w:eastAsia="Arial" w:hAnsi="Arial"/>
                <w:sz w:val="18"/>
                <w:szCs w:val="18"/>
                <w:color w:val="auto"/>
              </w:rPr>
              <w:t>submit</w:t>
            </w:r>
          </w:p>
        </w:tc>
        <w:tc>
          <w:tcPr>
            <w:tcW w:w="400" w:type="dxa"/>
            <w:vAlign w:val="bottom"/>
            <w:shd w:val="clear" w:color="auto" w:fill="ECF1EE"/>
          </w:tcPr>
          <w:p>
            <w:pPr>
              <w:jc w:val="right"/>
              <w:spacing w:after="0"/>
              <w:rPr>
                <w:sz w:val="20"/>
                <w:szCs w:val="20"/>
                <w:color w:val="auto"/>
              </w:rPr>
            </w:pPr>
            <w:r>
              <w:rPr>
                <w:rFonts w:ascii="Arial" w:cs="Arial" w:eastAsia="Arial" w:hAnsi="Arial"/>
                <w:sz w:val="18"/>
                <w:szCs w:val="18"/>
                <w:color w:val="auto"/>
              </w:rPr>
              <w:t>your</w:t>
            </w:r>
          </w:p>
        </w:tc>
        <w:tc>
          <w:tcPr>
            <w:tcW w:w="120" w:type="dxa"/>
            <w:vAlign w:val="bottom"/>
            <w:shd w:val="clear" w:color="auto" w:fill="ECF1EE"/>
          </w:tcPr>
          <w:p>
            <w:pPr>
              <w:spacing w:after="0"/>
              <w:rPr>
                <w:sz w:val="18"/>
                <w:szCs w:val="18"/>
                <w:color w:val="auto"/>
              </w:rPr>
            </w:pPr>
          </w:p>
        </w:tc>
      </w:tr>
      <w:tr>
        <w:trPr>
          <w:trHeight w:val="234"/>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ECF1EE"/>
          </w:tcPr>
          <w:p>
            <w:pPr>
              <w:spacing w:after="0"/>
              <w:rPr>
                <w:sz w:val="20"/>
                <w:szCs w:val="20"/>
                <w:color w:val="auto"/>
              </w:rPr>
            </w:pPr>
          </w:p>
        </w:tc>
        <w:tc>
          <w:tcPr>
            <w:tcW w:w="120" w:type="dxa"/>
            <w:vAlign w:val="bottom"/>
            <w:shd w:val="clear" w:color="auto" w:fill="ECF1EE"/>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ECF1EE"/>
          </w:tcPr>
          <w:p>
            <w:pPr>
              <w:spacing w:after="0" w:line="233"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xml:space="preserve"> proxy</w:t>
            </w:r>
          </w:p>
        </w:tc>
        <w:tc>
          <w:tcPr>
            <w:tcW w:w="360" w:type="dxa"/>
            <w:vAlign w:val="bottom"/>
            <w:shd w:val="clear" w:color="auto" w:fill="ECF1EE"/>
          </w:tcPr>
          <w:p>
            <w:pPr>
              <w:ind w:left="60"/>
              <w:spacing w:after="0"/>
              <w:rPr>
                <w:sz w:val="20"/>
                <w:szCs w:val="20"/>
                <w:color w:val="auto"/>
              </w:rPr>
            </w:pPr>
            <w:r>
              <w:rPr>
                <w:rFonts w:ascii="Arial" w:cs="Arial" w:eastAsia="Arial" w:hAnsi="Arial"/>
                <w:sz w:val="18"/>
                <w:szCs w:val="18"/>
                <w:color w:val="auto"/>
              </w:rPr>
              <w:t>by</w:t>
            </w:r>
          </w:p>
        </w:tc>
        <w:tc>
          <w:tcPr>
            <w:tcW w:w="1000" w:type="dxa"/>
            <w:vAlign w:val="bottom"/>
            <w:gridSpan w:val="3"/>
            <w:shd w:val="clear" w:color="auto" w:fill="ECF1EE"/>
          </w:tcPr>
          <w:p>
            <w:pPr>
              <w:ind w:left="20"/>
              <w:spacing w:after="0"/>
              <w:rPr>
                <w:sz w:val="20"/>
                <w:szCs w:val="20"/>
                <w:color w:val="auto"/>
              </w:rPr>
            </w:pPr>
            <w:r>
              <w:rPr>
                <w:rFonts w:ascii="Arial" w:cs="Arial" w:eastAsia="Arial" w:hAnsi="Arial"/>
                <w:sz w:val="18"/>
                <w:szCs w:val="18"/>
                <w:color w:val="auto"/>
              </w:rPr>
              <w:t>telephone</w:t>
            </w:r>
          </w:p>
        </w:tc>
        <w:tc>
          <w:tcPr>
            <w:tcW w:w="260" w:type="dxa"/>
            <w:vAlign w:val="bottom"/>
            <w:shd w:val="clear" w:color="auto" w:fill="ECF1EE"/>
          </w:tcPr>
          <w:p>
            <w:pPr>
              <w:spacing w:after="0"/>
              <w:rPr>
                <w:sz w:val="20"/>
                <w:szCs w:val="20"/>
                <w:color w:val="auto"/>
              </w:rPr>
            </w:pPr>
            <w:r>
              <w:rPr>
                <w:rFonts w:ascii="Arial" w:cs="Arial" w:eastAsia="Arial" w:hAnsi="Arial"/>
                <w:sz w:val="18"/>
                <w:szCs w:val="18"/>
                <w:color w:val="auto"/>
              </w:rPr>
              <w:t>by</w:t>
            </w:r>
          </w:p>
        </w:tc>
        <w:tc>
          <w:tcPr>
            <w:tcW w:w="620" w:type="dxa"/>
            <w:vAlign w:val="bottom"/>
            <w:shd w:val="clear" w:color="auto" w:fill="ECF1EE"/>
          </w:tcPr>
          <w:p>
            <w:pPr>
              <w:jc w:val="right"/>
              <w:spacing w:after="0"/>
              <w:rPr>
                <w:sz w:val="20"/>
                <w:szCs w:val="20"/>
                <w:color w:val="auto"/>
              </w:rPr>
            </w:pPr>
            <w:r>
              <w:rPr>
                <w:rFonts w:ascii="Arial" w:cs="Arial" w:eastAsia="Arial" w:hAnsi="Arial"/>
                <w:sz w:val="18"/>
                <w:szCs w:val="18"/>
                <w:color w:val="auto"/>
              </w:rPr>
              <w:t>calling</w:t>
            </w:r>
          </w:p>
        </w:tc>
        <w:tc>
          <w:tcPr>
            <w:tcW w:w="400" w:type="dxa"/>
            <w:vAlign w:val="bottom"/>
            <w:shd w:val="clear" w:color="auto" w:fill="ECF1EE"/>
          </w:tcPr>
          <w:p>
            <w:pPr>
              <w:jc w:val="right"/>
              <w:spacing w:after="0"/>
              <w:rPr>
                <w:sz w:val="20"/>
                <w:szCs w:val="20"/>
                <w:color w:val="auto"/>
              </w:rPr>
            </w:pPr>
            <w:r>
              <w:rPr>
                <w:rFonts w:ascii="Arial" w:cs="Arial" w:eastAsia="Arial" w:hAnsi="Arial"/>
                <w:sz w:val="18"/>
                <w:szCs w:val="18"/>
                <w:color w:val="auto"/>
              </w:rPr>
              <w:t>the</w:t>
            </w:r>
          </w:p>
        </w:tc>
        <w:tc>
          <w:tcPr>
            <w:tcW w:w="120" w:type="dxa"/>
            <w:vAlign w:val="bottom"/>
            <w:shd w:val="clear" w:color="auto" w:fill="ECF1EE"/>
          </w:tcPr>
          <w:p>
            <w:pPr>
              <w:spacing w:after="0"/>
              <w:rPr>
                <w:sz w:val="20"/>
                <w:szCs w:val="20"/>
                <w:color w:val="auto"/>
              </w:rPr>
            </w:pPr>
            <w:r>
              <w:rPr>
                <w:rFonts w:ascii="Arial" w:cs="Arial" w:eastAsia="Arial" w:hAnsi="Arial"/>
                <w:sz w:val="18"/>
                <w:szCs w:val="18"/>
                <w:color w:val="auto"/>
              </w:rPr>
              <w:t>​</w:t>
            </w:r>
          </w:p>
        </w:tc>
      </w:tr>
      <w:tr>
        <w:trPr>
          <w:trHeight w:val="198"/>
        </w:trPr>
        <w:tc>
          <w:tcPr>
            <w:tcW w:w="80" w:type="dxa"/>
            <w:vAlign w:val="bottom"/>
          </w:tcPr>
          <w:p>
            <w:pPr>
              <w:spacing w:after="0"/>
              <w:rPr>
                <w:sz w:val="17"/>
                <w:szCs w:val="17"/>
                <w:color w:val="auto"/>
              </w:rPr>
            </w:pPr>
          </w:p>
        </w:tc>
        <w:tc>
          <w:tcPr>
            <w:tcW w:w="800" w:type="dxa"/>
            <w:vAlign w:val="bottom"/>
            <w:shd w:val="clear" w:color="auto" w:fill="ECF1EE"/>
          </w:tcPr>
          <w:p>
            <w:pPr>
              <w:spacing w:after="0"/>
              <w:rPr>
                <w:sz w:val="17"/>
                <w:szCs w:val="17"/>
                <w:color w:val="auto"/>
              </w:rPr>
            </w:pPr>
          </w:p>
        </w:tc>
        <w:tc>
          <w:tcPr>
            <w:tcW w:w="120" w:type="dxa"/>
            <w:vAlign w:val="bottom"/>
            <w:shd w:val="clear" w:color="auto" w:fill="ECF1EE"/>
          </w:tcPr>
          <w:p>
            <w:pPr>
              <w:spacing w:after="0"/>
              <w:rPr>
                <w:sz w:val="17"/>
                <w:szCs w:val="17"/>
                <w:color w:val="auto"/>
              </w:rPr>
            </w:pPr>
          </w:p>
        </w:tc>
        <w:tc>
          <w:tcPr>
            <w:tcW w:w="3280" w:type="dxa"/>
            <w:vAlign w:val="bottom"/>
            <w:gridSpan w:val="8"/>
            <w:shd w:val="clear" w:color="auto" w:fill="ECF1EE"/>
          </w:tcPr>
          <w:p>
            <w:pPr>
              <w:ind w:left="100"/>
              <w:spacing w:after="0" w:line="198" w:lineRule="exact"/>
              <w:rPr>
                <w:sz w:val="20"/>
                <w:szCs w:val="20"/>
                <w:color w:val="auto"/>
              </w:rPr>
            </w:pPr>
            <w:r>
              <w:rPr>
                <w:rFonts w:ascii="Arial" w:cs="Arial" w:eastAsia="Arial" w:hAnsi="Arial"/>
                <w:sz w:val="18"/>
                <w:szCs w:val="18"/>
                <w:color w:val="auto"/>
              </w:rPr>
              <w:t>toll-free  number  listed  on  your</w:t>
            </w:r>
          </w:p>
        </w:tc>
        <w:tc>
          <w:tcPr>
            <w:tcW w:w="120" w:type="dxa"/>
            <w:vAlign w:val="bottom"/>
            <w:shd w:val="clear" w:color="auto" w:fill="ECF1EE"/>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proxy  card.  Telephone  voting  is</w:t>
            </w:r>
          </w:p>
        </w:tc>
        <w:tc>
          <w:tcPr>
            <w:tcW w:w="120" w:type="dxa"/>
            <w:vAlign w:val="bottom"/>
            <w:shd w:val="clear" w:color="auto" w:fill="ECF1EE"/>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2880" w:type="dxa"/>
            <w:vAlign w:val="bottom"/>
            <w:gridSpan w:val="7"/>
            <w:shd w:val="clear" w:color="auto" w:fill="ECF1EE"/>
          </w:tcPr>
          <w:p>
            <w:pPr>
              <w:ind w:left="100"/>
              <w:spacing w:after="0"/>
              <w:rPr>
                <w:sz w:val="20"/>
                <w:szCs w:val="20"/>
                <w:color w:val="auto"/>
              </w:rPr>
            </w:pPr>
            <w:r>
              <w:rPr>
                <w:rFonts w:ascii="Arial" w:cs="Arial" w:eastAsia="Arial" w:hAnsi="Arial"/>
                <w:sz w:val="18"/>
                <w:szCs w:val="18"/>
                <w:color w:val="auto"/>
              </w:rPr>
              <w:t>available  24  hours  per  day</w:t>
            </w:r>
          </w:p>
        </w:tc>
        <w:tc>
          <w:tcPr>
            <w:tcW w:w="400" w:type="dxa"/>
            <w:vAlign w:val="bottom"/>
            <w:shd w:val="clear" w:color="auto" w:fill="ECF1EE"/>
          </w:tcPr>
          <w:p>
            <w:pPr>
              <w:jc w:val="right"/>
              <w:spacing w:after="0"/>
              <w:rPr>
                <w:sz w:val="20"/>
                <w:szCs w:val="20"/>
                <w:color w:val="auto"/>
              </w:rPr>
            </w:pPr>
            <w:r>
              <w:rPr>
                <w:rFonts w:ascii="Arial" w:cs="Arial" w:eastAsia="Arial" w:hAnsi="Arial"/>
                <w:sz w:val="18"/>
                <w:szCs w:val="18"/>
                <w:color w:val="auto"/>
              </w:rPr>
              <w:t>until</w:t>
            </w:r>
          </w:p>
        </w:tc>
        <w:tc>
          <w:tcPr>
            <w:tcW w:w="120" w:type="dxa"/>
            <w:vAlign w:val="bottom"/>
            <w:shd w:val="clear" w:color="auto" w:fill="ECF1EE"/>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640" w:type="dxa"/>
            <w:vAlign w:val="bottom"/>
            <w:shd w:val="clear" w:color="auto" w:fill="ECF1EE"/>
          </w:tcPr>
          <w:p>
            <w:pPr>
              <w:ind w:left="100"/>
              <w:spacing w:after="0"/>
              <w:rPr>
                <w:sz w:val="20"/>
                <w:szCs w:val="20"/>
                <w:color w:val="auto"/>
              </w:rPr>
            </w:pPr>
            <w:r>
              <w:rPr>
                <w:rFonts w:ascii="Arial" w:cs="Arial" w:eastAsia="Arial" w:hAnsi="Arial"/>
                <w:sz w:val="18"/>
                <w:szCs w:val="18"/>
                <w:color w:val="auto"/>
              </w:rPr>
              <w:t>11:59</w:t>
            </w:r>
          </w:p>
        </w:tc>
        <w:tc>
          <w:tcPr>
            <w:tcW w:w="720" w:type="dxa"/>
            <w:vAlign w:val="bottom"/>
            <w:gridSpan w:val="2"/>
            <w:shd w:val="clear" w:color="auto" w:fill="ECF1EE"/>
          </w:tcPr>
          <w:p>
            <w:pPr>
              <w:ind w:left="160"/>
              <w:spacing w:after="0"/>
              <w:rPr>
                <w:sz w:val="20"/>
                <w:szCs w:val="20"/>
                <w:color w:val="auto"/>
              </w:rPr>
            </w:pPr>
            <w:r>
              <w:rPr>
                <w:rFonts w:ascii="Arial" w:cs="Arial" w:eastAsia="Arial" w:hAnsi="Arial"/>
                <w:sz w:val="18"/>
                <w:szCs w:val="18"/>
                <w:color w:val="auto"/>
              </w:rPr>
              <w:t>p.m.,</w:t>
            </w:r>
          </w:p>
        </w:tc>
        <w:tc>
          <w:tcPr>
            <w:tcW w:w="900" w:type="dxa"/>
            <w:vAlign w:val="bottom"/>
            <w:gridSpan w:val="3"/>
            <w:shd w:val="clear" w:color="auto" w:fill="ECF1EE"/>
          </w:tcPr>
          <w:p>
            <w:pPr>
              <w:ind w:left="100"/>
              <w:spacing w:after="0"/>
              <w:rPr>
                <w:sz w:val="20"/>
                <w:szCs w:val="20"/>
                <w:color w:val="auto"/>
              </w:rPr>
            </w:pPr>
            <w:r>
              <w:rPr>
                <w:rFonts w:ascii="Arial" w:cs="Arial" w:eastAsia="Arial" w:hAnsi="Arial"/>
                <w:sz w:val="18"/>
                <w:szCs w:val="18"/>
                <w:color w:val="auto"/>
              </w:rPr>
              <w:t>Eastern</w:t>
            </w:r>
          </w:p>
        </w:tc>
        <w:tc>
          <w:tcPr>
            <w:tcW w:w="620" w:type="dxa"/>
            <w:vAlign w:val="bottom"/>
            <w:shd w:val="clear" w:color="auto" w:fill="ECF1EE"/>
          </w:tcPr>
          <w:p>
            <w:pPr>
              <w:jc w:val="right"/>
              <w:spacing w:after="0"/>
              <w:rPr>
                <w:sz w:val="20"/>
                <w:szCs w:val="20"/>
                <w:color w:val="auto"/>
              </w:rPr>
            </w:pPr>
            <w:r>
              <w:rPr>
                <w:rFonts w:ascii="Arial" w:cs="Arial" w:eastAsia="Arial" w:hAnsi="Arial"/>
                <w:sz w:val="18"/>
                <w:szCs w:val="18"/>
                <w:color w:val="auto"/>
              </w:rPr>
              <w:t>Time,</w:t>
            </w:r>
          </w:p>
        </w:tc>
        <w:tc>
          <w:tcPr>
            <w:tcW w:w="400" w:type="dxa"/>
            <w:vAlign w:val="bottom"/>
            <w:shd w:val="clear" w:color="auto" w:fill="ECF1EE"/>
          </w:tcPr>
          <w:p>
            <w:pPr>
              <w:jc w:val="right"/>
              <w:spacing w:after="0"/>
              <w:rPr>
                <w:sz w:val="20"/>
                <w:szCs w:val="20"/>
                <w:color w:val="auto"/>
              </w:rPr>
            </w:pPr>
            <w:r>
              <w:rPr>
                <w:rFonts w:ascii="Arial" w:cs="Arial" w:eastAsia="Arial" w:hAnsi="Arial"/>
                <w:sz w:val="18"/>
                <w:szCs w:val="18"/>
                <w:color w:val="auto"/>
              </w:rPr>
              <w:t>on</w:t>
            </w:r>
          </w:p>
        </w:tc>
        <w:tc>
          <w:tcPr>
            <w:tcW w:w="120" w:type="dxa"/>
            <w:vAlign w:val="bottom"/>
            <w:shd w:val="clear" w:color="auto" w:fill="ECF1EE"/>
          </w:tcPr>
          <w:p>
            <w:pPr>
              <w:spacing w:after="0"/>
              <w:rPr>
                <w:sz w:val="18"/>
                <w:szCs w:val="18"/>
                <w:color w:val="auto"/>
              </w:rPr>
            </w:pPr>
          </w:p>
        </w:tc>
      </w:tr>
      <w:tr>
        <w:trPr>
          <w:trHeight w:val="239"/>
        </w:trPr>
        <w:tc>
          <w:tcPr>
            <w:tcW w:w="80" w:type="dxa"/>
            <w:vAlign w:val="bottom"/>
          </w:tcPr>
          <w:p>
            <w:pPr>
              <w:spacing w:after="0"/>
              <w:rPr>
                <w:sz w:val="20"/>
                <w:szCs w:val="20"/>
                <w:color w:val="auto"/>
              </w:rPr>
            </w:pPr>
          </w:p>
        </w:tc>
        <w:tc>
          <w:tcPr>
            <w:tcW w:w="800" w:type="dxa"/>
            <w:vAlign w:val="bottom"/>
            <w:shd w:val="clear" w:color="auto" w:fill="ECF1EE"/>
          </w:tcPr>
          <w:p>
            <w:pPr>
              <w:spacing w:after="0"/>
              <w:rPr>
                <w:sz w:val="20"/>
                <w:szCs w:val="20"/>
                <w:color w:val="auto"/>
              </w:rPr>
            </w:pPr>
          </w:p>
        </w:tc>
        <w:tc>
          <w:tcPr>
            <w:tcW w:w="120" w:type="dxa"/>
            <w:vAlign w:val="bottom"/>
            <w:shd w:val="clear" w:color="auto" w:fill="ECF1EE"/>
          </w:tcPr>
          <w:p>
            <w:pPr>
              <w:spacing w:after="0"/>
              <w:rPr>
                <w:sz w:val="20"/>
                <w:szCs w:val="20"/>
                <w:color w:val="auto"/>
              </w:rPr>
            </w:pPr>
          </w:p>
        </w:tc>
        <w:tc>
          <w:tcPr>
            <w:tcW w:w="1360" w:type="dxa"/>
            <w:vAlign w:val="bottom"/>
            <w:gridSpan w:val="3"/>
            <w:shd w:val="clear" w:color="auto" w:fill="ECF1EE"/>
          </w:tcPr>
          <w:p>
            <w:pPr>
              <w:ind w:left="100"/>
              <w:spacing w:after="0"/>
              <w:rPr>
                <w:sz w:val="20"/>
                <w:szCs w:val="20"/>
                <w:color w:val="auto"/>
              </w:rPr>
            </w:pPr>
            <w:r>
              <w:rPr>
                <w:rFonts w:ascii="Arial" w:cs="Arial" w:eastAsia="Arial" w:hAnsi="Arial"/>
                <w:sz w:val="18"/>
                <w:szCs w:val="18"/>
                <w:color w:val="auto"/>
              </w:rPr>
              <w:t>May 12, 2025.</w:t>
            </w:r>
          </w:p>
        </w:tc>
        <w:tc>
          <w:tcPr>
            <w:tcW w:w="440" w:type="dxa"/>
            <w:vAlign w:val="bottom"/>
            <w:shd w:val="clear" w:color="auto" w:fill="ECF1EE"/>
          </w:tcPr>
          <w:p>
            <w:pPr>
              <w:spacing w:after="0"/>
              <w:rPr>
                <w:sz w:val="20"/>
                <w:szCs w:val="20"/>
                <w:color w:val="auto"/>
              </w:rPr>
            </w:pPr>
          </w:p>
        </w:tc>
        <w:tc>
          <w:tcPr>
            <w:tcW w:w="200" w:type="dxa"/>
            <w:vAlign w:val="bottom"/>
            <w:shd w:val="clear" w:color="auto" w:fill="ECF1EE"/>
          </w:tcPr>
          <w:p>
            <w:pPr>
              <w:spacing w:after="0"/>
              <w:rPr>
                <w:sz w:val="20"/>
                <w:szCs w:val="20"/>
                <w:color w:val="auto"/>
              </w:rPr>
            </w:pPr>
          </w:p>
        </w:tc>
        <w:tc>
          <w:tcPr>
            <w:tcW w:w="260" w:type="dxa"/>
            <w:vAlign w:val="bottom"/>
            <w:shd w:val="clear" w:color="auto" w:fill="ECF1EE"/>
          </w:tcPr>
          <w:p>
            <w:pPr>
              <w:spacing w:after="0"/>
              <w:rPr>
                <w:sz w:val="20"/>
                <w:szCs w:val="20"/>
                <w:color w:val="auto"/>
              </w:rPr>
            </w:pPr>
          </w:p>
        </w:tc>
        <w:tc>
          <w:tcPr>
            <w:tcW w:w="620" w:type="dxa"/>
            <w:vAlign w:val="bottom"/>
            <w:shd w:val="clear" w:color="auto" w:fill="ECF1EE"/>
          </w:tcPr>
          <w:p>
            <w:pPr>
              <w:spacing w:after="0"/>
              <w:rPr>
                <w:sz w:val="20"/>
                <w:szCs w:val="20"/>
                <w:color w:val="auto"/>
              </w:rPr>
            </w:pPr>
          </w:p>
        </w:tc>
        <w:tc>
          <w:tcPr>
            <w:tcW w:w="400" w:type="dxa"/>
            <w:vAlign w:val="bottom"/>
            <w:shd w:val="clear" w:color="auto" w:fill="ECF1EE"/>
          </w:tcPr>
          <w:p>
            <w:pPr>
              <w:spacing w:after="0"/>
              <w:rPr>
                <w:sz w:val="20"/>
                <w:szCs w:val="20"/>
                <w:color w:val="auto"/>
              </w:rPr>
            </w:pPr>
          </w:p>
        </w:tc>
        <w:tc>
          <w:tcPr>
            <w:tcW w:w="120" w:type="dxa"/>
            <w:vAlign w:val="bottom"/>
            <w:shd w:val="clear" w:color="auto" w:fill="ECF1EE"/>
          </w:tcPr>
          <w:p>
            <w:pPr>
              <w:spacing w:after="0"/>
              <w:rPr>
                <w:sz w:val="20"/>
                <w:szCs w:val="20"/>
                <w:color w:val="auto"/>
              </w:rPr>
            </w:pPr>
          </w:p>
        </w:tc>
      </w:tr>
      <w:tr>
        <w:trPr>
          <w:trHeight w:val="247"/>
        </w:trPr>
        <w:tc>
          <w:tcPr>
            <w:tcW w:w="80" w:type="dxa"/>
            <w:vAlign w:val="bottom"/>
          </w:tcPr>
          <w:p>
            <w:pPr>
              <w:spacing w:after="0"/>
              <w:rPr>
                <w:sz w:val="21"/>
                <w:szCs w:val="21"/>
                <w:color w:val="auto"/>
              </w:rPr>
            </w:pPr>
          </w:p>
        </w:tc>
        <w:tc>
          <w:tcPr>
            <w:tcW w:w="800" w:type="dxa"/>
            <w:vAlign w:val="bottom"/>
            <w:shd w:val="clear" w:color="auto" w:fill="ECF1EE"/>
          </w:tcPr>
          <w:p>
            <w:pPr>
              <w:spacing w:after="0"/>
              <w:rPr>
                <w:sz w:val="21"/>
                <w:szCs w:val="21"/>
                <w:color w:val="auto"/>
              </w:rPr>
            </w:pPr>
          </w:p>
        </w:tc>
        <w:tc>
          <w:tcPr>
            <w:tcW w:w="120" w:type="dxa"/>
            <w:vAlign w:val="bottom"/>
            <w:shd w:val="clear" w:color="auto" w:fill="ECF1EE"/>
          </w:tcPr>
          <w:p>
            <w:pPr>
              <w:spacing w:after="0"/>
              <w:rPr>
                <w:sz w:val="21"/>
                <w:szCs w:val="21"/>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If you received printed copies of the</w:t>
            </w:r>
          </w:p>
        </w:tc>
        <w:tc>
          <w:tcPr>
            <w:tcW w:w="120" w:type="dxa"/>
            <w:vAlign w:val="bottom"/>
            <w:shd w:val="clear" w:color="auto" w:fill="ECF1EE"/>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proxy materials in accordance with</w:t>
            </w:r>
          </w:p>
        </w:tc>
        <w:tc>
          <w:tcPr>
            <w:tcW w:w="120" w:type="dxa"/>
            <w:vAlign w:val="bottom"/>
            <w:shd w:val="clear" w:color="auto" w:fill="ECF1EE"/>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1800" w:type="dxa"/>
            <w:vAlign w:val="bottom"/>
            <w:gridSpan w:val="4"/>
            <w:shd w:val="clear" w:color="auto" w:fill="ECF1EE"/>
          </w:tcPr>
          <w:p>
            <w:pPr>
              <w:ind w:left="100"/>
              <w:spacing w:after="0"/>
              <w:rPr>
                <w:sz w:val="20"/>
                <w:szCs w:val="20"/>
                <w:color w:val="auto"/>
              </w:rPr>
            </w:pPr>
            <w:r>
              <w:rPr>
                <w:rFonts w:ascii="Arial" w:cs="Arial" w:eastAsia="Arial" w:hAnsi="Arial"/>
                <w:sz w:val="18"/>
                <w:szCs w:val="18"/>
                <w:color w:val="auto"/>
              </w:rPr>
              <w:t>the instructions in</w:t>
            </w:r>
          </w:p>
        </w:tc>
        <w:tc>
          <w:tcPr>
            <w:tcW w:w="460" w:type="dxa"/>
            <w:vAlign w:val="bottom"/>
            <w:gridSpan w:val="2"/>
            <w:shd w:val="clear" w:color="auto" w:fill="ECF1EE"/>
          </w:tcPr>
          <w:p>
            <w:pPr>
              <w:ind w:left="80"/>
              <w:spacing w:after="0"/>
              <w:rPr>
                <w:sz w:val="20"/>
                <w:szCs w:val="20"/>
                <w:color w:val="auto"/>
              </w:rPr>
            </w:pPr>
            <w:r>
              <w:rPr>
                <w:rFonts w:ascii="Arial" w:cs="Arial" w:eastAsia="Arial" w:hAnsi="Arial"/>
                <w:sz w:val="18"/>
                <w:szCs w:val="18"/>
                <w:color w:val="auto"/>
              </w:rPr>
              <w:t>the</w:t>
            </w:r>
          </w:p>
        </w:tc>
        <w:tc>
          <w:tcPr>
            <w:tcW w:w="620" w:type="dxa"/>
            <w:vAlign w:val="bottom"/>
            <w:shd w:val="clear" w:color="auto" w:fill="ECF1EE"/>
          </w:tcPr>
          <w:p>
            <w:pPr>
              <w:jc w:val="right"/>
              <w:spacing w:after="0"/>
              <w:rPr>
                <w:sz w:val="20"/>
                <w:szCs w:val="20"/>
                <w:color w:val="auto"/>
              </w:rPr>
            </w:pPr>
            <w:r>
              <w:rPr>
                <w:rFonts w:ascii="Arial" w:cs="Arial" w:eastAsia="Arial" w:hAnsi="Arial"/>
                <w:sz w:val="18"/>
                <w:szCs w:val="18"/>
                <w:color w:val="auto"/>
              </w:rPr>
              <w:t>Notice</w:t>
            </w:r>
          </w:p>
        </w:tc>
        <w:tc>
          <w:tcPr>
            <w:tcW w:w="400" w:type="dxa"/>
            <w:vAlign w:val="bottom"/>
            <w:shd w:val="clear" w:color="auto" w:fill="ECF1EE"/>
          </w:tcPr>
          <w:p>
            <w:pPr>
              <w:jc w:val="right"/>
              <w:spacing w:after="0"/>
              <w:rPr>
                <w:sz w:val="20"/>
                <w:szCs w:val="20"/>
                <w:color w:val="auto"/>
              </w:rPr>
            </w:pPr>
            <w:r>
              <w:rPr>
                <w:rFonts w:ascii="Arial" w:cs="Arial" w:eastAsia="Arial" w:hAnsi="Arial"/>
                <w:sz w:val="18"/>
                <w:szCs w:val="18"/>
                <w:color w:val="auto"/>
              </w:rPr>
              <w:t>and</w:t>
            </w:r>
          </w:p>
        </w:tc>
        <w:tc>
          <w:tcPr>
            <w:tcW w:w="120" w:type="dxa"/>
            <w:vAlign w:val="bottom"/>
            <w:shd w:val="clear" w:color="auto" w:fill="ECF1EE"/>
          </w:tcPr>
          <w:p>
            <w:pPr>
              <w:spacing w:after="0"/>
              <w:rPr>
                <w:sz w:val="18"/>
                <w:szCs w:val="18"/>
                <w:color w:val="auto"/>
              </w:rPr>
            </w:pPr>
          </w:p>
        </w:tc>
      </w:tr>
      <w:tr>
        <w:trPr>
          <w:trHeight w:val="234"/>
        </w:trPr>
        <w:tc>
          <w:tcPr>
            <w:tcW w:w="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ECF1EE"/>
          </w:tcPr>
          <w:p>
            <w:pPr>
              <w:spacing w:after="0"/>
              <w:rPr>
                <w:sz w:val="20"/>
                <w:szCs w:val="20"/>
                <w:color w:val="auto"/>
              </w:rPr>
            </w:pPr>
          </w:p>
        </w:tc>
        <w:tc>
          <w:tcPr>
            <w:tcW w:w="120" w:type="dxa"/>
            <w:vAlign w:val="bottom"/>
            <w:shd w:val="clear" w:color="auto" w:fill="ECF1EE"/>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ECF1EE"/>
          </w:tcPr>
          <w:p>
            <w:pPr>
              <w:spacing w:after="0" w:line="233"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 xml:space="preserve"> would</w:t>
            </w:r>
          </w:p>
        </w:tc>
        <w:tc>
          <w:tcPr>
            <w:tcW w:w="360" w:type="dxa"/>
            <w:vAlign w:val="bottom"/>
            <w:shd w:val="clear" w:color="auto" w:fill="ECF1EE"/>
          </w:tcPr>
          <w:p>
            <w:pPr>
              <w:ind w:left="60"/>
              <w:spacing w:after="0"/>
              <w:rPr>
                <w:sz w:val="20"/>
                <w:szCs w:val="20"/>
                <w:color w:val="auto"/>
              </w:rPr>
            </w:pPr>
            <w:r>
              <w:rPr>
                <w:rFonts w:ascii="Arial" w:cs="Arial" w:eastAsia="Arial" w:hAnsi="Arial"/>
                <w:sz w:val="18"/>
                <w:szCs w:val="18"/>
                <w:color w:val="auto"/>
              </w:rPr>
              <w:t>like</w:t>
            </w:r>
          </w:p>
        </w:tc>
        <w:tc>
          <w:tcPr>
            <w:tcW w:w="360" w:type="dxa"/>
            <w:vAlign w:val="bottom"/>
            <w:shd w:val="clear" w:color="auto" w:fill="ECF1EE"/>
          </w:tcPr>
          <w:p>
            <w:pPr>
              <w:ind w:left="100"/>
              <w:spacing w:after="0"/>
              <w:rPr>
                <w:sz w:val="20"/>
                <w:szCs w:val="20"/>
                <w:color w:val="auto"/>
              </w:rPr>
            </w:pPr>
            <w:r>
              <w:rPr>
                <w:rFonts w:ascii="Arial" w:cs="Arial" w:eastAsia="Arial" w:hAnsi="Arial"/>
                <w:sz w:val="18"/>
                <w:szCs w:val="18"/>
                <w:color w:val="auto"/>
              </w:rPr>
              <w:t>to</w:t>
            </w:r>
          </w:p>
        </w:tc>
        <w:tc>
          <w:tcPr>
            <w:tcW w:w="640" w:type="dxa"/>
            <w:vAlign w:val="bottom"/>
            <w:gridSpan w:val="2"/>
            <w:shd w:val="clear" w:color="auto" w:fill="ECF1EE"/>
          </w:tcPr>
          <w:p>
            <w:pPr>
              <w:spacing w:after="0"/>
              <w:rPr>
                <w:sz w:val="20"/>
                <w:szCs w:val="20"/>
                <w:color w:val="auto"/>
              </w:rPr>
            </w:pPr>
            <w:r>
              <w:rPr>
                <w:rFonts w:ascii="Arial" w:cs="Arial" w:eastAsia="Arial" w:hAnsi="Arial"/>
                <w:sz w:val="18"/>
                <w:szCs w:val="18"/>
                <w:color w:val="auto"/>
              </w:rPr>
              <w:t>submit</w:t>
            </w:r>
          </w:p>
        </w:tc>
        <w:tc>
          <w:tcPr>
            <w:tcW w:w="1280" w:type="dxa"/>
            <w:vAlign w:val="bottom"/>
            <w:gridSpan w:val="3"/>
            <w:shd w:val="clear" w:color="auto" w:fill="ECF1EE"/>
          </w:tcPr>
          <w:p>
            <w:pPr>
              <w:jc w:val="right"/>
              <w:spacing w:after="0"/>
              <w:rPr>
                <w:sz w:val="20"/>
                <w:szCs w:val="20"/>
                <w:color w:val="auto"/>
              </w:rPr>
            </w:pPr>
            <w:r>
              <w:rPr>
                <w:rFonts w:ascii="Arial" w:cs="Arial" w:eastAsia="Arial" w:hAnsi="Arial"/>
                <w:sz w:val="18"/>
                <w:szCs w:val="18"/>
                <w:color w:val="auto"/>
              </w:rPr>
              <w:t>your proxy by</w:t>
            </w:r>
          </w:p>
        </w:tc>
        <w:tc>
          <w:tcPr>
            <w:tcW w:w="120" w:type="dxa"/>
            <w:vAlign w:val="bottom"/>
            <w:shd w:val="clear" w:color="auto" w:fill="ECF1EE"/>
          </w:tcPr>
          <w:p>
            <w:pPr>
              <w:spacing w:after="0"/>
              <w:rPr>
                <w:sz w:val="20"/>
                <w:szCs w:val="20"/>
                <w:color w:val="auto"/>
              </w:rPr>
            </w:pPr>
            <w:r>
              <w:rPr>
                <w:rFonts w:ascii="Arial" w:cs="Arial" w:eastAsia="Arial" w:hAnsi="Arial"/>
                <w:sz w:val="18"/>
                <w:szCs w:val="18"/>
                <w:color w:val="auto"/>
              </w:rPr>
              <w:t>​</w:t>
            </w:r>
          </w:p>
        </w:tc>
      </w:tr>
      <w:tr>
        <w:trPr>
          <w:trHeight w:val="198"/>
        </w:trPr>
        <w:tc>
          <w:tcPr>
            <w:tcW w:w="80" w:type="dxa"/>
            <w:vAlign w:val="bottom"/>
          </w:tcPr>
          <w:p>
            <w:pPr>
              <w:spacing w:after="0"/>
              <w:rPr>
                <w:sz w:val="17"/>
                <w:szCs w:val="17"/>
                <w:color w:val="auto"/>
              </w:rPr>
            </w:pPr>
          </w:p>
        </w:tc>
        <w:tc>
          <w:tcPr>
            <w:tcW w:w="800" w:type="dxa"/>
            <w:vAlign w:val="bottom"/>
            <w:shd w:val="clear" w:color="auto" w:fill="ECF1EE"/>
          </w:tcPr>
          <w:p>
            <w:pPr>
              <w:spacing w:after="0"/>
              <w:rPr>
                <w:sz w:val="17"/>
                <w:szCs w:val="17"/>
                <w:color w:val="auto"/>
              </w:rPr>
            </w:pPr>
          </w:p>
        </w:tc>
        <w:tc>
          <w:tcPr>
            <w:tcW w:w="120" w:type="dxa"/>
            <w:vAlign w:val="bottom"/>
            <w:shd w:val="clear" w:color="auto" w:fill="ECF1EE"/>
          </w:tcPr>
          <w:p>
            <w:pPr>
              <w:spacing w:after="0"/>
              <w:rPr>
                <w:sz w:val="17"/>
                <w:szCs w:val="17"/>
                <w:color w:val="auto"/>
              </w:rPr>
            </w:pPr>
          </w:p>
        </w:tc>
        <w:tc>
          <w:tcPr>
            <w:tcW w:w="3280" w:type="dxa"/>
            <w:vAlign w:val="bottom"/>
            <w:gridSpan w:val="8"/>
            <w:shd w:val="clear" w:color="auto" w:fill="ECF1EE"/>
          </w:tcPr>
          <w:p>
            <w:pPr>
              <w:ind w:left="100"/>
              <w:spacing w:after="0" w:line="198" w:lineRule="exact"/>
              <w:rPr>
                <w:sz w:val="20"/>
                <w:szCs w:val="20"/>
                <w:color w:val="auto"/>
              </w:rPr>
            </w:pPr>
            <w:r>
              <w:rPr>
                <w:rFonts w:ascii="Arial" w:cs="Arial" w:eastAsia="Arial" w:hAnsi="Arial"/>
                <w:sz w:val="18"/>
                <w:szCs w:val="18"/>
                <w:color w:val="auto"/>
              </w:rPr>
              <w:t>mail,  please  mark,  sign  and  date</w:t>
            </w:r>
          </w:p>
        </w:tc>
        <w:tc>
          <w:tcPr>
            <w:tcW w:w="120" w:type="dxa"/>
            <w:vAlign w:val="bottom"/>
            <w:shd w:val="clear" w:color="auto" w:fill="ECF1EE"/>
          </w:tcPr>
          <w:p>
            <w:pPr>
              <w:spacing w:after="0"/>
              <w:rPr>
                <w:sz w:val="17"/>
                <w:szCs w:val="17"/>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your  proxy  card  and  return  it</w:t>
            </w:r>
          </w:p>
        </w:tc>
        <w:tc>
          <w:tcPr>
            <w:tcW w:w="120" w:type="dxa"/>
            <w:vAlign w:val="bottom"/>
            <w:shd w:val="clear" w:color="auto" w:fill="ECF1EE"/>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800" w:type="dxa"/>
            <w:vAlign w:val="bottom"/>
            <w:shd w:val="clear" w:color="auto" w:fill="ECF1EE"/>
          </w:tcPr>
          <w:p>
            <w:pPr>
              <w:spacing w:after="0"/>
              <w:rPr>
                <w:sz w:val="18"/>
                <w:szCs w:val="18"/>
                <w:color w:val="auto"/>
              </w:rPr>
            </w:pPr>
          </w:p>
        </w:tc>
        <w:tc>
          <w:tcPr>
            <w:tcW w:w="120" w:type="dxa"/>
            <w:vAlign w:val="bottom"/>
            <w:shd w:val="clear" w:color="auto" w:fill="ECF1EE"/>
          </w:tcPr>
          <w:p>
            <w:pPr>
              <w:spacing w:after="0"/>
              <w:rPr>
                <w:sz w:val="18"/>
                <w:szCs w:val="18"/>
                <w:color w:val="auto"/>
              </w:rPr>
            </w:pPr>
          </w:p>
        </w:tc>
        <w:tc>
          <w:tcPr>
            <w:tcW w:w="3280" w:type="dxa"/>
            <w:vAlign w:val="bottom"/>
            <w:gridSpan w:val="8"/>
            <w:shd w:val="clear" w:color="auto" w:fill="ECF1EE"/>
          </w:tcPr>
          <w:p>
            <w:pPr>
              <w:ind w:left="100"/>
              <w:spacing w:after="0"/>
              <w:rPr>
                <w:sz w:val="20"/>
                <w:szCs w:val="20"/>
                <w:color w:val="auto"/>
              </w:rPr>
            </w:pPr>
            <w:r>
              <w:rPr>
                <w:rFonts w:ascii="Arial" w:cs="Arial" w:eastAsia="Arial" w:hAnsi="Arial"/>
                <w:sz w:val="18"/>
                <w:szCs w:val="18"/>
                <w:color w:val="auto"/>
              </w:rPr>
              <w:t>promptly   in   the   postage-paid</w:t>
            </w:r>
          </w:p>
        </w:tc>
        <w:tc>
          <w:tcPr>
            <w:tcW w:w="120" w:type="dxa"/>
            <w:vAlign w:val="bottom"/>
            <w:shd w:val="clear" w:color="auto" w:fill="ECF1EE"/>
          </w:tcPr>
          <w:p>
            <w:pPr>
              <w:spacing w:after="0"/>
              <w:rPr>
                <w:sz w:val="18"/>
                <w:szCs w:val="18"/>
                <w:color w:val="auto"/>
              </w:rPr>
            </w:pPr>
          </w:p>
        </w:tc>
      </w:tr>
      <w:tr>
        <w:trPr>
          <w:trHeight w:val="248"/>
        </w:trPr>
        <w:tc>
          <w:tcPr>
            <w:tcW w:w="80" w:type="dxa"/>
            <w:vAlign w:val="bottom"/>
          </w:tcPr>
          <w:p>
            <w:pPr>
              <w:spacing w:after="0"/>
              <w:rPr>
                <w:sz w:val="21"/>
                <w:szCs w:val="21"/>
                <w:color w:val="auto"/>
              </w:rPr>
            </w:pPr>
          </w:p>
        </w:tc>
        <w:tc>
          <w:tcPr>
            <w:tcW w:w="800" w:type="dxa"/>
            <w:vAlign w:val="bottom"/>
            <w:shd w:val="clear" w:color="auto" w:fill="ECF1EE"/>
          </w:tcPr>
          <w:p>
            <w:pPr>
              <w:spacing w:after="0"/>
              <w:rPr>
                <w:sz w:val="21"/>
                <w:szCs w:val="21"/>
                <w:color w:val="auto"/>
              </w:rPr>
            </w:pPr>
          </w:p>
        </w:tc>
        <w:tc>
          <w:tcPr>
            <w:tcW w:w="120" w:type="dxa"/>
            <w:vAlign w:val="bottom"/>
            <w:shd w:val="clear" w:color="auto" w:fill="ECF1EE"/>
          </w:tcPr>
          <w:p>
            <w:pPr>
              <w:spacing w:after="0"/>
              <w:rPr>
                <w:sz w:val="21"/>
                <w:szCs w:val="21"/>
                <w:color w:val="auto"/>
              </w:rPr>
            </w:pPr>
          </w:p>
        </w:tc>
        <w:tc>
          <w:tcPr>
            <w:tcW w:w="1800" w:type="dxa"/>
            <w:vAlign w:val="bottom"/>
            <w:gridSpan w:val="4"/>
            <w:shd w:val="clear" w:color="auto" w:fill="ECF1EE"/>
          </w:tcPr>
          <w:p>
            <w:pPr>
              <w:ind w:left="100"/>
              <w:spacing w:after="0"/>
              <w:rPr>
                <w:sz w:val="20"/>
                <w:szCs w:val="20"/>
                <w:color w:val="auto"/>
              </w:rPr>
            </w:pPr>
            <w:r>
              <w:rPr>
                <w:rFonts w:ascii="Arial" w:cs="Arial" w:eastAsia="Arial" w:hAnsi="Arial"/>
                <w:sz w:val="18"/>
                <w:szCs w:val="18"/>
                <w:color w:val="auto"/>
              </w:rPr>
              <w:t>envelope provided.</w:t>
            </w:r>
          </w:p>
        </w:tc>
        <w:tc>
          <w:tcPr>
            <w:tcW w:w="200" w:type="dxa"/>
            <w:vAlign w:val="bottom"/>
            <w:shd w:val="clear" w:color="auto" w:fill="ECF1EE"/>
          </w:tcPr>
          <w:p>
            <w:pPr>
              <w:spacing w:after="0"/>
              <w:rPr>
                <w:sz w:val="21"/>
                <w:szCs w:val="21"/>
                <w:color w:val="auto"/>
              </w:rPr>
            </w:pPr>
          </w:p>
        </w:tc>
        <w:tc>
          <w:tcPr>
            <w:tcW w:w="260" w:type="dxa"/>
            <w:vAlign w:val="bottom"/>
            <w:shd w:val="clear" w:color="auto" w:fill="ECF1EE"/>
          </w:tcPr>
          <w:p>
            <w:pPr>
              <w:spacing w:after="0"/>
              <w:rPr>
                <w:sz w:val="21"/>
                <w:szCs w:val="21"/>
                <w:color w:val="auto"/>
              </w:rPr>
            </w:pPr>
          </w:p>
        </w:tc>
        <w:tc>
          <w:tcPr>
            <w:tcW w:w="620" w:type="dxa"/>
            <w:vAlign w:val="bottom"/>
            <w:shd w:val="clear" w:color="auto" w:fill="ECF1EE"/>
          </w:tcPr>
          <w:p>
            <w:pPr>
              <w:spacing w:after="0"/>
              <w:rPr>
                <w:sz w:val="21"/>
                <w:szCs w:val="21"/>
                <w:color w:val="auto"/>
              </w:rPr>
            </w:pPr>
          </w:p>
        </w:tc>
        <w:tc>
          <w:tcPr>
            <w:tcW w:w="400" w:type="dxa"/>
            <w:vAlign w:val="bottom"/>
            <w:shd w:val="clear" w:color="auto" w:fill="ECF1EE"/>
          </w:tcPr>
          <w:p>
            <w:pPr>
              <w:spacing w:after="0"/>
              <w:rPr>
                <w:sz w:val="21"/>
                <w:szCs w:val="21"/>
                <w:color w:val="auto"/>
              </w:rPr>
            </w:pPr>
          </w:p>
        </w:tc>
        <w:tc>
          <w:tcPr>
            <w:tcW w:w="120" w:type="dxa"/>
            <w:vAlign w:val="bottom"/>
            <w:shd w:val="clear" w:color="auto" w:fill="ECF1EE"/>
          </w:tcPr>
          <w:p>
            <w:pPr>
              <w:spacing w:after="0"/>
              <w:rPr>
                <w:sz w:val="21"/>
                <w:szCs w:val="21"/>
                <w:color w:val="auto"/>
              </w:rPr>
            </w:pPr>
          </w:p>
        </w:tc>
      </w:tr>
    </w:tbl>
    <w:p>
      <w:pPr>
        <w:spacing w:after="0" w:line="22" w:lineRule="exact"/>
        <w:rPr>
          <w:sz w:val="20"/>
          <w:szCs w:val="20"/>
          <w:color w:val="auto"/>
        </w:rPr>
      </w:pPr>
    </w:p>
    <w:p>
      <w:pPr>
        <w:jc w:val="both"/>
        <w:ind w:right="60" w:firstLine="95"/>
        <w:spacing w:after="0" w:line="259" w:lineRule="auto"/>
        <w:rPr>
          <w:sz w:val="20"/>
          <w:szCs w:val="20"/>
          <w:color w:val="auto"/>
        </w:rPr>
      </w:pPr>
      <w:r>
        <w:rPr>
          <w:rFonts w:ascii="Arial" w:cs="Arial" w:eastAsia="Arial" w:hAnsi="Arial"/>
          <w:sz w:val="18"/>
          <w:szCs w:val="18"/>
          <w:color w:val="auto"/>
        </w:rPr>
        <w:t>If your shares of Common Stock are held in street name, you will receive instructions from ​ your broker, bank or nominee that you must ​ follow in order to have your shares of Common Stock voted at the Annual Meeting.</w:t>
      </w:r>
    </w:p>
    <w:p>
      <w:pPr>
        <w:spacing w:after="0" w:line="200" w:lineRule="exact"/>
        <w:rPr>
          <w:sz w:val="20"/>
          <w:szCs w:val="20"/>
          <w:color w:val="auto"/>
        </w:rPr>
      </w:pPr>
    </w:p>
    <w:p>
      <w:pPr>
        <w:sectPr>
          <w:pgSz w:w="11900" w:h="16838" w:orient="portrait"/>
          <w:cols w:equalWidth="0" w:num="2">
            <w:col w:w="5240" w:space="240"/>
            <w:col w:w="4400"/>
          </w:cols>
          <w:pgMar w:left="580" w:top="97" w:right="1439" w:bottom="1440" w:gutter="0" w:footer="0" w:header="0"/>
          <w:type w:val="continuous"/>
        </w:sectPr>
      </w:pPr>
    </w:p>
    <w:p>
      <w:pPr>
        <w:spacing w:after="0" w:line="155" w:lineRule="exact"/>
        <w:rPr>
          <w:sz w:val="20"/>
          <w:szCs w:val="20"/>
          <w:color w:val="auto"/>
        </w:rPr>
      </w:pPr>
    </w:p>
    <w:p>
      <w:pPr>
        <w:ind w:left="820" w:right="20"/>
        <w:spacing w:after="0" w:line="296" w:lineRule="auto"/>
        <w:rPr>
          <w:sz w:val="20"/>
          <w:szCs w:val="20"/>
          <w:color w:val="auto"/>
        </w:rPr>
      </w:pPr>
      <w:r>
        <w:rPr>
          <w:rFonts w:ascii="Arial" w:cs="Arial" w:eastAsia="Arial" w:hAnsi="Arial"/>
          <w:sz w:val="18"/>
          <w:szCs w:val="18"/>
          <w:color w:val="auto"/>
        </w:rPr>
        <w:t xml:space="preserve">Your vote is important. </w:t>
      </w:r>
      <w:r>
        <w:rPr>
          <w:rFonts w:ascii="Arial" w:cs="Arial" w:eastAsia="Arial" w:hAnsi="Arial"/>
          <w:sz w:val="18"/>
          <w:szCs w:val="18"/>
          <w:b w:val="1"/>
          <w:bCs w:val="1"/>
          <w:color w:val="auto"/>
        </w:rPr>
        <w:t>We urge all stockholders to vote and submit their proxies as soon as</w:t>
      </w:r>
      <w:r>
        <w:rPr>
          <w:rFonts w:ascii="Arial" w:cs="Arial" w:eastAsia="Arial" w:hAnsi="Arial"/>
          <w:sz w:val="18"/>
          <w:szCs w:val="18"/>
          <w:color w:val="auto"/>
        </w:rPr>
        <w:t xml:space="preserve"> </w:t>
      </w:r>
      <w:r>
        <w:rPr>
          <w:rFonts w:ascii="Arial" w:cs="Arial" w:eastAsia="Arial" w:hAnsi="Arial"/>
          <w:sz w:val="18"/>
          <w:szCs w:val="18"/>
          <w:b w:val="1"/>
          <w:bCs w:val="1"/>
          <w:color w:val="auto"/>
        </w:rPr>
        <w:t>possible using one of the methods described above.</w:t>
      </w:r>
    </w:p>
    <w:p>
      <w:pPr>
        <w:sectPr>
          <w:pgSz w:w="11900" w:h="16838" w:orient="portrait"/>
          <w:cols w:equalWidth="0" w:num="1">
            <w:col w:w="9880"/>
          </w:cols>
          <w:pgMar w:left="580" w:top="97" w:right="1439" w:bottom="1440" w:gutter="0" w:footer="0" w:header="0"/>
          <w:type w:val="continuous"/>
        </w:sectPr>
      </w:pPr>
    </w:p>
    <w:p>
      <w:pPr>
        <w:spacing w:after="0" w:line="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-118745</wp:posOffset>
            </wp:positionV>
            <wp:extent cx="1062990" cy="368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2990" cy="368935"/>
                    </a:xfrm>
                    <a:prstGeom prst="rect">
                      <a:avLst/>
                    </a:prstGeom>
                    <a:noFill/>
                  </pic:spPr>
                </pic:pic>
              </a:graphicData>
            </a:graphic>
          </wp:anchor>
        </w:drawing>
      </w:r>
    </w:p>
    <w:p>
      <w:pPr>
        <w:spacing w:after="0" w:line="367" w:lineRule="exact"/>
        <w:rPr>
          <w:sz w:val="20"/>
          <w:szCs w:val="20"/>
          <w:color w:val="auto"/>
        </w:rPr>
      </w:pPr>
    </w:p>
    <w:p>
      <w:pPr>
        <w:ind w:left="880"/>
        <w:spacing w:after="0" w:line="287" w:lineRule="auto"/>
        <w:rPr>
          <w:sz w:val="20"/>
          <w:szCs w:val="20"/>
          <w:color w:val="auto"/>
        </w:rPr>
      </w:pPr>
      <w:r>
        <w:rPr>
          <w:rFonts w:ascii="Arial" w:cs="Arial" w:eastAsia="Arial" w:hAnsi="Arial"/>
          <w:sz w:val="18"/>
          <w:szCs w:val="18"/>
          <w:color w:val="auto"/>
        </w:rPr>
        <w:t xml:space="preserve">Courtney A. Tippy </w:t>
      </w:r>
      <w:r>
        <w:rPr>
          <w:rFonts w:ascii="Arial" w:cs="Arial" w:eastAsia="Arial" w:hAnsi="Arial"/>
          <w:sz w:val="18"/>
          <w:szCs w:val="18"/>
          <w:i w:val="1"/>
          <w:iCs w:val="1"/>
          <w:color w:val="auto"/>
        </w:rPr>
        <w:t>Corporate Secretary</w:t>
      </w:r>
    </w:p>
    <w:p>
      <w:pPr>
        <w:spacing w:after="0" w:line="15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April 1, 2025</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tabs>
          <w:tab w:leader="none" w:pos="6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w:t>
      </w:r>
    </w:p>
    <w:p>
      <w:pPr>
        <w:spacing w:after="0" w:line="27" w:lineRule="exact"/>
        <w:rPr>
          <w:sz w:val="20"/>
          <w:szCs w:val="20"/>
          <w:color w:val="auto"/>
        </w:rPr>
      </w:pPr>
    </w:p>
    <w:p>
      <w:pPr>
        <w:ind w:left="200" w:right="320"/>
        <w:spacing w:after="0" w:line="255" w:lineRule="auto"/>
        <w:rPr>
          <w:sz w:val="20"/>
          <w:szCs w:val="20"/>
          <w:color w:val="auto"/>
        </w:rPr>
      </w:pPr>
      <w:r>
        <w:rPr>
          <w:rFonts w:ascii="Arial" w:cs="Arial" w:eastAsia="Arial" w:hAnsi="Arial"/>
          <w:sz w:val="18"/>
          <w:szCs w:val="18"/>
          <w:b w:val="1"/>
          <w:bCs w:val="1"/>
          <w:i w:val="1"/>
          <w:iCs w:val="1"/>
          <w:color w:val="auto"/>
        </w:rPr>
        <w:t xml:space="preserve">Enroll in Electronic Delivery Today. </w:t>
      </w:r>
      <w:r>
        <w:rPr>
          <w:rFonts w:ascii="Arial" w:cs="Arial" w:eastAsia="Arial" w:hAnsi="Arial"/>
          <w:sz w:val="18"/>
          <w:szCs w:val="18"/>
          <w:color w:val="auto"/>
        </w:rPr>
        <w:t>Help us save paper, 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money! If your shares are held in street name through a bank or broker, visit www.proxyvote.com or follow the instructions on the Notice, proxy card or voting instructions. All stockholders may enroll at enroll.icsdelivery.com/wmi.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-1939925</wp:posOffset>
            </wp:positionH>
            <wp:positionV relativeFrom="paragraph">
              <wp:posOffset>1203960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2660" w:space="380"/>
            <w:col w:w="6840"/>
          </w:cols>
          <w:pgMar w:left="580" w:top="97" w:right="1439"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99"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PROXY STATEMENT</w:t>
      </w:r>
      <w:r>
        <w:rPr>
          <w:rFonts w:ascii="Times New Roman" w:cs="Times New Roman" w:eastAsia="Times New Roman" w:hAnsi="Times New Roman"/>
          <w:sz w:val="64"/>
          <w:szCs w:val="64"/>
          <w:color w:val="000000"/>
        </w:rPr>
        <w:t>​</w:t>
      </w:r>
    </w:p>
    <w:p>
      <w:pPr>
        <w:ind w:left="820"/>
        <w:spacing w:after="0"/>
        <w:rPr>
          <w:sz w:val="20"/>
          <w:szCs w:val="20"/>
          <w:color w:val="auto"/>
        </w:rPr>
      </w:pPr>
      <w:r>
        <w:rPr>
          <w:rFonts w:ascii="Arial" w:cs="Arial" w:eastAsia="Arial" w:hAnsi="Arial"/>
          <w:sz w:val="36"/>
          <w:szCs w:val="36"/>
          <w:b w:val="1"/>
          <w:bCs w:val="1"/>
          <w:color w:val="457157"/>
        </w:rPr>
        <w:t>TABLE OF CONTENTS</w:t>
      </w:r>
      <w:r>
        <w:rPr>
          <w:rFonts w:ascii="Times New Roman" w:cs="Times New Roman" w:eastAsia="Times New Roman" w:hAnsi="Times New Roman"/>
          <w:sz w:val="64"/>
          <w:szCs w:val="64"/>
          <w:color w:val="000000"/>
        </w:rPr>
        <w:t>​</w:t>
      </w:r>
    </w:p>
    <w:p>
      <w:pPr>
        <w:spacing w:after="0" w:line="174" w:lineRule="exact"/>
        <w:rPr>
          <w:sz w:val="20"/>
          <w:szCs w:val="20"/>
          <w:color w:val="auto"/>
        </w:rPr>
      </w:pPr>
    </w:p>
    <w:p>
      <w:pPr>
        <w:ind w:left="820"/>
        <w:spacing w:after="0"/>
        <w:tabs>
          <w:tab w:leader="none" w:pos="5120" w:val="left"/>
          <w:tab w:leader="none" w:pos="9940" w:val="left"/>
        </w:tabs>
        <w:rPr>
          <w:sz w:val="20"/>
          <w:szCs w:val="20"/>
          <w:color w:val="auto"/>
        </w:rPr>
      </w:pPr>
      <w:r>
        <w:rPr>
          <w:rFonts w:ascii="Arial" w:cs="Arial" w:eastAsia="Arial" w:hAnsi="Arial"/>
          <w:sz w:val="29"/>
          <w:szCs w:val="29"/>
          <w:b w:val="1"/>
          <w:bCs w:val="1"/>
          <w:color w:val="auto"/>
          <w:vertAlign w:val="subscript"/>
        </w:rPr>
        <w:t>​</w:t>
      </w:r>
      <w:r>
        <w:rPr>
          <w:sz w:val="20"/>
          <w:szCs w:val="20"/>
          <w:color w:val="auto"/>
        </w:rPr>
        <w:tab/>
      </w:r>
      <w:r>
        <w:rPr>
          <w:rFonts w:ascii="Arial" w:cs="Arial" w:eastAsia="Arial" w:hAnsi="Arial"/>
          <w:sz w:val="28"/>
          <w:szCs w:val="28"/>
          <w:b w:val="1"/>
          <w:bCs w:val="1"/>
          <w:u w:val="single" w:color="auto"/>
          <w:color w:val="auto"/>
          <w:vertAlign w:val="subscript"/>
        </w:rPr>
        <w:t>​</w:t>
      </w:r>
      <w:r>
        <w:rPr>
          <w:rFonts w:ascii="Arial" w:cs="Arial" w:eastAsia="Arial" w:hAnsi="Arial"/>
          <w:sz w:val="14"/>
          <w:szCs w:val="14"/>
          <w:b w:val="1"/>
          <w:bCs w:val="1"/>
          <w:u w:val="single" w:color="auto"/>
          <w:color w:val="auto"/>
        </w:rPr>
        <w:t>Page</w:t>
      </w:r>
      <w:r>
        <w:rPr>
          <w:rFonts w:ascii="Arial" w:cs="Arial" w:eastAsia="Arial" w:hAnsi="Arial"/>
          <w:sz w:val="28"/>
          <w:szCs w:val="28"/>
          <w:b w:val="1"/>
          <w:bCs w:val="1"/>
          <w:color w:val="auto"/>
          <w:vertAlign w:val="subscript"/>
        </w:rPr>
        <w:t>​​</w:t>
      </w:r>
      <w:r>
        <w:rPr>
          <w:sz w:val="20"/>
          <w:szCs w:val="20"/>
          <w:color w:val="auto"/>
        </w:rPr>
        <w:tab/>
      </w:r>
      <w:r>
        <w:rPr>
          <w:rFonts w:ascii="Arial" w:cs="Arial" w:eastAsia="Arial" w:hAnsi="Arial"/>
          <w:sz w:val="17"/>
          <w:szCs w:val="17"/>
          <w:b w:val="1"/>
          <w:bCs w:val="1"/>
          <w:color w:val="auto"/>
          <w:vertAlign w:val="subscript"/>
        </w:rPr>
        <w:t>​</w:t>
      </w:r>
      <w:r>
        <w:rPr>
          <w:rFonts w:ascii="Arial" w:cs="Arial" w:eastAsia="Arial" w:hAnsi="Arial"/>
          <w:sz w:val="17"/>
          <w:szCs w:val="17"/>
          <w:b w:val="1"/>
          <w:bCs w:val="1"/>
          <w:color w:val="auto"/>
        </w:rPr>
        <w:t>Page</w:t>
      </w:r>
      <w:r>
        <w:rPr>
          <w:rFonts w:ascii="Arial" w:cs="Arial" w:eastAsia="Arial" w:hAnsi="Arial"/>
          <w:sz w:val="17"/>
          <w:szCs w:val="17"/>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20955</wp:posOffset>
            </wp:positionV>
            <wp:extent cx="580326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03265" cy="154305"/>
                    </a:xfrm>
                    <a:prstGeom prst="rect">
                      <a:avLst/>
                    </a:prstGeom>
                    <a:noFill/>
                  </pic:spPr>
                </pic:pic>
              </a:graphicData>
            </a:graphic>
          </wp:anchor>
        </w:drawing>
      </w:r>
    </w:p>
    <w:p>
      <w:pPr>
        <w:sectPr>
          <w:pgSz w:w="11900" w:h="16838" w:orient="portrait"/>
          <w:cols w:equalWidth="0" w:num="1">
            <w:col w:w="10380"/>
          </w:cols>
          <w:pgMar w:left="580" w:top="97" w:right="939" w:bottom="1440" w:gutter="0" w:footer="0" w:header="0"/>
        </w:sectPr>
      </w:pPr>
    </w:p>
    <w:p>
      <w:pPr>
        <w:spacing w:after="0" w:line="55" w:lineRule="exact"/>
        <w:rPr>
          <w:sz w:val="20"/>
          <w:szCs w:val="20"/>
          <w:color w:val="auto"/>
        </w:rPr>
      </w:pPr>
    </w:p>
    <w:p>
      <w:pPr>
        <w:ind w:left="820"/>
        <w:spacing w:after="0"/>
        <w:rPr>
          <w:sz w:val="20"/>
          <w:szCs w:val="20"/>
          <w:color w:val="auto"/>
        </w:rPr>
      </w:pPr>
      <w:r>
        <w:rPr>
          <w:rFonts w:ascii="Arial" w:cs="Arial" w:eastAsia="Arial" w:hAnsi="Arial"/>
          <w:sz w:val="18"/>
          <w:szCs w:val="18"/>
          <w:b w:val="1"/>
          <w:bCs w:val="1"/>
          <w:u w:val="single" w:color="auto"/>
          <w:color w:val="457157"/>
        </w:rPr>
        <w:t>GENERAL INFORMATION</w:t>
      </w:r>
    </w:p>
    <w:p>
      <w:pPr>
        <w:spacing w:after="0" w:line="40" w:lineRule="exact"/>
        <w:rPr>
          <w:sz w:val="20"/>
          <w:szCs w:val="20"/>
          <w:color w:val="auto"/>
        </w:rPr>
      </w:pPr>
    </w:p>
    <w:p>
      <w:pPr>
        <w:ind w:left="1000" w:right="1140" w:hanging="179"/>
        <w:spacing w:after="0" w:line="290" w:lineRule="auto"/>
        <w:rPr>
          <w:sz w:val="20"/>
          <w:szCs w:val="20"/>
          <w:color w:val="auto"/>
        </w:rPr>
      </w:pPr>
      <w:r>
        <w:rPr>
          <w:rFonts w:ascii="Arial" w:cs="Arial" w:eastAsia="Arial" w:hAnsi="Arial"/>
          <w:sz w:val="18"/>
          <w:szCs w:val="18"/>
          <w:b w:val="1"/>
          <w:bCs w:val="1"/>
          <w:u w:val="single" w:color="auto"/>
          <w:color w:val="457157"/>
        </w:rPr>
        <w:t xml:space="preserve">BOARD OF DIRECTORS </w:t>
      </w:r>
      <w:r>
        <w:rPr>
          <w:rFonts w:ascii="Arial" w:cs="Arial" w:eastAsia="Arial" w:hAnsi="Arial"/>
          <w:sz w:val="18"/>
          <w:szCs w:val="18"/>
          <w:u w:val="single" w:color="auto"/>
          <w:color w:val="0000EE"/>
        </w:rPr>
        <w:t>Nominees for Director Leadership Structure Independence of Board Members Meetings and Board Committees Role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-655320</wp:posOffset>
            </wp:positionV>
            <wp:extent cx="298323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8323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-346710</wp:posOffset>
            </wp:positionV>
            <wp:extent cx="298323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8323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-38100</wp:posOffset>
            </wp:positionV>
            <wp:extent cx="298323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spacing w:after="0" w:line="179" w:lineRule="exact"/>
        <w:rPr>
          <w:sz w:val="20"/>
          <w:szCs w:val="20"/>
          <w:color w:val="auto"/>
        </w:rPr>
      </w:pPr>
    </w:p>
    <w:p>
      <w:pPr>
        <w:ind w:left="1180" w:right="920" w:hanging="179"/>
        <w:spacing w:after="0" w:line="268" w:lineRule="auto"/>
        <w:rPr>
          <w:sz w:val="20"/>
          <w:szCs w:val="20"/>
          <w:color w:val="auto"/>
        </w:rPr>
      </w:pPr>
      <w:r>
        <w:rPr>
          <w:rFonts w:ascii="Arial" w:cs="Arial" w:eastAsia="Arial" w:hAnsi="Arial"/>
          <w:sz w:val="18"/>
          <w:szCs w:val="18"/>
          <w:u w:val="single" w:color="auto"/>
          <w:color w:val="0000EE"/>
        </w:rPr>
        <w:t>Oversight of Sustainability Risk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-12700</wp:posOffset>
            </wp:positionV>
            <wp:extent cx="298323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ind w:left="1000"/>
        <w:spacing w:after="0"/>
        <w:rPr>
          <w:sz w:val="20"/>
          <w:szCs w:val="20"/>
          <w:color w:val="auto"/>
        </w:rPr>
      </w:pPr>
      <w:r>
        <w:rPr>
          <w:rFonts w:ascii="Arial" w:cs="Arial" w:eastAsia="Arial" w:hAnsi="Arial"/>
          <w:sz w:val="18"/>
          <w:szCs w:val="18"/>
          <w:u w:val="single" w:color="auto"/>
          <w:color w:val="0000EE"/>
        </w:rPr>
        <w:t>Audit Committee</w:t>
      </w:r>
    </w:p>
    <w:p>
      <w:pPr>
        <w:spacing w:after="0" w:line="36"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0000EE"/>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8890</wp:posOffset>
            </wp:positionV>
            <wp:extent cx="2983230"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83230" cy="291465"/>
                    </a:xfrm>
                    <a:prstGeom prst="rect">
                      <a:avLst/>
                    </a:prstGeom>
                    <a:noFill/>
                  </pic:spPr>
                </pic:pic>
              </a:graphicData>
            </a:graphic>
          </wp:anchor>
        </w:drawing>
      </w:r>
    </w:p>
    <w:p>
      <w:pPr>
        <w:spacing w:after="0" w:line="12" w:lineRule="exact"/>
        <w:rPr>
          <w:sz w:val="20"/>
          <w:szCs w:val="20"/>
          <w:color w:val="auto"/>
        </w:rPr>
      </w:pPr>
    </w:p>
    <w:p>
      <w:pPr>
        <w:ind w:left="1180" w:hanging="179"/>
        <w:spacing w:after="0" w:line="268" w:lineRule="auto"/>
        <w:rPr>
          <w:sz w:val="20"/>
          <w:szCs w:val="20"/>
          <w:color w:val="auto"/>
        </w:rPr>
      </w:pPr>
      <w:r>
        <w:rPr>
          <w:rFonts w:ascii="Arial" w:cs="Arial" w:eastAsia="Arial" w:hAnsi="Arial"/>
          <w:sz w:val="18"/>
          <w:szCs w:val="18"/>
          <w:u w:val="single" w:color="auto"/>
          <w:color w:val="0000EE"/>
        </w:rPr>
        <w:t>Management Development and Compensation Committee</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0000EE"/>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8890</wp:posOffset>
            </wp:positionV>
            <wp:extent cx="298323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83230" cy="291465"/>
                    </a:xfrm>
                    <a:prstGeom prst="rect">
                      <a:avLst/>
                    </a:prstGeom>
                    <a:noFill/>
                  </pic:spPr>
                </pic:pic>
              </a:graphicData>
            </a:graphic>
          </wp:anchor>
        </w:drawing>
      </w:r>
    </w:p>
    <w:p>
      <w:pPr>
        <w:spacing w:after="0" w:line="12"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0000EE"/>
        </w:rPr>
        <w:t>Compensation Committee Interlocks and</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0000EE"/>
        </w:rPr>
        <w:t>Insider Participation</w:t>
      </w:r>
    </w:p>
    <w:p>
      <w:pPr>
        <w:spacing w:after="0" w:line="32" w:lineRule="exact"/>
        <w:rPr>
          <w:sz w:val="20"/>
          <w:szCs w:val="20"/>
          <w:color w:val="auto"/>
        </w:rPr>
      </w:pPr>
    </w:p>
    <w:p>
      <w:pPr>
        <w:ind w:left="1000" w:right="540"/>
        <w:spacing w:after="0" w:line="281" w:lineRule="auto"/>
        <w:rPr>
          <w:sz w:val="20"/>
          <w:szCs w:val="20"/>
          <w:color w:val="auto"/>
        </w:rPr>
      </w:pPr>
      <w:r>
        <w:rPr>
          <w:rFonts w:ascii="Arial" w:cs="Arial" w:eastAsia="Arial" w:hAnsi="Arial"/>
          <w:sz w:val="18"/>
          <w:szCs w:val="18"/>
          <w:u w:val="single" w:color="auto"/>
          <w:color w:val="0000EE"/>
        </w:rPr>
        <w:t>Nominating and Governance Committee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-166370</wp:posOffset>
            </wp:positionV>
            <wp:extent cx="298323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ind w:left="1000" w:right="440"/>
        <w:spacing w:after="0" w:line="279" w:lineRule="auto"/>
        <w:rPr>
          <w:sz w:val="20"/>
          <w:szCs w:val="20"/>
          <w:color w:val="auto"/>
        </w:rPr>
      </w:pPr>
      <w:r>
        <w:rPr>
          <w:rFonts w:ascii="Arial" w:cs="Arial" w:eastAsia="Arial" w:hAnsi="Arial"/>
          <w:sz w:val="18"/>
          <w:szCs w:val="18"/>
          <w:u w:val="single" w:color="auto"/>
          <w:color w:val="0000EE"/>
        </w:rPr>
        <w:t>Board of Directors Governing Documents Non-Employee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-164465</wp:posOffset>
            </wp:positionV>
            <wp:extent cx="298323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ind w:left="1000" w:right="400" w:hanging="179"/>
        <w:spacing w:after="0" w:line="268" w:lineRule="auto"/>
        <w:rPr>
          <w:sz w:val="20"/>
          <w:szCs w:val="20"/>
          <w:color w:val="auto"/>
        </w:rPr>
      </w:pPr>
      <w:r>
        <w:rPr>
          <w:rFonts w:ascii="Arial" w:cs="Arial" w:eastAsia="Arial" w:hAnsi="Arial"/>
          <w:sz w:val="18"/>
          <w:szCs w:val="18"/>
          <w:b w:val="1"/>
          <w:bCs w:val="1"/>
          <w:u w:val="single" w:color="auto"/>
          <w:color w:val="457157"/>
        </w:rPr>
        <w:t>ELECTION OF DIRECTORS (Item 1 on the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-12700</wp:posOffset>
            </wp:positionV>
            <wp:extent cx="298323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83230" cy="274320"/>
                    </a:xfrm>
                    <a:prstGeom prst="rect">
                      <a:avLst/>
                    </a:prstGeom>
                    <a:noFill/>
                  </pic:spPr>
                </pic:pic>
              </a:graphicData>
            </a:graphic>
          </wp:anchor>
        </w:drawing>
      </w:r>
    </w:p>
    <w:p>
      <w:pPr>
        <w:ind w:left="820" w:right="1120"/>
        <w:spacing w:after="0" w:line="244" w:lineRule="auto"/>
        <w:rPr>
          <w:sz w:val="20"/>
          <w:szCs w:val="20"/>
          <w:color w:val="auto"/>
        </w:rPr>
      </w:pPr>
      <w:r>
        <w:rPr>
          <w:rFonts w:ascii="Arial" w:cs="Arial" w:eastAsia="Arial" w:hAnsi="Arial"/>
          <w:sz w:val="18"/>
          <w:szCs w:val="18"/>
          <w:b w:val="1"/>
          <w:bCs w:val="1"/>
          <w:u w:val="single" w:color="auto"/>
          <w:color w:val="457157"/>
        </w:rPr>
        <w:t>DIRECTOR AND OFFICER STOCK OWNERSHIP</w:t>
      </w:r>
    </w:p>
    <w:p>
      <w:pPr>
        <w:spacing w:after="0" w:line="1" w:lineRule="exact"/>
        <w:rPr>
          <w:sz w:val="20"/>
          <w:szCs w:val="20"/>
          <w:color w:val="auto"/>
        </w:rPr>
      </w:pPr>
    </w:p>
    <w:p>
      <w:pPr>
        <w:ind w:left="1000" w:right="780" w:hanging="179"/>
        <w:spacing w:after="0" w:line="271" w:lineRule="auto"/>
        <w:rPr>
          <w:sz w:val="20"/>
          <w:szCs w:val="20"/>
          <w:color w:val="auto"/>
        </w:rPr>
      </w:pPr>
      <w:r>
        <w:rPr>
          <w:rFonts w:ascii="Arial" w:cs="Arial" w:eastAsia="Arial" w:hAnsi="Arial"/>
          <w:sz w:val="18"/>
          <w:szCs w:val="18"/>
          <w:b w:val="1"/>
          <w:bCs w:val="1"/>
          <w:u w:val="single" w:color="auto"/>
          <w:color w:val="457157"/>
        </w:rPr>
        <w:t>SECURITY OWNERSHIP OF 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-12065</wp:posOffset>
            </wp:positionV>
            <wp:extent cx="298323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ind w:left="820"/>
        <w:spacing w:after="0"/>
        <w:rPr>
          <w:sz w:val="20"/>
          <w:szCs w:val="20"/>
          <w:color w:val="auto"/>
        </w:rPr>
      </w:pPr>
      <w:r>
        <w:rPr>
          <w:rFonts w:ascii="Arial" w:cs="Arial" w:eastAsia="Arial" w:hAnsi="Arial"/>
          <w:sz w:val="18"/>
          <w:szCs w:val="18"/>
          <w:b w:val="1"/>
          <w:bCs w:val="1"/>
          <w:u w:val="single" w:color="auto"/>
          <w:color w:val="457157"/>
        </w:rPr>
        <w:t>EXECUTIVE OFFICERS</w:t>
      </w:r>
    </w:p>
    <w:p>
      <w:pPr>
        <w:spacing w:after="0" w:line="40" w:lineRule="exact"/>
        <w:rPr>
          <w:sz w:val="20"/>
          <w:szCs w:val="20"/>
          <w:color w:val="auto"/>
        </w:rPr>
      </w:pPr>
    </w:p>
    <w:p>
      <w:pPr>
        <w:ind w:left="820"/>
        <w:spacing w:after="0"/>
        <w:rPr>
          <w:sz w:val="20"/>
          <w:szCs w:val="20"/>
          <w:color w:val="auto"/>
        </w:rPr>
      </w:pPr>
      <w:r>
        <w:rPr>
          <w:rFonts w:ascii="Arial" w:cs="Arial" w:eastAsia="Arial" w:hAnsi="Arial"/>
          <w:sz w:val="18"/>
          <w:szCs w:val="18"/>
          <w:b w:val="1"/>
          <w:bCs w:val="1"/>
          <w:u w:val="single" w:color="auto"/>
          <w:color w:val="457157"/>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6985</wp:posOffset>
            </wp:positionV>
            <wp:extent cx="298323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spacing w:after="0" w:line="16" w:lineRule="exact"/>
        <w:rPr>
          <w:sz w:val="20"/>
          <w:szCs w:val="20"/>
          <w:color w:val="auto"/>
        </w:rPr>
      </w:pPr>
    </w:p>
    <w:p>
      <w:pPr>
        <w:ind w:left="1000"/>
        <w:spacing w:after="0"/>
        <w:rPr>
          <w:sz w:val="20"/>
          <w:szCs w:val="20"/>
          <w:color w:val="auto"/>
        </w:rPr>
      </w:pPr>
      <w:r>
        <w:rPr>
          <w:rFonts w:ascii="Arial" w:cs="Arial" w:eastAsia="Arial" w:hAnsi="Arial"/>
          <w:sz w:val="18"/>
          <w:szCs w:val="18"/>
          <w:b w:val="1"/>
          <w:bCs w:val="1"/>
          <w:u w:val="single" w:color="auto"/>
          <w:color w:val="457157"/>
        </w:rPr>
        <w:t>Compensation Discussion and Analysis</w:t>
      </w:r>
    </w:p>
    <w:p>
      <w:pPr>
        <w:spacing w:after="0" w:line="36"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0000EE"/>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6985</wp:posOffset>
            </wp:positionV>
            <wp:extent cx="298323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83230" cy="154305"/>
                    </a:xfrm>
                    <a:prstGeom prst="rect">
                      <a:avLst/>
                    </a:prstGeom>
                    <a:noFill/>
                  </pic:spPr>
                </pic:pic>
              </a:graphicData>
            </a:graphic>
          </wp:anchor>
        </w:drawing>
      </w:r>
    </w:p>
    <w:p>
      <w:pPr>
        <w:spacing w:after="0" w:line="12" w:lineRule="exact"/>
        <w:rPr>
          <w:sz w:val="20"/>
          <w:szCs w:val="20"/>
          <w:color w:val="auto"/>
        </w:rPr>
      </w:pPr>
    </w:p>
    <w:p>
      <w:pPr>
        <w:ind w:left="1180"/>
        <w:spacing w:after="0"/>
        <w:rPr>
          <w:sz w:val="20"/>
          <w:szCs w:val="20"/>
          <w:color w:val="auto"/>
        </w:rPr>
      </w:pPr>
      <w:r>
        <w:rPr>
          <w:rFonts w:ascii="Arial" w:cs="Arial" w:eastAsia="Arial" w:hAnsi="Arial"/>
          <w:sz w:val="18"/>
          <w:szCs w:val="18"/>
          <w:u w:val="single" w:color="auto"/>
          <w:color w:val="0000EE"/>
        </w:rPr>
        <w:t>Executive Summary</w:t>
      </w:r>
    </w:p>
    <w:p>
      <w:pPr>
        <w:spacing w:after="0" w:line="32" w:lineRule="exact"/>
        <w:rPr>
          <w:sz w:val="20"/>
          <w:szCs w:val="20"/>
          <w:color w:val="auto"/>
        </w:rPr>
      </w:pPr>
    </w:p>
    <w:p>
      <w:pPr>
        <w:ind w:left="1360" w:right="200" w:hanging="179"/>
        <w:spacing w:after="0" w:line="260" w:lineRule="auto"/>
        <w:rPr>
          <w:sz w:val="20"/>
          <w:szCs w:val="20"/>
          <w:color w:val="auto"/>
        </w:rPr>
      </w:pPr>
      <w:r>
        <w:rPr>
          <w:rFonts w:ascii="Arial" w:cs="Arial" w:eastAsia="Arial" w:hAnsi="Arial"/>
          <w:sz w:val="18"/>
          <w:szCs w:val="18"/>
          <w:u w:val="single" w:color="auto"/>
          <w:color w:val="0000EE"/>
        </w:rPr>
        <w:t>2024 Compensation Program Results and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-3810</wp:posOffset>
            </wp:positionV>
            <wp:extent cx="2983230"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83230" cy="291465"/>
                    </a:xfrm>
                    <a:prstGeom prst="rect">
                      <a:avLst/>
                    </a:prstGeom>
                    <a:noFill/>
                  </pic:spPr>
                </pic:pic>
              </a:graphicData>
            </a:graphic>
          </wp:anchor>
        </w:drawing>
      </w:r>
    </w:p>
    <w:p>
      <w:pPr>
        <w:ind w:left="1360" w:right="500" w:hanging="179"/>
        <w:spacing w:after="0" w:line="287" w:lineRule="auto"/>
        <w:rPr>
          <w:sz w:val="20"/>
          <w:szCs w:val="20"/>
          <w:color w:val="auto"/>
        </w:rPr>
      </w:pPr>
      <w:r>
        <w:rPr>
          <w:rFonts w:ascii="Arial" w:cs="Arial" w:eastAsia="Arial" w:hAnsi="Arial"/>
          <w:sz w:val="18"/>
          <w:szCs w:val="18"/>
          <w:u w:val="single" w:color="auto"/>
          <w:color w:val="0000EE"/>
        </w:rPr>
        <w:t>Consideration of Stockholder Advisory Vote</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00" w:type="dxa"/>
            <w:vAlign w:val="bottom"/>
          </w:tcPr>
          <w:p>
            <w:pPr>
              <w:spacing w:after="0"/>
              <w:rPr>
                <w:sz w:val="17"/>
                <w:szCs w:val="17"/>
                <w:color w:val="auto"/>
              </w:rPr>
            </w:pP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0000EE"/>
              </w:rPr>
              <w:t>1</w:t>
            </w:r>
            <w:r>
              <w:rPr>
                <w:rFonts w:ascii="Arial" w:cs="Arial" w:eastAsia="Arial" w:hAnsi="Arial"/>
                <w:sz w:val="18"/>
                <w:szCs w:val="18"/>
                <w:color w:val="000000"/>
              </w:rPr>
              <w:t>​</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3320" w:type="dxa"/>
            <w:vAlign w:val="bottom"/>
            <w:tcBorders>
              <w:top w:val="single" w:sz="8" w:color="CCEEFF"/>
            </w:tcBorders>
            <w:gridSpan w:val="16"/>
            <w:shd w:val="clear" w:color="auto" w:fill="CCEEFF"/>
          </w:tcPr>
          <w:p>
            <w:pPr>
              <w:spacing w:after="0" w:line="196" w:lineRule="exact"/>
              <w:rPr>
                <w:sz w:val="20"/>
                <w:szCs w:val="20"/>
                <w:color w:val="auto"/>
              </w:rPr>
            </w:pPr>
            <w:r>
              <w:rPr>
                <w:rFonts w:ascii="Arial" w:cs="Arial" w:eastAsia="Arial" w:hAnsi="Arial"/>
                <w:sz w:val="18"/>
                <w:szCs w:val="18"/>
                <w:color w:val="0000EE"/>
              </w:rPr>
              <w:t>2025 Compensation Program Preview</w:t>
            </w:r>
          </w:p>
        </w:tc>
        <w:tc>
          <w:tcPr>
            <w:tcW w:w="700" w:type="dxa"/>
            <w:vAlign w:val="bottom"/>
            <w:tcBorders>
              <w:top w:val="single" w:sz="8" w:color="CCEEFF"/>
            </w:tcBorders>
            <w:gridSpan w:val="10"/>
            <w:shd w:val="clear" w:color="auto" w:fill="CCEEFF"/>
          </w:tcPr>
          <w:p>
            <w:pPr>
              <w:spacing w:after="0"/>
              <w:rPr>
                <w:sz w:val="17"/>
                <w:szCs w:val="17"/>
                <w:color w:val="auto"/>
              </w:rPr>
            </w:pPr>
          </w:p>
        </w:tc>
        <w:tc>
          <w:tcPr>
            <w:tcW w:w="38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34</w:t>
            </w:r>
          </w:p>
        </w:tc>
        <w:tc>
          <w:tcPr>
            <w:tcW w:w="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60" w:type="dxa"/>
            <w:vAlign w:val="bottom"/>
            <w:gridSpan w:val="2"/>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tcBorders>
              <w:right w:val="single" w:sz="8" w:color="0000EE"/>
            </w:tcBorders>
            <w:shd w:val="clear" w:color="auto" w:fill="CCEEFF"/>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72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00" w:type="dxa"/>
            <w:vAlign w:val="bottom"/>
          </w:tcPr>
          <w:p>
            <w:pPr>
              <w:spacing w:after="0"/>
              <w:rPr>
                <w:sz w:val="17"/>
                <w:szCs w:val="17"/>
                <w:color w:val="auto"/>
              </w:rPr>
            </w:pP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0000EE"/>
              </w:rPr>
              <w:t>4</w:t>
            </w:r>
            <w:r>
              <w:rPr>
                <w:rFonts w:ascii="Arial" w:cs="Arial" w:eastAsia="Arial" w:hAnsi="Arial"/>
                <w:sz w:val="18"/>
                <w:szCs w:val="18"/>
                <w:color w:val="000000"/>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20"/>
          </w:tcPr>
          <w:p>
            <w:pPr>
              <w:spacing w:after="0" w:line="182" w:lineRule="exact"/>
              <w:rPr>
                <w:sz w:val="20"/>
                <w:szCs w:val="20"/>
                <w:color w:val="auto"/>
              </w:rPr>
            </w:pPr>
            <w:r>
              <w:rPr>
                <w:rFonts w:ascii="Arial" w:cs="Arial" w:eastAsia="Arial" w:hAnsi="Arial"/>
                <w:sz w:val="18"/>
                <w:szCs w:val="18"/>
                <w:color w:val="0000EE"/>
              </w:rPr>
              <w:t>Our Compensation Philosophy for Named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20" w:type="dxa"/>
            <w:vAlign w:val="bottom"/>
            <w:gridSpan w:val="4"/>
            <w:vMerge w:val="restart"/>
          </w:tcPr>
          <w:p>
            <w:pPr>
              <w:spacing w:after="0" w:line="182" w:lineRule="exact"/>
              <w:rPr>
                <w:sz w:val="20"/>
                <w:szCs w:val="20"/>
                <w:color w:val="auto"/>
              </w:rPr>
            </w:pPr>
            <w:r>
              <w:rPr>
                <w:rFonts w:ascii="Arial" w:cs="Arial" w:eastAsia="Arial" w:hAnsi="Arial"/>
                <w:sz w:val="18"/>
                <w:szCs w:val="18"/>
                <w:color w:val="0000EE"/>
              </w:rPr>
              <w:t>Executive Officers</w:t>
            </w: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gridSpan w:val="2"/>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gridSpan w:val="2"/>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20" w:type="dxa"/>
            <w:vAlign w:val="bottom"/>
            <w:vMerge w:val="restart"/>
          </w:tcPr>
          <w:p>
            <w:pPr>
              <w:jc w:val="right"/>
              <w:spacing w:after="0" w:line="182" w:lineRule="exact"/>
              <w:rPr>
                <w:sz w:val="20"/>
                <w:szCs w:val="20"/>
                <w:color w:val="auto"/>
              </w:rPr>
            </w:pPr>
            <w:r>
              <w:rPr>
                <w:rFonts w:ascii="Arial" w:cs="Arial" w:eastAsia="Arial" w:hAnsi="Arial"/>
                <w:sz w:val="18"/>
                <w:szCs w:val="18"/>
                <w:color w:val="0000EE"/>
                <w:w w:val="89"/>
              </w:rPr>
              <w:t>35</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81"/>
        </w:trPr>
        <w:tc>
          <w:tcPr>
            <w:tcW w:w="100" w:type="dxa"/>
            <w:vAlign w:val="bottom"/>
          </w:tcPr>
          <w:p>
            <w:pPr>
              <w:spacing w:after="0"/>
              <w:rPr>
                <w:sz w:val="15"/>
                <w:szCs w:val="15"/>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0000EE"/>
              </w:rPr>
              <w:t>4</w:t>
            </w:r>
            <w:r>
              <w:rPr>
                <w:rFonts w:ascii="Arial" w:cs="Arial" w:eastAsia="Arial" w:hAnsi="Arial"/>
                <w:sz w:val="18"/>
                <w:szCs w:val="18"/>
                <w:color w:val="000000"/>
              </w:rPr>
              <w:t>​</w:t>
            </w:r>
          </w:p>
        </w:tc>
        <w:tc>
          <w:tcPr>
            <w:tcW w:w="18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620" w:type="dxa"/>
            <w:vAlign w:val="bottom"/>
            <w:tcBorders>
              <w:bottom w:val="single" w:sz="8" w:color="0000EE"/>
            </w:tcBorders>
            <w:gridSpan w:val="4"/>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60" w:type="dxa"/>
            <w:vAlign w:val="bottom"/>
            <w:gridSpan w:val="2"/>
            <w:vMerge w:val="continue"/>
          </w:tcPr>
          <w:p>
            <w:pPr>
              <w:spacing w:after="0"/>
              <w:rPr>
                <w:sz w:val="15"/>
                <w:szCs w:val="15"/>
                <w:color w:val="auto"/>
              </w:rPr>
            </w:pPr>
          </w:p>
        </w:tc>
        <w:tc>
          <w:tcPr>
            <w:tcW w:w="220" w:type="dxa"/>
            <w:vAlign w:val="bottom"/>
            <w:tcBorders>
              <w:bottom w:val="single" w:sz="8" w:color="0000EE"/>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8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4000" w:type="dxa"/>
            <w:vAlign w:val="bottom"/>
            <w:gridSpan w:val="25"/>
            <w:vMerge w:val="restart"/>
            <w:shd w:val="clear" w:color="auto" w:fill="CCEEFF"/>
          </w:tcPr>
          <w:p>
            <w:pPr>
              <w:spacing w:after="0" w:line="182" w:lineRule="exact"/>
              <w:rPr>
                <w:sz w:val="20"/>
                <w:szCs w:val="20"/>
                <w:color w:val="auto"/>
              </w:rPr>
            </w:pPr>
            <w:r>
              <w:rPr>
                <w:rFonts w:ascii="Arial" w:cs="Arial" w:eastAsia="Arial" w:hAnsi="Arial"/>
                <w:sz w:val="18"/>
                <w:szCs w:val="18"/>
                <w:color w:val="0000EE"/>
              </w:rPr>
              <w:t>Overview of Elements of Our 2024 Executive</w:t>
            </w:r>
          </w:p>
        </w:tc>
        <w:tc>
          <w:tcPr>
            <w:tcW w:w="2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100" w:type="dxa"/>
            <w:vAlign w:val="bottom"/>
          </w:tcPr>
          <w:p>
            <w:pPr>
              <w:spacing w:after="0"/>
              <w:rPr>
                <w:sz w:val="15"/>
                <w:szCs w:val="15"/>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0000EE"/>
              </w:rPr>
              <w:t>4</w:t>
            </w:r>
            <w:r>
              <w:rPr>
                <w:rFonts w:ascii="Arial" w:cs="Arial" w:eastAsia="Arial" w:hAnsi="Arial"/>
                <w:sz w:val="18"/>
                <w:szCs w:val="18"/>
                <w:color w:val="000000"/>
              </w:rPr>
              <w:t>​</w:t>
            </w:r>
          </w:p>
        </w:tc>
        <w:tc>
          <w:tcPr>
            <w:tcW w:w="180" w:type="dxa"/>
            <w:vAlign w:val="bottom"/>
            <w:tcBorders>
              <w:bottom w:val="single" w:sz="8" w:color="CCEEFF"/>
            </w:tcBorders>
            <w:vMerge w:val="continue"/>
            <w:shd w:val="clear" w:color="auto" w:fill="CCEEFF"/>
          </w:tcPr>
          <w:p>
            <w:pPr>
              <w:spacing w:after="0"/>
              <w:rPr>
                <w:sz w:val="15"/>
                <w:szCs w:val="15"/>
                <w:color w:val="auto"/>
              </w:rPr>
            </w:pPr>
          </w:p>
        </w:tc>
        <w:tc>
          <w:tcPr>
            <w:tcW w:w="200" w:type="dxa"/>
            <w:vAlign w:val="bottom"/>
            <w:tcBorders>
              <w:bottom w:val="single" w:sz="8" w:color="CCEEFF"/>
              <w:right w:val="single" w:sz="8" w:color="CCEEFF"/>
            </w:tcBorders>
            <w:vMerge w:val="continue"/>
            <w:shd w:val="clear" w:color="auto" w:fill="CCEEFF"/>
          </w:tcPr>
          <w:p>
            <w:pPr>
              <w:spacing w:after="0"/>
              <w:rPr>
                <w:sz w:val="15"/>
                <w:szCs w:val="15"/>
                <w:color w:val="auto"/>
              </w:rPr>
            </w:pPr>
          </w:p>
        </w:tc>
        <w:tc>
          <w:tcPr>
            <w:tcW w:w="4000" w:type="dxa"/>
            <w:vAlign w:val="bottom"/>
            <w:tcBorders>
              <w:bottom w:val="single" w:sz="8" w:color="0000EE"/>
            </w:tcBorders>
            <w:gridSpan w:val="25"/>
            <w:vMerge w:val="continue"/>
            <w:shd w:val="clear" w:color="auto" w:fill="CCEEFF"/>
          </w:tcPr>
          <w:p>
            <w:pPr>
              <w:spacing w:after="0"/>
              <w:rPr>
                <w:sz w:val="15"/>
                <w:szCs w:val="15"/>
                <w:color w:val="auto"/>
              </w:rPr>
            </w:pPr>
          </w:p>
        </w:tc>
        <w:tc>
          <w:tcPr>
            <w:tcW w:w="20" w:type="dxa"/>
            <w:vAlign w:val="bottom"/>
            <w:tcBorders>
              <w:bottom w:val="single" w:sz="8" w:color="CCEEFF"/>
            </w:tcBorders>
            <w:vMerge w:val="continue"/>
            <w:shd w:val="clear" w:color="auto" w:fill="CCEEFF"/>
          </w:tcPr>
          <w:p>
            <w:pPr>
              <w:spacing w:after="0"/>
              <w:rPr>
                <w:sz w:val="15"/>
                <w:szCs w:val="15"/>
                <w:color w:val="auto"/>
              </w:rPr>
            </w:pPr>
          </w:p>
        </w:tc>
        <w:tc>
          <w:tcPr>
            <w:tcW w:w="380" w:type="dxa"/>
            <w:vAlign w:val="bottom"/>
            <w:tcBorders>
              <w:bottom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36</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80" w:type="dxa"/>
            <w:vAlign w:val="bottom"/>
            <w:gridSpan w:val="2"/>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vMerge w:val="continue"/>
            <w:shd w:val="clear" w:color="auto" w:fill="CCEEFF"/>
          </w:tcPr>
          <w:p>
            <w:pPr>
              <w:spacing w:after="0" w:line="20" w:lineRule="exact"/>
              <w:rPr>
                <w:sz w:val="1"/>
                <w:szCs w:val="1"/>
                <w:color w:val="auto"/>
              </w:rPr>
            </w:pPr>
          </w:p>
        </w:tc>
        <w:tc>
          <w:tcPr>
            <w:tcW w:w="380" w:type="dxa"/>
            <w:vAlign w:val="bottom"/>
            <w:gridSpan w:val="3"/>
            <w:vMerge w:val="continue"/>
            <w:shd w:val="clear" w:color="auto" w:fill="CCEEFF"/>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080" w:type="dxa"/>
            <w:vAlign w:val="bottom"/>
            <w:gridSpan w:val="9"/>
            <w:vMerge w:val="restart"/>
            <w:shd w:val="clear" w:color="auto" w:fill="CCEEFF"/>
          </w:tcPr>
          <w:p>
            <w:pPr>
              <w:spacing w:after="0" w:line="176" w:lineRule="exact"/>
              <w:rPr>
                <w:sz w:val="20"/>
                <w:szCs w:val="20"/>
                <w:color w:val="auto"/>
              </w:rPr>
            </w:pPr>
            <w:r>
              <w:rPr>
                <w:rFonts w:ascii="Arial" w:cs="Arial" w:eastAsia="Arial" w:hAnsi="Arial"/>
                <w:sz w:val="18"/>
                <w:szCs w:val="18"/>
                <w:color w:val="0000EE"/>
              </w:rPr>
              <w:t>Compensation Program</w:t>
            </w:r>
          </w:p>
        </w:tc>
        <w:tc>
          <w:tcPr>
            <w:tcW w:w="1780" w:type="dxa"/>
            <w:vAlign w:val="bottom"/>
            <w:gridSpan w:val="16"/>
            <w:vMerge w:val="restart"/>
            <w:shd w:val="clear" w:color="auto" w:fill="CCEEFF"/>
          </w:tcPr>
          <w:p>
            <w:pPr>
              <w:spacing w:after="0" w:line="20" w:lineRule="exact"/>
              <w:rPr>
                <w:sz w:val="1"/>
                <w:szCs w:val="1"/>
                <w:color w:val="auto"/>
              </w:rPr>
            </w:pPr>
          </w:p>
        </w:tc>
        <w:tc>
          <w:tcPr>
            <w:tcW w:w="380" w:type="dxa"/>
            <w:vAlign w:val="bottom"/>
            <w:gridSpan w:val="3"/>
            <w:vMerge w:val="continue"/>
            <w:shd w:val="clear" w:color="auto" w:fill="CCEEFF"/>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 w:type="dxa"/>
            <w:vAlign w:val="bottom"/>
          </w:tcPr>
          <w:p>
            <w:pPr>
              <w:spacing w:after="0"/>
              <w:rPr>
                <w:sz w:val="13"/>
                <w:szCs w:val="13"/>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0000EE"/>
              </w:rPr>
              <w:t>5</w:t>
            </w:r>
            <w:r>
              <w:rPr>
                <w:rFonts w:ascii="Arial" w:cs="Arial" w:eastAsia="Arial" w:hAnsi="Arial"/>
                <w:sz w:val="18"/>
                <w:szCs w:val="18"/>
                <w:color w:val="000000"/>
              </w:rPr>
              <w:t>​</w:t>
            </w:r>
          </w:p>
        </w:tc>
        <w:tc>
          <w:tcPr>
            <w:tcW w:w="180" w:type="dxa"/>
            <w:vAlign w:val="bottom"/>
            <w:vMerge w:val="continue"/>
            <w:shd w:val="clear" w:color="auto" w:fill="CCEEFF"/>
          </w:tcPr>
          <w:p>
            <w:pPr>
              <w:spacing w:after="0"/>
              <w:rPr>
                <w:sz w:val="13"/>
                <w:szCs w:val="13"/>
                <w:color w:val="auto"/>
              </w:rPr>
            </w:pPr>
          </w:p>
        </w:tc>
        <w:tc>
          <w:tcPr>
            <w:tcW w:w="200" w:type="dxa"/>
            <w:vAlign w:val="bottom"/>
            <w:tcBorders>
              <w:right w:val="single" w:sz="8" w:color="CCEEFF"/>
            </w:tcBorders>
            <w:vMerge w:val="continue"/>
            <w:shd w:val="clear" w:color="auto" w:fill="CCEEFF"/>
          </w:tcPr>
          <w:p>
            <w:pPr>
              <w:spacing w:after="0"/>
              <w:rPr>
                <w:sz w:val="13"/>
                <w:szCs w:val="13"/>
                <w:color w:val="auto"/>
              </w:rPr>
            </w:pPr>
          </w:p>
        </w:tc>
        <w:tc>
          <w:tcPr>
            <w:tcW w:w="160" w:type="dxa"/>
            <w:vAlign w:val="bottom"/>
            <w:vMerge w:val="continue"/>
            <w:shd w:val="clear" w:color="auto" w:fill="CCEEFF"/>
          </w:tcPr>
          <w:p>
            <w:pPr>
              <w:spacing w:after="0"/>
              <w:rPr>
                <w:sz w:val="13"/>
                <w:szCs w:val="13"/>
                <w:color w:val="auto"/>
              </w:rPr>
            </w:pPr>
          </w:p>
        </w:tc>
        <w:tc>
          <w:tcPr>
            <w:tcW w:w="2080" w:type="dxa"/>
            <w:vAlign w:val="bottom"/>
            <w:gridSpan w:val="9"/>
            <w:vMerge w:val="continue"/>
            <w:shd w:val="clear" w:color="auto" w:fill="CCEEFF"/>
          </w:tcPr>
          <w:p>
            <w:pPr>
              <w:spacing w:after="0"/>
              <w:rPr>
                <w:sz w:val="13"/>
                <w:szCs w:val="13"/>
                <w:color w:val="auto"/>
              </w:rPr>
            </w:pPr>
          </w:p>
        </w:tc>
        <w:tc>
          <w:tcPr>
            <w:tcW w:w="1780" w:type="dxa"/>
            <w:vAlign w:val="bottom"/>
            <w:gridSpan w:val="16"/>
            <w:vMerge w:val="continue"/>
            <w:shd w:val="clear" w:color="auto" w:fill="CCEEFF"/>
          </w:tcPr>
          <w:p>
            <w:pPr>
              <w:spacing w:after="0"/>
              <w:rPr>
                <w:sz w:val="13"/>
                <w:szCs w:val="13"/>
                <w:color w:val="auto"/>
              </w:rPr>
            </w:pPr>
          </w:p>
        </w:tc>
        <w:tc>
          <w:tcPr>
            <w:tcW w:w="380" w:type="dxa"/>
            <w:vAlign w:val="bottom"/>
            <w:gridSpan w:val="3"/>
            <w:vMerge w:val="continue"/>
            <w:shd w:val="clear" w:color="auto" w:fill="CCEEFF"/>
          </w:tcPr>
          <w:p>
            <w:pPr>
              <w:spacing w:after="0"/>
              <w:rPr>
                <w:sz w:val="13"/>
                <w:szCs w:val="13"/>
                <w:color w:val="auto"/>
              </w:rPr>
            </w:pPr>
          </w:p>
        </w:tc>
        <w:tc>
          <w:tcPr>
            <w:tcW w:w="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100" w:type="dxa"/>
            <w:vAlign w:val="bottom"/>
          </w:tcPr>
          <w:p>
            <w:pPr>
              <w:spacing w:after="0"/>
              <w:rPr>
                <w:sz w:val="2"/>
                <w:szCs w:val="2"/>
                <w:color w:val="auto"/>
              </w:rPr>
            </w:pPr>
          </w:p>
        </w:tc>
        <w:tc>
          <w:tcPr>
            <w:tcW w:w="1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20" w:type="dxa"/>
            <w:vAlign w:val="bottom"/>
            <w:gridSpan w:val="26"/>
            <w:vMerge w:val="restart"/>
          </w:tcPr>
          <w:p>
            <w:pPr>
              <w:spacing w:after="0" w:line="202" w:lineRule="exact"/>
              <w:rPr>
                <w:sz w:val="20"/>
                <w:szCs w:val="20"/>
                <w:color w:val="auto"/>
              </w:rPr>
            </w:pPr>
            <w:r>
              <w:rPr>
                <w:rFonts w:ascii="Arial" w:cs="Arial" w:eastAsia="Arial" w:hAnsi="Arial"/>
                <w:sz w:val="18"/>
                <w:szCs w:val="18"/>
                <w:color w:val="0000EE"/>
              </w:rPr>
              <w:t>How Named Executive Officer Compensation</w:t>
            </w: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20" w:type="dxa"/>
            <w:vAlign w:val="bottom"/>
            <w:gridSpan w:val="26"/>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0" w:type="dxa"/>
            <w:vAlign w:val="bottom"/>
          </w:tcPr>
          <w:p>
            <w:pPr>
              <w:spacing w:after="0"/>
              <w:rPr>
                <w:sz w:val="13"/>
                <w:szCs w:val="13"/>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0000EE"/>
              </w:rPr>
              <w:t>5</w:t>
            </w:r>
            <w:r>
              <w:rPr>
                <w:rFonts w:ascii="Arial" w:cs="Arial" w:eastAsia="Arial" w:hAnsi="Arial"/>
                <w:sz w:val="18"/>
                <w:szCs w:val="18"/>
                <w:color w:val="000000"/>
              </w:rPr>
              <w:t>​</w:t>
            </w:r>
          </w:p>
        </w:tc>
        <w:tc>
          <w:tcPr>
            <w:tcW w:w="18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4020" w:type="dxa"/>
            <w:vAlign w:val="bottom"/>
            <w:gridSpan w:val="26"/>
            <w:vMerge w:val="continue"/>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0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860" w:type="dxa"/>
            <w:vAlign w:val="bottom"/>
            <w:tcBorders>
              <w:top w:val="single" w:sz="8" w:color="0000EE"/>
            </w:tcBorders>
            <w:gridSpan w:val="25"/>
            <w:vMerge w:val="restart"/>
          </w:tcPr>
          <w:p>
            <w:pPr>
              <w:spacing w:after="0" w:line="196" w:lineRule="exact"/>
              <w:rPr>
                <w:sz w:val="20"/>
                <w:szCs w:val="20"/>
                <w:color w:val="auto"/>
              </w:rPr>
            </w:pPr>
            <w:r>
              <w:rPr>
                <w:rFonts w:ascii="Arial" w:cs="Arial" w:eastAsia="Arial" w:hAnsi="Arial"/>
                <w:sz w:val="18"/>
                <w:szCs w:val="18"/>
                <w:color w:val="0000EE"/>
              </w:rPr>
              <w:t>Decisions are Made</w:t>
            </w:r>
          </w:p>
        </w:tc>
        <w:tc>
          <w:tcPr>
            <w:tcW w:w="42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37</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60" w:type="dxa"/>
            <w:vAlign w:val="bottom"/>
            <w:gridSpan w:val="25"/>
            <w:vMerge w:val="continue"/>
          </w:tcPr>
          <w:p>
            <w:pPr>
              <w:spacing w:after="0" w:line="20" w:lineRule="exact"/>
              <w:rPr>
                <w:sz w:val="1"/>
                <w:szCs w:val="1"/>
                <w:color w:val="auto"/>
              </w:rPr>
            </w:pPr>
          </w:p>
        </w:tc>
        <w:tc>
          <w:tcPr>
            <w:tcW w:w="4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00" w:type="dxa"/>
            <w:vAlign w:val="bottom"/>
          </w:tcPr>
          <w:p>
            <w:pPr>
              <w:spacing w:after="0"/>
              <w:rPr>
                <w:sz w:val="11"/>
                <w:szCs w:val="11"/>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0000EE"/>
              </w:rPr>
              <w:t>5</w:t>
            </w:r>
            <w:r>
              <w:rPr>
                <w:rFonts w:ascii="Arial" w:cs="Arial" w:eastAsia="Arial" w:hAnsi="Arial"/>
                <w:sz w:val="18"/>
                <w:szCs w:val="18"/>
                <w:color w:val="000000"/>
              </w:rPr>
              <w:t>​</w:t>
            </w:r>
          </w:p>
        </w:tc>
        <w:tc>
          <w:tcPr>
            <w:tcW w:w="18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3860" w:type="dxa"/>
            <w:vAlign w:val="bottom"/>
            <w:gridSpan w:val="25"/>
            <w:vMerge w:val="continue"/>
          </w:tcPr>
          <w:p>
            <w:pPr>
              <w:spacing w:after="0"/>
              <w:rPr>
                <w:sz w:val="11"/>
                <w:szCs w:val="11"/>
                <w:color w:val="auto"/>
              </w:rPr>
            </w:pPr>
          </w:p>
        </w:tc>
        <w:tc>
          <w:tcPr>
            <w:tcW w:w="4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00" w:type="dxa"/>
            <w:vAlign w:val="bottom"/>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660" w:type="dxa"/>
            <w:vAlign w:val="bottom"/>
            <w:tcBorders>
              <w:top w:val="single" w:sz="8" w:color="0000EE"/>
              <w:bottom w:val="single" w:sz="8" w:color="CCEEFF"/>
            </w:tcBorders>
          </w:tcPr>
          <w:p>
            <w:pPr>
              <w:spacing w:after="0"/>
              <w:rPr>
                <w:sz w:val="6"/>
                <w:szCs w:val="6"/>
                <w:color w:val="auto"/>
              </w:rPr>
            </w:pPr>
          </w:p>
        </w:tc>
        <w:tc>
          <w:tcPr>
            <w:tcW w:w="160" w:type="dxa"/>
            <w:vAlign w:val="bottom"/>
            <w:tcBorders>
              <w:top w:val="single" w:sz="8" w:color="0000EE"/>
              <w:bottom w:val="single" w:sz="8" w:color="CCEEFF"/>
            </w:tcBorders>
          </w:tcPr>
          <w:p>
            <w:pPr>
              <w:spacing w:after="0"/>
              <w:rPr>
                <w:sz w:val="6"/>
                <w:szCs w:val="6"/>
                <w:color w:val="auto"/>
              </w:rPr>
            </w:pPr>
          </w:p>
        </w:tc>
        <w:tc>
          <w:tcPr>
            <w:tcW w:w="280" w:type="dxa"/>
            <w:vAlign w:val="bottom"/>
            <w:tcBorders>
              <w:top w:val="single" w:sz="8" w:color="0000EE"/>
              <w:bottom w:val="single" w:sz="8" w:color="CCEEFF"/>
            </w:tcBorders>
          </w:tcPr>
          <w:p>
            <w:pPr>
              <w:spacing w:after="0"/>
              <w:rPr>
                <w:sz w:val="6"/>
                <w:szCs w:val="6"/>
                <w:color w:val="auto"/>
              </w:rPr>
            </w:pPr>
          </w:p>
        </w:tc>
        <w:tc>
          <w:tcPr>
            <w:tcW w:w="520" w:type="dxa"/>
            <w:vAlign w:val="bottom"/>
            <w:tcBorders>
              <w:top w:val="single" w:sz="8" w:color="0000EE"/>
              <w:bottom w:val="single" w:sz="8" w:color="CCEEFF"/>
            </w:tcBorders>
          </w:tcPr>
          <w:p>
            <w:pPr>
              <w:spacing w:after="0"/>
              <w:rPr>
                <w:sz w:val="6"/>
                <w:szCs w:val="6"/>
                <w:color w:val="auto"/>
              </w:rPr>
            </w:pPr>
          </w:p>
        </w:tc>
        <w:tc>
          <w:tcPr>
            <w:tcW w:w="120" w:type="dxa"/>
            <w:vAlign w:val="bottom"/>
            <w:tcBorders>
              <w:top w:val="single" w:sz="8" w:color="0000EE"/>
              <w:bottom w:val="single" w:sz="8" w:color="CCEEFF"/>
            </w:tcBorders>
          </w:tcPr>
          <w:p>
            <w:pPr>
              <w:spacing w:after="0"/>
              <w:rPr>
                <w:sz w:val="6"/>
                <w:szCs w:val="6"/>
                <w:color w:val="auto"/>
              </w:rPr>
            </w:pPr>
          </w:p>
        </w:tc>
        <w:tc>
          <w:tcPr>
            <w:tcW w:w="20" w:type="dxa"/>
            <w:vAlign w:val="bottom"/>
            <w:tcBorders>
              <w:top w:val="single" w:sz="8" w:color="0000EE"/>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top w:val="single" w:sz="8" w:color="0000EE"/>
              <w:bottom w:val="single" w:sz="8" w:color="CCEEFF"/>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4020" w:type="dxa"/>
            <w:vAlign w:val="bottom"/>
            <w:tcBorders>
              <w:top w:val="single" w:sz="8" w:color="CCEEFF"/>
            </w:tcBorders>
            <w:gridSpan w:val="26"/>
            <w:shd w:val="clear" w:color="auto" w:fill="CCEEFF"/>
          </w:tcPr>
          <w:p>
            <w:pPr>
              <w:spacing w:after="0" w:line="129" w:lineRule="exact"/>
              <w:rPr>
                <w:sz w:val="20"/>
                <w:szCs w:val="20"/>
                <w:color w:val="auto"/>
              </w:rPr>
            </w:pPr>
            <w:r>
              <w:rPr>
                <w:rFonts w:ascii="Arial" w:cs="Arial" w:eastAsia="Arial" w:hAnsi="Arial"/>
                <w:sz w:val="13"/>
                <w:szCs w:val="13"/>
                <w:color w:val="0000EE"/>
              </w:rPr>
              <w:t>Named Executives’ 2024 Compensation</w:t>
            </w:r>
          </w:p>
        </w:tc>
        <w:tc>
          <w:tcPr>
            <w:tcW w:w="380" w:type="dxa"/>
            <w:vAlign w:val="bottom"/>
            <w:tcBorders>
              <w:top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41</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0000EE"/>
              </w:rPr>
              <w:t>6</w:t>
            </w:r>
            <w:r>
              <w:rPr>
                <w:rFonts w:ascii="Arial" w:cs="Arial" w:eastAsia="Arial" w:hAnsi="Arial"/>
                <w:sz w:val="18"/>
                <w:szCs w:val="18"/>
                <w:color w:val="000000"/>
              </w:rPr>
              <w:t>​</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3340" w:type="dxa"/>
            <w:vAlign w:val="bottom"/>
            <w:tcBorders>
              <w:top w:val="single" w:sz="8" w:color="0000EE"/>
            </w:tcBorders>
            <w:gridSpan w:val="16"/>
            <w:shd w:val="clear" w:color="auto" w:fill="CCEEFF"/>
          </w:tcPr>
          <w:p>
            <w:pPr>
              <w:spacing w:after="0" w:line="196" w:lineRule="exact"/>
              <w:rPr>
                <w:sz w:val="20"/>
                <w:szCs w:val="20"/>
                <w:color w:val="auto"/>
              </w:rPr>
            </w:pPr>
            <w:r>
              <w:rPr>
                <w:rFonts w:ascii="Arial" w:cs="Arial" w:eastAsia="Arial" w:hAnsi="Arial"/>
                <w:sz w:val="18"/>
                <w:szCs w:val="18"/>
                <w:color w:val="0000EE"/>
              </w:rPr>
              <w:t>Program and Results</w:t>
            </w:r>
          </w:p>
        </w:tc>
        <w:tc>
          <w:tcPr>
            <w:tcW w:w="520" w:type="dxa"/>
            <w:vAlign w:val="bottom"/>
            <w:tcBorders>
              <w:top w:val="single" w:sz="8" w:color="CCEEFF"/>
            </w:tcBorders>
            <w:gridSpan w:val="9"/>
            <w:shd w:val="clear" w:color="auto" w:fill="CCEEFF"/>
          </w:tcPr>
          <w:p>
            <w:pPr>
              <w:spacing w:after="0"/>
              <w:rPr>
                <w:sz w:val="17"/>
                <w:szCs w:val="17"/>
                <w:color w:val="auto"/>
              </w:rPr>
            </w:pPr>
          </w:p>
        </w:tc>
        <w:tc>
          <w:tcPr>
            <w:tcW w:w="380" w:type="dxa"/>
            <w:vAlign w:val="bottom"/>
            <w:tcBorders>
              <w:top w:val="single" w:sz="8" w:color="CCEEFF"/>
            </w:tcBorders>
            <w:gridSpan w:val="3"/>
            <w:vMerge w:val="continue"/>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100" w:type="dxa"/>
            <w:vAlign w:val="bottom"/>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20" w:type="dxa"/>
            <w:vAlign w:val="bottom"/>
            <w:gridSpan w:val="26"/>
            <w:vMerge w:val="restart"/>
          </w:tcPr>
          <w:p>
            <w:pPr>
              <w:spacing w:after="0" w:line="202" w:lineRule="exact"/>
              <w:rPr>
                <w:sz w:val="20"/>
                <w:szCs w:val="20"/>
                <w:color w:val="auto"/>
              </w:rPr>
            </w:pPr>
            <w:r>
              <w:rPr>
                <w:rFonts w:ascii="Arial" w:cs="Arial" w:eastAsia="Arial" w:hAnsi="Arial"/>
                <w:sz w:val="18"/>
                <w:szCs w:val="18"/>
                <w:color w:val="0000EE"/>
              </w:rPr>
              <w:t>Post-Employment and Change in Control</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20" w:type="dxa"/>
            <w:vAlign w:val="bottom"/>
            <w:gridSpan w:val="26"/>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 w:type="dxa"/>
            <w:vAlign w:val="bottom"/>
          </w:tcPr>
          <w:p>
            <w:pPr>
              <w:spacing w:after="0"/>
              <w:rPr>
                <w:sz w:val="12"/>
                <w:szCs w:val="12"/>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0000EE"/>
              </w:rPr>
              <w:t>8</w:t>
            </w:r>
            <w:r>
              <w:rPr>
                <w:rFonts w:ascii="Arial" w:cs="Arial" w:eastAsia="Arial" w:hAnsi="Arial"/>
                <w:sz w:val="18"/>
                <w:szCs w:val="18"/>
                <w:color w:val="000000"/>
              </w:rPr>
              <w:t>​</w:t>
            </w:r>
          </w:p>
        </w:tc>
        <w:tc>
          <w:tcPr>
            <w:tcW w:w="18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4020" w:type="dxa"/>
            <w:vAlign w:val="bottom"/>
            <w:gridSpan w:val="26"/>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100" w:type="dxa"/>
            <w:vAlign w:val="bottom"/>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440" w:type="dxa"/>
            <w:vAlign w:val="bottom"/>
            <w:tcBorders>
              <w:top w:val="single" w:sz="8" w:color="0000EE"/>
            </w:tcBorders>
            <w:gridSpan w:val="18"/>
            <w:vMerge w:val="restart"/>
          </w:tcPr>
          <w:p>
            <w:pPr>
              <w:spacing w:after="0" w:line="196" w:lineRule="exact"/>
              <w:rPr>
                <w:sz w:val="20"/>
                <w:szCs w:val="20"/>
                <w:color w:val="auto"/>
              </w:rPr>
            </w:pPr>
            <w:r>
              <w:rPr>
                <w:rFonts w:ascii="Arial" w:cs="Arial" w:eastAsia="Arial" w:hAnsi="Arial"/>
                <w:sz w:val="18"/>
                <w:szCs w:val="18"/>
                <w:color w:val="0000EE"/>
              </w:rPr>
              <w:t>Compensation; Clawback Policies</w:t>
            </w:r>
          </w:p>
        </w:tc>
        <w:tc>
          <w:tcPr>
            <w:tcW w:w="420" w:type="dxa"/>
            <w:vAlign w:val="bottom"/>
            <w:gridSpan w:val="7"/>
            <w:vMerge w:val="restart"/>
          </w:tcPr>
          <w:p>
            <w:pPr>
              <w:spacing w:after="0"/>
              <w:rPr>
                <w:sz w:val="6"/>
                <w:szCs w:val="6"/>
                <w:color w:val="auto"/>
              </w:rPr>
            </w:pPr>
          </w:p>
        </w:tc>
        <w:tc>
          <w:tcPr>
            <w:tcW w:w="42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46</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440" w:type="dxa"/>
            <w:vAlign w:val="bottom"/>
            <w:gridSpan w:val="18"/>
            <w:vMerge w:val="continue"/>
          </w:tcPr>
          <w:p>
            <w:pPr>
              <w:spacing w:after="0" w:line="20" w:lineRule="exact"/>
              <w:rPr>
                <w:sz w:val="1"/>
                <w:szCs w:val="1"/>
                <w:color w:val="auto"/>
              </w:rPr>
            </w:pPr>
          </w:p>
        </w:tc>
        <w:tc>
          <w:tcPr>
            <w:tcW w:w="420" w:type="dxa"/>
            <w:vAlign w:val="bottom"/>
            <w:gridSpan w:val="7"/>
            <w:vMerge w:val="continue"/>
          </w:tcPr>
          <w:p>
            <w:pPr>
              <w:spacing w:after="0" w:line="20" w:lineRule="exact"/>
              <w:rPr>
                <w:sz w:val="1"/>
                <w:szCs w:val="1"/>
                <w:color w:val="auto"/>
              </w:rPr>
            </w:pPr>
          </w:p>
        </w:tc>
        <w:tc>
          <w:tcPr>
            <w:tcW w:w="4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00" w:type="dxa"/>
            <w:vAlign w:val="bottom"/>
          </w:tcPr>
          <w:p>
            <w:pPr>
              <w:spacing w:after="0"/>
              <w:rPr>
                <w:sz w:val="8"/>
                <w:szCs w:val="8"/>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0000EE"/>
              </w:rPr>
              <w:t>9</w:t>
            </w:r>
            <w:r>
              <w:rPr>
                <w:rFonts w:ascii="Arial" w:cs="Arial" w:eastAsia="Arial" w:hAnsi="Arial"/>
                <w:sz w:val="18"/>
                <w:szCs w:val="18"/>
                <w:color w:val="000000"/>
              </w:rPr>
              <w:t>​</w:t>
            </w:r>
          </w:p>
        </w:tc>
        <w:tc>
          <w:tcPr>
            <w:tcW w:w="18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3440" w:type="dxa"/>
            <w:vAlign w:val="bottom"/>
            <w:gridSpan w:val="18"/>
            <w:vMerge w:val="continue"/>
          </w:tcPr>
          <w:p>
            <w:pPr>
              <w:spacing w:after="0"/>
              <w:rPr>
                <w:sz w:val="8"/>
                <w:szCs w:val="8"/>
                <w:color w:val="auto"/>
              </w:rPr>
            </w:pPr>
          </w:p>
        </w:tc>
        <w:tc>
          <w:tcPr>
            <w:tcW w:w="420" w:type="dxa"/>
            <w:vAlign w:val="bottom"/>
            <w:gridSpan w:val="7"/>
            <w:vMerge w:val="continue"/>
          </w:tcPr>
          <w:p>
            <w:pPr>
              <w:spacing w:after="0"/>
              <w:rPr>
                <w:sz w:val="8"/>
                <w:szCs w:val="8"/>
                <w:color w:val="auto"/>
              </w:rPr>
            </w:pPr>
          </w:p>
        </w:tc>
        <w:tc>
          <w:tcPr>
            <w:tcW w:w="4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100" w:type="dxa"/>
            <w:vAlign w:val="bottom"/>
          </w:tcPr>
          <w:p>
            <w:pPr>
              <w:spacing w:after="0"/>
              <w:rPr>
                <w:sz w:val="7"/>
                <w:szCs w:val="7"/>
                <w:color w:val="auto"/>
              </w:rPr>
            </w:pPr>
          </w:p>
        </w:tc>
        <w:tc>
          <w:tcPr>
            <w:tcW w:w="160" w:type="dxa"/>
            <w:vAlign w:val="bottom"/>
            <w:gridSpan w:val="2"/>
            <w:vMerge w:val="continue"/>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4020" w:type="dxa"/>
            <w:vAlign w:val="bottom"/>
            <w:gridSpan w:val="26"/>
            <w:vMerge w:val="restart"/>
            <w:shd w:val="clear" w:color="auto" w:fill="CCEEFF"/>
          </w:tcPr>
          <w:p>
            <w:pPr>
              <w:spacing w:after="0" w:line="202" w:lineRule="exact"/>
              <w:rPr>
                <w:sz w:val="20"/>
                <w:szCs w:val="20"/>
                <w:color w:val="auto"/>
              </w:rPr>
            </w:pPr>
            <w:r>
              <w:rPr>
                <w:rFonts w:ascii="Arial" w:cs="Arial" w:eastAsia="Arial" w:hAnsi="Arial"/>
                <w:sz w:val="18"/>
                <w:szCs w:val="18"/>
                <w:color w:val="0000EE"/>
              </w:rPr>
              <w:t>Other Compensation Policies and</w:t>
            </w:r>
          </w:p>
        </w:tc>
        <w:tc>
          <w:tcPr>
            <w:tcW w:w="3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47</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100" w:type="dxa"/>
            <w:vAlign w:val="bottom"/>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right w:val="single" w:sz="8" w:color="CCEEFF"/>
            </w:tcBorders>
            <w:shd w:val="clear" w:color="auto" w:fill="CCEEFF"/>
          </w:tcPr>
          <w:p>
            <w:pPr>
              <w:spacing w:after="0"/>
              <w:rPr>
                <w:sz w:val="8"/>
                <w:szCs w:val="8"/>
                <w:color w:val="auto"/>
              </w:rPr>
            </w:pPr>
          </w:p>
        </w:tc>
        <w:tc>
          <w:tcPr>
            <w:tcW w:w="4020" w:type="dxa"/>
            <w:vAlign w:val="bottom"/>
            <w:tcBorders>
              <w:top w:val="single" w:sz="8" w:color="CCEEFF"/>
            </w:tcBorders>
            <w:gridSpan w:val="26"/>
            <w:vMerge w:val="continue"/>
            <w:shd w:val="clear" w:color="auto" w:fill="CCEEFF"/>
          </w:tcPr>
          <w:p>
            <w:pPr>
              <w:spacing w:after="0"/>
              <w:rPr>
                <w:sz w:val="8"/>
                <w:szCs w:val="8"/>
                <w:color w:val="auto"/>
              </w:rPr>
            </w:pPr>
          </w:p>
        </w:tc>
        <w:tc>
          <w:tcPr>
            <w:tcW w:w="380" w:type="dxa"/>
            <w:vAlign w:val="bottom"/>
            <w:tcBorders>
              <w:top w:val="single" w:sz="8" w:color="CCEEFF"/>
            </w:tcBorders>
            <w:gridSpan w:val="3"/>
            <w:vMerge w:val="continue"/>
            <w:shd w:val="clear" w:color="auto" w:fill="CCEEFF"/>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10</w:t>
            </w:r>
            <w:r>
              <w:rPr>
                <w:rFonts w:ascii="Arial" w:cs="Arial" w:eastAsia="Arial" w:hAnsi="Arial"/>
                <w:sz w:val="18"/>
                <w:szCs w:val="18"/>
                <w:color w:val="000000"/>
              </w:rPr>
              <w:t>​</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2840" w:type="dxa"/>
            <w:vAlign w:val="bottom"/>
            <w:tcBorders>
              <w:top w:val="single" w:sz="8" w:color="0000EE"/>
              <w:right w:val="single" w:sz="8" w:color="CCEEFF"/>
            </w:tcBorders>
            <w:gridSpan w:val="11"/>
            <w:shd w:val="clear" w:color="auto" w:fill="CCEEFF"/>
          </w:tcPr>
          <w:p>
            <w:pPr>
              <w:spacing w:after="0" w:line="196" w:lineRule="exact"/>
              <w:rPr>
                <w:sz w:val="20"/>
                <w:szCs w:val="20"/>
                <w:color w:val="auto"/>
              </w:rPr>
            </w:pPr>
            <w:r>
              <w:rPr>
                <w:rFonts w:ascii="Arial" w:cs="Arial" w:eastAsia="Arial" w:hAnsi="Arial"/>
                <w:sz w:val="18"/>
                <w:szCs w:val="18"/>
                <w:color w:val="0000EE"/>
              </w:rPr>
              <w:t>Practices</w:t>
            </w:r>
          </w:p>
        </w:tc>
        <w:tc>
          <w:tcPr>
            <w:tcW w:w="1020" w:type="dxa"/>
            <w:vAlign w:val="bottom"/>
            <w:tcBorders>
              <w:top w:val="single" w:sz="8" w:color="CCEEFF"/>
            </w:tcBorders>
            <w:gridSpan w:val="14"/>
            <w:shd w:val="clear" w:color="auto" w:fill="CCEEFF"/>
          </w:tcPr>
          <w:p>
            <w:pPr>
              <w:spacing w:after="0"/>
              <w:rPr>
                <w:sz w:val="17"/>
                <w:szCs w:val="17"/>
                <w:color w:val="auto"/>
              </w:rPr>
            </w:pPr>
          </w:p>
        </w:tc>
        <w:tc>
          <w:tcPr>
            <w:tcW w:w="380" w:type="dxa"/>
            <w:vAlign w:val="bottom"/>
            <w:tcBorders>
              <w:top w:val="single" w:sz="8" w:color="CCEEFF"/>
            </w:tcBorders>
            <w:gridSpan w:val="3"/>
            <w:vMerge w:val="continue"/>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60" w:type="dxa"/>
            <w:vAlign w:val="bottom"/>
            <w:gridSpan w:val="3"/>
            <w:vMerge w:val="continue"/>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
        </w:trPr>
        <w:tc>
          <w:tcPr>
            <w:tcW w:w="26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3200" w:type="dxa"/>
            <w:vAlign w:val="bottom"/>
            <w:gridSpan w:val="13"/>
            <w:vMerge w:val="restart"/>
          </w:tcPr>
          <w:p>
            <w:pPr>
              <w:spacing w:after="0" w:line="196" w:lineRule="exact"/>
              <w:rPr>
                <w:sz w:val="20"/>
                <w:szCs w:val="20"/>
                <w:color w:val="auto"/>
              </w:rPr>
            </w:pPr>
            <w:r>
              <w:rPr>
                <w:rFonts w:ascii="Arial" w:cs="Arial" w:eastAsia="Arial" w:hAnsi="Arial"/>
                <w:sz w:val="18"/>
                <w:szCs w:val="18"/>
                <w:b w:val="1"/>
                <w:bCs w:val="1"/>
                <w:color w:val="457157"/>
              </w:rPr>
              <w:t>Executive Compensation Tables</w:t>
            </w: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gridSpan w:val="2"/>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20" w:type="dxa"/>
            <w:vAlign w:val="bottom"/>
            <w:vMerge w:val="restart"/>
          </w:tcPr>
          <w:p>
            <w:pPr>
              <w:jc w:val="right"/>
              <w:spacing w:after="0" w:line="196" w:lineRule="exact"/>
              <w:rPr>
                <w:sz w:val="20"/>
                <w:szCs w:val="20"/>
                <w:color w:val="auto"/>
              </w:rPr>
            </w:pPr>
            <w:r>
              <w:rPr>
                <w:rFonts w:ascii="Arial" w:cs="Arial" w:eastAsia="Arial" w:hAnsi="Arial"/>
                <w:sz w:val="18"/>
                <w:szCs w:val="18"/>
                <w:color w:val="0000EE"/>
                <w:w w:val="89"/>
              </w:rPr>
              <w:t>49</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200" w:type="dxa"/>
            <w:vAlign w:val="bottom"/>
            <w:gridSpan w:val="13"/>
            <w:vMerge w:val="continu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340" w:type="dxa"/>
            <w:vAlign w:val="bottom"/>
            <w:gridSpan w:val="3"/>
            <w:vMerge w:val="restart"/>
          </w:tcPr>
          <w:p>
            <w:pPr>
              <w:spacing w:after="0" w:line="20" w:lineRule="exact"/>
              <w:rPr>
                <w:sz w:val="1"/>
                <w:szCs w:val="1"/>
                <w:color w:val="auto"/>
              </w:rPr>
            </w:pPr>
          </w:p>
        </w:tc>
        <w:tc>
          <w:tcPr>
            <w:tcW w:w="200" w:type="dxa"/>
            <w:vAlign w:val="bottom"/>
            <w:gridSpan w:val="3"/>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60" w:type="dxa"/>
            <w:vAlign w:val="bottom"/>
            <w:gridSpan w:val="3"/>
            <w:vMerge w:val="restart"/>
          </w:tcPr>
          <w:p>
            <w:pPr>
              <w:jc w:val="right"/>
              <w:spacing w:after="0" w:line="176" w:lineRule="exact"/>
              <w:rPr>
                <w:sz w:val="20"/>
                <w:szCs w:val="20"/>
                <w:color w:val="auto"/>
              </w:rPr>
            </w:pPr>
            <w:r>
              <w:rPr>
                <w:rFonts w:ascii="Arial" w:cs="Arial" w:eastAsia="Arial" w:hAnsi="Arial"/>
                <w:sz w:val="18"/>
                <w:szCs w:val="18"/>
                <w:color w:val="0000EE"/>
              </w:rPr>
              <w:t>10</w:t>
            </w:r>
            <w:r>
              <w:rPr>
                <w:rFonts w:ascii="Arial" w:cs="Arial" w:eastAsia="Arial" w:hAnsi="Arial"/>
                <w:sz w:val="18"/>
                <w:szCs w:val="18"/>
                <w:color w:val="000000"/>
              </w:rPr>
              <w:t>​</w:t>
            </w:r>
          </w:p>
        </w:tc>
        <w:tc>
          <w:tcPr>
            <w:tcW w:w="180" w:type="dxa"/>
            <w:vAlign w:val="bottom"/>
            <w:vMerge w:val="continue"/>
          </w:tcPr>
          <w:p>
            <w:pPr>
              <w:spacing w:after="0"/>
              <w:rPr>
                <w:sz w:val="11"/>
                <w:szCs w:val="11"/>
                <w:color w:val="auto"/>
              </w:rPr>
            </w:pPr>
          </w:p>
        </w:tc>
        <w:tc>
          <w:tcPr>
            <w:tcW w:w="3200" w:type="dxa"/>
            <w:vAlign w:val="bottom"/>
            <w:tcBorders>
              <w:bottom w:val="single" w:sz="8" w:color="457157"/>
            </w:tcBorders>
            <w:gridSpan w:val="13"/>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340" w:type="dxa"/>
            <w:vAlign w:val="bottom"/>
            <w:gridSpan w:val="3"/>
            <w:vMerge w:val="continue"/>
          </w:tcPr>
          <w:p>
            <w:pPr>
              <w:spacing w:after="0"/>
              <w:rPr>
                <w:sz w:val="11"/>
                <w:szCs w:val="11"/>
                <w:color w:val="auto"/>
              </w:rPr>
            </w:pPr>
          </w:p>
        </w:tc>
        <w:tc>
          <w:tcPr>
            <w:tcW w:w="200" w:type="dxa"/>
            <w:vAlign w:val="bottom"/>
            <w:gridSpan w:val="3"/>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40" w:type="dxa"/>
            <w:vAlign w:val="bottom"/>
            <w:gridSpan w:val="2"/>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220" w:type="dxa"/>
            <w:vAlign w:val="bottom"/>
            <w:tcBorders>
              <w:bottom w:val="single" w:sz="8" w:color="0000EE"/>
            </w:tcBorders>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60" w:type="dxa"/>
            <w:vAlign w:val="bottom"/>
            <w:gridSpan w:val="3"/>
            <w:vMerge w:val="continue"/>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gridSpan w:val="3"/>
          </w:tcPr>
          <w:p>
            <w:pPr>
              <w:spacing w:after="0"/>
              <w:rPr>
                <w:sz w:val="2"/>
                <w:szCs w:val="2"/>
                <w:color w:val="auto"/>
              </w:rPr>
            </w:pPr>
          </w:p>
        </w:tc>
        <w:tc>
          <w:tcPr>
            <w:tcW w:w="440" w:type="dxa"/>
            <w:vAlign w:val="bottom"/>
            <w:tcBorders>
              <w:bottom w:val="single" w:sz="8" w:color="CCEEFF"/>
            </w:tcBorders>
            <w:gridSpan w:val="2"/>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gridSpan w:val="3"/>
          </w:tcPr>
          <w:p>
            <w:pPr>
              <w:spacing w:after="0"/>
              <w:rPr>
                <w:sz w:val="2"/>
                <w:szCs w:val="2"/>
                <w:color w:val="auto"/>
              </w:rPr>
            </w:pPr>
          </w:p>
        </w:tc>
        <w:tc>
          <w:tcPr>
            <w:tcW w:w="160" w:type="dxa"/>
            <w:vAlign w:val="bottom"/>
            <w:tcBorders>
              <w:bottom w:val="single" w:sz="8" w:color="CCEEFF"/>
            </w:tcBorders>
            <w:gridSpan w:val="2"/>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vMerge w:val="continue"/>
          </w:tcPr>
          <w:p>
            <w:pPr>
              <w:spacing w:after="0"/>
              <w:rPr>
                <w:sz w:val="2"/>
                <w:szCs w:val="2"/>
                <w:color w:val="auto"/>
              </w:rPr>
            </w:pPr>
          </w:p>
        </w:tc>
        <w:tc>
          <w:tcPr>
            <w:tcW w:w="120" w:type="dxa"/>
            <w:vAlign w:val="bottom"/>
            <w:tcBorders>
              <w:bottom w:val="single" w:sz="8" w:color="CCEEFF"/>
            </w:tcBorders>
            <w:gridSpan w:val="2"/>
            <w:vMerge w:val="continue"/>
          </w:tcPr>
          <w:p>
            <w:pPr>
              <w:spacing w:after="0"/>
              <w:rPr>
                <w:sz w:val="2"/>
                <w:szCs w:val="2"/>
                <w:color w:val="auto"/>
              </w:rPr>
            </w:pPr>
          </w:p>
        </w:tc>
        <w:tc>
          <w:tcPr>
            <w:tcW w:w="340" w:type="dxa"/>
            <w:vAlign w:val="bottom"/>
            <w:tcBorders>
              <w:bottom w:val="single" w:sz="8" w:color="CCEEFF"/>
            </w:tcBorders>
            <w:gridSpan w:val="3"/>
            <w:vMerge w:val="continue"/>
          </w:tcPr>
          <w:p>
            <w:pPr>
              <w:spacing w:after="0"/>
              <w:rPr>
                <w:sz w:val="2"/>
                <w:szCs w:val="2"/>
                <w:color w:val="auto"/>
              </w:rPr>
            </w:pPr>
          </w:p>
        </w:tc>
        <w:tc>
          <w:tcPr>
            <w:tcW w:w="200" w:type="dxa"/>
            <w:vAlign w:val="bottom"/>
            <w:tcBorders>
              <w:bottom w:val="single" w:sz="8" w:color="CCEEFF"/>
            </w:tcBorders>
            <w:gridSpan w:val="3"/>
            <w:vMerge w:val="continue"/>
          </w:tcPr>
          <w:p>
            <w:pPr>
              <w:spacing w:after="0"/>
              <w:rPr>
                <w:sz w:val="2"/>
                <w:szCs w:val="2"/>
                <w:color w:val="auto"/>
              </w:rPr>
            </w:pPr>
          </w:p>
        </w:tc>
        <w:tc>
          <w:tcPr>
            <w:tcW w:w="140" w:type="dxa"/>
            <w:vAlign w:val="bottom"/>
            <w:tcBorders>
              <w:bottom w:val="single" w:sz="8" w:color="CCEEFF"/>
            </w:tcBorders>
            <w:vMerge w:val="continue"/>
          </w:tcPr>
          <w:p>
            <w:pPr>
              <w:spacing w:after="0"/>
              <w:rPr>
                <w:sz w:val="2"/>
                <w:szCs w:val="2"/>
                <w:color w:val="auto"/>
              </w:rPr>
            </w:pPr>
          </w:p>
        </w:tc>
        <w:tc>
          <w:tcPr>
            <w:tcW w:w="60" w:type="dxa"/>
            <w:vAlign w:val="bottom"/>
            <w:tcBorders>
              <w:bottom w:val="single" w:sz="8" w:color="CCEEFF"/>
            </w:tcBorders>
            <w:vMerge w:val="continue"/>
          </w:tcPr>
          <w:p>
            <w:pPr>
              <w:spacing w:after="0"/>
              <w:rPr>
                <w:sz w:val="2"/>
                <w:szCs w:val="2"/>
                <w:color w:val="auto"/>
              </w:rPr>
            </w:pPr>
          </w:p>
        </w:tc>
        <w:tc>
          <w:tcPr>
            <w:tcW w:w="20" w:type="dxa"/>
            <w:vAlign w:val="bottom"/>
            <w:tcBorders>
              <w:bottom w:val="single" w:sz="8" w:color="CCEEFF"/>
            </w:tcBorders>
            <w:vMerge w:val="continue"/>
          </w:tcPr>
          <w:p>
            <w:pPr>
              <w:spacing w:after="0"/>
              <w:rPr>
                <w:sz w:val="2"/>
                <w:szCs w:val="2"/>
                <w:color w:val="auto"/>
              </w:rPr>
            </w:pPr>
          </w:p>
        </w:tc>
        <w:tc>
          <w:tcPr>
            <w:tcW w:w="40" w:type="dxa"/>
            <w:vAlign w:val="bottom"/>
            <w:tcBorders>
              <w:bottom w:val="single" w:sz="8" w:color="CCEEFF"/>
            </w:tcBorders>
            <w:gridSpan w:val="2"/>
            <w:vMerge w:val="continue"/>
          </w:tcPr>
          <w:p>
            <w:pPr>
              <w:spacing w:after="0"/>
              <w:rPr>
                <w:sz w:val="2"/>
                <w:szCs w:val="2"/>
                <w:color w:val="auto"/>
              </w:rPr>
            </w:pPr>
          </w:p>
        </w:tc>
        <w:tc>
          <w:tcPr>
            <w:tcW w:w="160" w:type="dxa"/>
            <w:vAlign w:val="bottom"/>
            <w:tcBorders>
              <w:bottom w:val="single" w:sz="8" w:color="CCEEFF"/>
            </w:tcBorders>
            <w:gridSpan w:val="2"/>
            <w:vMerge w:val="continue"/>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0000EE"/>
            </w:tcBorders>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Borders>
              <w:bottom w:val="single" w:sz="8" w:color="CCEEFF"/>
            </w:tcBorders>
            <w:vMerge w:val="restart"/>
            <w:shd w:val="clear" w:color="auto" w:fill="CCEEFF"/>
          </w:tcPr>
          <w:p>
            <w:pPr>
              <w:spacing w:after="0"/>
              <w:rPr>
                <w:sz w:val="3"/>
                <w:szCs w:val="3"/>
                <w:color w:val="auto"/>
              </w:rPr>
            </w:pPr>
          </w:p>
        </w:tc>
        <w:tc>
          <w:tcPr>
            <w:tcW w:w="200" w:type="dxa"/>
            <w:vAlign w:val="bottom"/>
            <w:tcBorders>
              <w:bottom w:val="single" w:sz="8" w:color="CCEEFF"/>
              <w:right w:val="single" w:sz="8" w:color="CCEEFF"/>
            </w:tcBorders>
            <w:vMerge w:val="restart"/>
            <w:shd w:val="clear" w:color="auto" w:fill="CCEEFF"/>
          </w:tcPr>
          <w:p>
            <w:pPr>
              <w:spacing w:after="0"/>
              <w:rPr>
                <w:sz w:val="3"/>
                <w:szCs w:val="3"/>
                <w:color w:val="auto"/>
              </w:rPr>
            </w:pPr>
          </w:p>
        </w:tc>
        <w:tc>
          <w:tcPr>
            <w:tcW w:w="3000" w:type="dxa"/>
            <w:vAlign w:val="bottom"/>
            <w:tcBorders>
              <w:bottom w:val="single" w:sz="8" w:color="CCEEFF"/>
              <w:right w:val="single" w:sz="8" w:color="CCEEFF"/>
            </w:tcBorders>
            <w:gridSpan w:val="12"/>
            <w:vMerge w:val="restart"/>
            <w:shd w:val="clear" w:color="auto" w:fill="CCEEFF"/>
          </w:tcPr>
          <w:p>
            <w:pPr>
              <w:spacing w:after="0" w:line="170" w:lineRule="exact"/>
              <w:rPr>
                <w:sz w:val="20"/>
                <w:szCs w:val="20"/>
                <w:color w:val="auto"/>
              </w:rPr>
            </w:pPr>
            <w:r>
              <w:rPr>
                <w:rFonts w:ascii="Arial" w:cs="Arial" w:eastAsia="Arial" w:hAnsi="Arial"/>
                <w:sz w:val="18"/>
                <w:szCs w:val="18"/>
                <w:color w:val="0000EE"/>
              </w:rPr>
              <w:t>Summary Compensation Table</w:t>
            </w:r>
          </w:p>
        </w:tc>
        <w:tc>
          <w:tcPr>
            <w:tcW w:w="1020" w:type="dxa"/>
            <w:vAlign w:val="bottom"/>
            <w:tcBorders>
              <w:bottom w:val="single" w:sz="8" w:color="CCEEFF"/>
            </w:tcBorders>
            <w:gridSpan w:val="14"/>
            <w:vMerge w:val="restart"/>
            <w:shd w:val="clear" w:color="auto" w:fill="CCEEFF"/>
          </w:tcPr>
          <w:p>
            <w:pPr>
              <w:spacing w:after="0"/>
              <w:rPr>
                <w:sz w:val="3"/>
                <w:szCs w:val="3"/>
                <w:color w:val="auto"/>
              </w:rPr>
            </w:pPr>
          </w:p>
        </w:tc>
        <w:tc>
          <w:tcPr>
            <w:tcW w:w="380" w:type="dxa"/>
            <w:vAlign w:val="bottom"/>
            <w:tcBorders>
              <w:bottom w:val="single" w:sz="8" w:color="CCEEFF"/>
            </w:tcBorders>
            <w:gridSpan w:val="3"/>
            <w:vMerge w:val="restart"/>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49</w:t>
            </w:r>
          </w:p>
        </w:tc>
        <w:tc>
          <w:tcPr>
            <w:tcW w:w="40" w:type="dxa"/>
            <w:vAlign w:val="bottom"/>
            <w:vMerge w:val="restart"/>
          </w:tcPr>
          <w:p>
            <w:pPr>
              <w:jc w:val="right"/>
              <w:spacing w:after="0" w:line="15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200" w:type="dxa"/>
            <w:vAlign w:val="bottom"/>
            <w:tcBorders>
              <w:right w:val="single" w:sz="8" w:color="CCEEFF"/>
            </w:tcBorders>
            <w:vMerge w:val="continue"/>
            <w:shd w:val="clear" w:color="auto" w:fill="CCEEFF"/>
          </w:tcPr>
          <w:p>
            <w:pPr>
              <w:spacing w:after="0"/>
              <w:rPr>
                <w:sz w:val="10"/>
                <w:szCs w:val="10"/>
                <w:color w:val="auto"/>
              </w:rPr>
            </w:pPr>
          </w:p>
        </w:tc>
        <w:tc>
          <w:tcPr>
            <w:tcW w:w="3000" w:type="dxa"/>
            <w:vAlign w:val="bottom"/>
            <w:tcBorders>
              <w:right w:val="single" w:sz="8" w:color="CCEEFF"/>
            </w:tcBorders>
            <w:gridSpan w:val="12"/>
            <w:vMerge w:val="continue"/>
            <w:shd w:val="clear" w:color="auto" w:fill="CCEEFF"/>
          </w:tcPr>
          <w:p>
            <w:pPr>
              <w:spacing w:after="0"/>
              <w:rPr>
                <w:sz w:val="10"/>
                <w:szCs w:val="10"/>
                <w:color w:val="auto"/>
              </w:rPr>
            </w:pPr>
          </w:p>
        </w:tc>
        <w:tc>
          <w:tcPr>
            <w:tcW w:w="1020" w:type="dxa"/>
            <w:vAlign w:val="bottom"/>
            <w:gridSpan w:val="14"/>
            <w:vMerge w:val="continue"/>
            <w:shd w:val="clear" w:color="auto" w:fill="CCEEFF"/>
          </w:tcPr>
          <w:p>
            <w:pPr>
              <w:spacing w:after="0"/>
              <w:rPr>
                <w:sz w:val="10"/>
                <w:szCs w:val="10"/>
                <w:color w:val="auto"/>
              </w:rPr>
            </w:pPr>
          </w:p>
        </w:tc>
        <w:tc>
          <w:tcPr>
            <w:tcW w:w="380" w:type="dxa"/>
            <w:vAlign w:val="bottom"/>
            <w:gridSpan w:val="3"/>
            <w:vMerge w:val="continue"/>
            <w:shd w:val="clear" w:color="auto" w:fill="CCEEFF"/>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tcBorders>
              <w:right w:val="single" w:sz="8" w:color="0000EE"/>
            </w:tcBorders>
            <w:shd w:val="clear" w:color="auto" w:fill="CCEEFF"/>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720" w:type="dxa"/>
            <w:vAlign w:val="bottom"/>
            <w:tcBorders>
              <w:right w:val="single" w:sz="8" w:color="CCEEFF"/>
            </w:tcBorders>
            <w:shd w:val="clear" w:color="auto" w:fill="0000EE"/>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11</w:t>
            </w:r>
            <w:r>
              <w:rPr>
                <w:rFonts w:ascii="Arial" w:cs="Arial" w:eastAsia="Arial" w:hAnsi="Arial"/>
                <w:sz w:val="18"/>
                <w:szCs w:val="18"/>
                <w:color w:val="000000"/>
              </w:rPr>
              <w:t>​</w:t>
            </w:r>
          </w:p>
        </w:tc>
        <w:tc>
          <w:tcPr>
            <w:tcW w:w="18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322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rPr>
              <w:t>Grant of Plan-Based Awards in 2024</w:t>
            </w:r>
          </w:p>
        </w:tc>
        <w:tc>
          <w:tcPr>
            <w:tcW w:w="340" w:type="dxa"/>
            <w:vAlign w:val="bottom"/>
            <w:gridSpan w:val="3"/>
            <w:vMerge w:val="restart"/>
          </w:tcPr>
          <w:p>
            <w:pPr>
              <w:spacing w:after="0"/>
              <w:rPr>
                <w:sz w:val="18"/>
                <w:szCs w:val="18"/>
                <w:color w:val="auto"/>
              </w:rPr>
            </w:pPr>
          </w:p>
        </w:tc>
        <w:tc>
          <w:tcPr>
            <w:tcW w:w="200" w:type="dxa"/>
            <w:vAlign w:val="bottom"/>
            <w:gridSpan w:val="3"/>
            <w:vMerge w:val="restart"/>
          </w:tcPr>
          <w:p>
            <w:pPr>
              <w:spacing w:after="0"/>
              <w:rPr>
                <w:sz w:val="18"/>
                <w:szCs w:val="18"/>
                <w:color w:val="auto"/>
              </w:rPr>
            </w:pPr>
          </w:p>
        </w:tc>
        <w:tc>
          <w:tcPr>
            <w:tcW w:w="140" w:type="dxa"/>
            <w:vAlign w:val="bottom"/>
            <w:vMerge w:val="restart"/>
          </w:tcPr>
          <w:p>
            <w:pPr>
              <w:spacing w:after="0"/>
              <w:rPr>
                <w:sz w:val="18"/>
                <w:szCs w:val="18"/>
                <w:color w:val="auto"/>
              </w:rPr>
            </w:pPr>
          </w:p>
        </w:tc>
        <w:tc>
          <w:tcPr>
            <w:tcW w:w="6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0" w:type="dxa"/>
            <w:vAlign w:val="bottom"/>
            <w:gridSpan w:val="2"/>
            <w:vMerge w:val="restart"/>
          </w:tcPr>
          <w:p>
            <w:pPr>
              <w:spacing w:after="0"/>
              <w:rPr>
                <w:sz w:val="18"/>
                <w:szCs w:val="18"/>
                <w:color w:val="auto"/>
              </w:rPr>
            </w:pPr>
          </w:p>
        </w:tc>
        <w:tc>
          <w:tcPr>
            <w:tcW w:w="160" w:type="dxa"/>
            <w:vAlign w:val="bottom"/>
            <w:gridSpan w:val="2"/>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20" w:type="dxa"/>
            <w:vAlign w:val="bottom"/>
            <w:tcBorders>
              <w:bottom w:val="single" w:sz="8" w:color="0000EE"/>
            </w:tcBorders>
          </w:tcPr>
          <w:p>
            <w:pPr>
              <w:jc w:val="right"/>
              <w:spacing w:after="0" w:line="196" w:lineRule="exact"/>
              <w:rPr>
                <w:sz w:val="20"/>
                <w:szCs w:val="20"/>
                <w:color w:val="auto"/>
              </w:rPr>
            </w:pPr>
            <w:r>
              <w:rPr>
                <w:rFonts w:ascii="Arial" w:cs="Arial" w:eastAsia="Arial" w:hAnsi="Arial"/>
                <w:sz w:val="18"/>
                <w:szCs w:val="18"/>
                <w:color w:val="0000EE"/>
                <w:w w:val="89"/>
              </w:rPr>
              <w:t>51</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60" w:type="dxa"/>
            <w:vAlign w:val="bottom"/>
            <w:gridSpan w:val="3"/>
            <w:vMerge w:val="continue"/>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vMerge w:val="continue"/>
          </w:tcPr>
          <w:p>
            <w:pPr>
              <w:spacing w:after="0"/>
              <w:rPr>
                <w:sz w:val="2"/>
                <w:szCs w:val="2"/>
                <w:color w:val="auto"/>
              </w:rPr>
            </w:pPr>
          </w:p>
        </w:tc>
        <w:tc>
          <w:tcPr>
            <w:tcW w:w="82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CCEEFF"/>
            </w:tcBorders>
            <w:gridSpan w:val="2"/>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gridSpan w:val="3"/>
          </w:tcPr>
          <w:p>
            <w:pPr>
              <w:spacing w:after="0"/>
              <w:rPr>
                <w:sz w:val="2"/>
                <w:szCs w:val="2"/>
                <w:color w:val="auto"/>
              </w:rPr>
            </w:pPr>
          </w:p>
        </w:tc>
        <w:tc>
          <w:tcPr>
            <w:tcW w:w="160" w:type="dxa"/>
            <w:vAlign w:val="bottom"/>
            <w:tcBorders>
              <w:bottom w:val="single" w:sz="8" w:color="CCEEFF"/>
            </w:tcBorders>
            <w:gridSpan w:val="2"/>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340" w:type="dxa"/>
            <w:vAlign w:val="bottom"/>
            <w:tcBorders>
              <w:bottom w:val="single" w:sz="8" w:color="CCEEFF"/>
            </w:tcBorders>
            <w:gridSpan w:val="3"/>
            <w:vMerge w:val="continue"/>
          </w:tcPr>
          <w:p>
            <w:pPr>
              <w:spacing w:after="0"/>
              <w:rPr>
                <w:sz w:val="2"/>
                <w:szCs w:val="2"/>
                <w:color w:val="auto"/>
              </w:rPr>
            </w:pPr>
          </w:p>
        </w:tc>
        <w:tc>
          <w:tcPr>
            <w:tcW w:w="200" w:type="dxa"/>
            <w:vAlign w:val="bottom"/>
            <w:tcBorders>
              <w:bottom w:val="single" w:sz="8" w:color="CCEEFF"/>
            </w:tcBorders>
            <w:gridSpan w:val="3"/>
            <w:vMerge w:val="continue"/>
          </w:tcPr>
          <w:p>
            <w:pPr>
              <w:spacing w:after="0"/>
              <w:rPr>
                <w:sz w:val="2"/>
                <w:szCs w:val="2"/>
                <w:color w:val="auto"/>
              </w:rPr>
            </w:pPr>
          </w:p>
        </w:tc>
        <w:tc>
          <w:tcPr>
            <w:tcW w:w="140" w:type="dxa"/>
            <w:vAlign w:val="bottom"/>
            <w:tcBorders>
              <w:bottom w:val="single" w:sz="8" w:color="CCEEFF"/>
            </w:tcBorders>
            <w:vMerge w:val="continue"/>
          </w:tcPr>
          <w:p>
            <w:pPr>
              <w:spacing w:after="0"/>
              <w:rPr>
                <w:sz w:val="2"/>
                <w:szCs w:val="2"/>
                <w:color w:val="auto"/>
              </w:rPr>
            </w:pPr>
          </w:p>
        </w:tc>
        <w:tc>
          <w:tcPr>
            <w:tcW w:w="60" w:type="dxa"/>
            <w:vAlign w:val="bottom"/>
            <w:tcBorders>
              <w:bottom w:val="single" w:sz="8" w:color="CCEEFF"/>
            </w:tcBorders>
            <w:vMerge w:val="continue"/>
          </w:tcPr>
          <w:p>
            <w:pPr>
              <w:spacing w:after="0"/>
              <w:rPr>
                <w:sz w:val="2"/>
                <w:szCs w:val="2"/>
                <w:color w:val="auto"/>
              </w:rPr>
            </w:pPr>
          </w:p>
        </w:tc>
        <w:tc>
          <w:tcPr>
            <w:tcW w:w="20" w:type="dxa"/>
            <w:vAlign w:val="bottom"/>
            <w:tcBorders>
              <w:bottom w:val="single" w:sz="8" w:color="CCEEFF"/>
            </w:tcBorders>
            <w:vMerge w:val="continue"/>
          </w:tcPr>
          <w:p>
            <w:pPr>
              <w:spacing w:after="0"/>
              <w:rPr>
                <w:sz w:val="2"/>
                <w:szCs w:val="2"/>
                <w:color w:val="auto"/>
              </w:rPr>
            </w:pPr>
          </w:p>
        </w:tc>
        <w:tc>
          <w:tcPr>
            <w:tcW w:w="40" w:type="dxa"/>
            <w:vAlign w:val="bottom"/>
            <w:tcBorders>
              <w:bottom w:val="single" w:sz="8" w:color="CCEEFF"/>
            </w:tcBorders>
            <w:gridSpan w:val="2"/>
            <w:vMerge w:val="continue"/>
          </w:tcPr>
          <w:p>
            <w:pPr>
              <w:spacing w:after="0"/>
              <w:rPr>
                <w:sz w:val="2"/>
                <w:szCs w:val="2"/>
                <w:color w:val="auto"/>
              </w:rPr>
            </w:pPr>
          </w:p>
        </w:tc>
        <w:tc>
          <w:tcPr>
            <w:tcW w:w="160" w:type="dxa"/>
            <w:vAlign w:val="bottom"/>
            <w:tcBorders>
              <w:bottom w:val="single" w:sz="8" w:color="CCEEFF"/>
            </w:tcBorders>
            <w:gridSpan w:val="2"/>
            <w:vMerge w:val="continue"/>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4020" w:type="dxa"/>
            <w:vAlign w:val="bottom"/>
            <w:gridSpan w:val="26"/>
            <w:vMerge w:val="restart"/>
            <w:shd w:val="clear" w:color="auto" w:fill="CCEEFF"/>
          </w:tcPr>
          <w:p>
            <w:pPr>
              <w:spacing w:after="0" w:line="162" w:lineRule="exact"/>
              <w:rPr>
                <w:sz w:val="20"/>
                <w:szCs w:val="20"/>
                <w:color w:val="auto"/>
              </w:rPr>
            </w:pPr>
            <w:r>
              <w:rPr>
                <w:rFonts w:ascii="Arial" w:cs="Arial" w:eastAsia="Arial" w:hAnsi="Arial"/>
                <w:sz w:val="18"/>
                <w:szCs w:val="18"/>
                <w:color w:val="0000EE"/>
              </w:rPr>
              <w:t>Outstanding Equity Awards as of</w:t>
            </w: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11</w:t>
            </w:r>
            <w:r>
              <w:rPr>
                <w:rFonts w:ascii="Arial" w:cs="Arial" w:eastAsia="Arial" w:hAnsi="Arial"/>
                <w:sz w:val="18"/>
                <w:szCs w:val="18"/>
                <w:color w:val="000000"/>
              </w:rPr>
              <w:t>​</w:t>
            </w:r>
          </w:p>
        </w:tc>
        <w:tc>
          <w:tcPr>
            <w:tcW w:w="180" w:type="dxa"/>
            <w:vAlign w:val="bottom"/>
            <w:vMerge w:val="continue"/>
            <w:shd w:val="clear" w:color="auto" w:fill="CCEEFF"/>
          </w:tcPr>
          <w:p>
            <w:pPr>
              <w:spacing w:after="0"/>
              <w:rPr>
                <w:sz w:val="12"/>
                <w:szCs w:val="12"/>
                <w:color w:val="auto"/>
              </w:rPr>
            </w:pPr>
          </w:p>
        </w:tc>
        <w:tc>
          <w:tcPr>
            <w:tcW w:w="200" w:type="dxa"/>
            <w:vAlign w:val="bottom"/>
            <w:tcBorders>
              <w:right w:val="single" w:sz="8" w:color="CCEEFF"/>
            </w:tcBorders>
            <w:vMerge w:val="continue"/>
            <w:shd w:val="clear" w:color="auto" w:fill="CCEEFF"/>
          </w:tcPr>
          <w:p>
            <w:pPr>
              <w:spacing w:after="0"/>
              <w:rPr>
                <w:sz w:val="12"/>
                <w:szCs w:val="12"/>
                <w:color w:val="auto"/>
              </w:rPr>
            </w:pPr>
          </w:p>
        </w:tc>
        <w:tc>
          <w:tcPr>
            <w:tcW w:w="4020" w:type="dxa"/>
            <w:vAlign w:val="bottom"/>
            <w:gridSpan w:val="26"/>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60" w:type="dxa"/>
            <w:vAlign w:val="bottom"/>
            <w:gridSpan w:val="3"/>
            <w:vMerge w:val="continue"/>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right w:val="single" w:sz="8" w:color="CCEEFF"/>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740" w:type="dxa"/>
            <w:vAlign w:val="bottom"/>
            <w:tcBorders>
              <w:top w:val="single" w:sz="8" w:color="0000EE"/>
            </w:tcBorders>
            <w:gridSpan w:val="5"/>
            <w:vMerge w:val="restart"/>
            <w:shd w:val="clear" w:color="auto" w:fill="CCEEFF"/>
          </w:tcPr>
          <w:p>
            <w:pPr>
              <w:spacing w:after="0" w:line="196" w:lineRule="exact"/>
              <w:rPr>
                <w:sz w:val="20"/>
                <w:szCs w:val="20"/>
                <w:color w:val="auto"/>
              </w:rPr>
            </w:pPr>
            <w:r>
              <w:rPr>
                <w:rFonts w:ascii="Arial" w:cs="Arial" w:eastAsia="Arial" w:hAnsi="Arial"/>
                <w:sz w:val="18"/>
                <w:szCs w:val="18"/>
                <w:color w:val="0000EE"/>
              </w:rPr>
              <w:t>December 31, 2024</w:t>
            </w:r>
          </w:p>
        </w:tc>
        <w:tc>
          <w:tcPr>
            <w:tcW w:w="1100" w:type="dxa"/>
            <w:vAlign w:val="bottom"/>
            <w:tcBorders>
              <w:top w:val="single" w:sz="8" w:color="0000EE"/>
              <w:right w:val="single" w:sz="8" w:color="CCEEFF"/>
            </w:tcBorders>
            <w:gridSpan w:val="6"/>
            <w:vMerge w:val="restart"/>
            <w:shd w:val="clear" w:color="auto" w:fill="CCEEFF"/>
          </w:tcPr>
          <w:p>
            <w:pPr>
              <w:spacing w:after="0"/>
              <w:rPr>
                <w:sz w:val="6"/>
                <w:szCs w:val="6"/>
                <w:color w:val="auto"/>
              </w:rPr>
            </w:pPr>
          </w:p>
        </w:tc>
        <w:tc>
          <w:tcPr>
            <w:tcW w:w="1020" w:type="dxa"/>
            <w:vAlign w:val="bottom"/>
            <w:tcBorders>
              <w:top w:val="single" w:sz="8" w:color="CCEEFF"/>
            </w:tcBorders>
            <w:gridSpan w:val="14"/>
            <w:vMerge w:val="restart"/>
            <w:shd w:val="clear" w:color="auto" w:fill="CCEEFF"/>
          </w:tcPr>
          <w:p>
            <w:pPr>
              <w:spacing w:after="0"/>
              <w:rPr>
                <w:sz w:val="6"/>
                <w:szCs w:val="6"/>
                <w:color w:val="auto"/>
              </w:rPr>
            </w:pPr>
          </w:p>
        </w:tc>
        <w:tc>
          <w:tcPr>
            <w:tcW w:w="380" w:type="dxa"/>
            <w:vAlign w:val="bottom"/>
            <w:tcBorders>
              <w:top w:val="single" w:sz="8" w:color="CCEEFF"/>
            </w:tcBorders>
            <w:gridSpan w:val="3"/>
            <w:vMerge w:val="restart"/>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52</w:t>
            </w:r>
          </w:p>
        </w:tc>
        <w:tc>
          <w:tcPr>
            <w:tcW w:w="4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740" w:type="dxa"/>
            <w:vAlign w:val="bottom"/>
            <w:gridSpan w:val="5"/>
            <w:vMerge w:val="continue"/>
            <w:shd w:val="clear" w:color="auto" w:fill="CCEEFF"/>
          </w:tcPr>
          <w:p>
            <w:pPr>
              <w:spacing w:after="0" w:line="20" w:lineRule="exact"/>
              <w:rPr>
                <w:sz w:val="1"/>
                <w:szCs w:val="1"/>
                <w:color w:val="auto"/>
              </w:rPr>
            </w:pPr>
          </w:p>
        </w:tc>
        <w:tc>
          <w:tcPr>
            <w:tcW w:w="1100" w:type="dxa"/>
            <w:vAlign w:val="bottom"/>
            <w:tcBorders>
              <w:right w:val="single" w:sz="8" w:color="CCEEFF"/>
            </w:tcBorders>
            <w:gridSpan w:val="6"/>
            <w:vMerge w:val="continue"/>
            <w:shd w:val="clear" w:color="auto" w:fill="CCEEFF"/>
          </w:tcPr>
          <w:p>
            <w:pPr>
              <w:spacing w:after="0" w:line="20" w:lineRule="exact"/>
              <w:rPr>
                <w:sz w:val="1"/>
                <w:szCs w:val="1"/>
                <w:color w:val="auto"/>
              </w:rPr>
            </w:pPr>
          </w:p>
        </w:tc>
        <w:tc>
          <w:tcPr>
            <w:tcW w:w="1020" w:type="dxa"/>
            <w:vAlign w:val="bottom"/>
            <w:gridSpan w:val="14"/>
            <w:vMerge w:val="continue"/>
            <w:shd w:val="clear" w:color="auto" w:fill="CCEEFF"/>
          </w:tcPr>
          <w:p>
            <w:pPr>
              <w:spacing w:after="0" w:line="20" w:lineRule="exact"/>
              <w:rPr>
                <w:sz w:val="1"/>
                <w:szCs w:val="1"/>
                <w:color w:val="auto"/>
              </w:rPr>
            </w:pPr>
          </w:p>
        </w:tc>
        <w:tc>
          <w:tcPr>
            <w:tcW w:w="380" w:type="dxa"/>
            <w:vAlign w:val="bottom"/>
            <w:gridSpan w:val="3"/>
            <w:vMerge w:val="continue"/>
            <w:shd w:val="clear" w:color="auto" w:fill="CCEEFF"/>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12</w:t>
            </w:r>
            <w:r>
              <w:rPr>
                <w:rFonts w:ascii="Arial" w:cs="Arial" w:eastAsia="Arial" w:hAnsi="Arial"/>
                <w:sz w:val="18"/>
                <w:szCs w:val="18"/>
                <w:color w:val="000000"/>
              </w:rPr>
              <w:t>​</w:t>
            </w:r>
          </w:p>
        </w:tc>
        <w:tc>
          <w:tcPr>
            <w:tcW w:w="180" w:type="dxa"/>
            <w:vAlign w:val="bottom"/>
            <w:vMerge w:val="continue"/>
            <w:shd w:val="clear" w:color="auto" w:fill="CCEEFF"/>
          </w:tcPr>
          <w:p>
            <w:pPr>
              <w:spacing w:after="0"/>
              <w:rPr>
                <w:sz w:val="8"/>
                <w:szCs w:val="8"/>
                <w:color w:val="auto"/>
              </w:rPr>
            </w:pPr>
          </w:p>
        </w:tc>
        <w:tc>
          <w:tcPr>
            <w:tcW w:w="200" w:type="dxa"/>
            <w:vAlign w:val="bottom"/>
            <w:tcBorders>
              <w:right w:val="single" w:sz="8" w:color="CCEEFF"/>
            </w:tcBorders>
            <w:vMerge w:val="continue"/>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1740" w:type="dxa"/>
            <w:vAlign w:val="bottom"/>
            <w:gridSpan w:val="5"/>
            <w:vMerge w:val="continue"/>
            <w:shd w:val="clear" w:color="auto" w:fill="CCEEFF"/>
          </w:tcPr>
          <w:p>
            <w:pPr>
              <w:spacing w:after="0"/>
              <w:rPr>
                <w:sz w:val="8"/>
                <w:szCs w:val="8"/>
                <w:color w:val="auto"/>
              </w:rPr>
            </w:pPr>
          </w:p>
        </w:tc>
        <w:tc>
          <w:tcPr>
            <w:tcW w:w="1100" w:type="dxa"/>
            <w:vAlign w:val="bottom"/>
            <w:tcBorders>
              <w:right w:val="single" w:sz="8" w:color="CCEEFF"/>
            </w:tcBorders>
            <w:gridSpan w:val="6"/>
            <w:vMerge w:val="continue"/>
            <w:shd w:val="clear" w:color="auto" w:fill="CCEEFF"/>
          </w:tcPr>
          <w:p>
            <w:pPr>
              <w:spacing w:after="0"/>
              <w:rPr>
                <w:sz w:val="8"/>
                <w:szCs w:val="8"/>
                <w:color w:val="auto"/>
              </w:rPr>
            </w:pPr>
          </w:p>
        </w:tc>
        <w:tc>
          <w:tcPr>
            <w:tcW w:w="1020" w:type="dxa"/>
            <w:vAlign w:val="bottom"/>
            <w:gridSpan w:val="14"/>
            <w:vMerge w:val="continue"/>
            <w:shd w:val="clear" w:color="auto" w:fill="CCEEFF"/>
          </w:tcPr>
          <w:p>
            <w:pPr>
              <w:spacing w:after="0"/>
              <w:rPr>
                <w:sz w:val="8"/>
                <w:szCs w:val="8"/>
                <w:color w:val="auto"/>
              </w:rPr>
            </w:pPr>
          </w:p>
        </w:tc>
        <w:tc>
          <w:tcPr>
            <w:tcW w:w="380" w:type="dxa"/>
            <w:vAlign w:val="bottom"/>
            <w:gridSpan w:val="3"/>
            <w:vMerge w:val="continue"/>
            <w:shd w:val="clear" w:color="auto" w:fill="CCEEFF"/>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60" w:type="dxa"/>
            <w:vAlign w:val="bottom"/>
            <w:gridSpan w:val="3"/>
            <w:vMerge w:val="continue"/>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vMerge w:val="restart"/>
          </w:tcPr>
          <w:p>
            <w:pPr>
              <w:spacing w:after="0"/>
              <w:rPr>
                <w:sz w:val="7"/>
                <w:szCs w:val="7"/>
                <w:color w:val="auto"/>
              </w:rPr>
            </w:pPr>
          </w:p>
        </w:tc>
        <w:tc>
          <w:tcPr>
            <w:tcW w:w="3100" w:type="dxa"/>
            <w:vAlign w:val="bottom"/>
            <w:gridSpan w:val="13"/>
            <w:vMerge w:val="restart"/>
          </w:tcPr>
          <w:p>
            <w:pPr>
              <w:spacing w:after="0"/>
              <w:rPr>
                <w:sz w:val="20"/>
                <w:szCs w:val="20"/>
                <w:color w:val="auto"/>
              </w:rPr>
            </w:pPr>
            <w:r>
              <w:rPr>
                <w:rFonts w:ascii="Arial" w:cs="Arial" w:eastAsia="Arial" w:hAnsi="Arial"/>
                <w:sz w:val="18"/>
                <w:szCs w:val="18"/>
                <w:color w:val="0000EE"/>
              </w:rPr>
              <w:t>Option Exercises and Stock Vested</w:t>
            </w:r>
          </w:p>
        </w:tc>
        <w:tc>
          <w:tcPr>
            <w:tcW w:w="920" w:type="dxa"/>
            <w:vAlign w:val="bottom"/>
            <w:gridSpan w:val="13"/>
            <w:vMerge w:val="restart"/>
          </w:tcPr>
          <w:p>
            <w:pPr>
              <w:spacing w:after="0"/>
              <w:rPr>
                <w:sz w:val="7"/>
                <w:szCs w:val="7"/>
                <w:color w:val="auto"/>
              </w:rPr>
            </w:pPr>
          </w:p>
        </w:tc>
        <w:tc>
          <w:tcPr>
            <w:tcW w:w="420" w:type="dxa"/>
            <w:vAlign w:val="bottom"/>
            <w:gridSpan w:val="4"/>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3100" w:type="dxa"/>
            <w:vAlign w:val="bottom"/>
            <w:gridSpan w:val="13"/>
            <w:vMerge w:val="continue"/>
          </w:tcPr>
          <w:p>
            <w:pPr>
              <w:spacing w:after="0" w:line="20" w:lineRule="exact"/>
              <w:rPr>
                <w:sz w:val="1"/>
                <w:szCs w:val="1"/>
                <w:color w:val="auto"/>
              </w:rPr>
            </w:pPr>
          </w:p>
        </w:tc>
        <w:tc>
          <w:tcPr>
            <w:tcW w:w="920" w:type="dxa"/>
            <w:vAlign w:val="bottom"/>
            <w:gridSpan w:val="13"/>
            <w:vMerge w:val="continue"/>
          </w:tcPr>
          <w:p>
            <w:pPr>
              <w:spacing w:after="0" w:line="20" w:lineRule="exact"/>
              <w:rPr>
                <w:sz w:val="1"/>
                <w:szCs w:val="1"/>
                <w:color w:val="auto"/>
              </w:rPr>
            </w:pPr>
          </w:p>
        </w:tc>
        <w:tc>
          <w:tcPr>
            <w:tcW w:w="42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13</w:t>
            </w:r>
            <w:r>
              <w:rPr>
                <w:rFonts w:ascii="Arial" w:cs="Arial" w:eastAsia="Arial" w:hAnsi="Arial"/>
                <w:sz w:val="18"/>
                <w:szCs w:val="18"/>
                <w:color w:val="000000"/>
              </w:rPr>
              <w:t>​</w:t>
            </w:r>
          </w:p>
        </w:tc>
        <w:tc>
          <w:tcPr>
            <w:tcW w:w="180" w:type="dxa"/>
            <w:vAlign w:val="bottom"/>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3100" w:type="dxa"/>
            <w:vAlign w:val="bottom"/>
            <w:gridSpan w:val="13"/>
            <w:vMerge w:val="continue"/>
          </w:tcPr>
          <w:p>
            <w:pPr>
              <w:spacing w:after="0"/>
              <w:rPr>
                <w:sz w:val="10"/>
                <w:szCs w:val="10"/>
                <w:color w:val="auto"/>
              </w:rPr>
            </w:pPr>
          </w:p>
        </w:tc>
        <w:tc>
          <w:tcPr>
            <w:tcW w:w="920" w:type="dxa"/>
            <w:vAlign w:val="bottom"/>
            <w:gridSpan w:val="13"/>
            <w:vMerge w:val="continue"/>
          </w:tcPr>
          <w:p>
            <w:pPr>
              <w:spacing w:after="0"/>
              <w:rPr>
                <w:sz w:val="10"/>
                <w:szCs w:val="10"/>
                <w:color w:val="auto"/>
              </w:rPr>
            </w:pPr>
          </w:p>
        </w:tc>
        <w:tc>
          <w:tcPr>
            <w:tcW w:w="4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Borders>
              <w:right w:val="single" w:sz="8" w:color="0000EE"/>
            </w:tcBorders>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5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72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tcBorders>
              <w:left w:val="single" w:sz="8" w:color="0000EE"/>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1"/>
        </w:trPr>
        <w:tc>
          <w:tcPr>
            <w:tcW w:w="260" w:type="dxa"/>
            <w:vAlign w:val="bottom"/>
            <w:gridSpan w:val="3"/>
            <w:vMerge w:val="continue"/>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00" w:type="dxa"/>
            <w:vAlign w:val="bottom"/>
            <w:tcBorders>
              <w:right w:val="single" w:sz="8" w:color="CCEEFF"/>
            </w:tcBorders>
            <w:shd w:val="clear" w:color="auto" w:fill="CCEEFF"/>
          </w:tcPr>
          <w:p>
            <w:pPr>
              <w:spacing w:after="0"/>
              <w:rPr>
                <w:sz w:val="7"/>
                <w:szCs w:val="7"/>
                <w:color w:val="auto"/>
              </w:rPr>
            </w:pPr>
          </w:p>
        </w:tc>
        <w:tc>
          <w:tcPr>
            <w:tcW w:w="4400" w:type="dxa"/>
            <w:vAlign w:val="bottom"/>
            <w:gridSpan w:val="29"/>
            <w:vMerge w:val="restart"/>
            <w:shd w:val="clear" w:color="auto" w:fill="CCEEFF"/>
          </w:tcPr>
          <w:p>
            <w:pPr>
              <w:spacing w:after="0" w:line="202" w:lineRule="exact"/>
              <w:rPr>
                <w:sz w:val="20"/>
                <w:szCs w:val="20"/>
                <w:color w:val="auto"/>
              </w:rPr>
            </w:pPr>
            <w:r>
              <w:rPr>
                <w:rFonts w:ascii="Arial" w:cs="Arial" w:eastAsia="Arial" w:hAnsi="Arial"/>
                <w:sz w:val="18"/>
                <w:szCs w:val="18"/>
                <w:color w:val="0000EE"/>
              </w:rPr>
              <w:t xml:space="preserve">Nonqualified Deferred Compensation in 2024 </w:t>
            </w:r>
            <w:r>
              <w:rPr>
                <w:rFonts w:ascii="Arial" w:cs="Arial" w:eastAsia="Arial" w:hAnsi="Arial"/>
                <w:sz w:val="18"/>
                <w:szCs w:val="18"/>
                <w:color w:val="000000"/>
              </w:rPr>
              <w:t>​</w:t>
            </w:r>
            <w:r>
              <w:rPr>
                <w:rFonts w:ascii="Arial" w:cs="Arial" w:eastAsia="Arial" w:hAnsi="Arial"/>
                <w:sz w:val="18"/>
                <w:szCs w:val="18"/>
                <w:b w:val="1"/>
                <w:bCs w:val="1"/>
                <w:color w:val="000000"/>
              </w:rPr>
              <w:t>​</w:t>
            </w:r>
            <w:r>
              <w:rPr>
                <w:rFonts w:ascii="Arial" w:cs="Arial" w:eastAsia="Arial" w:hAnsi="Arial"/>
                <w:sz w:val="18"/>
                <w:szCs w:val="18"/>
                <w:color w:val="0000EE"/>
              </w:rPr>
              <w:t xml:space="preserve"> 54</w:t>
            </w:r>
          </w:p>
        </w:tc>
        <w:tc>
          <w:tcPr>
            <w:tcW w:w="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00" w:type="dxa"/>
            <w:vAlign w:val="bottom"/>
            <w:tcBorders>
              <w:right w:val="single" w:sz="8" w:color="CCEEFF"/>
            </w:tcBorders>
            <w:vMerge w:val="restart"/>
            <w:shd w:val="clear" w:color="auto" w:fill="CCEEFF"/>
          </w:tcPr>
          <w:p>
            <w:pPr>
              <w:spacing w:after="0" w:line="20" w:lineRule="exact"/>
              <w:rPr>
                <w:sz w:val="1"/>
                <w:szCs w:val="1"/>
                <w:color w:val="auto"/>
              </w:rPr>
            </w:pPr>
          </w:p>
        </w:tc>
        <w:tc>
          <w:tcPr>
            <w:tcW w:w="4400" w:type="dxa"/>
            <w:vAlign w:val="bottom"/>
            <w:gridSpan w:val="29"/>
            <w:vMerge w:val="continue"/>
            <w:shd w:val="clear" w:color="auto" w:fill="CCEEFF"/>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14</w:t>
            </w:r>
            <w:r>
              <w:rPr>
                <w:rFonts w:ascii="Arial" w:cs="Arial" w:eastAsia="Arial" w:hAnsi="Arial"/>
                <w:sz w:val="18"/>
                <w:szCs w:val="18"/>
                <w:color w:val="000000"/>
              </w:rPr>
              <w:t>​</w:t>
            </w:r>
          </w:p>
        </w:tc>
        <w:tc>
          <w:tcPr>
            <w:tcW w:w="180" w:type="dxa"/>
            <w:vAlign w:val="bottom"/>
            <w:vMerge w:val="continue"/>
            <w:shd w:val="clear" w:color="auto" w:fill="CCEEFF"/>
          </w:tcPr>
          <w:p>
            <w:pPr>
              <w:spacing w:after="0"/>
              <w:rPr>
                <w:sz w:val="8"/>
                <w:szCs w:val="8"/>
                <w:color w:val="auto"/>
              </w:rPr>
            </w:pPr>
          </w:p>
        </w:tc>
        <w:tc>
          <w:tcPr>
            <w:tcW w:w="200" w:type="dxa"/>
            <w:vAlign w:val="bottom"/>
            <w:tcBorders>
              <w:right w:val="single" w:sz="8" w:color="CCEEFF"/>
            </w:tcBorders>
            <w:vMerge w:val="continue"/>
            <w:shd w:val="clear" w:color="auto" w:fill="CCEEFF"/>
          </w:tcPr>
          <w:p>
            <w:pPr>
              <w:spacing w:after="0"/>
              <w:rPr>
                <w:sz w:val="8"/>
                <w:szCs w:val="8"/>
                <w:color w:val="auto"/>
              </w:rPr>
            </w:pPr>
          </w:p>
        </w:tc>
        <w:tc>
          <w:tcPr>
            <w:tcW w:w="4400" w:type="dxa"/>
            <w:vAlign w:val="bottom"/>
            <w:gridSpan w:val="29"/>
            <w:vMerge w:val="continue"/>
            <w:shd w:val="clear" w:color="auto" w:fill="CCEEFF"/>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60" w:type="dxa"/>
            <w:vAlign w:val="bottom"/>
            <w:gridSpan w:val="3"/>
            <w:vMerge w:val="continue"/>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
        </w:trPr>
        <w:tc>
          <w:tcPr>
            <w:tcW w:w="2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20" w:type="dxa"/>
            <w:vAlign w:val="bottom"/>
            <w:gridSpan w:val="26"/>
            <w:vMerge w:val="restart"/>
          </w:tcPr>
          <w:p>
            <w:pPr>
              <w:spacing w:after="0" w:line="202" w:lineRule="exact"/>
              <w:rPr>
                <w:sz w:val="20"/>
                <w:szCs w:val="20"/>
                <w:color w:val="auto"/>
              </w:rPr>
            </w:pPr>
            <w:r>
              <w:rPr>
                <w:rFonts w:ascii="Arial" w:cs="Arial" w:eastAsia="Arial" w:hAnsi="Arial"/>
                <w:sz w:val="18"/>
                <w:szCs w:val="18"/>
                <w:color w:val="0000EE"/>
              </w:rPr>
              <w:t>Potential Payments Upon Termination or</w:t>
            </w:r>
          </w:p>
        </w:tc>
        <w:tc>
          <w:tcPr>
            <w:tcW w:w="420" w:type="dxa"/>
            <w:vAlign w:val="bottom"/>
            <w:gridSpan w:val="4"/>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55</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1"/>
        </w:trPr>
        <w:tc>
          <w:tcPr>
            <w:tcW w:w="10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20" w:type="dxa"/>
            <w:vAlign w:val="bottom"/>
            <w:gridSpan w:val="26"/>
            <w:vMerge w:val="continue"/>
          </w:tcPr>
          <w:p>
            <w:pPr>
              <w:spacing w:after="0"/>
              <w:rPr>
                <w:sz w:val="8"/>
                <w:szCs w:val="8"/>
                <w:color w:val="auto"/>
              </w:rPr>
            </w:pPr>
          </w:p>
        </w:tc>
        <w:tc>
          <w:tcPr>
            <w:tcW w:w="4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16</w:t>
            </w:r>
            <w:r>
              <w:rPr>
                <w:rFonts w:ascii="Arial" w:cs="Arial" w:eastAsia="Arial" w:hAnsi="Arial"/>
                <w:sz w:val="18"/>
                <w:szCs w:val="18"/>
                <w:b w:val="1"/>
                <w:bCs w:val="1"/>
                <w:color w:val="000000"/>
              </w:rPr>
              <w:t>​</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40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color w:val="0000EE"/>
              </w:rPr>
              <w:t>Change in Control</w:t>
            </w:r>
          </w:p>
        </w:tc>
        <w:tc>
          <w:tcPr>
            <w:tcW w:w="460" w:type="dxa"/>
            <w:vAlign w:val="bottom"/>
            <w:gridSpan w:val="8"/>
          </w:tcPr>
          <w:p>
            <w:pPr>
              <w:spacing w:after="0"/>
              <w:rPr>
                <w:sz w:val="17"/>
                <w:szCs w:val="17"/>
                <w:color w:val="auto"/>
              </w:rPr>
            </w:pPr>
          </w:p>
        </w:tc>
        <w:tc>
          <w:tcPr>
            <w:tcW w:w="42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gridSpan w:val="3"/>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60" w:type="dxa"/>
            <w:vAlign w:val="bottom"/>
            <w:gridSpan w:val="3"/>
            <w:vMerge w:val="continue"/>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200" w:type="dxa"/>
            <w:vAlign w:val="bottom"/>
            <w:tcBorders>
              <w:right w:val="single" w:sz="8" w:color="CCEEFF"/>
            </w:tcBorders>
            <w:shd w:val="clear" w:color="auto" w:fill="CCEEFF"/>
          </w:tcPr>
          <w:p>
            <w:pPr>
              <w:spacing w:after="0"/>
              <w:rPr>
                <w:sz w:val="5"/>
                <w:szCs w:val="5"/>
                <w:color w:val="auto"/>
              </w:rPr>
            </w:pPr>
          </w:p>
        </w:tc>
        <w:tc>
          <w:tcPr>
            <w:tcW w:w="4020" w:type="dxa"/>
            <w:vAlign w:val="bottom"/>
            <w:gridSpan w:val="26"/>
            <w:vMerge w:val="restart"/>
            <w:shd w:val="clear" w:color="auto" w:fill="CCEEFF"/>
          </w:tcPr>
          <w:p>
            <w:pPr>
              <w:spacing w:after="0" w:line="202" w:lineRule="exact"/>
              <w:rPr>
                <w:sz w:val="20"/>
                <w:szCs w:val="20"/>
                <w:color w:val="auto"/>
              </w:rPr>
            </w:pPr>
            <w:r>
              <w:rPr>
                <w:rFonts w:ascii="Arial" w:cs="Arial" w:eastAsia="Arial" w:hAnsi="Arial"/>
                <w:sz w:val="18"/>
                <w:szCs w:val="18"/>
                <w:color w:val="0000EE"/>
              </w:rPr>
              <w:t>Potential Consideration Upon Termination of</w:t>
            </w:r>
          </w:p>
        </w:tc>
        <w:tc>
          <w:tcPr>
            <w:tcW w:w="3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57</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10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right w:val="single" w:sz="8" w:color="CCEEFF"/>
            </w:tcBorders>
            <w:shd w:val="clear" w:color="auto" w:fill="CCEEFF"/>
          </w:tcPr>
          <w:p>
            <w:pPr>
              <w:spacing w:after="0"/>
              <w:rPr>
                <w:sz w:val="10"/>
                <w:szCs w:val="10"/>
                <w:color w:val="auto"/>
              </w:rPr>
            </w:pPr>
          </w:p>
        </w:tc>
        <w:tc>
          <w:tcPr>
            <w:tcW w:w="4020" w:type="dxa"/>
            <w:vAlign w:val="bottom"/>
            <w:tcBorders>
              <w:top w:val="single" w:sz="8" w:color="CCEEFF"/>
            </w:tcBorders>
            <w:gridSpan w:val="26"/>
            <w:vMerge w:val="continue"/>
            <w:shd w:val="clear" w:color="auto" w:fill="CCEEFF"/>
          </w:tcPr>
          <w:p>
            <w:pPr>
              <w:spacing w:after="0"/>
              <w:rPr>
                <w:sz w:val="10"/>
                <w:szCs w:val="10"/>
                <w:color w:val="auto"/>
              </w:rPr>
            </w:pPr>
          </w:p>
        </w:tc>
        <w:tc>
          <w:tcPr>
            <w:tcW w:w="380" w:type="dxa"/>
            <w:vAlign w:val="bottom"/>
            <w:tcBorders>
              <w:top w:val="single" w:sz="8" w:color="CCEEFF"/>
            </w:tcBorders>
            <w:gridSpan w:val="3"/>
            <w:vMerge w:val="continue"/>
            <w:shd w:val="clear" w:color="auto" w:fill="CCEEFF"/>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28</w:t>
            </w:r>
            <w:r>
              <w:rPr>
                <w:rFonts w:ascii="Arial" w:cs="Arial" w:eastAsia="Arial" w:hAnsi="Arial"/>
                <w:sz w:val="18"/>
                <w:szCs w:val="18"/>
                <w:color w:val="000000"/>
              </w:rPr>
              <w:t>​</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0000EE"/>
            </w:tcBorders>
            <w:shd w:val="clear" w:color="auto" w:fill="CCEEFF"/>
          </w:tcPr>
          <w:p>
            <w:pPr>
              <w:spacing w:after="0"/>
              <w:rPr>
                <w:sz w:val="17"/>
                <w:szCs w:val="17"/>
                <w:color w:val="auto"/>
              </w:rPr>
            </w:pPr>
          </w:p>
        </w:tc>
        <w:tc>
          <w:tcPr>
            <w:tcW w:w="1100" w:type="dxa"/>
            <w:vAlign w:val="bottom"/>
            <w:tcBorders>
              <w:top w:val="single" w:sz="8" w:color="0000EE"/>
            </w:tcBorders>
            <w:gridSpan w:val="3"/>
            <w:shd w:val="clear" w:color="auto" w:fill="CCEEFF"/>
          </w:tcPr>
          <w:p>
            <w:pPr>
              <w:spacing w:after="0" w:line="196" w:lineRule="exact"/>
              <w:rPr>
                <w:sz w:val="20"/>
                <w:szCs w:val="20"/>
                <w:color w:val="auto"/>
              </w:rPr>
            </w:pPr>
            <w:r>
              <w:rPr>
                <w:rFonts w:ascii="Arial" w:cs="Arial" w:eastAsia="Arial" w:hAnsi="Arial"/>
                <w:sz w:val="18"/>
                <w:szCs w:val="18"/>
                <w:color w:val="0000EE"/>
              </w:rPr>
              <w:t>Employment</w:t>
            </w:r>
          </w:p>
        </w:tc>
        <w:tc>
          <w:tcPr>
            <w:tcW w:w="2700" w:type="dxa"/>
            <w:vAlign w:val="bottom"/>
            <w:tcBorders>
              <w:top w:val="single" w:sz="8" w:color="0000EE"/>
            </w:tcBorders>
            <w:gridSpan w:val="19"/>
            <w:shd w:val="clear" w:color="auto" w:fill="CCEEFF"/>
          </w:tcPr>
          <w:p>
            <w:pPr>
              <w:spacing w:after="0"/>
              <w:rPr>
                <w:sz w:val="17"/>
                <w:szCs w:val="17"/>
                <w:color w:val="auto"/>
              </w:rPr>
            </w:pPr>
          </w:p>
        </w:tc>
        <w:tc>
          <w:tcPr>
            <w:tcW w:w="60" w:type="dxa"/>
            <w:vAlign w:val="bottom"/>
            <w:tcBorders>
              <w:top w:val="single" w:sz="8" w:color="CCEEFF"/>
            </w:tcBorders>
            <w:gridSpan w:val="3"/>
            <w:shd w:val="clear" w:color="auto" w:fill="CCEEFF"/>
          </w:tcPr>
          <w:p>
            <w:pPr>
              <w:spacing w:after="0"/>
              <w:rPr>
                <w:sz w:val="17"/>
                <w:szCs w:val="17"/>
                <w:color w:val="auto"/>
              </w:rPr>
            </w:pPr>
          </w:p>
        </w:tc>
        <w:tc>
          <w:tcPr>
            <w:tcW w:w="380" w:type="dxa"/>
            <w:vAlign w:val="bottom"/>
            <w:tcBorders>
              <w:top w:val="single" w:sz="8" w:color="CCEEFF"/>
            </w:tcBorders>
            <w:gridSpan w:val="3"/>
            <w:vMerge w:val="continue"/>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 w:type="dxa"/>
            <w:vAlign w:val="bottom"/>
            <w:gridSpan w:val="3"/>
            <w:vMerge w:val="continue"/>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vMerge w:val="restart"/>
          </w:tcPr>
          <w:p>
            <w:pPr>
              <w:spacing w:after="0"/>
              <w:rPr>
                <w:sz w:val="4"/>
                <w:szCs w:val="4"/>
                <w:color w:val="auto"/>
              </w:rPr>
            </w:pPr>
          </w:p>
        </w:tc>
        <w:tc>
          <w:tcPr>
            <w:tcW w:w="3000" w:type="dxa"/>
            <w:vAlign w:val="bottom"/>
            <w:gridSpan w:val="12"/>
            <w:vMerge w:val="restart"/>
          </w:tcPr>
          <w:p>
            <w:pPr>
              <w:spacing w:after="0" w:line="196" w:lineRule="exact"/>
              <w:rPr>
                <w:sz w:val="20"/>
                <w:szCs w:val="20"/>
                <w:color w:val="auto"/>
              </w:rPr>
            </w:pPr>
            <w:r>
              <w:rPr>
                <w:rFonts w:ascii="Arial" w:cs="Arial" w:eastAsia="Arial" w:hAnsi="Arial"/>
                <w:sz w:val="18"/>
                <w:szCs w:val="18"/>
                <w:color w:val="0000EE"/>
              </w:rPr>
              <w:t>Chief Executive Officer Pay Ratio</w:t>
            </w:r>
          </w:p>
        </w:tc>
        <w:tc>
          <w:tcPr>
            <w:tcW w:w="1020" w:type="dxa"/>
            <w:vAlign w:val="bottom"/>
            <w:gridSpan w:val="14"/>
            <w:vMerge w:val="restart"/>
          </w:tcPr>
          <w:p>
            <w:pPr>
              <w:spacing w:after="0"/>
              <w:rPr>
                <w:sz w:val="4"/>
                <w:szCs w:val="4"/>
                <w:color w:val="auto"/>
              </w:rPr>
            </w:pPr>
          </w:p>
        </w:tc>
        <w:tc>
          <w:tcPr>
            <w:tcW w:w="42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color w:val="0000EE"/>
              </w:rPr>
              <w:t>58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100" w:type="dxa"/>
            <w:vAlign w:val="bottom"/>
            <w:tcBorders>
              <w:top w:val="single" w:sz="8" w:color="0000EE"/>
            </w:tcBorders>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3000" w:type="dxa"/>
            <w:vAlign w:val="bottom"/>
            <w:gridSpan w:val="12"/>
            <w:vMerge w:val="continue"/>
          </w:tcPr>
          <w:p>
            <w:pPr>
              <w:spacing w:after="0"/>
              <w:rPr>
                <w:sz w:val="12"/>
                <w:szCs w:val="12"/>
                <w:color w:val="auto"/>
              </w:rPr>
            </w:pPr>
          </w:p>
        </w:tc>
        <w:tc>
          <w:tcPr>
            <w:tcW w:w="1020" w:type="dxa"/>
            <w:vAlign w:val="bottom"/>
            <w:gridSpan w:val="14"/>
            <w:vMerge w:val="continue"/>
          </w:tcPr>
          <w:p>
            <w:pPr>
              <w:spacing w:after="0"/>
              <w:rPr>
                <w:sz w:val="12"/>
                <w:szCs w:val="12"/>
                <w:color w:val="auto"/>
              </w:rPr>
            </w:pPr>
          </w:p>
        </w:tc>
        <w:tc>
          <w:tcPr>
            <w:tcW w:w="4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60" w:type="dxa"/>
            <w:vAlign w:val="bottom"/>
            <w:gridSpan w:val="3"/>
          </w:tcPr>
          <w:p>
            <w:pPr>
              <w:jc w:val="right"/>
              <w:spacing w:after="0"/>
              <w:rPr>
                <w:sz w:val="20"/>
                <w:szCs w:val="20"/>
                <w:color w:val="auto"/>
              </w:rPr>
            </w:pPr>
            <w:r>
              <w:rPr>
                <w:rFonts w:ascii="Arial" w:cs="Arial" w:eastAsia="Arial" w:hAnsi="Arial"/>
                <w:sz w:val="18"/>
                <w:szCs w:val="18"/>
                <w:color w:val="0000EE"/>
              </w:rPr>
              <w:t>29</w:t>
            </w:r>
            <w:r>
              <w:rPr>
                <w:rFonts w:ascii="Arial" w:cs="Arial" w:eastAsia="Arial" w:hAnsi="Arial"/>
                <w:sz w:val="18"/>
                <w:szCs w:val="18"/>
                <w:color w:val="000000"/>
              </w:rPr>
              <w:t>​</w:t>
            </w:r>
          </w:p>
        </w:tc>
        <w:tc>
          <w:tcPr>
            <w:tcW w:w="1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right w:val="single" w:sz="8" w:color="CCEEFF"/>
            </w:tcBorders>
            <w:shd w:val="clear" w:color="auto" w:fill="CCEEFF"/>
          </w:tcPr>
          <w:p>
            <w:pPr>
              <w:spacing w:after="0"/>
              <w:rPr>
                <w:sz w:val="20"/>
                <w:szCs w:val="20"/>
                <w:color w:val="auto"/>
              </w:rPr>
            </w:pPr>
          </w:p>
        </w:tc>
        <w:tc>
          <w:tcPr>
            <w:tcW w:w="3000" w:type="dxa"/>
            <w:vAlign w:val="bottom"/>
            <w:tcBorders>
              <w:top w:val="single" w:sz="8" w:color="0000EE"/>
              <w:bottom w:val="single" w:sz="8" w:color="0000EE"/>
              <w:right w:val="single" w:sz="8" w:color="CCEEFF"/>
            </w:tcBorders>
            <w:gridSpan w:val="12"/>
            <w:shd w:val="clear" w:color="auto" w:fill="CCEEFF"/>
          </w:tcPr>
          <w:p>
            <w:pPr>
              <w:spacing w:after="0" w:line="196" w:lineRule="exact"/>
              <w:rPr>
                <w:sz w:val="20"/>
                <w:szCs w:val="20"/>
                <w:color w:val="auto"/>
              </w:rPr>
            </w:pPr>
            <w:r>
              <w:rPr>
                <w:rFonts w:ascii="Arial" w:cs="Arial" w:eastAsia="Arial" w:hAnsi="Arial"/>
                <w:sz w:val="18"/>
                <w:szCs w:val="18"/>
                <w:color w:val="0000EE"/>
              </w:rPr>
              <w:t>Equity Compensation Plan Table</w:t>
            </w:r>
          </w:p>
        </w:tc>
        <w:tc>
          <w:tcPr>
            <w:tcW w:w="760" w:type="dxa"/>
            <w:vAlign w:val="bottom"/>
            <w:tcBorders>
              <w:bottom w:val="single" w:sz="8" w:color="CCEEFF"/>
            </w:tcBorders>
            <w:gridSpan w:val="9"/>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4"/>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20" w:type="dxa"/>
            <w:vAlign w:val="bottom"/>
            <w:tcBorders>
              <w:top w:val="single" w:sz="8" w:color="0000EE"/>
              <w:bottom w:val="single" w:sz="8" w:color="0000EE"/>
            </w:tcBorders>
            <w:shd w:val="clear" w:color="auto" w:fill="CCEEFF"/>
          </w:tcPr>
          <w:p>
            <w:pPr>
              <w:jc w:val="right"/>
              <w:spacing w:after="0" w:line="196" w:lineRule="exact"/>
              <w:rPr>
                <w:sz w:val="20"/>
                <w:szCs w:val="20"/>
                <w:color w:val="auto"/>
              </w:rPr>
            </w:pPr>
            <w:r>
              <w:rPr>
                <w:rFonts w:ascii="Arial" w:cs="Arial" w:eastAsia="Arial" w:hAnsi="Arial"/>
                <w:sz w:val="18"/>
                <w:szCs w:val="18"/>
                <w:color w:val="0000EE"/>
                <w:w w:val="89"/>
              </w:rPr>
              <w:t>58</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0" w:type="dxa"/>
            <w:vAlign w:val="bottom"/>
            <w:tcBorders>
              <w:bottom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CCEEFF"/>
            </w:tcBorders>
            <w:gridSpan w:val="10"/>
            <w:vMerge w:val="restart"/>
          </w:tcPr>
          <w:p>
            <w:pPr>
              <w:spacing w:after="0" w:line="196" w:lineRule="exact"/>
              <w:rPr>
                <w:sz w:val="20"/>
                <w:szCs w:val="20"/>
                <w:color w:val="auto"/>
              </w:rPr>
            </w:pPr>
            <w:r>
              <w:rPr>
                <w:rFonts w:ascii="Arial" w:cs="Arial" w:eastAsia="Arial" w:hAnsi="Arial"/>
                <w:sz w:val="18"/>
                <w:szCs w:val="18"/>
                <w:b w:val="1"/>
                <w:bCs w:val="1"/>
                <w:color w:val="457157"/>
              </w:rPr>
              <w:t>Pay Versus Performance</w:t>
            </w: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220" w:type="dxa"/>
            <w:vAlign w:val="bottom"/>
            <w:tcBorders>
              <w:top w:val="single" w:sz="8" w:color="CCEEFF"/>
              <w:bottom w:val="single" w:sz="8" w:color="CCEEFF"/>
            </w:tcBorders>
            <w:vMerge w:val="restart"/>
          </w:tcPr>
          <w:p>
            <w:pPr>
              <w:jc w:val="right"/>
              <w:spacing w:after="0" w:line="196" w:lineRule="exact"/>
              <w:rPr>
                <w:sz w:val="20"/>
                <w:szCs w:val="20"/>
                <w:color w:val="auto"/>
              </w:rPr>
            </w:pPr>
            <w:r>
              <w:rPr>
                <w:rFonts w:ascii="Arial" w:cs="Arial" w:eastAsia="Arial" w:hAnsi="Arial"/>
                <w:sz w:val="18"/>
                <w:szCs w:val="18"/>
                <w:color w:val="0000EE"/>
                <w:w w:val="89"/>
              </w:rPr>
              <w:t>59</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63"/>
        </w:trPr>
        <w:tc>
          <w:tcPr>
            <w:tcW w:w="260" w:type="dxa"/>
            <w:vAlign w:val="bottom"/>
            <w:gridSpan w:val="3"/>
            <w:vMerge w:val="restart"/>
          </w:tcPr>
          <w:p>
            <w:pPr>
              <w:jc w:val="right"/>
              <w:spacing w:after="0" w:line="203" w:lineRule="exact"/>
              <w:rPr>
                <w:sz w:val="20"/>
                <w:szCs w:val="20"/>
                <w:color w:val="auto"/>
              </w:rPr>
            </w:pPr>
            <w:r>
              <w:rPr>
                <w:rFonts w:ascii="Arial" w:cs="Arial" w:eastAsia="Arial" w:hAnsi="Arial"/>
                <w:sz w:val="18"/>
                <w:szCs w:val="18"/>
                <w:color w:val="0000EE"/>
              </w:rPr>
              <w:t>30</w:t>
            </w:r>
            <w:r>
              <w:rPr>
                <w:rFonts w:ascii="Arial" w:cs="Arial" w:eastAsia="Arial" w:hAnsi="Arial"/>
                <w:sz w:val="18"/>
                <w:szCs w:val="18"/>
                <w:color w:val="000000"/>
              </w:rPr>
              <w:t>​</w:t>
            </w:r>
          </w:p>
        </w:tc>
        <w:tc>
          <w:tcPr>
            <w:tcW w:w="180" w:type="dxa"/>
            <w:vAlign w:val="bottom"/>
          </w:tcPr>
          <w:p>
            <w:pPr>
              <w:spacing w:after="0"/>
              <w:rPr>
                <w:sz w:val="14"/>
                <w:szCs w:val="14"/>
                <w:color w:val="auto"/>
              </w:rPr>
            </w:pPr>
          </w:p>
        </w:tc>
        <w:tc>
          <w:tcPr>
            <w:tcW w:w="2320" w:type="dxa"/>
            <w:vAlign w:val="bottom"/>
            <w:tcBorders>
              <w:bottom w:val="single" w:sz="8" w:color="457157"/>
            </w:tcBorders>
            <w:gridSpan w:val="10"/>
            <w:vMerge w:val="continue"/>
          </w:tcPr>
          <w:p>
            <w:pPr>
              <w:spacing w:after="0"/>
              <w:rPr>
                <w:sz w:val="14"/>
                <w:szCs w:val="14"/>
                <w:color w:val="auto"/>
              </w:rPr>
            </w:pPr>
          </w:p>
        </w:tc>
        <w:tc>
          <w:tcPr>
            <w:tcW w:w="160" w:type="dxa"/>
            <w:vAlign w:val="bottom"/>
            <w:gridSpan w:val="2"/>
            <w:vMerge w:val="restart"/>
          </w:tcPr>
          <w:p>
            <w:pPr>
              <w:spacing w:after="0"/>
              <w:rPr>
                <w:sz w:val="14"/>
                <w:szCs w:val="14"/>
                <w:color w:val="auto"/>
              </w:rPr>
            </w:pPr>
          </w:p>
        </w:tc>
        <w:tc>
          <w:tcPr>
            <w:tcW w:w="720" w:type="dxa"/>
            <w:vAlign w:val="bottom"/>
            <w:vMerge w:val="restart"/>
          </w:tcPr>
          <w:p>
            <w:pPr>
              <w:spacing w:after="0"/>
              <w:rPr>
                <w:sz w:val="14"/>
                <w:szCs w:val="14"/>
                <w:color w:val="auto"/>
              </w:rPr>
            </w:pPr>
          </w:p>
        </w:tc>
        <w:tc>
          <w:tcPr>
            <w:tcW w:w="760" w:type="dxa"/>
            <w:vAlign w:val="bottom"/>
            <w:gridSpan w:val="9"/>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20" w:type="dxa"/>
            <w:vAlign w:val="bottom"/>
            <w:gridSpan w:val="4"/>
            <w:vMerge w:val="restart"/>
          </w:tcPr>
          <w:p>
            <w:pPr>
              <w:spacing w:after="0"/>
              <w:rPr>
                <w:sz w:val="14"/>
                <w:szCs w:val="14"/>
                <w:color w:val="auto"/>
              </w:rPr>
            </w:pPr>
          </w:p>
        </w:tc>
        <w:tc>
          <w:tcPr>
            <w:tcW w:w="160" w:type="dxa"/>
            <w:vAlign w:val="bottom"/>
            <w:tcBorders>
              <w:bottom w:val="single" w:sz="8" w:color="CCEEFF"/>
            </w:tcBorders>
            <w:gridSpan w:val="2"/>
            <w:vMerge w:val="continue"/>
          </w:tcPr>
          <w:p>
            <w:pPr>
              <w:spacing w:after="0"/>
              <w:rPr>
                <w:sz w:val="14"/>
                <w:szCs w:val="14"/>
                <w:color w:val="auto"/>
              </w:rPr>
            </w:pPr>
          </w:p>
        </w:tc>
        <w:tc>
          <w:tcPr>
            <w:tcW w:w="220" w:type="dxa"/>
            <w:vAlign w:val="bottom"/>
            <w:tcBorders>
              <w:bottom w:val="single" w:sz="8" w:color="0000EE"/>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
        </w:trPr>
        <w:tc>
          <w:tcPr>
            <w:tcW w:w="260" w:type="dxa"/>
            <w:vAlign w:val="bottom"/>
            <w:gridSpan w:val="3"/>
            <w:vMerge w:val="continue"/>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1300" w:type="dxa"/>
            <w:vAlign w:val="bottom"/>
            <w:gridSpan w:val="7"/>
          </w:tcPr>
          <w:p>
            <w:pPr>
              <w:spacing w:after="0"/>
              <w:rPr>
                <w:sz w:val="2"/>
                <w:szCs w:val="2"/>
                <w:color w:val="auto"/>
              </w:rPr>
            </w:pPr>
          </w:p>
        </w:tc>
        <w:tc>
          <w:tcPr>
            <w:tcW w:w="160" w:type="dxa"/>
            <w:vAlign w:val="bottom"/>
            <w:gridSpan w:val="2"/>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760" w:type="dxa"/>
            <w:vAlign w:val="bottom"/>
            <w:gridSpan w:val="9"/>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120" w:type="dxa"/>
            <w:vAlign w:val="bottom"/>
            <w:gridSpan w:val="4"/>
            <w:vMerge w:val="continue"/>
          </w:tcPr>
          <w:p>
            <w:pPr>
              <w:spacing w:after="0"/>
              <w:rPr>
                <w:sz w:val="2"/>
                <w:szCs w:val="2"/>
                <w:color w:val="auto"/>
              </w:rPr>
            </w:pPr>
          </w:p>
        </w:tc>
        <w:tc>
          <w:tcPr>
            <w:tcW w:w="16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20" w:type="dxa"/>
            <w:vAlign w:val="bottom"/>
            <w:tcBorders>
              <w:top w:val="single" w:sz="8" w:color="0000EE"/>
              <w:bottom w:val="single" w:sz="8" w:color="0000EE"/>
            </w:tcBorders>
            <w:gridSpan w:val="2"/>
            <w:vMerge w:val="restart"/>
          </w:tcPr>
          <w:p>
            <w:pPr>
              <w:jc w:val="right"/>
              <w:spacing w:after="0" w:line="201" w:lineRule="exact"/>
              <w:rPr>
                <w:sz w:val="20"/>
                <w:szCs w:val="20"/>
                <w:color w:val="auto"/>
              </w:rPr>
            </w:pPr>
            <w:r>
              <w:rPr>
                <w:rFonts w:ascii="Arial" w:cs="Arial" w:eastAsia="Arial" w:hAnsi="Arial"/>
                <w:sz w:val="18"/>
                <w:szCs w:val="18"/>
                <w:color w:val="0000EE"/>
                <w:w w:val="89"/>
              </w:rPr>
              <w:t>31</w:t>
            </w:r>
          </w:p>
        </w:tc>
        <w:tc>
          <w:tcPr>
            <w:tcW w:w="40" w:type="dxa"/>
            <w:vAlign w:val="bottom"/>
            <w:vMerge w:val="restart"/>
          </w:tcPr>
          <w:p>
            <w:pPr>
              <w:jc w:val="right"/>
              <w:spacing w:after="0" w:line="201" w:lineRule="exact"/>
              <w:rPr>
                <w:sz w:val="20"/>
                <w:szCs w:val="20"/>
                <w:color w:val="auto"/>
              </w:rPr>
            </w:pPr>
            <w:r>
              <w:rPr>
                <w:rFonts w:ascii="Arial" w:cs="Arial" w:eastAsia="Arial" w:hAnsi="Arial"/>
                <w:sz w:val="18"/>
                <w:szCs w:val="18"/>
                <w:color w:val="auto"/>
              </w:rPr>
              <w:t>​</w:t>
            </w:r>
          </w:p>
        </w:tc>
        <w:tc>
          <w:tcPr>
            <w:tcW w:w="3380" w:type="dxa"/>
            <w:vAlign w:val="bottom"/>
            <w:tcBorders>
              <w:top w:val="single" w:sz="8" w:color="CCEEFF"/>
              <w:bottom w:val="single" w:sz="8" w:color="457157"/>
              <w:right w:val="single" w:sz="8" w:color="CCEEFF"/>
            </w:tcBorders>
            <w:gridSpan w:val="14"/>
            <w:shd w:val="clear" w:color="auto" w:fill="CCEEFF"/>
          </w:tcPr>
          <w:p>
            <w:pPr>
              <w:spacing w:after="0" w:line="155" w:lineRule="exact"/>
              <w:rPr>
                <w:sz w:val="20"/>
                <w:szCs w:val="20"/>
                <w:color w:val="auto"/>
              </w:rPr>
            </w:pPr>
            <w:r>
              <w:rPr>
                <w:rFonts w:ascii="Arial" w:cs="Arial" w:eastAsia="Arial" w:hAnsi="Arial"/>
                <w:sz w:val="17"/>
                <w:szCs w:val="17"/>
                <w:b w:val="1"/>
                <w:bCs w:val="1"/>
                <w:color w:val="457157"/>
              </w:rPr>
              <w:t>RATIFICATION OF INDEPENDENT</w:t>
            </w:r>
          </w:p>
        </w:tc>
        <w:tc>
          <w:tcPr>
            <w:tcW w:w="760" w:type="dxa"/>
            <w:vAlign w:val="bottom"/>
            <w:tcBorders>
              <w:top w:val="single" w:sz="8" w:color="CCEEFF"/>
              <w:bottom w:val="single" w:sz="8" w:color="CCEEFF"/>
            </w:tcBorders>
            <w:gridSpan w:val="9"/>
            <w:vMerge w:val="restart"/>
            <w:shd w:val="clear" w:color="auto" w:fill="CCEEFF"/>
          </w:tcPr>
          <w:p>
            <w:pPr>
              <w:spacing w:after="0"/>
              <w:rPr>
                <w:sz w:val="14"/>
                <w:szCs w:val="14"/>
                <w:color w:val="auto"/>
              </w:rPr>
            </w:pPr>
          </w:p>
        </w:tc>
        <w:tc>
          <w:tcPr>
            <w:tcW w:w="140" w:type="dxa"/>
            <w:vAlign w:val="bottom"/>
            <w:tcBorders>
              <w:top w:val="single" w:sz="8" w:color="CCEEFF"/>
              <w:bottom w:val="single" w:sz="8" w:color="CCEEFF"/>
            </w:tcBorders>
            <w:vMerge w:val="restart"/>
            <w:shd w:val="clear" w:color="auto" w:fill="CCEEFF"/>
          </w:tcPr>
          <w:p>
            <w:pPr>
              <w:spacing w:after="0"/>
              <w:rPr>
                <w:sz w:val="14"/>
                <w:szCs w:val="14"/>
                <w:color w:val="auto"/>
              </w:rPr>
            </w:pPr>
          </w:p>
        </w:tc>
        <w:tc>
          <w:tcPr>
            <w:tcW w:w="120" w:type="dxa"/>
            <w:vAlign w:val="bottom"/>
            <w:tcBorders>
              <w:top w:val="single" w:sz="8" w:color="CCEEFF"/>
              <w:bottom w:val="single" w:sz="8" w:color="CCEEFF"/>
            </w:tcBorders>
            <w:gridSpan w:val="4"/>
            <w:vMerge w:val="restart"/>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00" w:type="dxa"/>
            <w:vAlign w:val="bottom"/>
            <w:gridSpan w:val="4"/>
            <w:shd w:val="clear" w:color="auto" w:fill="CCEEFF"/>
          </w:tcPr>
          <w:p>
            <w:pPr>
              <w:spacing w:after="0" w:line="20" w:lineRule="exact"/>
              <w:rPr>
                <w:sz w:val="1"/>
                <w:szCs w:val="1"/>
                <w:color w:val="auto"/>
              </w:rPr>
            </w:pPr>
          </w:p>
        </w:tc>
        <w:tc>
          <w:tcPr>
            <w:tcW w:w="1460" w:type="dxa"/>
            <w:vAlign w:val="bottom"/>
            <w:gridSpan w:val="9"/>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gridSpan w:val="9"/>
            <w:vMerge w:val="continue"/>
            <w:shd w:val="clear" w:color="auto" w:fill="CCEEFF"/>
          </w:tcPr>
          <w:p>
            <w:pPr>
              <w:spacing w:after="0" w:line="20" w:lineRule="exact"/>
              <w:rPr>
                <w:sz w:val="1"/>
                <w:szCs w:val="1"/>
                <w:color w:val="auto"/>
              </w:rPr>
            </w:pPr>
          </w:p>
        </w:tc>
        <w:tc>
          <w:tcPr>
            <w:tcW w:w="140" w:type="dxa"/>
            <w:vAlign w:val="bottom"/>
            <w:vMerge w:val="continue"/>
            <w:shd w:val="clear" w:color="auto" w:fill="CCEEFF"/>
          </w:tcPr>
          <w:p>
            <w:pPr>
              <w:spacing w:after="0" w:line="20" w:lineRule="exact"/>
              <w:rPr>
                <w:sz w:val="1"/>
                <w:szCs w:val="1"/>
                <w:color w:val="auto"/>
              </w:rPr>
            </w:pPr>
          </w:p>
        </w:tc>
        <w:tc>
          <w:tcPr>
            <w:tcW w:w="120" w:type="dxa"/>
            <w:vAlign w:val="bottom"/>
            <w:gridSpan w:val="4"/>
            <w:vMerge w:val="continue"/>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220" w:type="dxa"/>
            <w:vAlign w:val="bottom"/>
            <w:tcBorders>
              <w:bottom w:val="single" w:sz="8" w:color="0000EE"/>
            </w:tcBorders>
            <w:gridSpan w:val="2"/>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CCEEFF"/>
            </w:tcBorders>
            <w:vMerge w:val="restart"/>
            <w:shd w:val="clear" w:color="auto" w:fill="CCEEFF"/>
          </w:tcPr>
          <w:p>
            <w:pPr>
              <w:spacing w:after="0"/>
              <w:rPr>
                <w:sz w:val="2"/>
                <w:szCs w:val="2"/>
                <w:color w:val="auto"/>
              </w:rPr>
            </w:pPr>
          </w:p>
        </w:tc>
        <w:tc>
          <w:tcPr>
            <w:tcW w:w="3960" w:type="dxa"/>
            <w:vAlign w:val="bottom"/>
            <w:tcBorders>
              <w:bottom w:val="single" w:sz="8" w:color="CCEEFF"/>
            </w:tcBorders>
            <w:gridSpan w:val="22"/>
            <w:vMerge w:val="restart"/>
            <w:shd w:val="clear" w:color="auto" w:fill="CCEEFF"/>
          </w:tcPr>
          <w:p>
            <w:pPr>
              <w:spacing w:after="0" w:line="157" w:lineRule="exact"/>
              <w:rPr>
                <w:sz w:val="20"/>
                <w:szCs w:val="20"/>
                <w:color w:val="auto"/>
              </w:rPr>
            </w:pPr>
            <w:r>
              <w:rPr>
                <w:rFonts w:ascii="Arial" w:cs="Arial" w:eastAsia="Arial" w:hAnsi="Arial"/>
                <w:sz w:val="18"/>
                <w:szCs w:val="18"/>
                <w:b w:val="1"/>
                <w:bCs w:val="1"/>
                <w:color w:val="457157"/>
              </w:rPr>
              <w:t>REGISTERED PUBLIC ACCOUNTING FIRM</w:t>
            </w:r>
          </w:p>
        </w:tc>
        <w:tc>
          <w:tcPr>
            <w:tcW w:w="140" w:type="dxa"/>
            <w:vAlign w:val="bottom"/>
            <w:tcBorders>
              <w:bottom w:val="single" w:sz="8" w:color="CCEEFF"/>
            </w:tcBorders>
            <w:vMerge w:val="restart"/>
            <w:shd w:val="clear" w:color="auto" w:fill="CCEEFF"/>
          </w:tcPr>
          <w:p>
            <w:pPr>
              <w:spacing w:after="0"/>
              <w:rPr>
                <w:sz w:val="2"/>
                <w:szCs w:val="2"/>
                <w:color w:val="auto"/>
              </w:rPr>
            </w:pPr>
          </w:p>
        </w:tc>
        <w:tc>
          <w:tcPr>
            <w:tcW w:w="120" w:type="dxa"/>
            <w:vAlign w:val="bottom"/>
            <w:tcBorders>
              <w:bottom w:val="single" w:sz="8" w:color="CCEEFF"/>
            </w:tcBorders>
            <w:gridSpan w:val="4"/>
            <w:vMerge w:val="restart"/>
            <w:shd w:val="clear" w:color="auto" w:fill="CCEEFF"/>
          </w:tcPr>
          <w:p>
            <w:pPr>
              <w:spacing w:after="0"/>
              <w:rPr>
                <w:sz w:val="2"/>
                <w:szCs w:val="2"/>
                <w:color w:val="auto"/>
              </w:rPr>
            </w:pPr>
          </w:p>
        </w:tc>
        <w:tc>
          <w:tcPr>
            <w:tcW w:w="60" w:type="dxa"/>
            <w:vAlign w:val="bottom"/>
            <w:tcBorders>
              <w:bottom w:val="single" w:sz="8" w:color="CCEEFF"/>
            </w:tcBorders>
            <w:shd w:val="clear" w:color="auto" w:fill="CCEEFF"/>
          </w:tcPr>
          <w:p>
            <w:pPr>
              <w:spacing w:after="0"/>
              <w:rPr>
                <w:sz w:val="2"/>
                <w:szCs w:val="2"/>
                <w:color w:val="auto"/>
              </w:rPr>
            </w:pPr>
          </w:p>
        </w:tc>
        <w:tc>
          <w:tcPr>
            <w:tcW w:w="100" w:type="dxa"/>
            <w:vAlign w:val="bottom"/>
            <w:tcBorders>
              <w:bottom w:val="single" w:sz="8" w:color="CCEEFF"/>
            </w:tcBorders>
            <w:shd w:val="clear" w:color="auto" w:fill="CCEEFF"/>
          </w:tcPr>
          <w:p>
            <w:pPr>
              <w:spacing w:after="0"/>
              <w:rPr>
                <w:sz w:val="2"/>
                <w:szCs w:val="2"/>
                <w:color w:val="auto"/>
              </w:rPr>
            </w:pPr>
          </w:p>
        </w:tc>
        <w:tc>
          <w:tcPr>
            <w:tcW w:w="220" w:type="dxa"/>
            <w:vAlign w:val="bottom"/>
            <w:tcBorders>
              <w:bottom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31</w:t>
            </w:r>
            <w:r>
              <w:rPr>
                <w:rFonts w:ascii="Arial" w:cs="Arial" w:eastAsia="Arial" w:hAnsi="Arial"/>
                <w:sz w:val="18"/>
                <w:szCs w:val="18"/>
                <w:color w:val="000000"/>
              </w:rPr>
              <w:t>​</w:t>
            </w:r>
          </w:p>
        </w:tc>
        <w:tc>
          <w:tcPr>
            <w:tcW w:w="180" w:type="dxa"/>
            <w:vAlign w:val="bottom"/>
            <w:tcBorders>
              <w:bottom w:val="single" w:sz="8" w:color="CCEEFF"/>
            </w:tcBorders>
            <w:vMerge w:val="continue"/>
            <w:shd w:val="clear" w:color="auto" w:fill="CCEEFF"/>
          </w:tcPr>
          <w:p>
            <w:pPr>
              <w:spacing w:after="0"/>
              <w:rPr>
                <w:sz w:val="11"/>
                <w:szCs w:val="11"/>
                <w:color w:val="auto"/>
              </w:rPr>
            </w:pPr>
          </w:p>
        </w:tc>
        <w:tc>
          <w:tcPr>
            <w:tcW w:w="3960" w:type="dxa"/>
            <w:vAlign w:val="bottom"/>
            <w:tcBorders>
              <w:bottom w:val="single" w:sz="8" w:color="457157"/>
            </w:tcBorders>
            <w:gridSpan w:val="22"/>
            <w:vMerge w:val="continue"/>
            <w:shd w:val="clear" w:color="auto" w:fill="CCEEFF"/>
          </w:tcPr>
          <w:p>
            <w:pPr>
              <w:spacing w:after="0"/>
              <w:rPr>
                <w:sz w:val="11"/>
                <w:szCs w:val="11"/>
                <w:color w:val="auto"/>
              </w:rPr>
            </w:pPr>
          </w:p>
        </w:tc>
        <w:tc>
          <w:tcPr>
            <w:tcW w:w="140" w:type="dxa"/>
            <w:vAlign w:val="bottom"/>
            <w:tcBorders>
              <w:bottom w:val="single" w:sz="8" w:color="CCEEFF"/>
            </w:tcBorders>
            <w:vMerge w:val="continue"/>
            <w:shd w:val="clear" w:color="auto" w:fill="CCEEFF"/>
          </w:tcPr>
          <w:p>
            <w:pPr>
              <w:spacing w:after="0"/>
              <w:rPr>
                <w:sz w:val="11"/>
                <w:szCs w:val="11"/>
                <w:color w:val="auto"/>
              </w:rPr>
            </w:pPr>
          </w:p>
        </w:tc>
        <w:tc>
          <w:tcPr>
            <w:tcW w:w="120" w:type="dxa"/>
            <w:vAlign w:val="bottom"/>
            <w:tcBorders>
              <w:bottom w:val="single" w:sz="8" w:color="CCEEFF"/>
            </w:tcBorders>
            <w:gridSpan w:val="4"/>
            <w:vMerge w:val="continue"/>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60" w:type="dxa"/>
            <w:vAlign w:val="bottom"/>
            <w:gridSpan w:val="3"/>
            <w:vMerge w:val="continue"/>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2480" w:type="dxa"/>
            <w:vAlign w:val="bottom"/>
            <w:gridSpan w:val="12"/>
            <w:vMerge w:val="restart"/>
            <w:shd w:val="clear" w:color="auto" w:fill="CCEEFF"/>
          </w:tcPr>
          <w:p>
            <w:pPr>
              <w:spacing w:after="0" w:line="196" w:lineRule="exact"/>
              <w:rPr>
                <w:sz w:val="20"/>
                <w:szCs w:val="20"/>
                <w:color w:val="auto"/>
              </w:rPr>
            </w:pPr>
            <w:r>
              <w:rPr>
                <w:rFonts w:ascii="Arial" w:cs="Arial" w:eastAsia="Arial" w:hAnsi="Arial"/>
                <w:sz w:val="18"/>
                <w:szCs w:val="18"/>
                <w:b w:val="1"/>
                <w:bCs w:val="1"/>
                <w:color w:val="457157"/>
              </w:rPr>
              <w:t>(Item 2 on the Proxy Card)</w:t>
            </w:r>
          </w:p>
        </w:tc>
        <w:tc>
          <w:tcPr>
            <w:tcW w:w="1740" w:type="dxa"/>
            <w:vAlign w:val="bottom"/>
            <w:gridSpan w:val="15"/>
            <w:vMerge w:val="restart"/>
            <w:shd w:val="clear" w:color="auto" w:fill="CCEEFF"/>
          </w:tcPr>
          <w:p>
            <w:pPr>
              <w:spacing w:after="0"/>
              <w:rPr>
                <w:sz w:val="6"/>
                <w:szCs w:val="6"/>
                <w:color w:val="auto"/>
              </w:rPr>
            </w:pPr>
          </w:p>
        </w:tc>
        <w:tc>
          <w:tcPr>
            <w:tcW w:w="380" w:type="dxa"/>
            <w:vAlign w:val="bottom"/>
            <w:gridSpan w:val="3"/>
            <w:vMerge w:val="restart"/>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0000EE"/>
              </w:rPr>
              <w:t>63</w:t>
            </w:r>
          </w:p>
        </w:tc>
        <w:tc>
          <w:tcPr>
            <w:tcW w:w="40" w:type="dxa"/>
            <w:vAlign w:val="bottom"/>
            <w:vMerge w:val="restart"/>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01"/>
        </w:trPr>
        <w:tc>
          <w:tcPr>
            <w:tcW w:w="220" w:type="dxa"/>
            <w:vAlign w:val="bottom"/>
            <w:tcBorders>
              <w:top w:val="single" w:sz="8" w:color="0000EE"/>
            </w:tcBorders>
            <w:gridSpan w:val="2"/>
            <w:vMerge w:val="restart"/>
          </w:tcPr>
          <w:p>
            <w:pPr>
              <w:jc w:val="right"/>
              <w:spacing w:after="0"/>
              <w:rPr>
                <w:sz w:val="20"/>
                <w:szCs w:val="20"/>
                <w:color w:val="auto"/>
              </w:rPr>
            </w:pPr>
            <w:r>
              <w:rPr>
                <w:rFonts w:ascii="Arial" w:cs="Arial" w:eastAsia="Arial" w:hAnsi="Arial"/>
                <w:sz w:val="18"/>
                <w:szCs w:val="18"/>
                <w:color w:val="0000EE"/>
                <w:w w:val="89"/>
              </w:rPr>
              <w:t>31</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8"/>
                <w:szCs w:val="8"/>
                <w:color w:val="auto"/>
              </w:rPr>
            </w:pPr>
          </w:p>
        </w:tc>
        <w:tc>
          <w:tcPr>
            <w:tcW w:w="2480" w:type="dxa"/>
            <w:vAlign w:val="bottom"/>
            <w:tcBorders>
              <w:top w:val="single" w:sz="8" w:color="CCEEFF"/>
            </w:tcBorders>
            <w:gridSpan w:val="12"/>
            <w:vMerge w:val="continue"/>
            <w:shd w:val="clear" w:color="auto" w:fill="CCEEFF"/>
          </w:tcPr>
          <w:p>
            <w:pPr>
              <w:spacing w:after="0"/>
              <w:rPr>
                <w:sz w:val="8"/>
                <w:szCs w:val="8"/>
                <w:color w:val="auto"/>
              </w:rPr>
            </w:pPr>
          </w:p>
        </w:tc>
        <w:tc>
          <w:tcPr>
            <w:tcW w:w="1740" w:type="dxa"/>
            <w:vAlign w:val="bottom"/>
            <w:tcBorders>
              <w:top w:val="single" w:sz="8" w:color="CCEEFF"/>
            </w:tcBorders>
            <w:gridSpan w:val="15"/>
            <w:vMerge w:val="continue"/>
            <w:shd w:val="clear" w:color="auto" w:fill="CCEEFF"/>
          </w:tcPr>
          <w:p>
            <w:pPr>
              <w:spacing w:after="0"/>
              <w:rPr>
                <w:sz w:val="8"/>
                <w:szCs w:val="8"/>
                <w:color w:val="auto"/>
              </w:rPr>
            </w:pPr>
          </w:p>
        </w:tc>
        <w:tc>
          <w:tcPr>
            <w:tcW w:w="380" w:type="dxa"/>
            <w:vAlign w:val="bottom"/>
            <w:tcBorders>
              <w:top w:val="single" w:sz="8" w:color="CCEEFF"/>
            </w:tcBorders>
            <w:gridSpan w:val="3"/>
            <w:vMerge w:val="continue"/>
            <w:shd w:val="clear" w:color="auto" w:fill="CCEEFF"/>
          </w:tcPr>
          <w:p>
            <w:pPr>
              <w:spacing w:after="0"/>
              <w:rPr>
                <w:sz w:val="8"/>
                <w:szCs w:val="8"/>
                <w:color w:val="auto"/>
              </w:rPr>
            </w:pP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20" w:type="dxa"/>
            <w:vAlign w:val="bottom"/>
            <w:tcBorders>
              <w:top w:val="single" w:sz="8" w:color="0000EE"/>
            </w:tcBorders>
            <w:gridSpan w:val="2"/>
            <w:vMerge w:val="continue"/>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457157"/>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457157"/>
            </w:tcBorders>
            <w:shd w:val="clear" w:color="auto" w:fill="CCEEFF"/>
          </w:tcPr>
          <w:p>
            <w:pPr>
              <w:spacing w:after="0" w:line="20" w:lineRule="exact"/>
              <w:rPr>
                <w:sz w:val="1"/>
                <w:szCs w:val="1"/>
                <w:color w:val="auto"/>
              </w:rPr>
            </w:pPr>
          </w:p>
        </w:tc>
        <w:tc>
          <w:tcPr>
            <w:tcW w:w="660" w:type="dxa"/>
            <w:vAlign w:val="bottom"/>
            <w:tcBorders>
              <w:top w:val="single" w:sz="8" w:color="457157"/>
            </w:tcBorders>
            <w:shd w:val="clear" w:color="auto" w:fill="CCEEFF"/>
          </w:tcPr>
          <w:p>
            <w:pPr>
              <w:spacing w:after="0" w:line="20" w:lineRule="exact"/>
              <w:rPr>
                <w:sz w:val="1"/>
                <w:szCs w:val="1"/>
                <w:color w:val="auto"/>
              </w:rPr>
            </w:pPr>
          </w:p>
        </w:tc>
        <w:tc>
          <w:tcPr>
            <w:tcW w:w="160" w:type="dxa"/>
            <w:vAlign w:val="bottom"/>
            <w:tcBorders>
              <w:top w:val="single" w:sz="8" w:color="457157"/>
            </w:tcBorders>
            <w:shd w:val="clear" w:color="auto" w:fill="CCEEFF"/>
          </w:tcPr>
          <w:p>
            <w:pPr>
              <w:spacing w:after="0" w:line="20" w:lineRule="exact"/>
              <w:rPr>
                <w:sz w:val="1"/>
                <w:szCs w:val="1"/>
                <w:color w:val="auto"/>
              </w:rPr>
            </w:pPr>
          </w:p>
        </w:tc>
        <w:tc>
          <w:tcPr>
            <w:tcW w:w="280" w:type="dxa"/>
            <w:vAlign w:val="bottom"/>
            <w:tcBorders>
              <w:top w:val="single" w:sz="8" w:color="457157"/>
            </w:tcBorders>
            <w:shd w:val="clear" w:color="auto" w:fill="CCEEFF"/>
          </w:tcPr>
          <w:p>
            <w:pPr>
              <w:spacing w:after="0" w:line="20" w:lineRule="exact"/>
              <w:rPr>
                <w:sz w:val="1"/>
                <w:szCs w:val="1"/>
                <w:color w:val="auto"/>
              </w:rPr>
            </w:pPr>
          </w:p>
        </w:tc>
        <w:tc>
          <w:tcPr>
            <w:tcW w:w="520" w:type="dxa"/>
            <w:vAlign w:val="bottom"/>
            <w:tcBorders>
              <w:top w:val="single" w:sz="8" w:color="457157"/>
            </w:tcBorders>
            <w:shd w:val="clear" w:color="auto" w:fill="CCEEFF"/>
          </w:tcPr>
          <w:p>
            <w:pPr>
              <w:spacing w:after="0" w:line="20" w:lineRule="exact"/>
              <w:rPr>
                <w:sz w:val="1"/>
                <w:szCs w:val="1"/>
                <w:color w:val="auto"/>
              </w:rPr>
            </w:pPr>
          </w:p>
        </w:tc>
        <w:tc>
          <w:tcPr>
            <w:tcW w:w="120" w:type="dxa"/>
            <w:vAlign w:val="bottom"/>
            <w:tcBorders>
              <w:top w:val="single" w:sz="8" w:color="457157"/>
            </w:tcBorders>
            <w:shd w:val="clear" w:color="auto" w:fill="CCEEFF"/>
          </w:tcPr>
          <w:p>
            <w:pPr>
              <w:spacing w:after="0" w:line="20" w:lineRule="exact"/>
              <w:rPr>
                <w:sz w:val="1"/>
                <w:szCs w:val="1"/>
                <w:color w:val="auto"/>
              </w:rPr>
            </w:pPr>
          </w:p>
        </w:tc>
        <w:tc>
          <w:tcPr>
            <w:tcW w:w="20" w:type="dxa"/>
            <w:vAlign w:val="bottom"/>
            <w:tcBorders>
              <w:top w:val="single" w:sz="8" w:color="457157"/>
            </w:tcBorders>
            <w:shd w:val="clear" w:color="auto" w:fill="CCEEFF"/>
          </w:tcPr>
          <w:p>
            <w:pPr>
              <w:spacing w:after="0" w:line="20" w:lineRule="exact"/>
              <w:rPr>
                <w:sz w:val="1"/>
                <w:szCs w:val="1"/>
                <w:color w:val="auto"/>
              </w:rPr>
            </w:pPr>
          </w:p>
        </w:tc>
        <w:tc>
          <w:tcPr>
            <w:tcW w:w="100" w:type="dxa"/>
            <w:vAlign w:val="bottom"/>
            <w:tcBorders>
              <w:top w:val="single" w:sz="8" w:color="457157"/>
            </w:tcBorders>
            <w:shd w:val="clear" w:color="auto" w:fill="CCEEFF"/>
          </w:tcPr>
          <w:p>
            <w:pPr>
              <w:spacing w:after="0" w:line="20" w:lineRule="exact"/>
              <w:rPr>
                <w:sz w:val="1"/>
                <w:szCs w:val="1"/>
                <w:color w:val="auto"/>
              </w:rPr>
            </w:pPr>
          </w:p>
        </w:tc>
        <w:tc>
          <w:tcPr>
            <w:tcW w:w="100" w:type="dxa"/>
            <w:vAlign w:val="bottom"/>
            <w:tcBorders>
              <w:top w:val="single" w:sz="8" w:color="457157"/>
            </w:tcBorders>
            <w:shd w:val="clear" w:color="auto" w:fill="CCEEFF"/>
          </w:tcPr>
          <w:p>
            <w:pPr>
              <w:spacing w:after="0" w:line="20" w:lineRule="exact"/>
              <w:rPr>
                <w:sz w:val="1"/>
                <w:szCs w:val="1"/>
                <w:color w:val="auto"/>
              </w:rPr>
            </w:pPr>
          </w:p>
        </w:tc>
        <w:tc>
          <w:tcPr>
            <w:tcW w:w="120" w:type="dxa"/>
            <w:vAlign w:val="bottom"/>
            <w:tcBorders>
              <w:top w:val="single" w:sz="8" w:color="457157"/>
            </w:tcBorders>
            <w:shd w:val="clear" w:color="auto" w:fill="CCEEFF"/>
          </w:tcPr>
          <w:p>
            <w:pPr>
              <w:spacing w:after="0" w:line="20" w:lineRule="exact"/>
              <w:rPr>
                <w:sz w:val="1"/>
                <w:szCs w:val="1"/>
                <w:color w:val="auto"/>
              </w:rPr>
            </w:pPr>
          </w:p>
        </w:tc>
        <w:tc>
          <w:tcPr>
            <w:tcW w:w="40" w:type="dxa"/>
            <w:vAlign w:val="bottom"/>
            <w:tcBorders>
              <w:top w:val="single" w:sz="8" w:color="457157"/>
            </w:tcBorders>
            <w:shd w:val="clear" w:color="auto" w:fill="CCEEFF"/>
          </w:tcPr>
          <w:p>
            <w:pPr>
              <w:spacing w:after="0" w:line="20" w:lineRule="exact"/>
              <w:rPr>
                <w:sz w:val="1"/>
                <w:szCs w:val="1"/>
                <w:color w:val="auto"/>
              </w:rPr>
            </w:pPr>
          </w:p>
        </w:tc>
        <w:tc>
          <w:tcPr>
            <w:tcW w:w="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20" w:type="dxa"/>
            <w:vAlign w:val="bottom"/>
            <w:tcBorders>
              <w:bottom w:val="single" w:sz="8" w:color="0000EE"/>
            </w:tcBorders>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3380" w:type="dxa"/>
            <w:vAlign w:val="bottom"/>
            <w:gridSpan w:val="14"/>
            <w:vMerge w:val="restart"/>
          </w:tcPr>
          <w:p>
            <w:pPr>
              <w:spacing w:after="0" w:line="189" w:lineRule="exact"/>
              <w:rPr>
                <w:sz w:val="20"/>
                <w:szCs w:val="20"/>
                <w:color w:val="auto"/>
              </w:rPr>
            </w:pPr>
            <w:r>
              <w:rPr>
                <w:rFonts w:ascii="Arial" w:cs="Arial" w:eastAsia="Arial" w:hAnsi="Arial"/>
                <w:sz w:val="18"/>
                <w:szCs w:val="18"/>
                <w:b w:val="1"/>
                <w:bCs w:val="1"/>
                <w:color w:val="457157"/>
              </w:rPr>
              <w:t>ADVISORY VOTE ON EXECUTIVE</w:t>
            </w:r>
          </w:p>
        </w:tc>
        <w:tc>
          <w:tcPr>
            <w:tcW w:w="1020" w:type="dxa"/>
            <w:vAlign w:val="bottom"/>
            <w:gridSpan w:val="14"/>
            <w:vMerge w:val="restart"/>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0"/>
        </w:trPr>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0000EE"/>
                <w:w w:val="89"/>
              </w:rPr>
              <w:t>31</w:t>
            </w:r>
          </w:p>
        </w:tc>
        <w:tc>
          <w:tcPr>
            <w:tcW w:w="40" w:type="dxa"/>
            <w:vAlign w:val="bottom"/>
            <w:vMerge w:val="continue"/>
          </w:tcPr>
          <w:p>
            <w:pPr>
              <w:spacing w:after="0"/>
              <w:rPr>
                <w:sz w:val="8"/>
                <w:szCs w:val="8"/>
                <w:color w:val="auto"/>
              </w:rPr>
            </w:pPr>
          </w:p>
        </w:tc>
        <w:tc>
          <w:tcPr>
            <w:tcW w:w="3380" w:type="dxa"/>
            <w:vAlign w:val="bottom"/>
            <w:tcBorders>
              <w:bottom w:val="single" w:sz="8" w:color="457157"/>
            </w:tcBorders>
            <w:gridSpan w:val="14"/>
            <w:vMerge w:val="continue"/>
          </w:tcPr>
          <w:p>
            <w:pPr>
              <w:spacing w:after="0"/>
              <w:rPr>
                <w:sz w:val="8"/>
                <w:szCs w:val="8"/>
                <w:color w:val="auto"/>
              </w:rPr>
            </w:pPr>
          </w:p>
        </w:tc>
        <w:tc>
          <w:tcPr>
            <w:tcW w:w="1020" w:type="dxa"/>
            <w:vAlign w:val="bottom"/>
            <w:gridSpan w:val="14"/>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20" w:type="dxa"/>
            <w:vAlign w:val="bottom"/>
            <w:tcBorders>
              <w:bottom w:val="single" w:sz="8" w:color="0000EE"/>
            </w:tcBorders>
            <w:gridSpan w:val="2"/>
            <w:vMerge w:val="continue"/>
          </w:tcPr>
          <w:p>
            <w:pPr>
              <w:spacing w:after="0"/>
              <w:rPr>
                <w:sz w:val="9"/>
                <w:szCs w:val="9"/>
                <w:color w:val="auto"/>
              </w:rPr>
            </w:pPr>
          </w:p>
        </w:tc>
        <w:tc>
          <w:tcPr>
            <w:tcW w:w="4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vMerge w:val="restart"/>
          </w:tcPr>
          <w:p>
            <w:pPr>
              <w:spacing w:after="0"/>
              <w:rPr>
                <w:sz w:val="9"/>
                <w:szCs w:val="9"/>
                <w:color w:val="auto"/>
              </w:rPr>
            </w:pPr>
          </w:p>
        </w:tc>
        <w:tc>
          <w:tcPr>
            <w:tcW w:w="4640" w:type="dxa"/>
            <w:vAlign w:val="bottom"/>
            <w:gridSpan w:val="31"/>
            <w:vMerge w:val="restart"/>
          </w:tcPr>
          <w:p>
            <w:pPr>
              <w:spacing w:after="0" w:line="202" w:lineRule="exact"/>
              <w:rPr>
                <w:sz w:val="20"/>
                <w:szCs w:val="20"/>
                <w:color w:val="auto"/>
              </w:rPr>
            </w:pPr>
            <w:r>
              <w:rPr>
                <w:rFonts w:ascii="Arial" w:cs="Arial" w:eastAsia="Arial" w:hAnsi="Arial"/>
                <w:sz w:val="18"/>
                <w:szCs w:val="18"/>
                <w:b w:val="1"/>
                <w:bCs w:val="1"/>
                <w:color w:val="457157"/>
              </w:rPr>
              <w:t xml:space="preserve">COMPENSATION (Item 3 on the Proxy Card) </w:t>
            </w:r>
            <w:r>
              <w:rPr>
                <w:rFonts w:ascii="Arial" w:cs="Arial" w:eastAsia="Arial" w:hAnsi="Arial"/>
                <w:sz w:val="18"/>
                <w:szCs w:val="18"/>
                <w:color w:val="000000"/>
              </w:rPr>
              <w:t>​</w:t>
            </w:r>
            <w:r>
              <w:rPr>
                <w:rFonts w:ascii="Arial" w:cs="Arial" w:eastAsia="Arial" w:hAnsi="Arial"/>
                <w:sz w:val="18"/>
                <w:szCs w:val="18"/>
                <w:b w:val="1"/>
                <w:bCs w:val="1"/>
                <w:color w:val="000000"/>
              </w:rPr>
              <w:t>​</w:t>
            </w:r>
            <w:r>
              <w:rPr>
                <w:rFonts w:ascii="Arial" w:cs="Arial" w:eastAsia="Arial" w:hAnsi="Arial"/>
                <w:sz w:val="18"/>
                <w:szCs w:val="18"/>
                <w:b w:val="1"/>
                <w:bCs w:val="1"/>
                <w:color w:val="457157"/>
              </w:rPr>
              <w:t xml:space="preserve"> </w:t>
            </w:r>
            <w:r>
              <w:rPr>
                <w:rFonts w:ascii="Arial" w:cs="Arial" w:eastAsia="Arial" w:hAnsi="Arial"/>
                <w:sz w:val="18"/>
                <w:szCs w:val="18"/>
                <w:color w:val="0000EE"/>
              </w:rPr>
              <w:t>64</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75"/>
        </w:trPr>
        <w:tc>
          <w:tcPr>
            <w:tcW w:w="220" w:type="dxa"/>
            <w:vAlign w:val="bottom"/>
            <w:gridSpan w:val="2"/>
          </w:tcPr>
          <w:p>
            <w:pPr>
              <w:spacing w:after="0"/>
              <w:rPr>
                <w:sz w:val="6"/>
                <w:szCs w:val="6"/>
                <w:color w:val="auto"/>
              </w:rPr>
            </w:pPr>
          </w:p>
        </w:tc>
        <w:tc>
          <w:tcPr>
            <w:tcW w:w="40" w:type="dxa"/>
            <w:vAlign w:val="bottom"/>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4640" w:type="dxa"/>
            <w:vAlign w:val="bottom"/>
            <w:gridSpan w:val="3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457157"/>
            </w:tcBorders>
          </w:tcPr>
          <w:p>
            <w:pPr>
              <w:spacing w:after="0" w:line="20" w:lineRule="exact"/>
              <w:rPr>
                <w:sz w:val="1"/>
                <w:szCs w:val="1"/>
                <w:color w:val="auto"/>
              </w:rPr>
            </w:pPr>
          </w:p>
        </w:tc>
        <w:tc>
          <w:tcPr>
            <w:tcW w:w="160" w:type="dxa"/>
            <w:vAlign w:val="bottom"/>
            <w:tcBorders>
              <w:top w:val="single" w:sz="8" w:color="457157"/>
            </w:tcBorders>
          </w:tcPr>
          <w:p>
            <w:pPr>
              <w:spacing w:after="0" w:line="20" w:lineRule="exact"/>
              <w:rPr>
                <w:sz w:val="1"/>
                <w:szCs w:val="1"/>
                <w:color w:val="auto"/>
              </w:rPr>
            </w:pPr>
          </w:p>
        </w:tc>
        <w:tc>
          <w:tcPr>
            <w:tcW w:w="660" w:type="dxa"/>
            <w:vAlign w:val="bottom"/>
            <w:tcBorders>
              <w:top w:val="single" w:sz="8" w:color="457157"/>
            </w:tcBorders>
          </w:tcPr>
          <w:p>
            <w:pPr>
              <w:spacing w:after="0" w:line="20" w:lineRule="exact"/>
              <w:rPr>
                <w:sz w:val="1"/>
                <w:szCs w:val="1"/>
                <w:color w:val="auto"/>
              </w:rPr>
            </w:pPr>
          </w:p>
        </w:tc>
        <w:tc>
          <w:tcPr>
            <w:tcW w:w="160" w:type="dxa"/>
            <w:vAlign w:val="bottom"/>
            <w:tcBorders>
              <w:top w:val="single" w:sz="8" w:color="457157"/>
            </w:tcBorders>
          </w:tcPr>
          <w:p>
            <w:pPr>
              <w:spacing w:after="0" w:line="20" w:lineRule="exact"/>
              <w:rPr>
                <w:sz w:val="1"/>
                <w:szCs w:val="1"/>
                <w:color w:val="auto"/>
              </w:rPr>
            </w:pPr>
          </w:p>
        </w:tc>
        <w:tc>
          <w:tcPr>
            <w:tcW w:w="280" w:type="dxa"/>
            <w:vAlign w:val="bottom"/>
            <w:tcBorders>
              <w:top w:val="single" w:sz="8" w:color="457157"/>
            </w:tcBorders>
          </w:tcPr>
          <w:p>
            <w:pPr>
              <w:spacing w:after="0" w:line="20" w:lineRule="exact"/>
              <w:rPr>
                <w:sz w:val="1"/>
                <w:szCs w:val="1"/>
                <w:color w:val="auto"/>
              </w:rPr>
            </w:pPr>
          </w:p>
        </w:tc>
        <w:tc>
          <w:tcPr>
            <w:tcW w:w="520" w:type="dxa"/>
            <w:vAlign w:val="bottom"/>
            <w:tcBorders>
              <w:top w:val="single" w:sz="8" w:color="457157"/>
            </w:tcBorders>
          </w:tcPr>
          <w:p>
            <w:pPr>
              <w:spacing w:after="0" w:line="20" w:lineRule="exact"/>
              <w:rPr>
                <w:sz w:val="1"/>
                <w:szCs w:val="1"/>
                <w:color w:val="auto"/>
              </w:rPr>
            </w:pPr>
          </w:p>
        </w:tc>
        <w:tc>
          <w:tcPr>
            <w:tcW w:w="120" w:type="dxa"/>
            <w:vAlign w:val="bottom"/>
            <w:tcBorders>
              <w:top w:val="single" w:sz="8" w:color="457157"/>
            </w:tcBorders>
          </w:tcPr>
          <w:p>
            <w:pPr>
              <w:spacing w:after="0" w:line="20" w:lineRule="exact"/>
              <w:rPr>
                <w:sz w:val="1"/>
                <w:szCs w:val="1"/>
                <w:color w:val="auto"/>
              </w:rPr>
            </w:pPr>
          </w:p>
        </w:tc>
        <w:tc>
          <w:tcPr>
            <w:tcW w:w="20" w:type="dxa"/>
            <w:vAlign w:val="bottom"/>
            <w:tcBorders>
              <w:top w:val="single" w:sz="8" w:color="457157"/>
            </w:tcBorders>
          </w:tcPr>
          <w:p>
            <w:pPr>
              <w:spacing w:after="0" w:line="20" w:lineRule="exact"/>
              <w:rPr>
                <w:sz w:val="1"/>
                <w:szCs w:val="1"/>
                <w:color w:val="auto"/>
              </w:rPr>
            </w:pPr>
          </w:p>
        </w:tc>
        <w:tc>
          <w:tcPr>
            <w:tcW w:w="100" w:type="dxa"/>
            <w:vAlign w:val="bottom"/>
            <w:tcBorders>
              <w:top w:val="single" w:sz="8" w:color="457157"/>
            </w:tcBorders>
          </w:tcPr>
          <w:p>
            <w:pPr>
              <w:spacing w:after="0" w:line="20" w:lineRule="exact"/>
              <w:rPr>
                <w:sz w:val="1"/>
                <w:szCs w:val="1"/>
                <w:color w:val="auto"/>
              </w:rPr>
            </w:pPr>
          </w:p>
        </w:tc>
        <w:tc>
          <w:tcPr>
            <w:tcW w:w="100" w:type="dxa"/>
            <w:vAlign w:val="bottom"/>
            <w:tcBorders>
              <w:top w:val="single" w:sz="8" w:color="457157"/>
            </w:tcBorders>
          </w:tcPr>
          <w:p>
            <w:pPr>
              <w:spacing w:after="0" w:line="20" w:lineRule="exact"/>
              <w:rPr>
                <w:sz w:val="1"/>
                <w:szCs w:val="1"/>
                <w:color w:val="auto"/>
              </w:rPr>
            </w:pPr>
          </w:p>
        </w:tc>
        <w:tc>
          <w:tcPr>
            <w:tcW w:w="120" w:type="dxa"/>
            <w:vAlign w:val="bottom"/>
            <w:tcBorders>
              <w:top w:val="single" w:sz="8" w:color="457157"/>
            </w:tcBorders>
          </w:tcPr>
          <w:p>
            <w:pPr>
              <w:spacing w:after="0" w:line="20" w:lineRule="exact"/>
              <w:rPr>
                <w:sz w:val="1"/>
                <w:szCs w:val="1"/>
                <w:color w:val="auto"/>
              </w:rPr>
            </w:pPr>
          </w:p>
        </w:tc>
        <w:tc>
          <w:tcPr>
            <w:tcW w:w="40" w:type="dxa"/>
            <w:vAlign w:val="bottom"/>
            <w:tcBorders>
              <w:top w:val="single" w:sz="8" w:color="457157"/>
            </w:tcBorders>
          </w:tcPr>
          <w:p>
            <w:pPr>
              <w:spacing w:after="0" w:line="20" w:lineRule="exact"/>
              <w:rPr>
                <w:sz w:val="1"/>
                <w:szCs w:val="1"/>
                <w:color w:val="auto"/>
              </w:rPr>
            </w:pPr>
          </w:p>
        </w:tc>
        <w:tc>
          <w:tcPr>
            <w:tcW w:w="720" w:type="dxa"/>
            <w:vAlign w:val="bottom"/>
            <w:tcBorders>
              <w:top w:val="single" w:sz="8" w:color="457157"/>
            </w:tcBorders>
          </w:tcPr>
          <w:p>
            <w:pPr>
              <w:spacing w:after="0" w:line="20" w:lineRule="exact"/>
              <w:rPr>
                <w:sz w:val="1"/>
                <w:szCs w:val="1"/>
                <w:color w:val="auto"/>
              </w:rPr>
            </w:pPr>
          </w:p>
        </w:tc>
        <w:tc>
          <w:tcPr>
            <w:tcW w:w="100" w:type="dxa"/>
            <w:vAlign w:val="bottom"/>
            <w:tcBorders>
              <w:top w:val="single" w:sz="8" w:color="457157"/>
            </w:tcBorders>
          </w:tcPr>
          <w:p>
            <w:pPr>
              <w:spacing w:after="0" w:line="20" w:lineRule="exact"/>
              <w:rPr>
                <w:sz w:val="1"/>
                <w:szCs w:val="1"/>
                <w:color w:val="auto"/>
              </w:rPr>
            </w:pPr>
          </w:p>
        </w:tc>
        <w:tc>
          <w:tcPr>
            <w:tcW w:w="60" w:type="dxa"/>
            <w:vAlign w:val="bottom"/>
            <w:tcBorders>
              <w:top w:val="single" w:sz="8" w:color="457157"/>
            </w:tcBorders>
          </w:tcPr>
          <w:p>
            <w:pPr>
              <w:spacing w:after="0" w:line="20" w:lineRule="exact"/>
              <w:rPr>
                <w:sz w:val="1"/>
                <w:szCs w:val="1"/>
                <w:color w:val="auto"/>
              </w:rPr>
            </w:pPr>
          </w:p>
        </w:tc>
        <w:tc>
          <w:tcPr>
            <w:tcW w:w="60" w:type="dxa"/>
            <w:vAlign w:val="bottom"/>
            <w:tcBorders>
              <w:top w:val="single" w:sz="8" w:color="457157"/>
            </w:tcBorders>
          </w:tcPr>
          <w:p>
            <w:pPr>
              <w:spacing w:after="0" w:line="20" w:lineRule="exact"/>
              <w:rPr>
                <w:sz w:val="1"/>
                <w:szCs w:val="1"/>
                <w:color w:val="auto"/>
              </w:rPr>
            </w:pPr>
          </w:p>
        </w:tc>
        <w:tc>
          <w:tcPr>
            <w:tcW w:w="100" w:type="dxa"/>
            <w:vAlign w:val="bottom"/>
            <w:tcBorders>
              <w:top w:val="single" w:sz="8" w:color="457157"/>
            </w:tcBorders>
          </w:tcPr>
          <w:p>
            <w:pPr>
              <w:spacing w:after="0" w:line="20" w:lineRule="exact"/>
              <w:rPr>
                <w:sz w:val="1"/>
                <w:szCs w:val="1"/>
                <w:color w:val="auto"/>
              </w:rPr>
            </w:pPr>
          </w:p>
        </w:tc>
        <w:tc>
          <w:tcPr>
            <w:tcW w:w="180" w:type="dxa"/>
            <w:vAlign w:val="bottom"/>
            <w:tcBorders>
              <w:top w:val="single" w:sz="8" w:color="457157"/>
            </w:tcBorders>
          </w:tcPr>
          <w:p>
            <w:pPr>
              <w:spacing w:after="0" w:line="20" w:lineRule="exact"/>
              <w:rPr>
                <w:sz w:val="1"/>
                <w:szCs w:val="1"/>
                <w:color w:val="auto"/>
              </w:rPr>
            </w:pPr>
          </w:p>
        </w:tc>
        <w:tc>
          <w:tcPr>
            <w:tcW w:w="60" w:type="dxa"/>
            <w:vAlign w:val="bottom"/>
            <w:tcBorders>
              <w:top w:val="single" w:sz="8" w:color="457157"/>
            </w:tcBorders>
          </w:tcPr>
          <w:p>
            <w:pPr>
              <w:spacing w:after="0" w:line="20" w:lineRule="exact"/>
              <w:rPr>
                <w:sz w:val="1"/>
                <w:szCs w:val="1"/>
                <w:color w:val="auto"/>
              </w:rPr>
            </w:pPr>
          </w:p>
        </w:tc>
        <w:tc>
          <w:tcPr>
            <w:tcW w:w="40" w:type="dxa"/>
            <w:vAlign w:val="bottom"/>
            <w:tcBorders>
              <w:top w:val="single" w:sz="8" w:color="457157"/>
            </w:tcBorders>
          </w:tcPr>
          <w:p>
            <w:pPr>
              <w:spacing w:after="0" w:line="20" w:lineRule="exact"/>
              <w:rPr>
                <w:sz w:val="1"/>
                <w:szCs w:val="1"/>
                <w:color w:val="auto"/>
              </w:rPr>
            </w:pPr>
          </w:p>
        </w:tc>
        <w:tc>
          <w:tcPr>
            <w:tcW w:w="60" w:type="dxa"/>
            <w:vAlign w:val="bottom"/>
            <w:tcBorders>
              <w:top w:val="single" w:sz="8" w:color="457157"/>
            </w:tcBorders>
          </w:tcPr>
          <w:p>
            <w:pPr>
              <w:spacing w:after="0" w:line="20" w:lineRule="exact"/>
              <w:rPr>
                <w:sz w:val="1"/>
                <w:szCs w:val="1"/>
                <w:color w:val="auto"/>
              </w:rPr>
            </w:pPr>
          </w:p>
        </w:tc>
        <w:tc>
          <w:tcPr>
            <w:tcW w:w="100" w:type="dxa"/>
            <w:vAlign w:val="bottom"/>
            <w:tcBorders>
              <w:top w:val="single" w:sz="8" w:color="457157"/>
            </w:tcBorders>
          </w:tcPr>
          <w:p>
            <w:pPr>
              <w:spacing w:after="0" w:line="20" w:lineRule="exact"/>
              <w:rPr>
                <w:sz w:val="1"/>
                <w:szCs w:val="1"/>
                <w:color w:val="auto"/>
              </w:rPr>
            </w:pPr>
          </w:p>
        </w:tc>
        <w:tc>
          <w:tcPr>
            <w:tcW w:w="140" w:type="dxa"/>
            <w:vAlign w:val="bottom"/>
            <w:tcBorders>
              <w:top w:val="single" w:sz="8" w:color="457157"/>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gridSpan w:val="3"/>
            <w:vMerge w:val="restart"/>
          </w:tcPr>
          <w:p>
            <w:pPr>
              <w:jc w:val="right"/>
              <w:spacing w:after="0"/>
              <w:rPr>
                <w:sz w:val="20"/>
                <w:szCs w:val="20"/>
                <w:color w:val="auto"/>
              </w:rPr>
            </w:pPr>
            <w:r>
              <w:rPr>
                <w:rFonts w:ascii="Arial" w:cs="Arial" w:eastAsia="Arial" w:hAnsi="Arial"/>
                <w:sz w:val="18"/>
                <w:szCs w:val="18"/>
                <w:color w:val="0000EE"/>
              </w:rPr>
              <w:t>32</w:t>
            </w:r>
            <w:r>
              <w:rPr>
                <w:rFonts w:ascii="Arial" w:cs="Arial" w:eastAsia="Arial" w:hAnsi="Arial"/>
                <w:sz w:val="18"/>
                <w:szCs w:val="18"/>
                <w:color w:val="000000"/>
              </w:rPr>
              <w:t>​</w:t>
            </w:r>
          </w:p>
        </w:tc>
        <w:tc>
          <w:tcPr>
            <w:tcW w:w="120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457157"/>
              </w:rPr>
              <w:t>APPENDIX A</w:t>
            </w:r>
          </w:p>
        </w:tc>
        <w:tc>
          <w:tcPr>
            <w:tcW w:w="3200" w:type="dxa"/>
            <w:vAlign w:val="bottom"/>
            <w:gridSpan w:val="24"/>
            <w:shd w:val="clear" w:color="auto" w:fill="CCEEFF"/>
          </w:tcPr>
          <w:p>
            <w:pPr>
              <w:spacing w:after="0"/>
              <w:rPr>
                <w:sz w:val="18"/>
                <w:szCs w:val="18"/>
                <w:color w:val="auto"/>
              </w:rPr>
            </w:pPr>
          </w:p>
        </w:tc>
        <w:tc>
          <w:tcPr>
            <w:tcW w:w="3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0000EE"/>
              </w:rPr>
              <w:t>A-1</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4"/>
        </w:trPr>
        <w:tc>
          <w:tcPr>
            <w:tcW w:w="260" w:type="dxa"/>
            <w:vAlign w:val="bottom"/>
            <w:gridSpan w:val="3"/>
            <w:vMerge w:val="continue"/>
          </w:tcPr>
          <w:p>
            <w:pPr>
              <w:spacing w:after="0"/>
              <w:rPr>
                <w:sz w:val="6"/>
                <w:szCs w:val="6"/>
                <w:color w:val="auto"/>
              </w:rPr>
            </w:pPr>
          </w:p>
        </w:tc>
        <w:tc>
          <w:tcPr>
            <w:tcW w:w="180" w:type="dxa"/>
            <w:vAlign w:val="bottom"/>
            <w:tcBorders>
              <w:top w:val="single" w:sz="8" w:color="457157"/>
            </w:tcBorders>
          </w:tcPr>
          <w:p>
            <w:pPr>
              <w:spacing w:after="0"/>
              <w:rPr>
                <w:sz w:val="6"/>
                <w:szCs w:val="6"/>
                <w:color w:val="auto"/>
              </w:rPr>
            </w:pPr>
          </w:p>
        </w:tc>
        <w:tc>
          <w:tcPr>
            <w:tcW w:w="200" w:type="dxa"/>
            <w:vAlign w:val="bottom"/>
            <w:tcBorders>
              <w:top w:val="single" w:sz="8" w:color="457157"/>
            </w:tcBorders>
          </w:tcPr>
          <w:p>
            <w:pPr>
              <w:spacing w:after="0"/>
              <w:rPr>
                <w:sz w:val="6"/>
                <w:szCs w:val="6"/>
                <w:color w:val="auto"/>
              </w:rPr>
            </w:pPr>
          </w:p>
        </w:tc>
        <w:tc>
          <w:tcPr>
            <w:tcW w:w="160" w:type="dxa"/>
            <w:vAlign w:val="bottom"/>
            <w:tcBorders>
              <w:top w:val="single" w:sz="8" w:color="457157"/>
            </w:tcBorders>
          </w:tcPr>
          <w:p>
            <w:pPr>
              <w:spacing w:after="0"/>
              <w:rPr>
                <w:sz w:val="6"/>
                <w:szCs w:val="6"/>
                <w:color w:val="auto"/>
              </w:rPr>
            </w:pPr>
          </w:p>
        </w:tc>
        <w:tc>
          <w:tcPr>
            <w:tcW w:w="660" w:type="dxa"/>
            <w:vAlign w:val="bottom"/>
            <w:tcBorders>
              <w:top w:val="single" w:sz="8" w:color="457157"/>
            </w:tcBorders>
          </w:tcPr>
          <w:p>
            <w:pPr>
              <w:spacing w:after="0"/>
              <w:rPr>
                <w:sz w:val="6"/>
                <w:szCs w:val="6"/>
                <w:color w:val="auto"/>
              </w:rPr>
            </w:pPr>
          </w:p>
        </w:tc>
        <w:tc>
          <w:tcPr>
            <w:tcW w:w="160" w:type="dxa"/>
            <w:vAlign w:val="bottom"/>
            <w:tcBorders>
              <w:top w:val="single" w:sz="8" w:color="CCEEFF"/>
            </w:tcBorders>
          </w:tcPr>
          <w:p>
            <w:pPr>
              <w:spacing w:after="0"/>
              <w:rPr>
                <w:sz w:val="6"/>
                <w:szCs w:val="6"/>
                <w:color w:val="auto"/>
              </w:rPr>
            </w:pPr>
          </w:p>
        </w:tc>
        <w:tc>
          <w:tcPr>
            <w:tcW w:w="280" w:type="dxa"/>
            <w:vAlign w:val="bottom"/>
            <w:tcBorders>
              <w:top w:val="single" w:sz="8" w:color="CCEEFF"/>
            </w:tcBorders>
          </w:tcPr>
          <w:p>
            <w:pPr>
              <w:spacing w:after="0"/>
              <w:rPr>
                <w:sz w:val="6"/>
                <w:szCs w:val="6"/>
                <w:color w:val="auto"/>
              </w:rPr>
            </w:pPr>
          </w:p>
        </w:tc>
        <w:tc>
          <w:tcPr>
            <w:tcW w:w="520" w:type="dxa"/>
            <w:vAlign w:val="bottom"/>
            <w:tcBorders>
              <w:top w:val="single" w:sz="8" w:color="CCEEFF"/>
            </w:tcBorders>
          </w:tcPr>
          <w:p>
            <w:pPr>
              <w:spacing w:after="0"/>
              <w:rPr>
                <w:sz w:val="6"/>
                <w:szCs w:val="6"/>
                <w:color w:val="auto"/>
              </w:rPr>
            </w:pPr>
          </w:p>
        </w:tc>
        <w:tc>
          <w:tcPr>
            <w:tcW w:w="1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12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720" w:type="dxa"/>
            <w:vAlign w:val="bottom"/>
            <w:tcBorders>
              <w:top w:val="single" w:sz="8" w:color="CCEEFF"/>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18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4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100" w:type="dxa"/>
            <w:vAlign w:val="bottom"/>
            <w:tcBorders>
              <w:top w:val="single" w:sz="8" w:color="CCEEFF"/>
            </w:tcBorders>
          </w:tcPr>
          <w:p>
            <w:pPr>
              <w:spacing w:after="0"/>
              <w:rPr>
                <w:sz w:val="6"/>
                <w:szCs w:val="6"/>
                <w:color w:val="auto"/>
              </w:rPr>
            </w:pPr>
          </w:p>
        </w:tc>
        <w:tc>
          <w:tcPr>
            <w:tcW w:w="14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20" w:type="dxa"/>
            <w:vAlign w:val="bottom"/>
            <w:tcBorders>
              <w:top w:val="single" w:sz="8" w:color="CCEEFF"/>
            </w:tcBorders>
          </w:tcPr>
          <w:p>
            <w:pPr>
              <w:spacing w:after="0"/>
              <w:rPr>
                <w:sz w:val="6"/>
                <w:szCs w:val="6"/>
                <w:color w:val="auto"/>
              </w:rPr>
            </w:pPr>
          </w:p>
        </w:tc>
        <w:tc>
          <w:tcPr>
            <w:tcW w:w="60" w:type="dxa"/>
            <w:vAlign w:val="bottom"/>
            <w:tcBorders>
              <w:top w:val="single" w:sz="8" w:color="CCEEFF"/>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60" w:type="dxa"/>
            <w:vAlign w:val="bottom"/>
            <w:gridSpan w:val="3"/>
          </w:tcPr>
          <w:p>
            <w:pPr>
              <w:jc w:val="right"/>
              <w:spacing w:after="0"/>
              <w:rPr>
                <w:sz w:val="20"/>
                <w:szCs w:val="20"/>
                <w:color w:val="auto"/>
              </w:rPr>
            </w:pPr>
            <w:r>
              <w:rPr>
                <w:rFonts w:ascii="Arial" w:cs="Arial" w:eastAsia="Arial" w:hAnsi="Arial"/>
                <w:sz w:val="18"/>
                <w:szCs w:val="18"/>
                <w:color w:val="0000EE"/>
              </w:rPr>
              <w:t>34</w:t>
            </w:r>
            <w:r>
              <w:rPr>
                <w:rFonts w:ascii="Arial" w:cs="Arial" w:eastAsia="Arial" w:hAnsi="Arial"/>
                <w:sz w:val="18"/>
                <w:szCs w:val="18"/>
                <w:color w:val="000000"/>
              </w:rPr>
              <w: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1915795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3">
            <w:col w:w="5060" w:space="80"/>
            <w:col w:w="100" w:space="60"/>
            <w:col w:w="5080"/>
          </w:cols>
          <w:pgMar w:left="580" w:top="97" w:right="939"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GENERAL INFORMATION</w:t>
      </w:r>
      <w:r>
        <w:rPr>
          <w:rFonts w:ascii="Times New Roman" w:cs="Times New Roman" w:eastAsia="Times New Roman" w:hAnsi="Times New Roman"/>
          <w:sz w:val="64"/>
          <w:szCs w:val="64"/>
          <w:color w:val="000000"/>
        </w:rPr>
        <w:t>​</w:t>
      </w:r>
    </w:p>
    <w:p>
      <w:pPr>
        <w:spacing w:after="0" w:line="101" w:lineRule="exact"/>
        <w:rPr>
          <w:sz w:val="20"/>
          <w:szCs w:val="20"/>
          <w:color w:val="auto"/>
        </w:rPr>
      </w:pPr>
    </w:p>
    <w:p>
      <w:pPr>
        <w:jc w:val="both"/>
        <w:ind w:left="820" w:right="60"/>
        <w:spacing w:after="0" w:line="242" w:lineRule="auto"/>
        <w:rPr>
          <w:sz w:val="20"/>
          <w:szCs w:val="20"/>
          <w:color w:val="auto"/>
        </w:rPr>
      </w:pPr>
      <w:r>
        <w:rPr>
          <w:rFonts w:ascii="Arial" w:cs="Arial" w:eastAsia="Arial" w:hAnsi="Arial"/>
          <w:sz w:val="18"/>
          <w:szCs w:val="18"/>
          <w:color w:val="auto"/>
        </w:rPr>
        <w:t>Waste Management, Inc. is a holding company, and all operations are conducted by its subsidiaries. Our subsidiaries are operated and managed locally and generally focus on providing services in distinct geographic areas. Through our subsidiaries, we are North America’s leading provider of comprehensive environmental solutions, providing services throughout the United States (“U.S.”) and Canada. We partner with our customers and the communities we serve to manage and reduce waste at each stage from collection to disposal, while recovering valuable resources and creating cleaner, renewable energy. On November 4, 2024, we completed our acquisition of Stericycle, Inc. (“Stericycle”). The acquisition expands our offerings in the U.S., and Canada and adds operations in parts of Western Europe. These businesses provide regulated waste and secure information destruction services that protect people and brands, promote health and well-being and safeguard the environment.</w:t>
      </w:r>
    </w:p>
    <w:p>
      <w:pPr>
        <w:spacing w:after="0" w:line="284"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Our Board of Directors is soliciting your proxy for the 2025 Annual Meeting of Stockholders and at any postponement or adjournment of the meeting. We are furnishing proxy materials to our stockholders primarily via the Internet. On April 1, 2025, we sent an electronic notice of how to access our proxy materials and our Annual Report to stockholders that have previously signed up to receive their proxy materials via the Internet. On April 1, 2025, we began mailing a Notice of Internet Availability of Proxy Materials to those stockholders that previously have not signed up for electronic delivery. The Notice contains instructions on how stockholders can access our proxy materials at investors.wm.com or request that a printed set of the proxy materials be sent to them.</w:t>
      </w:r>
    </w:p>
    <w:p>
      <w:pPr>
        <w:spacing w:after="0" w:line="295"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b w:val="1"/>
          <w:bCs w:val="1"/>
          <w:color w:val="457157"/>
        </w:rPr>
        <w:t xml:space="preserve">Enroll in Electronic Delivery Today! </w:t>
      </w:r>
      <w:r>
        <w:rPr>
          <w:rFonts w:ascii="Arial" w:cs="Arial" w:eastAsia="Arial" w:hAnsi="Arial"/>
          <w:sz w:val="18"/>
          <w:szCs w:val="18"/>
          <w:color w:val="000000"/>
        </w:rPr>
        <w:t>We encourage stockholders to elect to receive all future proxy</w:t>
      </w:r>
      <w:r>
        <w:rPr>
          <w:rFonts w:ascii="Arial" w:cs="Arial" w:eastAsia="Arial" w:hAnsi="Arial"/>
          <w:sz w:val="18"/>
          <w:szCs w:val="18"/>
          <w:b w:val="1"/>
          <w:bCs w:val="1"/>
          <w:color w:val="457157"/>
        </w:rPr>
        <w:t xml:space="preserve"> </w:t>
      </w:r>
      <w:r>
        <w:rPr>
          <w:rFonts w:ascii="Arial" w:cs="Arial" w:eastAsia="Arial" w:hAnsi="Arial"/>
          <w:sz w:val="18"/>
          <w:szCs w:val="18"/>
          <w:color w:val="000000"/>
        </w:rPr>
        <w:t>materials electronically, which is free, fast, convenient and helps lower our printing and postage costs. If you are a beneficial owner, visit www.proxyvote.com or follow the instructions on the Notice, proxy card or voting instructions. All stockholders may also enroll at enroll.icsdelivery.com/wmi.</w:t>
      </w:r>
    </w:p>
    <w:p>
      <w:pPr>
        <w:spacing w:after="0" w:line="62" w:lineRule="exact"/>
        <w:rPr>
          <w:sz w:val="20"/>
          <w:szCs w:val="20"/>
          <w:color w:val="auto"/>
        </w:rPr>
      </w:pPr>
    </w:p>
    <w:p>
      <w:pPr>
        <w:jc w:val="both"/>
        <w:ind w:left="820" w:right="80"/>
        <w:spacing w:after="0" w:line="261" w:lineRule="auto"/>
        <w:rPr>
          <w:sz w:val="20"/>
          <w:szCs w:val="20"/>
          <w:color w:val="auto"/>
        </w:rPr>
      </w:pPr>
      <w:r>
        <w:rPr>
          <w:rFonts w:ascii="Arial" w:cs="Arial" w:eastAsia="Arial" w:hAnsi="Arial"/>
          <w:sz w:val="18"/>
          <w:szCs w:val="18"/>
          <w:b w:val="1"/>
          <w:bCs w:val="1"/>
          <w:color w:val="457157"/>
        </w:rPr>
        <w:t xml:space="preserve">Shares Outstanding on the Record Date </w:t>
      </w:r>
      <w:r>
        <w:rPr>
          <w:rFonts w:ascii="Arial" w:cs="Arial" w:eastAsia="Arial" w:hAnsi="Arial"/>
          <w:sz w:val="18"/>
          <w:szCs w:val="18"/>
          <w:color w:val="000000"/>
        </w:rPr>
        <w:t>There were 402,332,424 shares of common stock of</w:t>
      </w:r>
      <w:r>
        <w:rPr>
          <w:rFonts w:ascii="Arial" w:cs="Arial" w:eastAsia="Arial" w:hAnsi="Arial"/>
          <w:sz w:val="18"/>
          <w:szCs w:val="18"/>
          <w:b w:val="1"/>
          <w:bCs w:val="1"/>
          <w:color w:val="457157"/>
        </w:rPr>
        <w:t xml:space="preserve"> </w:t>
      </w:r>
      <w:r>
        <w:rPr>
          <w:rFonts w:ascii="Arial" w:cs="Arial" w:eastAsia="Arial" w:hAnsi="Arial"/>
          <w:sz w:val="18"/>
          <w:szCs w:val="18"/>
          <w:color w:val="000000"/>
        </w:rPr>
        <w:t>Waste Management, Inc. (our “Common Stock”) outstanding and entitled to vote as of March 18, 2025, the record date for the Annual Meeting.</w:t>
      </w:r>
    </w:p>
    <w:p>
      <w:pPr>
        <w:spacing w:after="0" w:line="54"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b w:val="1"/>
          <w:bCs w:val="1"/>
          <w:color w:val="457157"/>
        </w:rPr>
        <w:t xml:space="preserve">Attending the Meeting </w:t>
      </w:r>
      <w:r>
        <w:rPr>
          <w:rFonts w:ascii="Arial" w:cs="Arial" w:eastAsia="Arial" w:hAnsi="Arial"/>
          <w:sz w:val="18"/>
          <w:szCs w:val="18"/>
          <w:color w:val="000000"/>
        </w:rPr>
        <w:t>Only stockholders, their proxy holders and our invited guests may attend the</w:t>
      </w:r>
      <w:r>
        <w:rPr>
          <w:rFonts w:ascii="Arial" w:cs="Arial" w:eastAsia="Arial" w:hAnsi="Arial"/>
          <w:sz w:val="18"/>
          <w:szCs w:val="18"/>
          <w:b w:val="1"/>
          <w:bCs w:val="1"/>
          <w:color w:val="457157"/>
        </w:rPr>
        <w:t xml:space="preserve"> </w:t>
      </w:r>
      <w:r>
        <w:rPr>
          <w:rFonts w:ascii="Arial" w:cs="Arial" w:eastAsia="Arial" w:hAnsi="Arial"/>
          <w:sz w:val="18"/>
          <w:szCs w:val="18"/>
          <w:color w:val="000000"/>
        </w:rPr>
        <w:t>Annual Meeting. If you plan to attend, please bring identification. If you are a beneficial owner that holds shares in street name through a bank or broker, you must also bring your bank or broker statement showing your beneficial ownership of Waste Management, Inc. Common Stock in order to be admitted to the meeting. If you are planning to attend our Annual Meeting and require directions to the meeting, please contact our Corporate Secretary’ s office at 713-512-6374. The only items that we anticipate will be discussed at the Annual Meeting are the items set out in the Notice. We do not anticipate that there will be any presentations.</w:t>
      </w:r>
    </w:p>
    <w:p>
      <w:pPr>
        <w:spacing w:after="0" w:line="282"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b w:val="1"/>
          <w:bCs w:val="1"/>
          <w:color w:val="457157"/>
        </w:rPr>
        <w:t xml:space="preserve">Voting Instructions </w:t>
      </w:r>
      <w:r>
        <w:rPr>
          <w:rFonts w:ascii="Arial" w:cs="Arial" w:eastAsia="Arial" w:hAnsi="Arial"/>
          <w:sz w:val="18"/>
          <w:szCs w:val="18"/>
          <w:color w:val="000000"/>
        </w:rPr>
        <w:t>You can submit your proxy by Internet, phone or mail. You may receive more</w:t>
      </w:r>
      <w:r>
        <w:rPr>
          <w:rFonts w:ascii="Arial" w:cs="Arial" w:eastAsia="Arial" w:hAnsi="Arial"/>
          <w:sz w:val="18"/>
          <w:szCs w:val="18"/>
          <w:b w:val="1"/>
          <w:bCs w:val="1"/>
          <w:color w:val="457157"/>
        </w:rPr>
        <w:t xml:space="preserve"> </w:t>
      </w:r>
      <w:r>
        <w:rPr>
          <w:rFonts w:ascii="Arial" w:cs="Arial" w:eastAsia="Arial" w:hAnsi="Arial"/>
          <w:sz w:val="18"/>
          <w:szCs w:val="18"/>
          <w:color w:val="000000"/>
        </w:rPr>
        <w:t>than one proxy card depending on how you hold your shares. You should complete and return each proxy or other voting instruction request provided to you. If you are a beneficial owner that holds shares in street name through a bank or broker, you will receive instructions from your bank, broker or nominee that you must follow in order to have your shares of Common Stock voted at the Annual Meeting, and your ability to submit your voting instructions by phone or over the Internet depends on your bank’s or broker’s voting process. If you complete and submit your proxy voting instructions, the persons named as proxies will follow your instructions. If you submit your proxy but do not give voting instructions, we will vote your shares in accordance with the recommendation of the Board on each of the proposals set forth below.</w:t>
      </w:r>
    </w:p>
    <w:p>
      <w:pPr>
        <w:spacing w:after="0" w:line="293"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b w:val="1"/>
          <w:bCs w:val="1"/>
          <w:color w:val="457157"/>
        </w:rPr>
        <w:t xml:space="preserve">Other Matters </w:t>
      </w:r>
      <w:r>
        <w:rPr>
          <w:rFonts w:ascii="Arial" w:cs="Arial" w:eastAsia="Arial" w:hAnsi="Arial"/>
          <w:sz w:val="18"/>
          <w:szCs w:val="18"/>
          <w:color w:val="000000"/>
        </w:rPr>
        <w:t>The Company does not intend to bring any other matters before the Annual Meeting,</w:t>
      </w:r>
      <w:r>
        <w:rPr>
          <w:rFonts w:ascii="Arial" w:cs="Arial" w:eastAsia="Arial" w:hAnsi="Arial"/>
          <w:sz w:val="18"/>
          <w:szCs w:val="18"/>
          <w:b w:val="1"/>
          <w:bCs w:val="1"/>
          <w:color w:val="457157"/>
        </w:rPr>
        <w:t xml:space="preserve"> </w:t>
      </w:r>
      <w:r>
        <w:rPr>
          <w:rFonts w:ascii="Arial" w:cs="Arial" w:eastAsia="Arial" w:hAnsi="Arial"/>
          <w:sz w:val="18"/>
          <w:szCs w:val="18"/>
          <w:color w:val="000000"/>
        </w:rPr>
        <w:t>nor does the Company have any present knowledge that any other matters will be presented by others for action at the meeting. If any other matters are properly presented, your proxy card authorizes the people named as proxy holders to vote using their judgment.</w:t>
      </w:r>
    </w:p>
    <w:p>
      <w:pPr>
        <w:spacing w:after="0" w:line="62"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b w:val="1"/>
          <w:bCs w:val="1"/>
          <w:color w:val="457157"/>
        </w:rPr>
        <w:t xml:space="preserve">Voting and Asking Questions at the Meeting </w:t>
      </w:r>
      <w:r>
        <w:rPr>
          <w:rFonts w:ascii="Arial" w:cs="Arial" w:eastAsia="Arial" w:hAnsi="Arial"/>
          <w:sz w:val="18"/>
          <w:szCs w:val="18"/>
          <w:color w:val="000000"/>
        </w:rPr>
        <w:t>Stockholders can vote and ask questions at the</w:t>
      </w:r>
      <w:r>
        <w:rPr>
          <w:rFonts w:ascii="Arial" w:cs="Arial" w:eastAsia="Arial" w:hAnsi="Arial"/>
          <w:sz w:val="18"/>
          <w:szCs w:val="18"/>
          <w:b w:val="1"/>
          <w:bCs w:val="1"/>
          <w:color w:val="457157"/>
        </w:rPr>
        <w:t xml:space="preserve"> </w:t>
      </w:r>
      <w:r>
        <w:rPr>
          <w:rFonts w:ascii="Arial" w:cs="Arial" w:eastAsia="Arial" w:hAnsi="Arial"/>
          <w:sz w:val="18"/>
          <w:szCs w:val="18"/>
          <w:color w:val="000000"/>
        </w:rPr>
        <w:t>Annual Meeting relevant to the items to be voted on or the business of the Company. If you are a beneficial owner that holds shares in street name, you must bring a legal proxy from the record holder in order to vote your shares at the Annual Meeting. Whether or not you plan to attend the Annual Meeting, it is important that your shares be represented and voted at the Annual Meeting. Please read the Notice and this Proxy Statement with care and follow the voting instructions to ensure that your shares are represented at the Annual Meeting.</w:t>
      </w:r>
    </w:p>
    <w:p>
      <w:pPr>
        <w:spacing w:after="0" w:line="200" w:lineRule="exact"/>
        <w:rPr>
          <w:sz w:val="20"/>
          <w:szCs w:val="20"/>
          <w:color w:val="auto"/>
        </w:rPr>
      </w:pPr>
    </w:p>
    <w:p>
      <w:pPr>
        <w:spacing w:after="0" w:line="257"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-153670</wp:posOffset>
            </wp:positionV>
            <wp:extent cx="4718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GENERAL INFORMATION</w:t>
            </w:r>
          </w:p>
        </w:tc>
        <w:tc>
          <w:tcPr>
            <w:tcW w:w="60" w:type="dxa"/>
            <w:vAlign w:val="bottom"/>
          </w:tcPr>
          <w:p>
            <w:pPr>
              <w:spacing w:after="0"/>
              <w:rPr>
                <w:sz w:val="23"/>
                <w:szCs w:val="23"/>
                <w:color w:val="auto"/>
              </w:rPr>
            </w:pPr>
          </w:p>
        </w:tc>
      </w:tr>
    </w:tbl>
    <w:p>
      <w:pPr>
        <w:spacing w:after="0" w:line="73"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b w:val="1"/>
          <w:bCs w:val="1"/>
          <w:color w:val="457157"/>
        </w:rPr>
        <w:t xml:space="preserve">Changing Your Vote </w:t>
      </w:r>
      <w:r>
        <w:rPr>
          <w:rFonts w:ascii="Arial" w:cs="Arial" w:eastAsia="Arial" w:hAnsi="Arial"/>
          <w:sz w:val="18"/>
          <w:szCs w:val="18"/>
          <w:color w:val="000000"/>
        </w:rPr>
        <w:t>Stockholders of record may revoke their proxy at any time before we vote it at</w:t>
      </w:r>
      <w:r>
        <w:rPr>
          <w:rFonts w:ascii="Arial" w:cs="Arial" w:eastAsia="Arial" w:hAnsi="Arial"/>
          <w:sz w:val="18"/>
          <w:szCs w:val="18"/>
          <w:b w:val="1"/>
          <w:bCs w:val="1"/>
          <w:color w:val="457157"/>
        </w:rPr>
        <w:t xml:space="preserve"> </w:t>
      </w:r>
      <w:r>
        <w:rPr>
          <w:rFonts w:ascii="Arial" w:cs="Arial" w:eastAsia="Arial" w:hAnsi="Arial"/>
          <w:sz w:val="18"/>
          <w:szCs w:val="18"/>
          <w:color w:val="000000"/>
        </w:rPr>
        <w:t>the meeting by submitting a later-dated proxy via the Internet, by telephone, by mail, by delivering instructions to our Corporate Secretary before the Annual Meeting revoking the proxy or by voting during the Annual Meeting. Attendance at the Annual Meeting, by itself, will not revoke a proxy. If you hold shares through a bank or broker, you may revoke any prior voting instructions by contacting that firm.</w:t>
      </w:r>
    </w:p>
    <w:p>
      <w:pPr>
        <w:spacing w:after="0" w:line="379"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The Proposals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following proposals are being presented for a vote of the stockholders at the Annual Meeting:</w:t>
      </w:r>
    </w:p>
    <w:p>
      <w:pPr>
        <w:spacing w:after="0" w:line="156" w:lineRule="exact"/>
        <w:rPr>
          <w:sz w:val="20"/>
          <w:szCs w:val="20"/>
          <w:color w:val="auto"/>
        </w:rPr>
      </w:pPr>
    </w:p>
    <w:tbl>
      <w:tblPr>
        <w:tblLayout w:type="fixed"/>
        <w:tblInd w:w="820" w:type="dxa"/>
        <w:tblCellMar>
          <w:top w:w="0" w:type="dxa"/>
          <w:left w:w="0" w:type="dxa"/>
          <w:bottom w:w="0" w:type="dxa"/>
          <w:right w:w="0" w:type="dxa"/>
        </w:tblCellMar>
      </w:tblPr>
      <w:tr>
        <w:trPr>
          <w:trHeight w:val="176"/>
        </w:trPr>
        <w:tc>
          <w:tcPr>
            <w:tcW w:w="180" w:type="dxa"/>
            <w:vAlign w:val="bottom"/>
            <w:tcBorders>
              <w:top w:val="single" w:sz="8" w:color="457157"/>
            </w:tcBorders>
          </w:tcPr>
          <w:p>
            <w:pPr>
              <w:spacing w:after="0"/>
              <w:rPr>
                <w:sz w:val="15"/>
                <w:szCs w:val="15"/>
                <w:color w:val="auto"/>
              </w:rPr>
            </w:pPr>
          </w:p>
        </w:tc>
        <w:tc>
          <w:tcPr>
            <w:tcW w:w="1020" w:type="dxa"/>
            <w:vAlign w:val="bottom"/>
            <w:tcBorders>
              <w:top w:val="single" w:sz="8" w:color="457157"/>
            </w:tcBorders>
          </w:tcPr>
          <w:p>
            <w:pPr>
              <w:spacing w:after="0"/>
              <w:rPr>
                <w:sz w:val="15"/>
                <w:szCs w:val="15"/>
                <w:color w:val="auto"/>
              </w:rPr>
            </w:pPr>
          </w:p>
        </w:tc>
        <w:tc>
          <w:tcPr>
            <w:tcW w:w="5520" w:type="dxa"/>
            <w:vAlign w:val="bottom"/>
            <w:tcBorders>
              <w:top w:val="single" w:sz="8" w:color="457157"/>
            </w:tcBorders>
            <w:vMerge w:val="restart"/>
          </w:tcPr>
          <w:p>
            <w:pPr>
              <w:ind w:left="140"/>
              <w:spacing w:after="0"/>
              <w:rPr>
                <w:sz w:val="20"/>
                <w:szCs w:val="20"/>
                <w:color w:val="auto"/>
              </w:rPr>
            </w:pPr>
            <w:r>
              <w:rPr>
                <w:rFonts w:ascii="Arial" w:cs="Arial" w:eastAsia="Arial" w:hAnsi="Arial"/>
                <w:sz w:val="32"/>
                <w:szCs w:val="32"/>
                <w:b w:val="1"/>
                <w:bCs w:val="1"/>
                <w:color w:val="457157"/>
                <w:vertAlign w:val="subscript"/>
              </w:rPr>
              <w:t>​ ​</w:t>
            </w:r>
            <w:r>
              <w:rPr>
                <w:rFonts w:ascii="Arial" w:cs="Arial" w:eastAsia="Arial" w:hAnsi="Arial"/>
                <w:sz w:val="16"/>
                <w:szCs w:val="16"/>
                <w:b w:val="1"/>
                <w:bCs w:val="1"/>
                <w:color w:val="457157"/>
              </w:rPr>
              <w:t xml:space="preserve"> Matter</w:t>
            </w:r>
          </w:p>
        </w:tc>
        <w:tc>
          <w:tcPr>
            <w:tcW w:w="2180" w:type="dxa"/>
            <w:vAlign w:val="bottom"/>
            <w:tcBorders>
              <w:top w:val="single" w:sz="8" w:color="457157"/>
            </w:tcBorders>
          </w:tcPr>
          <w:p>
            <w:pPr>
              <w:ind w:left="440"/>
              <w:spacing w:after="0" w:line="175" w:lineRule="exact"/>
              <w:rPr>
                <w:sz w:val="20"/>
                <w:szCs w:val="20"/>
                <w:color w:val="auto"/>
              </w:rPr>
            </w:pPr>
            <w:r>
              <w:rPr>
                <w:rFonts w:ascii="Arial" w:cs="Arial" w:eastAsia="Arial" w:hAnsi="Arial"/>
                <w:sz w:val="16"/>
                <w:szCs w:val="16"/>
                <w:b w:val="1"/>
                <w:bCs w:val="1"/>
                <w:color w:val="457157"/>
              </w:rPr>
              <w:t>Board Vote</w:t>
            </w:r>
          </w:p>
        </w:tc>
        <w:tc>
          <w:tcPr>
            <w:tcW w:w="160" w:type="dxa"/>
            <w:vAlign w:val="bottom"/>
            <w:tcBorders>
              <w:top w:val="single" w:sz="8" w:color="457157"/>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80" w:type="dxa"/>
            <w:vAlign w:val="bottom"/>
            <w:tcBorders>
              <w:bottom w:val="single" w:sz="8" w:color="457157"/>
            </w:tcBorders>
          </w:tcPr>
          <w:p>
            <w:pPr>
              <w:spacing w:after="0"/>
              <w:rPr>
                <w:sz w:val="20"/>
                <w:szCs w:val="20"/>
                <w:color w:val="auto"/>
              </w:rPr>
            </w:pPr>
            <w:r>
              <w:rPr>
                <w:rFonts w:ascii="Arial" w:cs="Arial" w:eastAsia="Arial" w:hAnsi="Arial"/>
                <w:sz w:val="16"/>
                <w:szCs w:val="16"/>
                <w:b w:val="1"/>
                <w:bCs w:val="1"/>
                <w:color w:val="457157"/>
              </w:rPr>
              <w:t>​</w:t>
            </w:r>
          </w:p>
        </w:tc>
        <w:tc>
          <w:tcPr>
            <w:tcW w:w="1020" w:type="dxa"/>
            <w:vAlign w:val="bottom"/>
            <w:tcBorders>
              <w:bottom w:val="single" w:sz="8" w:color="457157"/>
            </w:tcBorders>
          </w:tcPr>
          <w:p>
            <w:pPr>
              <w:ind w:left="140"/>
              <w:spacing w:after="0"/>
              <w:rPr>
                <w:sz w:val="20"/>
                <w:szCs w:val="20"/>
                <w:color w:val="auto"/>
              </w:rPr>
            </w:pPr>
            <w:r>
              <w:rPr>
                <w:rFonts w:ascii="Arial" w:cs="Arial" w:eastAsia="Arial" w:hAnsi="Arial"/>
                <w:sz w:val="16"/>
                <w:szCs w:val="16"/>
                <w:b w:val="1"/>
                <w:bCs w:val="1"/>
                <w:color w:val="457157"/>
              </w:rPr>
              <w:t>Proposal</w:t>
            </w:r>
          </w:p>
        </w:tc>
        <w:tc>
          <w:tcPr>
            <w:tcW w:w="5520" w:type="dxa"/>
            <w:vAlign w:val="bottom"/>
            <w:tcBorders>
              <w:bottom w:val="single" w:sz="8" w:color="457157"/>
            </w:tcBorders>
            <w:vMerge w:val="continue"/>
          </w:tcPr>
          <w:p>
            <w:pPr>
              <w:spacing w:after="0"/>
              <w:rPr>
                <w:sz w:val="21"/>
                <w:szCs w:val="21"/>
                <w:color w:val="auto"/>
              </w:rPr>
            </w:pPr>
          </w:p>
        </w:tc>
        <w:tc>
          <w:tcPr>
            <w:tcW w:w="2180" w:type="dxa"/>
            <w:vAlign w:val="bottom"/>
            <w:tcBorders>
              <w:bottom w:val="single" w:sz="8" w:color="457157"/>
            </w:tcBorders>
          </w:tcPr>
          <w:p>
            <w:pPr>
              <w:ind w:left="220"/>
              <w:spacing w:after="0" w:line="243" w:lineRule="exact"/>
              <w:rPr>
                <w:sz w:val="20"/>
                <w:szCs w:val="20"/>
                <w:color w:val="auto"/>
              </w:rPr>
            </w:pPr>
            <w:r>
              <w:rPr>
                <w:rFonts w:ascii="Arial" w:cs="Arial" w:eastAsia="Arial" w:hAnsi="Arial"/>
                <w:sz w:val="28"/>
                <w:szCs w:val="28"/>
                <w:b w:val="1"/>
                <w:bCs w:val="1"/>
                <w:color w:val="457157"/>
                <w:vertAlign w:val="subscript"/>
              </w:rPr>
              <w:t>​ ​</w:t>
            </w:r>
            <w:r>
              <w:rPr>
                <w:rFonts w:ascii="Arial" w:cs="Arial" w:eastAsia="Arial" w:hAnsi="Arial"/>
                <w:sz w:val="15"/>
                <w:szCs w:val="15"/>
                <w:b w:val="1"/>
                <w:bCs w:val="1"/>
                <w:color w:val="457157"/>
              </w:rPr>
              <w:t xml:space="preserve"> Recommendation</w:t>
            </w:r>
          </w:p>
        </w:tc>
        <w:tc>
          <w:tcPr>
            <w:tcW w:w="160" w:type="dxa"/>
            <w:vAlign w:val="bottom"/>
            <w:tcBorders>
              <w:bottom w:val="single" w:sz="8" w:color="457157"/>
            </w:tcBorders>
          </w:tcPr>
          <w:p>
            <w:pPr>
              <w:ind w:left="120"/>
              <w:spacing w:after="0"/>
              <w:rPr>
                <w:sz w:val="20"/>
                <w:szCs w:val="20"/>
                <w:color w:val="auto"/>
              </w:rPr>
            </w:pPr>
            <w:r>
              <w:rPr>
                <w:rFonts w:ascii="Arial" w:cs="Arial" w:eastAsia="Arial" w:hAnsi="Arial"/>
                <w:sz w:val="16"/>
                <w:szCs w:val="16"/>
                <w:b w:val="1"/>
                <w:bCs w:val="1"/>
                <w:color w:val="457157"/>
              </w:rPr>
              <w:t>​</w:t>
            </w:r>
          </w:p>
        </w:tc>
        <w:tc>
          <w:tcPr>
            <w:tcW w:w="0" w:type="dxa"/>
            <w:vAlign w:val="bottom"/>
          </w:tcPr>
          <w:p>
            <w:pPr>
              <w:spacing w:after="0"/>
              <w:rPr>
                <w:sz w:val="1"/>
                <w:szCs w:val="1"/>
                <w:color w:val="auto"/>
              </w:rPr>
            </w:pPr>
          </w:p>
        </w:tc>
      </w:tr>
      <w:tr>
        <w:trPr>
          <w:trHeight w:val="466"/>
        </w:trPr>
        <w:tc>
          <w:tcPr>
            <w:tcW w:w="180" w:type="dxa"/>
            <w:vAlign w:val="bottom"/>
            <w:shd w:val="clear" w:color="auto" w:fill="D0DCD5"/>
          </w:tcPr>
          <w:p>
            <w:pPr>
              <w:spacing w:after="0"/>
              <w:rPr>
                <w:sz w:val="24"/>
                <w:szCs w:val="24"/>
                <w:color w:val="auto"/>
              </w:rPr>
            </w:pPr>
          </w:p>
        </w:tc>
        <w:tc>
          <w:tcPr>
            <w:tcW w:w="1020" w:type="dxa"/>
            <w:vAlign w:val="bottom"/>
            <w:vMerge w:val="restart"/>
            <w:shd w:val="clear" w:color="auto" w:fill="D0DCD5"/>
          </w:tcPr>
          <w:p>
            <w:pPr>
              <w:ind w:left="320"/>
              <w:spacing w:after="0"/>
              <w:rPr>
                <w:sz w:val="20"/>
                <w:szCs w:val="20"/>
                <w:color w:val="auto"/>
              </w:rPr>
            </w:pPr>
            <w:r>
              <w:rPr>
                <w:rFonts w:ascii="Arial" w:cs="Arial" w:eastAsia="Arial" w:hAnsi="Arial"/>
                <w:sz w:val="65"/>
                <w:szCs w:val="65"/>
                <w:b w:val="1"/>
                <w:bCs w:val="1"/>
                <w:color w:val="457157"/>
              </w:rPr>
              <w:t>1</w:t>
            </w:r>
            <w:r>
              <w:rPr>
                <w:rFonts w:ascii="Arial" w:cs="Arial" w:eastAsia="Arial" w:hAnsi="Arial"/>
                <w:sz w:val="17"/>
                <w:szCs w:val="17"/>
                <w:color w:val="000000"/>
              </w:rPr>
              <w:t>​</w:t>
            </w:r>
          </w:p>
        </w:tc>
        <w:tc>
          <w:tcPr>
            <w:tcW w:w="5520" w:type="dxa"/>
            <w:vAlign w:val="bottom"/>
            <w:shd w:val="clear" w:color="auto" w:fill="D0DCD5"/>
          </w:tcPr>
          <w:p>
            <w:pPr>
              <w:ind w:left="380"/>
              <w:spacing w:after="0"/>
              <w:rPr>
                <w:sz w:val="20"/>
                <w:szCs w:val="20"/>
                <w:color w:val="auto"/>
              </w:rPr>
            </w:pPr>
            <w:r>
              <w:rPr>
                <w:rFonts w:ascii="Arial" w:cs="Arial" w:eastAsia="Arial" w:hAnsi="Arial"/>
                <w:sz w:val="18"/>
                <w:szCs w:val="18"/>
                <w:b w:val="1"/>
                <w:bCs w:val="1"/>
                <w:color w:val="auto"/>
              </w:rPr>
              <w:t>Election of Director Nominees set forth in this Proxy</w:t>
            </w:r>
          </w:p>
        </w:tc>
        <w:tc>
          <w:tcPr>
            <w:tcW w:w="2180" w:type="dxa"/>
            <w:vAlign w:val="bottom"/>
            <w:shd w:val="clear" w:color="auto" w:fill="D0DCD5"/>
          </w:tcPr>
          <w:p>
            <w:pPr>
              <w:ind w:left="44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each director</w:t>
            </w:r>
          </w:p>
        </w:tc>
        <w:tc>
          <w:tcPr>
            <w:tcW w:w="160" w:type="dxa"/>
            <w:vAlign w:val="bottom"/>
            <w:shd w:val="clear" w:color="auto" w:fill="D0DCD5"/>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180" w:type="dxa"/>
            <w:vAlign w:val="bottom"/>
            <w:tcBorders>
              <w:bottom w:val="single" w:sz="8" w:color="457157"/>
            </w:tcBorders>
            <w:shd w:val="clear" w:color="auto" w:fill="D0DCD5"/>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457157"/>
            </w:tcBorders>
            <w:vMerge w:val="continue"/>
            <w:shd w:val="clear" w:color="auto" w:fill="D0DCD5"/>
          </w:tcPr>
          <w:p>
            <w:pPr>
              <w:spacing w:after="0"/>
              <w:rPr>
                <w:sz w:val="24"/>
                <w:szCs w:val="24"/>
                <w:color w:val="auto"/>
              </w:rPr>
            </w:pPr>
          </w:p>
        </w:tc>
        <w:tc>
          <w:tcPr>
            <w:tcW w:w="5520" w:type="dxa"/>
            <w:vAlign w:val="bottom"/>
            <w:tcBorders>
              <w:bottom w:val="single" w:sz="8" w:color="457157"/>
            </w:tcBorders>
            <w:shd w:val="clear" w:color="auto" w:fill="D0DCD5"/>
          </w:tcPr>
          <w:p>
            <w:pPr>
              <w:ind w:left="14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b w:val="1"/>
                <w:bCs w:val="1"/>
                <w:color w:val="auto"/>
              </w:rPr>
              <w:t xml:space="preserve"> Statement</w:t>
            </w:r>
          </w:p>
        </w:tc>
        <w:tc>
          <w:tcPr>
            <w:tcW w:w="2180" w:type="dxa"/>
            <w:vAlign w:val="bottom"/>
            <w:tcBorders>
              <w:bottom w:val="single" w:sz="8" w:color="457157"/>
            </w:tcBorders>
            <w:shd w:val="clear" w:color="auto" w:fill="D0DCD5"/>
          </w:tcPr>
          <w:p>
            <w:pPr>
              <w:ind w:left="22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nominee</w:t>
            </w:r>
          </w:p>
        </w:tc>
        <w:tc>
          <w:tcPr>
            <w:tcW w:w="160" w:type="dxa"/>
            <w:vAlign w:val="bottom"/>
            <w:tcBorders>
              <w:bottom w:val="single" w:sz="8" w:color="457157"/>
            </w:tcBorders>
            <w:shd w:val="clear" w:color="auto" w:fill="D0DCD5"/>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46"/>
        </w:trPr>
        <w:tc>
          <w:tcPr>
            <w:tcW w:w="180" w:type="dxa"/>
            <w:vAlign w:val="bottom"/>
            <w:shd w:val="clear" w:color="auto" w:fill="ECF1EE"/>
          </w:tcPr>
          <w:p>
            <w:pPr>
              <w:spacing w:after="0"/>
              <w:rPr>
                <w:sz w:val="24"/>
                <w:szCs w:val="24"/>
                <w:color w:val="auto"/>
              </w:rPr>
            </w:pPr>
          </w:p>
        </w:tc>
        <w:tc>
          <w:tcPr>
            <w:tcW w:w="1020" w:type="dxa"/>
            <w:vAlign w:val="bottom"/>
            <w:vMerge w:val="restart"/>
            <w:shd w:val="clear" w:color="auto" w:fill="ECF1EE"/>
          </w:tcPr>
          <w:p>
            <w:pPr>
              <w:ind w:left="320"/>
              <w:spacing w:after="0"/>
              <w:rPr>
                <w:sz w:val="20"/>
                <w:szCs w:val="20"/>
                <w:color w:val="auto"/>
              </w:rPr>
            </w:pPr>
            <w:r>
              <w:rPr>
                <w:rFonts w:ascii="Arial" w:cs="Arial" w:eastAsia="Arial" w:hAnsi="Arial"/>
                <w:sz w:val="65"/>
                <w:szCs w:val="65"/>
                <w:b w:val="1"/>
                <w:bCs w:val="1"/>
                <w:color w:val="457157"/>
              </w:rPr>
              <w:t>2</w:t>
            </w:r>
            <w:r>
              <w:rPr>
                <w:rFonts w:ascii="Arial" w:cs="Arial" w:eastAsia="Arial" w:hAnsi="Arial"/>
                <w:sz w:val="17"/>
                <w:szCs w:val="17"/>
                <w:color w:val="000000"/>
              </w:rPr>
              <w:t>​</w:t>
            </w:r>
          </w:p>
        </w:tc>
        <w:tc>
          <w:tcPr>
            <w:tcW w:w="5520" w:type="dxa"/>
            <w:vAlign w:val="bottom"/>
            <w:shd w:val="clear" w:color="auto" w:fill="ECF1EE"/>
          </w:tcPr>
          <w:p>
            <w:pPr>
              <w:ind w:left="360"/>
              <w:spacing w:after="0"/>
              <w:rPr>
                <w:sz w:val="20"/>
                <w:szCs w:val="20"/>
                <w:color w:val="auto"/>
              </w:rPr>
            </w:pPr>
            <w:r>
              <w:rPr>
                <w:rFonts w:ascii="Arial" w:cs="Arial" w:eastAsia="Arial" w:hAnsi="Arial"/>
                <w:sz w:val="18"/>
                <w:szCs w:val="18"/>
                <w:b w:val="1"/>
                <w:bCs w:val="1"/>
                <w:color w:val="auto"/>
              </w:rPr>
              <w:t>Ratification of Ernst &amp; Young LLP as the Company’s</w:t>
            </w:r>
          </w:p>
        </w:tc>
        <w:tc>
          <w:tcPr>
            <w:tcW w:w="2180" w:type="dxa"/>
            <w:vAlign w:val="bottom"/>
            <w:vMerge w:val="restart"/>
            <w:shd w:val="clear" w:color="auto" w:fill="ECF1EE"/>
          </w:tcPr>
          <w:p>
            <w:pPr>
              <w:ind w:left="220"/>
              <w:spacing w:after="0"/>
              <w:rPr>
                <w:sz w:val="20"/>
                <w:szCs w:val="20"/>
                <w:color w:val="auto"/>
              </w:rPr>
            </w:pPr>
            <w:r>
              <w:rPr>
                <w:rFonts w:ascii="Arial" w:cs="Arial" w:eastAsia="Arial" w:hAnsi="Arial"/>
                <w:sz w:val="18"/>
                <w:szCs w:val="18"/>
                <w:b w:val="1"/>
                <w:bCs w:val="1"/>
                <w:color w:val="auto"/>
              </w:rPr>
              <w:t>​ ​ FOR</w:t>
            </w:r>
          </w:p>
        </w:tc>
        <w:tc>
          <w:tcPr>
            <w:tcW w:w="160" w:type="dxa"/>
            <w:vAlign w:val="bottom"/>
            <w:shd w:val="clear" w:color="auto" w:fill="ECF1EE"/>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0" w:type="dxa"/>
            <w:vAlign w:val="bottom"/>
            <w:shd w:val="clear" w:color="auto" w:fill="ECF1EE"/>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vMerge w:val="continue"/>
            <w:shd w:val="clear" w:color="auto" w:fill="ECF1EE"/>
          </w:tcPr>
          <w:p>
            <w:pPr>
              <w:spacing w:after="0"/>
              <w:rPr>
                <w:sz w:val="21"/>
                <w:szCs w:val="21"/>
                <w:color w:val="auto"/>
              </w:rPr>
            </w:pPr>
          </w:p>
        </w:tc>
        <w:tc>
          <w:tcPr>
            <w:tcW w:w="5520" w:type="dxa"/>
            <w:vAlign w:val="bottom"/>
            <w:shd w:val="clear" w:color="auto" w:fill="ECF1EE"/>
          </w:tcPr>
          <w:p>
            <w:pPr>
              <w:ind w:left="140"/>
              <w:spacing w:after="0"/>
              <w:rPr>
                <w:sz w:val="20"/>
                <w:szCs w:val="20"/>
                <w:color w:val="auto"/>
              </w:rPr>
            </w:pPr>
            <w:r>
              <w:rPr>
                <w:rFonts w:ascii="Arial" w:cs="Arial" w:eastAsia="Arial" w:hAnsi="Arial"/>
                <w:sz w:val="18"/>
                <w:szCs w:val="18"/>
                <w:b w:val="1"/>
                <w:bCs w:val="1"/>
                <w:color w:val="auto"/>
              </w:rPr>
              <w:t>​ ​ Independent Registered Public Accounting Firm for</w:t>
            </w:r>
          </w:p>
        </w:tc>
        <w:tc>
          <w:tcPr>
            <w:tcW w:w="2180" w:type="dxa"/>
            <w:vAlign w:val="bottom"/>
            <w:vMerge w:val="continue"/>
            <w:shd w:val="clear" w:color="auto" w:fill="ECF1EE"/>
          </w:tcPr>
          <w:p>
            <w:pPr>
              <w:spacing w:after="0"/>
              <w:rPr>
                <w:sz w:val="21"/>
                <w:szCs w:val="21"/>
                <w:color w:val="auto"/>
              </w:rPr>
            </w:pPr>
          </w:p>
        </w:tc>
        <w:tc>
          <w:tcPr>
            <w:tcW w:w="160" w:type="dxa"/>
            <w:vAlign w:val="bottom"/>
            <w:shd w:val="clear" w:color="auto" w:fill="ECF1EE"/>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08"/>
        </w:trPr>
        <w:tc>
          <w:tcPr>
            <w:tcW w:w="180" w:type="dxa"/>
            <w:vAlign w:val="bottom"/>
            <w:shd w:val="clear" w:color="auto" w:fill="ECF1EE"/>
          </w:tcPr>
          <w:p>
            <w:pPr>
              <w:spacing w:after="0"/>
              <w:rPr>
                <w:sz w:val="24"/>
                <w:szCs w:val="24"/>
                <w:color w:val="auto"/>
              </w:rPr>
            </w:pPr>
          </w:p>
        </w:tc>
        <w:tc>
          <w:tcPr>
            <w:tcW w:w="1020" w:type="dxa"/>
            <w:vAlign w:val="bottom"/>
            <w:vMerge w:val="continue"/>
            <w:shd w:val="clear" w:color="auto" w:fill="ECF1EE"/>
          </w:tcPr>
          <w:p>
            <w:pPr>
              <w:spacing w:after="0"/>
              <w:rPr>
                <w:sz w:val="24"/>
                <w:szCs w:val="24"/>
                <w:color w:val="auto"/>
              </w:rPr>
            </w:pPr>
          </w:p>
        </w:tc>
        <w:tc>
          <w:tcPr>
            <w:tcW w:w="5520" w:type="dxa"/>
            <w:vAlign w:val="bottom"/>
            <w:shd w:val="clear" w:color="auto" w:fill="ECF1EE"/>
          </w:tcPr>
          <w:p>
            <w:pPr>
              <w:ind w:left="360"/>
              <w:spacing w:after="0"/>
              <w:rPr>
                <w:sz w:val="20"/>
                <w:szCs w:val="20"/>
                <w:color w:val="auto"/>
              </w:rPr>
            </w:pPr>
            <w:r>
              <w:rPr>
                <w:rFonts w:ascii="Arial" w:cs="Arial" w:eastAsia="Arial" w:hAnsi="Arial"/>
                <w:sz w:val="18"/>
                <w:szCs w:val="18"/>
                <w:b w:val="1"/>
                <w:bCs w:val="1"/>
                <w:color w:val="auto"/>
              </w:rPr>
              <w:t>fiscal year 2025</w:t>
            </w:r>
          </w:p>
        </w:tc>
        <w:tc>
          <w:tcPr>
            <w:tcW w:w="2180" w:type="dxa"/>
            <w:vAlign w:val="bottom"/>
            <w:shd w:val="clear" w:color="auto" w:fill="ECF1EE"/>
          </w:tcPr>
          <w:p>
            <w:pPr>
              <w:spacing w:after="0"/>
              <w:rPr>
                <w:sz w:val="24"/>
                <w:szCs w:val="24"/>
                <w:color w:val="auto"/>
              </w:rPr>
            </w:pPr>
          </w:p>
        </w:tc>
        <w:tc>
          <w:tcPr>
            <w:tcW w:w="160" w:type="dxa"/>
            <w:vAlign w:val="bottom"/>
            <w:shd w:val="clear" w:color="auto" w:fill="ECF1EE"/>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80" w:type="dxa"/>
            <w:vAlign w:val="bottom"/>
            <w:tcBorders>
              <w:bottom w:val="single" w:sz="8" w:color="457157"/>
            </w:tcBorders>
            <w:shd w:val="clear" w:color="auto" w:fill="ECF1EE"/>
          </w:tcPr>
          <w:p>
            <w:pPr>
              <w:spacing w:after="0"/>
              <w:rPr>
                <w:sz w:val="6"/>
                <w:szCs w:val="6"/>
                <w:color w:val="auto"/>
              </w:rPr>
            </w:pPr>
          </w:p>
        </w:tc>
        <w:tc>
          <w:tcPr>
            <w:tcW w:w="1020" w:type="dxa"/>
            <w:vAlign w:val="bottom"/>
            <w:tcBorders>
              <w:bottom w:val="single" w:sz="8" w:color="457157"/>
            </w:tcBorders>
            <w:shd w:val="clear" w:color="auto" w:fill="ECF1EE"/>
          </w:tcPr>
          <w:p>
            <w:pPr>
              <w:spacing w:after="0"/>
              <w:rPr>
                <w:sz w:val="6"/>
                <w:szCs w:val="6"/>
                <w:color w:val="auto"/>
              </w:rPr>
            </w:pPr>
          </w:p>
        </w:tc>
        <w:tc>
          <w:tcPr>
            <w:tcW w:w="5520" w:type="dxa"/>
            <w:vAlign w:val="bottom"/>
            <w:tcBorders>
              <w:bottom w:val="single" w:sz="8" w:color="457157"/>
            </w:tcBorders>
            <w:shd w:val="clear" w:color="auto" w:fill="ECF1EE"/>
          </w:tcPr>
          <w:p>
            <w:pPr>
              <w:spacing w:after="0"/>
              <w:rPr>
                <w:sz w:val="6"/>
                <w:szCs w:val="6"/>
                <w:color w:val="auto"/>
              </w:rPr>
            </w:pPr>
          </w:p>
        </w:tc>
        <w:tc>
          <w:tcPr>
            <w:tcW w:w="2180" w:type="dxa"/>
            <w:vAlign w:val="bottom"/>
            <w:tcBorders>
              <w:bottom w:val="single" w:sz="8" w:color="457157"/>
            </w:tcBorders>
            <w:shd w:val="clear" w:color="auto" w:fill="ECF1EE"/>
          </w:tcPr>
          <w:p>
            <w:pPr>
              <w:spacing w:after="0"/>
              <w:rPr>
                <w:sz w:val="6"/>
                <w:szCs w:val="6"/>
                <w:color w:val="auto"/>
              </w:rPr>
            </w:pPr>
          </w:p>
        </w:tc>
        <w:tc>
          <w:tcPr>
            <w:tcW w:w="160" w:type="dxa"/>
            <w:vAlign w:val="bottom"/>
            <w:tcBorders>
              <w:bottom w:val="single" w:sz="8" w:color="457157"/>
            </w:tcBorders>
            <w:shd w:val="clear" w:color="auto" w:fill="ECF1EE"/>
          </w:tcPr>
          <w:p>
            <w:pPr>
              <w:spacing w:after="0"/>
              <w:rPr>
                <w:sz w:val="6"/>
                <w:szCs w:val="6"/>
                <w:color w:val="auto"/>
              </w:rPr>
            </w:pPr>
          </w:p>
        </w:tc>
        <w:tc>
          <w:tcPr>
            <w:tcW w:w="0" w:type="dxa"/>
            <w:vAlign w:val="bottom"/>
          </w:tcPr>
          <w:p>
            <w:pPr>
              <w:spacing w:after="0"/>
              <w:rPr>
                <w:sz w:val="1"/>
                <w:szCs w:val="1"/>
                <w:color w:val="auto"/>
              </w:rPr>
            </w:pPr>
          </w:p>
        </w:tc>
      </w:tr>
      <w:tr>
        <w:trPr>
          <w:trHeight w:val="817"/>
        </w:trPr>
        <w:tc>
          <w:tcPr>
            <w:tcW w:w="180" w:type="dxa"/>
            <w:vAlign w:val="bottom"/>
            <w:tcBorders>
              <w:bottom w:val="single" w:sz="8" w:color="457157"/>
            </w:tcBorders>
            <w:shd w:val="clear" w:color="auto" w:fill="D0DCD5"/>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457157"/>
            </w:tcBorders>
            <w:shd w:val="clear" w:color="auto" w:fill="D0DCD5"/>
          </w:tcPr>
          <w:p>
            <w:pPr>
              <w:ind w:left="320"/>
              <w:spacing w:after="0"/>
              <w:rPr>
                <w:sz w:val="20"/>
                <w:szCs w:val="20"/>
                <w:color w:val="auto"/>
              </w:rPr>
            </w:pPr>
            <w:r>
              <w:rPr>
                <w:rFonts w:ascii="Arial" w:cs="Arial" w:eastAsia="Arial" w:hAnsi="Arial"/>
                <w:sz w:val="65"/>
                <w:szCs w:val="65"/>
                <w:b w:val="1"/>
                <w:bCs w:val="1"/>
                <w:color w:val="457157"/>
              </w:rPr>
              <w:t>3</w:t>
            </w:r>
            <w:r>
              <w:rPr>
                <w:rFonts w:ascii="Arial" w:cs="Arial" w:eastAsia="Arial" w:hAnsi="Arial"/>
                <w:sz w:val="17"/>
                <w:szCs w:val="17"/>
                <w:color w:val="000000"/>
              </w:rPr>
              <w:t>​</w:t>
            </w:r>
          </w:p>
        </w:tc>
        <w:tc>
          <w:tcPr>
            <w:tcW w:w="5520" w:type="dxa"/>
            <w:vAlign w:val="bottom"/>
            <w:tcBorders>
              <w:bottom w:val="single" w:sz="8" w:color="457157"/>
            </w:tcBorders>
            <w:shd w:val="clear" w:color="auto" w:fill="D0DCD5"/>
          </w:tcPr>
          <w:p>
            <w:pPr>
              <w:ind w:left="140"/>
              <w:spacing w:after="0"/>
              <w:rPr>
                <w:sz w:val="20"/>
                <w:szCs w:val="20"/>
                <w:color w:val="auto"/>
              </w:rPr>
            </w:pPr>
            <w:r>
              <w:rPr>
                <w:rFonts w:ascii="Arial" w:cs="Arial" w:eastAsia="Arial" w:hAnsi="Arial"/>
                <w:sz w:val="18"/>
                <w:szCs w:val="18"/>
                <w:b w:val="1"/>
                <w:bCs w:val="1"/>
                <w:color w:val="auto"/>
              </w:rPr>
              <w:t>​ ​ Approval of the Company’s Executive Compensation</w:t>
            </w:r>
          </w:p>
        </w:tc>
        <w:tc>
          <w:tcPr>
            <w:tcW w:w="2180" w:type="dxa"/>
            <w:vAlign w:val="bottom"/>
            <w:tcBorders>
              <w:bottom w:val="single" w:sz="8" w:color="457157"/>
            </w:tcBorders>
            <w:shd w:val="clear" w:color="auto" w:fill="D0DCD5"/>
          </w:tcPr>
          <w:p>
            <w:pPr>
              <w:ind w:left="220"/>
              <w:spacing w:after="0"/>
              <w:rPr>
                <w:sz w:val="20"/>
                <w:szCs w:val="20"/>
                <w:color w:val="auto"/>
              </w:rPr>
            </w:pPr>
            <w:r>
              <w:rPr>
                <w:rFonts w:ascii="Arial" w:cs="Arial" w:eastAsia="Arial" w:hAnsi="Arial"/>
                <w:sz w:val="18"/>
                <w:szCs w:val="18"/>
                <w:b w:val="1"/>
                <w:bCs w:val="1"/>
                <w:color w:val="auto"/>
              </w:rPr>
              <w:t>​ ​ FOR</w:t>
            </w:r>
          </w:p>
        </w:tc>
        <w:tc>
          <w:tcPr>
            <w:tcW w:w="160" w:type="dxa"/>
            <w:vAlign w:val="bottom"/>
            <w:tcBorders>
              <w:bottom w:val="single" w:sz="8" w:color="457157"/>
            </w:tcBorders>
            <w:shd w:val="clear" w:color="auto" w:fill="D0DCD5"/>
          </w:tcPr>
          <w:p>
            <w:pPr>
              <w:ind w:lef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62" w:lineRule="exact"/>
        <w:rPr>
          <w:sz w:val="20"/>
          <w:szCs w:val="20"/>
          <w:color w:val="auto"/>
        </w:rPr>
      </w:pPr>
    </w:p>
    <w:p>
      <w:pPr>
        <w:jc w:val="both"/>
        <w:ind w:left="820" w:right="60"/>
        <w:spacing w:after="0" w:line="268" w:lineRule="auto"/>
        <w:rPr>
          <w:sz w:val="20"/>
          <w:szCs w:val="20"/>
          <w:color w:val="auto"/>
        </w:rPr>
      </w:pPr>
      <w:r>
        <w:rPr>
          <w:rFonts w:ascii="Arial" w:cs="Arial" w:eastAsia="Arial" w:hAnsi="Arial"/>
          <w:sz w:val="18"/>
          <w:szCs w:val="18"/>
          <w:b w:val="1"/>
          <w:bCs w:val="1"/>
          <w:color w:val="457157"/>
        </w:rPr>
        <w:t xml:space="preserve">Votes Required to Adopt the Proposals </w:t>
      </w:r>
      <w:r>
        <w:rPr>
          <w:rFonts w:ascii="Arial" w:cs="Arial" w:eastAsia="Arial" w:hAnsi="Arial"/>
          <w:sz w:val="18"/>
          <w:szCs w:val="18"/>
          <w:color w:val="000000"/>
        </w:rPr>
        <w:t>Each share of our Common Stock outstanding on the</w:t>
      </w:r>
      <w:r>
        <w:rPr>
          <w:rFonts w:ascii="Arial" w:cs="Arial" w:eastAsia="Arial" w:hAnsi="Arial"/>
          <w:sz w:val="18"/>
          <w:szCs w:val="18"/>
          <w:b w:val="1"/>
          <w:bCs w:val="1"/>
          <w:color w:val="457157"/>
        </w:rPr>
        <w:t xml:space="preserve"> </w:t>
      </w:r>
      <w:r>
        <w:rPr>
          <w:rFonts w:ascii="Arial" w:cs="Arial" w:eastAsia="Arial" w:hAnsi="Arial"/>
          <w:sz w:val="18"/>
          <w:szCs w:val="18"/>
          <w:color w:val="000000"/>
        </w:rPr>
        <w:t>record date is entitled to one vote on each of the nine director nominees and one vote on each other proposal.</w:t>
      </w:r>
    </w:p>
    <w:p>
      <w:pPr>
        <w:spacing w:after="0" w:line="267"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u w:val="single" w:color="auto"/>
          <w:color w:val="auto"/>
        </w:rPr>
        <w:t>Proposal 1</w:t>
      </w:r>
      <w:r>
        <w:rPr>
          <w:rFonts w:ascii="Arial" w:cs="Arial" w:eastAsia="Arial" w:hAnsi="Arial"/>
          <w:sz w:val="18"/>
          <w:szCs w:val="18"/>
          <w:color w:val="auto"/>
        </w:rPr>
        <w:t>: To be elected, a director must receive a majority of the votes cast with respect to that director’s election at the meeting; this means that the number of shares voted “for” a director must exceed 50% of the votes cast with respect to that director.</w:t>
      </w:r>
    </w:p>
    <w:p>
      <w:pPr>
        <w:spacing w:after="0" w:line="54"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u w:val="single" w:color="auto"/>
          <w:color w:val="auto"/>
        </w:rPr>
        <w:t>Proposal 2 and 3</w:t>
      </w:r>
      <w:r>
        <w:rPr>
          <w:rFonts w:ascii="Arial" w:cs="Arial" w:eastAsia="Arial" w:hAnsi="Arial"/>
          <w:sz w:val="18"/>
          <w:szCs w:val="18"/>
          <w:color w:val="auto"/>
        </w:rPr>
        <w:t>: In order to be approved, each of proposals 2 and 3 require the affirmative vote of the holders of a majority of the outstanding shares of Common Stock present, in person or by proxy, and entitled to vote on the matter.</w:t>
      </w:r>
    </w:p>
    <w:p>
      <w:pPr>
        <w:spacing w:after="0" w:line="54" w:lineRule="exact"/>
        <w:rPr>
          <w:sz w:val="20"/>
          <w:szCs w:val="20"/>
          <w:color w:val="auto"/>
        </w:rPr>
      </w:pPr>
    </w:p>
    <w:p>
      <w:pPr>
        <w:jc w:val="both"/>
        <w:ind w:left="820" w:right="60"/>
        <w:spacing w:after="0" w:line="287" w:lineRule="auto"/>
        <w:rPr>
          <w:sz w:val="20"/>
          <w:szCs w:val="20"/>
          <w:color w:val="auto"/>
        </w:rPr>
      </w:pPr>
      <w:r>
        <w:rPr>
          <w:rFonts w:ascii="Arial" w:cs="Arial" w:eastAsia="Arial" w:hAnsi="Arial"/>
          <w:sz w:val="18"/>
          <w:szCs w:val="18"/>
          <w:b w:val="1"/>
          <w:bCs w:val="1"/>
          <w:color w:val="457157"/>
        </w:rPr>
        <w:t xml:space="preserve">Effect of Abstentions </w:t>
      </w:r>
      <w:r>
        <w:rPr>
          <w:rFonts w:ascii="Arial" w:cs="Arial" w:eastAsia="Arial" w:hAnsi="Arial"/>
          <w:sz w:val="18"/>
          <w:szCs w:val="18"/>
          <w:color w:val="000000"/>
        </w:rPr>
        <w:t>Abstentions will have no effect on the election of directors. For each of the</w:t>
      </w:r>
      <w:r>
        <w:rPr>
          <w:rFonts w:ascii="Arial" w:cs="Arial" w:eastAsia="Arial" w:hAnsi="Arial"/>
          <w:sz w:val="18"/>
          <w:szCs w:val="18"/>
          <w:b w:val="1"/>
          <w:bCs w:val="1"/>
          <w:color w:val="457157"/>
        </w:rPr>
        <w:t xml:space="preserve"> </w:t>
      </w:r>
      <w:r>
        <w:rPr>
          <w:rFonts w:ascii="Arial" w:cs="Arial" w:eastAsia="Arial" w:hAnsi="Arial"/>
          <w:sz w:val="18"/>
          <w:szCs w:val="18"/>
          <w:color w:val="000000"/>
        </w:rPr>
        <w:t xml:space="preserve">other proposals, abstentions will have the same effect as a vote </w:t>
      </w:r>
      <w:r>
        <w:rPr>
          <w:rFonts w:ascii="Arial" w:cs="Arial" w:eastAsia="Arial" w:hAnsi="Arial"/>
          <w:sz w:val="18"/>
          <w:szCs w:val="18"/>
          <w:i w:val="1"/>
          <w:iCs w:val="1"/>
          <w:color w:val="000000"/>
        </w:rPr>
        <w:t>against</w:t>
      </w:r>
      <w:r>
        <w:rPr>
          <w:rFonts w:ascii="Arial" w:cs="Arial" w:eastAsia="Arial" w:hAnsi="Arial"/>
          <w:sz w:val="18"/>
          <w:szCs w:val="18"/>
          <w:color w:val="000000"/>
        </w:rPr>
        <w:t xml:space="preserve"> these matters.</w:t>
      </w:r>
    </w:p>
    <w:p>
      <w:pPr>
        <w:spacing w:after="0" w:line="31"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b w:val="1"/>
          <w:bCs w:val="1"/>
          <w:color w:val="457157"/>
        </w:rPr>
        <w:t xml:space="preserve">Effect of Broker Non-Votes </w:t>
      </w:r>
      <w:r>
        <w:rPr>
          <w:rFonts w:ascii="Arial" w:cs="Arial" w:eastAsia="Arial" w:hAnsi="Arial"/>
          <w:sz w:val="18"/>
          <w:szCs w:val="18"/>
          <w:color w:val="000000"/>
        </w:rPr>
        <w:t>If your shares are held by a broker, you may submit your voting</w:t>
      </w:r>
      <w:r>
        <w:rPr>
          <w:rFonts w:ascii="Arial" w:cs="Arial" w:eastAsia="Arial" w:hAnsi="Arial"/>
          <w:sz w:val="18"/>
          <w:szCs w:val="18"/>
          <w:b w:val="1"/>
          <w:bCs w:val="1"/>
          <w:color w:val="457157"/>
        </w:rPr>
        <w:t xml:space="preserve"> </w:t>
      </w:r>
      <w:r>
        <w:rPr>
          <w:rFonts w:ascii="Arial" w:cs="Arial" w:eastAsia="Arial" w:hAnsi="Arial"/>
          <w:sz w:val="18"/>
          <w:szCs w:val="18"/>
          <w:color w:val="000000"/>
        </w:rPr>
        <w:t>instructions to the broker as to how you want your shares to be voted. If you give the broker instructions, your shares must be voted as you direct. If you do not instruct your broker how to vote your shares using the instructions your broker provides to you, your broker may vote your shares at its discretion on proposal 2 regarding ratification of the Company’s independent registered public accounting firm, but not for any other proposal. When this happens, it is called a “broker non- vote.” With respect to proposal 1 and proposal 3, broker non-votes will have no effect on the outcome. To be sure your shares are voted in the manner you desire, you should instruct your broker how to vote your shares.</w:t>
      </w:r>
    </w:p>
    <w:p>
      <w:pPr>
        <w:spacing w:after="0" w:line="294"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b w:val="1"/>
          <w:bCs w:val="1"/>
          <w:color w:val="457157"/>
        </w:rPr>
        <w:t xml:space="preserve">Quorum </w:t>
      </w:r>
      <w:r>
        <w:rPr>
          <w:rFonts w:ascii="Arial" w:cs="Arial" w:eastAsia="Arial" w:hAnsi="Arial"/>
          <w:sz w:val="18"/>
          <w:szCs w:val="18"/>
          <w:color w:val="000000"/>
        </w:rPr>
        <w:t>The holders of a majority of the shares of Common Stock outstanding on the record date</w:t>
      </w:r>
      <w:r>
        <w:rPr>
          <w:rFonts w:ascii="Arial" w:cs="Arial" w:eastAsia="Arial" w:hAnsi="Arial"/>
          <w:sz w:val="18"/>
          <w:szCs w:val="18"/>
          <w:b w:val="1"/>
          <w:bCs w:val="1"/>
          <w:color w:val="457157"/>
        </w:rPr>
        <w:t xml:space="preserve"> </w:t>
      </w:r>
      <w:r>
        <w:rPr>
          <w:rFonts w:ascii="Arial" w:cs="Arial" w:eastAsia="Arial" w:hAnsi="Arial"/>
          <w:sz w:val="18"/>
          <w:szCs w:val="18"/>
          <w:color w:val="000000"/>
        </w:rPr>
        <w:t>must be present in person or by proxy to constitute a quorum necessary to conduct the Annual Meeting. Abstentions and broker non-votes are counted for purposes of determining a quorum.</w:t>
      </w:r>
    </w:p>
    <w:p>
      <w:pPr>
        <w:spacing w:after="0" w:line="74" w:lineRule="exact"/>
        <w:rPr>
          <w:sz w:val="20"/>
          <w:szCs w:val="20"/>
          <w:color w:val="auto"/>
        </w:rPr>
      </w:pPr>
    </w:p>
    <w:p>
      <w:pPr>
        <w:jc w:val="both"/>
        <w:ind w:left="820" w:right="40"/>
        <w:spacing w:after="0" w:line="246" w:lineRule="auto"/>
        <w:rPr>
          <w:sz w:val="20"/>
          <w:szCs w:val="20"/>
          <w:color w:val="auto"/>
        </w:rPr>
      </w:pPr>
      <w:r>
        <w:rPr>
          <w:rFonts w:ascii="Arial" w:cs="Arial" w:eastAsia="Arial" w:hAnsi="Arial"/>
          <w:sz w:val="18"/>
          <w:szCs w:val="18"/>
          <w:b w:val="1"/>
          <w:bCs w:val="1"/>
          <w:color w:val="457157"/>
        </w:rPr>
        <w:t xml:space="preserve">Stockholder Proposals and Nominees for the 2026 Annual Meeting </w:t>
      </w:r>
      <w:r>
        <w:rPr>
          <w:rFonts w:ascii="Arial" w:cs="Arial" w:eastAsia="Arial" w:hAnsi="Arial"/>
          <w:sz w:val="18"/>
          <w:szCs w:val="18"/>
          <w:color w:val="000000"/>
        </w:rPr>
        <w:t>The Company will not</w:t>
      </w:r>
      <w:r>
        <w:rPr>
          <w:rFonts w:ascii="Arial" w:cs="Arial" w:eastAsia="Arial" w:hAnsi="Arial"/>
          <w:sz w:val="18"/>
          <w:szCs w:val="18"/>
          <w:b w:val="1"/>
          <w:bCs w:val="1"/>
          <w:color w:val="457157"/>
        </w:rPr>
        <w:t xml:space="preserve"> </w:t>
      </w:r>
      <w:r>
        <w:rPr>
          <w:rFonts w:ascii="Arial" w:cs="Arial" w:eastAsia="Arial" w:hAnsi="Arial"/>
          <w:sz w:val="18"/>
          <w:szCs w:val="18"/>
          <w:color w:val="000000"/>
        </w:rPr>
        <w:t>consider any proposal or nomination that is not timely or otherwise does not meet the Company’s By-law and Securities and Exchange Commission (“SEC”) requirements for submitting a proposal or nomination. We also ask that you email a courtesy copy of any notice to GCLegal@wm.com. A copy of our By -laws may be obtained free of charge by writing to our Corporate Secretary at 800 Capitol Street, Suite 3000, Houston, Texas 77002 and is available in the “Sustainability &amp; Governance —  Corporate Governance” section of investors.wm.com.</w:t>
      </w:r>
    </w:p>
    <w:p>
      <w:pPr>
        <w:spacing w:after="0" w:line="280"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i w:val="1"/>
          <w:iCs w:val="1"/>
          <w:u w:val="single" w:color="auto"/>
          <w:color w:val="auto"/>
        </w:rPr>
        <w:t>Stockholder Proposals: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stockholders who wish to submit a proposal for inclusion in the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pursuant to Rule 14a-8 under the Securities Exchange Act of 1934, as amended (the “Exchange Act”), for our 2026 Annual Meeting must submit their proposal to our Corporate Secretary at Waste Management, Inc., 800 Capitol Street, Suite 3000,</w:t>
      </w:r>
    </w:p>
    <w:p>
      <w:pPr>
        <w:spacing w:after="0" w:line="240" w:lineRule="exact"/>
        <w:rPr>
          <w:sz w:val="20"/>
          <w:szCs w:val="20"/>
          <w:color w:val="auto"/>
        </w:rPr>
      </w:pPr>
    </w:p>
    <w:p>
      <w:pPr>
        <w:ind w:left="820"/>
        <w:spacing w:after="0"/>
        <w:tabs>
          <w:tab w:leader="none" w:pos="10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1170" cy="12890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316" w:lineRule="exact"/>
        <w:rPr>
          <w:sz w:val="20"/>
          <w:szCs w:val="20"/>
          <w:color w:val="auto"/>
        </w:rPr>
      </w:pPr>
    </w:p>
    <w:p>
      <w:pPr>
        <w:ind w:left="820"/>
        <w:spacing w:after="0"/>
        <w:tabs>
          <w:tab w:leader="none" w:pos="7300" w:val="left"/>
        </w:tabs>
        <w:rPr>
          <w:sz w:val="20"/>
          <w:szCs w:val="20"/>
          <w:color w:val="auto"/>
        </w:rPr>
      </w:pPr>
      <w:r>
        <w:rPr>
          <w:rFonts w:ascii="Arial" w:cs="Arial" w:eastAsia="Arial" w:hAnsi="Arial"/>
          <w:sz w:val="32"/>
          <w:szCs w:val="32"/>
          <w:b w:val="1"/>
          <w:bCs w:val="1"/>
          <w:color w:val="auto"/>
          <w:vertAlign w:val="superscript"/>
        </w:rPr>
        <w:t>​</w:t>
      </w:r>
      <w:r>
        <w:rPr>
          <w:sz w:val="20"/>
          <w:szCs w:val="20"/>
          <w:color w:val="auto"/>
        </w:rPr>
        <w:tab/>
      </w:r>
      <w:r>
        <w:rPr>
          <w:rFonts w:ascii="Arial" w:cs="Arial" w:eastAsia="Arial" w:hAnsi="Arial"/>
          <w:sz w:val="20"/>
          <w:szCs w:val="20"/>
          <w:b w:val="1"/>
          <w:bCs w:val="1"/>
          <w:color w:val="auto"/>
        </w:rPr>
        <w:t>GENERAL INFORMATION</w:t>
      </w:r>
      <w:r>
        <w:rPr>
          <w:rFonts w:ascii="Arial" w:cs="Arial" w:eastAsia="Arial" w:hAnsi="Arial"/>
          <w:sz w:val="32"/>
          <w:szCs w:val="32"/>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-232410</wp:posOffset>
            </wp:positionV>
            <wp:extent cx="57607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20"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Houston, Texas 77002 for receipt on or before December 2, 2025. The proponent and the proposal must comply with the requirements set forth in the federal securities laws, including Rule 14a-8 of the Exchange Act, in order to be included in the Company’s proxy statement and proxy card for the 2026 Annual Meeting.</w:t>
      </w:r>
    </w:p>
    <w:p>
      <w:pPr>
        <w:spacing w:after="0" w:line="286"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i w:val="1"/>
          <w:iCs w:val="1"/>
          <w:u w:val="single" w:color="auto"/>
          <w:color w:val="auto"/>
        </w:rPr>
        <w:t>Advance Notice Proposals and Nominations: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 addition, the Company’s By-laws establish advance</w:t>
      </w:r>
      <w:r>
        <w:rPr>
          <w:rFonts w:ascii="Arial" w:cs="Arial" w:eastAsia="Arial" w:hAnsi="Arial"/>
          <w:sz w:val="18"/>
          <w:szCs w:val="18"/>
          <w:i w:val="1"/>
          <w:iCs w:val="1"/>
          <w:color w:val="auto"/>
        </w:rPr>
        <w:t xml:space="preserve"> </w:t>
      </w:r>
      <w:r>
        <w:rPr>
          <w:rFonts w:ascii="Arial" w:cs="Arial" w:eastAsia="Arial" w:hAnsi="Arial"/>
          <w:sz w:val="18"/>
          <w:szCs w:val="18"/>
          <w:color w:val="auto"/>
        </w:rPr>
        <w:t>notice procedures that must be complied with for stockholders to bring proposals that are not included in the Company’s proxy materials and nominations of persons for election as directors (other than pursuant to our proxy access By-law discussed below) before an annual meeting of stockholders. In accordance with our By -laws, for a proposal or nominee not included in our proxy materials to be properly brought before the 2026 Annual Meeting, a stockholder’s notice must be delivered to our Corporate Secretary at Waste Management, Inc., 800 Capitol Street, Suite 3000, Houston, Texas 77002 no earlier than December 14, 2025 and no later than January 13, 2026 and must contain the information specified in the Company’s By-laws. In addition to satisfying the foregoing advance notice requirements under our By-laws, to comply with the universal proxy rules under the Exchange Act, a stockholder who intends to solicit proxies in support of director nominees other than Company’s nominees must provide notice that sets forth the information required by Rule 14a-19 under the Exchange Act no later than January 13, 2026, and must also comply with all other requirements of Rule 14a-19 under the Exchange Act. The Company will disregard any proxies solicited for a stockholder’s director nominee(s) if such stockholder fails to comply with such requirements.</w:t>
      </w:r>
    </w:p>
    <w:p>
      <w:pPr>
        <w:spacing w:after="0" w:line="293"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i w:val="1"/>
          <w:iCs w:val="1"/>
          <w:u w:val="single" w:color="auto"/>
          <w:color w:val="auto"/>
        </w:rPr>
        <w:t>Proxy Access Nominations: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By-laws permit a stockholder or group of up to 20</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owning 3% or more of the Company’s outstanding Common Stock continuously for at least three years to nominate and include in the Company’s proxy materials director nominees constituting up to the greater of 20% of the Board of Directors or two individuals, provided the stockholder(s) and the nominee(s) satisfy the requirements specified in the Company’s By-laws. Notice of proxy access director nominees must be delivered to our Corporate Secretary at Waste Management, Inc., 800 Capitol Street, Suite 3000, Houston, Texas 77002 no earlier than November 2, 2025, and no later than December 2, 2025, together with other information required by the Company’s By-laws.</w:t>
      </w:r>
    </w:p>
    <w:p>
      <w:pPr>
        <w:spacing w:after="0" w:line="293"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b w:val="1"/>
          <w:bCs w:val="1"/>
          <w:color w:val="457157"/>
        </w:rPr>
        <w:t xml:space="preserve">Expenses of Solicitation </w:t>
      </w:r>
      <w:r>
        <w:rPr>
          <w:rFonts w:ascii="Arial" w:cs="Arial" w:eastAsia="Arial" w:hAnsi="Arial"/>
          <w:sz w:val="18"/>
          <w:szCs w:val="18"/>
          <w:color w:val="000000"/>
        </w:rPr>
        <w:t>We pay the cost of preparing, assembling and mailing this proxy-soliciting</w:t>
      </w:r>
      <w:r>
        <w:rPr>
          <w:rFonts w:ascii="Arial" w:cs="Arial" w:eastAsia="Arial" w:hAnsi="Arial"/>
          <w:sz w:val="18"/>
          <w:szCs w:val="18"/>
          <w:b w:val="1"/>
          <w:bCs w:val="1"/>
          <w:color w:val="457157"/>
        </w:rPr>
        <w:t xml:space="preserve"> </w:t>
      </w:r>
      <w:r>
        <w:rPr>
          <w:rFonts w:ascii="Arial" w:cs="Arial" w:eastAsia="Arial" w:hAnsi="Arial"/>
          <w:sz w:val="18"/>
          <w:szCs w:val="18"/>
          <w:color w:val="000000"/>
        </w:rPr>
        <w:t>material. In addition to the use of the mail, proxies may be solicited personally, by Internet or telephone, or by the Company’s officers and employees of the Company’s subsidiaries without additional compensation. We pay all costs of solicitation, including certain expenses of brokers and nominees who mail proxy materials to their customers or principals. Also, Innisfree M&amp;A Incorporated has been hired to help in the solicitation of proxies for the 2025 Annual Meeting for a fee of $17,500 plus associated costs and expenses.</w:t>
      </w:r>
    </w:p>
    <w:p>
      <w:pPr>
        <w:spacing w:after="0" w:line="290" w:lineRule="exact"/>
        <w:rPr>
          <w:sz w:val="20"/>
          <w:szCs w:val="20"/>
          <w:color w:val="auto"/>
        </w:rPr>
      </w:pPr>
    </w:p>
    <w:p>
      <w:pPr>
        <w:jc w:val="both"/>
        <w:ind w:left="820" w:right="60"/>
        <w:spacing w:after="0" w:line="262" w:lineRule="auto"/>
        <w:rPr>
          <w:sz w:val="20"/>
          <w:szCs w:val="20"/>
          <w:color w:val="auto"/>
        </w:rPr>
      </w:pPr>
      <w:r>
        <w:rPr>
          <w:rFonts w:ascii="Arial" w:cs="Arial" w:eastAsia="Arial" w:hAnsi="Arial"/>
          <w:sz w:val="18"/>
          <w:szCs w:val="18"/>
          <w:b w:val="1"/>
          <w:bCs w:val="1"/>
          <w:color w:val="457157"/>
        </w:rPr>
        <w:t xml:space="preserve">Annual Report </w:t>
      </w:r>
      <w:r>
        <w:rPr>
          <w:rFonts w:ascii="Arial" w:cs="Arial" w:eastAsia="Arial" w:hAnsi="Arial"/>
          <w:sz w:val="18"/>
          <w:szCs w:val="18"/>
          <w:color w:val="000000"/>
        </w:rPr>
        <w:t>A copy of our Annual Report on Form 10-K for the year ended December 31, 2024,</w:t>
      </w:r>
      <w:r>
        <w:rPr>
          <w:rFonts w:ascii="Arial" w:cs="Arial" w:eastAsia="Arial" w:hAnsi="Arial"/>
          <w:sz w:val="18"/>
          <w:szCs w:val="18"/>
          <w:b w:val="1"/>
          <w:bCs w:val="1"/>
          <w:color w:val="457157"/>
        </w:rPr>
        <w:t xml:space="preserve"> </w:t>
      </w:r>
      <w:r>
        <w:rPr>
          <w:rFonts w:ascii="Arial" w:cs="Arial" w:eastAsia="Arial" w:hAnsi="Arial"/>
          <w:sz w:val="18"/>
          <w:szCs w:val="18"/>
          <w:color w:val="000000"/>
        </w:rPr>
        <w:t>which includes our financial statements for fiscal year 2024, is provided with this Proxy Statement and is available at investors.wm.com. The Annual Report on Form 10-K is not incorporated by reference into this Proxy Statement or deemed to be a part of the materials for the solicitation of proxies.</w:t>
      </w:r>
    </w:p>
    <w:p>
      <w:pPr>
        <w:spacing w:after="0" w:line="68" w:lineRule="exact"/>
        <w:rPr>
          <w:sz w:val="20"/>
          <w:szCs w:val="20"/>
          <w:color w:val="auto"/>
        </w:rPr>
      </w:pPr>
    </w:p>
    <w:p>
      <w:pPr>
        <w:jc w:val="both"/>
        <w:ind w:left="820" w:right="80"/>
        <w:spacing w:after="0" w:line="268" w:lineRule="auto"/>
        <w:rPr>
          <w:sz w:val="20"/>
          <w:szCs w:val="20"/>
          <w:color w:val="auto"/>
        </w:rPr>
      </w:pPr>
      <w:r>
        <w:rPr>
          <w:rFonts w:ascii="Arial" w:cs="Arial" w:eastAsia="Arial" w:hAnsi="Arial"/>
          <w:sz w:val="18"/>
          <w:szCs w:val="18"/>
          <w:color w:val="auto"/>
        </w:rPr>
        <w:t>If you wish to receive a separate or additional copy of this Proxy Statement and Annual Report free of charge, please contact: Waste Management, Inc., Corporate Secretary, 800 Capitol Street, Suite 3000, Houston, Texas 77002, telephone 713-512-6374.</w:t>
      </w:r>
    </w:p>
    <w:p>
      <w:pPr>
        <w:spacing w:after="0" w:line="63" w:lineRule="exact"/>
        <w:rPr>
          <w:sz w:val="20"/>
          <w:szCs w:val="20"/>
          <w:color w:val="auto"/>
        </w:rPr>
      </w:pPr>
    </w:p>
    <w:p>
      <w:pPr>
        <w:jc w:val="both"/>
        <w:ind w:left="820" w:right="60"/>
        <w:spacing w:after="0" w:line="259" w:lineRule="auto"/>
        <w:rPr>
          <w:sz w:val="20"/>
          <w:szCs w:val="20"/>
          <w:color w:val="auto"/>
        </w:rPr>
      </w:pPr>
      <w:r>
        <w:rPr>
          <w:rFonts w:ascii="Arial" w:cs="Arial" w:eastAsia="Arial" w:hAnsi="Arial"/>
          <w:sz w:val="18"/>
          <w:szCs w:val="18"/>
          <w:b w:val="1"/>
          <w:bCs w:val="1"/>
          <w:color w:val="457157"/>
        </w:rPr>
        <w:t xml:space="preserve">Householding Information </w:t>
      </w:r>
      <w:r>
        <w:rPr>
          <w:rFonts w:ascii="Arial" w:cs="Arial" w:eastAsia="Arial" w:hAnsi="Arial"/>
          <w:sz w:val="18"/>
          <w:szCs w:val="18"/>
          <w:color w:val="000000"/>
        </w:rPr>
        <w:t>We have adopted a procedure approved by the SEC called</w:t>
      </w:r>
      <w:r>
        <w:rPr>
          <w:rFonts w:ascii="Arial" w:cs="Arial" w:eastAsia="Arial" w:hAnsi="Arial"/>
          <w:sz w:val="18"/>
          <w:szCs w:val="18"/>
          <w:b w:val="1"/>
          <w:bCs w:val="1"/>
          <w:color w:val="457157"/>
        </w:rPr>
        <w:t xml:space="preserve"> </w:t>
      </w:r>
      <w:r>
        <w:rPr>
          <w:rFonts w:ascii="Arial" w:cs="Arial" w:eastAsia="Arial" w:hAnsi="Arial"/>
          <w:sz w:val="18"/>
          <w:szCs w:val="18"/>
          <w:color w:val="000000"/>
        </w:rPr>
        <w:t>“householding.” Under this procedure, stockholders of record who have the same address and last name and do not participate in electronic delivery of proxy materials will receive only one copy of the Proxy Statement and Annual Report unless we are notified that one or more of these individuals wishes to receive separate copies. This procedure helps reduce our printing costs and postage fees.</w:t>
      </w:r>
    </w:p>
    <w:p>
      <w:pPr>
        <w:spacing w:after="0" w:line="71"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If you do not wish to participate in householding in the future and prefer to receive separate copies of the proxy materials, please contact: Broadridge Financial Solutions, Attention Householding Department, 51 Mercedes Way, Edgewood, NY 11717, telephone 1-866 -540 -7095. If you are currently receiving multiple copies of proxy materials and wish to receive only one copy for your household, please contact Broadridge.</w:t>
      </w:r>
    </w:p>
    <w:p>
      <w:pPr>
        <w:spacing w:after="0" w:line="207"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428625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-184150</wp:posOffset>
            </wp:positionV>
            <wp:extent cx="471805"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BOARD OF DIRECTORS</w:t>
      </w:r>
      <w:r>
        <w:rPr>
          <w:rFonts w:ascii="Times New Roman" w:cs="Times New Roman" w:eastAsia="Times New Roman" w:hAnsi="Times New Roman"/>
          <w:sz w:val="64"/>
          <w:szCs w:val="64"/>
          <w:color w:val="000000"/>
        </w:rPr>
        <w:t>​</w:t>
      </w:r>
    </w:p>
    <w:p>
      <w:pPr>
        <w:spacing w:after="0" w:line="101" w:lineRule="exact"/>
        <w:rPr>
          <w:sz w:val="20"/>
          <w:szCs w:val="20"/>
          <w:color w:val="auto"/>
        </w:rPr>
      </w:pPr>
    </w:p>
    <w:p>
      <w:pPr>
        <w:jc w:val="both"/>
        <w:ind w:left="820" w:right="40"/>
        <w:spacing w:after="0" w:line="282" w:lineRule="auto"/>
        <w:rPr>
          <w:sz w:val="20"/>
          <w:szCs w:val="20"/>
          <w:color w:val="auto"/>
        </w:rPr>
      </w:pPr>
      <w:r>
        <w:rPr>
          <w:rFonts w:ascii="Arial" w:cs="Arial" w:eastAsia="Arial" w:hAnsi="Arial"/>
          <w:sz w:val="18"/>
          <w:szCs w:val="18"/>
          <w:color w:val="auto"/>
        </w:rPr>
        <w:t>Our Board of Directors currently has 9 members. Each member of our Board is elected annually and is nominated for re-election at the 2025 Annual Meeting.</w:t>
      </w:r>
    </w:p>
    <w:p>
      <w:pPr>
        <w:spacing w:after="0" w:line="16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Nominees for Director</w:t>
      </w:r>
    </w:p>
    <w:p>
      <w:pPr>
        <w:spacing w:after="0" w:line="171"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2060" w:type="dxa"/>
            <w:vAlign w:val="bottom"/>
          </w:tcPr>
          <w:p>
            <w:pPr>
              <w:spacing w:after="0"/>
              <w:rPr>
                <w:sz w:val="20"/>
                <w:szCs w:val="20"/>
                <w:color w:val="auto"/>
              </w:rPr>
            </w:pPr>
            <w:r>
              <w:rPr>
                <w:rFonts w:ascii="Arial" w:cs="Arial" w:eastAsia="Arial" w:hAnsi="Arial"/>
                <w:sz w:val="14"/>
                <w:szCs w:val="14"/>
                <w:b w:val="1"/>
                <w:bCs w:val="1"/>
                <w:color w:val="457157"/>
              </w:rPr>
              <w:t>​</w:t>
            </w:r>
          </w:p>
        </w:tc>
        <w:tc>
          <w:tcPr>
            <w:tcW w:w="200" w:type="dxa"/>
            <w:vAlign w:val="bottom"/>
          </w:tcPr>
          <w:p>
            <w:pPr>
              <w:ind w:left="100"/>
              <w:spacing w:after="0"/>
              <w:rPr>
                <w:sz w:val="20"/>
                <w:szCs w:val="20"/>
                <w:color w:val="auto"/>
              </w:rPr>
            </w:pPr>
            <w:r>
              <w:rPr>
                <w:rFonts w:ascii="Arial" w:cs="Arial" w:eastAsia="Arial" w:hAnsi="Arial"/>
                <w:sz w:val="14"/>
                <w:szCs w:val="14"/>
                <w:b w:val="1"/>
                <w:bCs w:val="1"/>
                <w:color w:val="457157"/>
              </w:rPr>
              <w:t>​</w:t>
            </w:r>
          </w:p>
        </w:tc>
        <w:tc>
          <w:tcPr>
            <w:tcW w:w="420" w:type="dxa"/>
            <w:vAlign w:val="bottom"/>
          </w:tcPr>
          <w:p>
            <w:pPr>
              <w:ind w:left="40"/>
              <w:spacing w:after="0"/>
              <w:rPr>
                <w:sz w:val="20"/>
                <w:szCs w:val="20"/>
                <w:color w:val="auto"/>
              </w:rPr>
            </w:pPr>
            <w:r>
              <w:rPr>
                <w:rFonts w:ascii="Arial" w:cs="Arial" w:eastAsia="Arial" w:hAnsi="Arial"/>
                <w:sz w:val="14"/>
                <w:szCs w:val="14"/>
                <w:b w:val="1"/>
                <w:bCs w:val="1"/>
                <w:color w:val="457157"/>
              </w:rPr>
              <w:t>​  ​</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457157"/>
              </w:rPr>
              <w:t>​</w:t>
            </w:r>
          </w:p>
        </w:tc>
        <w:tc>
          <w:tcPr>
            <w:tcW w:w="300" w:type="dxa"/>
            <w:vAlign w:val="bottom"/>
          </w:tcPr>
          <w:p>
            <w:pPr>
              <w:ind w:left="60"/>
              <w:spacing w:after="0"/>
              <w:rPr>
                <w:sz w:val="20"/>
                <w:szCs w:val="20"/>
                <w:color w:val="auto"/>
              </w:rPr>
            </w:pPr>
            <w:r>
              <w:rPr>
                <w:rFonts w:ascii="Arial" w:cs="Arial" w:eastAsia="Arial" w:hAnsi="Arial"/>
                <w:sz w:val="14"/>
                <w:szCs w:val="14"/>
                <w:b w:val="1"/>
                <w:bCs w:val="1"/>
                <w:color w:val="457157"/>
              </w:rPr>
              <w:t>​</w:t>
            </w: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457157"/>
              </w:rPr>
              <w:t>​</w:t>
            </w:r>
          </w:p>
        </w:tc>
        <w:tc>
          <w:tcPr>
            <w:tcW w:w="120" w:type="dxa"/>
            <w:vAlign w:val="bottom"/>
          </w:tcPr>
          <w:p>
            <w:pPr>
              <w:ind w:left="20"/>
              <w:spacing w:after="0"/>
              <w:rPr>
                <w:sz w:val="20"/>
                <w:szCs w:val="20"/>
                <w:color w:val="auto"/>
              </w:rPr>
            </w:pPr>
            <w:r>
              <w:rPr>
                <w:rFonts w:ascii="Arial" w:cs="Arial" w:eastAsia="Arial" w:hAnsi="Arial"/>
                <w:sz w:val="14"/>
                <w:szCs w:val="14"/>
                <w:b w:val="1"/>
                <w:bCs w:val="1"/>
                <w:color w:val="457157"/>
              </w:rPr>
              <w:t>​</w:t>
            </w:r>
          </w:p>
        </w:tc>
        <w:tc>
          <w:tcPr>
            <w:tcW w:w="340" w:type="dxa"/>
            <w:vAlign w:val="bottom"/>
          </w:tcPr>
          <w:p>
            <w:pPr>
              <w:ind w:left="40"/>
              <w:spacing w:after="0"/>
              <w:rPr>
                <w:sz w:val="20"/>
                <w:szCs w:val="20"/>
                <w:color w:val="auto"/>
              </w:rPr>
            </w:pPr>
            <w:r>
              <w:rPr>
                <w:rFonts w:ascii="Arial" w:cs="Arial" w:eastAsia="Arial" w:hAnsi="Arial"/>
                <w:sz w:val="14"/>
                <w:szCs w:val="14"/>
                <w:b w:val="1"/>
                <w:bCs w:val="1"/>
                <w:color w:val="457157"/>
              </w:rPr>
              <w:t>​</w:t>
            </w:r>
          </w:p>
        </w:tc>
        <w:tc>
          <w:tcPr>
            <w:tcW w:w="740" w:type="dxa"/>
            <w:vAlign w:val="bottom"/>
          </w:tcPr>
          <w:p>
            <w:pPr>
              <w:ind w:left="240"/>
              <w:spacing w:after="0"/>
              <w:rPr>
                <w:sz w:val="20"/>
                <w:szCs w:val="20"/>
                <w:color w:val="auto"/>
              </w:rPr>
            </w:pPr>
            <w:r>
              <w:rPr>
                <w:rFonts w:ascii="Arial" w:cs="Arial" w:eastAsia="Arial" w:hAnsi="Arial"/>
                <w:sz w:val="14"/>
                <w:szCs w:val="14"/>
                <w:b w:val="1"/>
                <w:bCs w:val="1"/>
                <w:color w:val="457157"/>
              </w:rPr>
              <w:t>​</w:t>
            </w:r>
          </w:p>
        </w:tc>
        <w:tc>
          <w:tcPr>
            <w:tcW w:w="120" w:type="dxa"/>
            <w:vAlign w:val="bottom"/>
          </w:tcPr>
          <w:p>
            <w:pPr>
              <w:ind w:left="40"/>
              <w:spacing w:after="0"/>
              <w:rPr>
                <w:sz w:val="20"/>
                <w:szCs w:val="20"/>
                <w:color w:val="auto"/>
              </w:rPr>
            </w:pPr>
            <w:r>
              <w:rPr>
                <w:rFonts w:ascii="Arial" w:cs="Arial" w:eastAsia="Arial" w:hAnsi="Arial"/>
                <w:sz w:val="14"/>
                <w:szCs w:val="14"/>
                <w:b w:val="1"/>
                <w:bCs w:val="1"/>
                <w:color w:val="457157"/>
              </w:rPr>
              <w:t>​</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457157"/>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540"/>
              <w:spacing w:after="0"/>
              <w:rPr>
                <w:sz w:val="20"/>
                <w:szCs w:val="20"/>
                <w:color w:val="auto"/>
              </w:rPr>
            </w:pPr>
            <w:r>
              <w:rPr>
                <w:rFonts w:ascii="Arial" w:cs="Arial" w:eastAsia="Arial" w:hAnsi="Arial"/>
                <w:sz w:val="14"/>
                <w:szCs w:val="14"/>
                <w:b w:val="1"/>
                <w:bCs w:val="1"/>
                <w:color w:val="457157"/>
              </w:rPr>
              <w:t>Committee</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gridSpan w:val="2"/>
          </w:tcPr>
          <w:p>
            <w:pPr>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173"/>
        </w:trPr>
        <w:tc>
          <w:tcPr>
            <w:tcW w:w="2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457157"/>
            </w:tcBorders>
          </w:tcPr>
          <w:p>
            <w:pPr>
              <w:spacing w:after="0"/>
              <w:rPr>
                <w:sz w:val="15"/>
                <w:szCs w:val="15"/>
                <w:color w:val="auto"/>
              </w:rPr>
            </w:pPr>
          </w:p>
        </w:tc>
        <w:tc>
          <w:tcPr>
            <w:tcW w:w="360" w:type="dxa"/>
            <w:vAlign w:val="bottom"/>
            <w:tcBorders>
              <w:top w:val="single" w:sz="8" w:color="457157"/>
            </w:tcBorders>
          </w:tcPr>
          <w:p>
            <w:pPr>
              <w:spacing w:after="0"/>
              <w:rPr>
                <w:sz w:val="15"/>
                <w:szCs w:val="15"/>
                <w:color w:val="auto"/>
              </w:rPr>
            </w:pPr>
          </w:p>
        </w:tc>
        <w:tc>
          <w:tcPr>
            <w:tcW w:w="140" w:type="dxa"/>
            <w:vAlign w:val="bottom"/>
            <w:tcBorders>
              <w:top w:val="single" w:sz="8" w:color="457157"/>
            </w:tcBorders>
          </w:tcPr>
          <w:p>
            <w:pPr>
              <w:spacing w:after="0"/>
              <w:rPr>
                <w:sz w:val="15"/>
                <w:szCs w:val="15"/>
                <w:color w:val="auto"/>
              </w:rPr>
            </w:pPr>
          </w:p>
        </w:tc>
        <w:tc>
          <w:tcPr>
            <w:tcW w:w="120" w:type="dxa"/>
            <w:vAlign w:val="bottom"/>
            <w:tcBorders>
              <w:top w:val="single" w:sz="8" w:color="457157"/>
            </w:tcBorders>
          </w:tcPr>
          <w:p>
            <w:pPr>
              <w:spacing w:after="0"/>
              <w:rPr>
                <w:sz w:val="15"/>
                <w:szCs w:val="15"/>
                <w:color w:val="auto"/>
              </w:rPr>
            </w:pPr>
          </w:p>
        </w:tc>
        <w:tc>
          <w:tcPr>
            <w:tcW w:w="1200" w:type="dxa"/>
            <w:vAlign w:val="bottom"/>
            <w:tcBorders>
              <w:top w:val="single" w:sz="8" w:color="457157"/>
            </w:tcBorders>
          </w:tcPr>
          <w:p>
            <w:pPr>
              <w:ind w:left="100"/>
              <w:spacing w:after="0"/>
              <w:rPr>
                <w:sz w:val="20"/>
                <w:szCs w:val="20"/>
                <w:color w:val="auto"/>
              </w:rPr>
            </w:pPr>
            <w:r>
              <w:rPr>
                <w:rFonts w:ascii="Arial" w:cs="Arial" w:eastAsia="Arial" w:hAnsi="Arial"/>
                <w:sz w:val="14"/>
                <w:szCs w:val="14"/>
                <w:b w:val="1"/>
                <w:bCs w:val="1"/>
                <w:color w:val="457157"/>
              </w:rPr>
              <w:t>Management</w:t>
            </w:r>
          </w:p>
        </w:tc>
        <w:tc>
          <w:tcPr>
            <w:tcW w:w="180" w:type="dxa"/>
            <w:vAlign w:val="bottom"/>
            <w:tcBorders>
              <w:top w:val="single" w:sz="8" w:color="457157"/>
            </w:tcBorders>
          </w:tcPr>
          <w:p>
            <w:pPr>
              <w:spacing w:after="0"/>
              <w:rPr>
                <w:sz w:val="15"/>
                <w:szCs w:val="15"/>
                <w:color w:val="auto"/>
              </w:rPr>
            </w:pPr>
          </w:p>
        </w:tc>
        <w:tc>
          <w:tcPr>
            <w:tcW w:w="100" w:type="dxa"/>
            <w:vAlign w:val="bottom"/>
            <w:tcBorders>
              <w:top w:val="single" w:sz="8" w:color="457157"/>
            </w:tcBorders>
          </w:tcPr>
          <w:p>
            <w:pPr>
              <w:spacing w:after="0"/>
              <w:rPr>
                <w:sz w:val="15"/>
                <w:szCs w:val="15"/>
                <w:color w:val="auto"/>
              </w:rPr>
            </w:pPr>
          </w:p>
        </w:tc>
        <w:tc>
          <w:tcPr>
            <w:tcW w:w="1100" w:type="dxa"/>
            <w:vAlign w:val="bottom"/>
            <w:tcBorders>
              <w:top w:val="single" w:sz="8" w:color="457157"/>
            </w:tcBorders>
            <w:vMerge w:val="restart"/>
          </w:tcPr>
          <w:p>
            <w:pPr>
              <w:ind w:left="20"/>
              <w:spacing w:after="0"/>
              <w:rPr>
                <w:sz w:val="20"/>
                <w:szCs w:val="20"/>
                <w:color w:val="auto"/>
              </w:rPr>
            </w:pPr>
            <w:r>
              <w:rPr>
                <w:rFonts w:ascii="Arial" w:cs="Arial" w:eastAsia="Arial" w:hAnsi="Arial"/>
                <w:sz w:val="14"/>
                <w:szCs w:val="14"/>
                <w:b w:val="1"/>
                <w:bCs w:val="1"/>
                <w:color w:val="457157"/>
              </w:rPr>
              <w:t>Nominating &amp;</w:t>
            </w:r>
          </w:p>
        </w:tc>
        <w:tc>
          <w:tcPr>
            <w:tcW w:w="20" w:type="dxa"/>
            <w:vAlign w:val="bottom"/>
            <w:tcBorders>
              <w:top w:val="single" w:sz="8" w:color="457157"/>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60" w:type="dxa"/>
            <w:vAlign w:val="bottom"/>
            <w:vMerge w:val="restart"/>
          </w:tcPr>
          <w:p>
            <w:pPr>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w:t>
            </w:r>
          </w:p>
        </w:tc>
        <w:tc>
          <w:tcPr>
            <w:tcW w:w="200" w:type="dxa"/>
            <w:vAlign w:val="bottom"/>
          </w:tcPr>
          <w:p>
            <w:pPr>
              <w:spacing w:after="0"/>
              <w:rPr>
                <w:sz w:val="12"/>
                <w:szCs w:val="1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 Age </w:t>
            </w:r>
            <w:r>
              <w:rPr>
                <w:rFonts w:ascii="Arial" w:cs="Arial" w:eastAsia="Arial" w:hAnsi="Arial"/>
                <w:sz w:val="28"/>
                <w:szCs w:val="28"/>
                <w:b w:val="1"/>
                <w:bCs w:val="1"/>
                <w:color w:val="457157"/>
                <w:vertAlign w:val="subscript"/>
              </w:rPr>
              <w:t>​</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 Independent</w:t>
            </w:r>
          </w:p>
        </w:tc>
        <w:tc>
          <w:tcPr>
            <w:tcW w:w="120" w:type="dxa"/>
            <w:vAlign w:val="bottom"/>
          </w:tcPr>
          <w:p>
            <w:pPr>
              <w:spacing w:after="0"/>
              <w:rPr>
                <w:sz w:val="12"/>
                <w:szCs w:val="12"/>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 Audit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line="145" w:lineRule="exact"/>
              <w:rPr>
                <w:sz w:val="20"/>
                <w:szCs w:val="20"/>
                <w:color w:val="auto"/>
              </w:rPr>
            </w:pPr>
            <w:r>
              <w:rPr>
                <w:rFonts w:ascii="Arial" w:cs="Arial" w:eastAsia="Arial" w:hAnsi="Arial"/>
                <w:sz w:val="14"/>
                <w:szCs w:val="14"/>
                <w:b w:val="1"/>
                <w:bCs w:val="1"/>
                <w:color w:val="457157"/>
              </w:rPr>
              <w:t>Development &amp;</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60" w:type="dxa"/>
            <w:vAlign w:val="bottom"/>
            <w:tcBorders>
              <w:bottom w:val="single" w:sz="8" w:color="457157"/>
            </w:tcBorders>
            <w:vMerge w:val="continue"/>
          </w:tcPr>
          <w:p>
            <w:pPr>
              <w:spacing w:after="0"/>
              <w:rPr>
                <w:sz w:val="17"/>
                <w:szCs w:val="17"/>
                <w:color w:val="auto"/>
              </w:rPr>
            </w:pP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4"/>
                <w:szCs w:val="14"/>
                <w:b w:val="1"/>
                <w:bCs w:val="1"/>
                <w:color w:val="457157"/>
              </w:rPr>
              <w:t>​</w:t>
            </w:r>
          </w:p>
        </w:tc>
        <w:tc>
          <w:tcPr>
            <w:tcW w:w="560" w:type="dxa"/>
            <w:vAlign w:val="bottom"/>
            <w:tcBorders>
              <w:bottom w:val="single" w:sz="8" w:color="457157"/>
            </w:tcBorders>
            <w:gridSpan w:val="2"/>
            <w:vMerge w:val="continue"/>
          </w:tcPr>
          <w:p>
            <w:pPr>
              <w:spacing w:after="0"/>
              <w:rPr>
                <w:sz w:val="17"/>
                <w:szCs w:val="17"/>
                <w:color w:val="auto"/>
              </w:rPr>
            </w:pPr>
          </w:p>
        </w:tc>
        <w:tc>
          <w:tcPr>
            <w:tcW w:w="300" w:type="dxa"/>
            <w:vAlign w:val="bottom"/>
            <w:tcBorders>
              <w:bottom w:val="single" w:sz="8" w:color="457157"/>
            </w:tcBorders>
          </w:tcPr>
          <w:p>
            <w:pPr>
              <w:ind w:left="60"/>
              <w:spacing w:after="0"/>
              <w:rPr>
                <w:sz w:val="20"/>
                <w:szCs w:val="20"/>
                <w:color w:val="auto"/>
              </w:rPr>
            </w:pPr>
            <w:r>
              <w:rPr>
                <w:rFonts w:ascii="Arial" w:cs="Arial" w:eastAsia="Arial" w:hAnsi="Arial"/>
                <w:sz w:val="14"/>
                <w:szCs w:val="14"/>
                <w:b w:val="1"/>
                <w:bCs w:val="1"/>
                <w:color w:val="457157"/>
              </w:rPr>
              <w:t>​</w:t>
            </w:r>
          </w:p>
        </w:tc>
        <w:tc>
          <w:tcPr>
            <w:tcW w:w="1180" w:type="dxa"/>
            <w:vAlign w:val="bottom"/>
            <w:tcBorders>
              <w:bottom w:val="single" w:sz="8" w:color="457157"/>
            </w:tcBorders>
          </w:tcPr>
          <w:p>
            <w:pPr>
              <w:jc w:val="center"/>
              <w:ind w:right="168"/>
              <w:spacing w:after="0"/>
              <w:rPr>
                <w:sz w:val="20"/>
                <w:szCs w:val="20"/>
                <w:color w:val="auto"/>
              </w:rPr>
            </w:pPr>
            <w:r>
              <w:rPr>
                <w:rFonts w:ascii="Arial" w:cs="Arial" w:eastAsia="Arial" w:hAnsi="Arial"/>
                <w:sz w:val="14"/>
                <w:szCs w:val="14"/>
                <w:b w:val="1"/>
                <w:bCs w:val="1"/>
                <w:color w:val="457157"/>
              </w:rPr>
              <w:t>Tenure</w:t>
            </w:r>
          </w:p>
        </w:tc>
        <w:tc>
          <w:tcPr>
            <w:tcW w:w="120" w:type="dxa"/>
            <w:vAlign w:val="bottom"/>
            <w:tcBorders>
              <w:bottom w:val="single" w:sz="8" w:color="457157"/>
            </w:tcBorders>
          </w:tcPr>
          <w:p>
            <w:pPr>
              <w:ind w:left="20"/>
              <w:spacing w:after="0"/>
              <w:rPr>
                <w:sz w:val="20"/>
                <w:szCs w:val="20"/>
                <w:color w:val="auto"/>
              </w:rPr>
            </w:pPr>
            <w:r>
              <w:rPr>
                <w:rFonts w:ascii="Arial" w:cs="Arial" w:eastAsia="Arial" w:hAnsi="Arial"/>
                <w:sz w:val="14"/>
                <w:szCs w:val="14"/>
                <w:b w:val="1"/>
                <w:bCs w:val="1"/>
                <w:color w:val="457157"/>
              </w:rPr>
              <w:t>​</w:t>
            </w:r>
          </w:p>
        </w:tc>
        <w:tc>
          <w:tcPr>
            <w:tcW w:w="1080" w:type="dxa"/>
            <w:vAlign w:val="bottom"/>
            <w:tcBorders>
              <w:bottom w:val="single" w:sz="8" w:color="457157"/>
            </w:tcBorders>
            <w:gridSpan w:val="2"/>
            <w:vMerge w:val="continue"/>
          </w:tcPr>
          <w:p>
            <w:pPr>
              <w:spacing w:after="0"/>
              <w:rPr>
                <w:sz w:val="17"/>
                <w:szCs w:val="17"/>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4"/>
                <w:szCs w:val="14"/>
                <w:b w:val="1"/>
                <w:bCs w:val="1"/>
                <w:color w:val="457157"/>
              </w:rPr>
              <w:t>​</w:t>
            </w:r>
          </w:p>
        </w:tc>
        <w:tc>
          <w:tcPr>
            <w:tcW w:w="580" w:type="dxa"/>
            <w:vAlign w:val="bottom"/>
            <w:tcBorders>
              <w:bottom w:val="single" w:sz="8" w:color="457157"/>
            </w:tcBorders>
            <w:gridSpan w:val="2"/>
            <w:vMerge w:val="continue"/>
          </w:tcPr>
          <w:p>
            <w:pPr>
              <w:spacing w:after="0"/>
              <w:rPr>
                <w:sz w:val="17"/>
                <w:szCs w:val="17"/>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4"/>
                <w:szCs w:val="14"/>
                <w:b w:val="1"/>
                <w:bCs w:val="1"/>
                <w:color w:val="457157"/>
              </w:rPr>
              <w:t>​</w:t>
            </w:r>
          </w:p>
        </w:tc>
        <w:tc>
          <w:tcPr>
            <w:tcW w:w="1320" w:type="dxa"/>
            <w:vAlign w:val="bottom"/>
            <w:tcBorders>
              <w:bottom w:val="single" w:sz="8" w:color="457157"/>
            </w:tcBorders>
            <w:gridSpan w:val="2"/>
          </w:tcPr>
          <w:p>
            <w:pPr>
              <w:ind w:left="40"/>
              <w:spacing w:after="0" w:line="202" w:lineRule="exact"/>
              <w:rPr>
                <w:sz w:val="20"/>
                <w:szCs w:val="20"/>
                <w:color w:val="auto"/>
              </w:rPr>
            </w:pP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Compensation</w:t>
            </w: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4"/>
                <w:szCs w:val="14"/>
                <w:b w:val="1"/>
                <w:bCs w:val="1"/>
                <w:color w:val="457157"/>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4"/>
                <w:szCs w:val="14"/>
                <w:b w:val="1"/>
                <w:bCs w:val="1"/>
                <w:color w:val="457157"/>
              </w:rPr>
              <w:t>​</w:t>
            </w:r>
          </w:p>
        </w:tc>
        <w:tc>
          <w:tcPr>
            <w:tcW w:w="1100" w:type="dxa"/>
            <w:vAlign w:val="bottom"/>
            <w:tcBorders>
              <w:bottom w:val="single" w:sz="8" w:color="457157"/>
            </w:tcBorders>
          </w:tcPr>
          <w:p>
            <w:pPr>
              <w:ind w:left="100"/>
              <w:spacing w:after="0"/>
              <w:rPr>
                <w:sz w:val="20"/>
                <w:szCs w:val="20"/>
                <w:color w:val="auto"/>
              </w:rPr>
            </w:pPr>
            <w:r>
              <w:rPr>
                <w:rFonts w:ascii="Arial" w:cs="Arial" w:eastAsia="Arial" w:hAnsi="Arial"/>
                <w:sz w:val="14"/>
                <w:szCs w:val="14"/>
                <w:b w:val="1"/>
                <w:bCs w:val="1"/>
                <w:color w:val="457157"/>
              </w:rPr>
              <w:t>Governance</w:t>
            </w:r>
          </w:p>
        </w:tc>
        <w:tc>
          <w:tcPr>
            <w:tcW w:w="60" w:type="dxa"/>
            <w:vAlign w:val="bottom"/>
            <w:gridSpan w:val="2"/>
          </w:tcPr>
          <w:p>
            <w:pPr>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398"/>
        </w:trPr>
        <w:tc>
          <w:tcPr>
            <w:tcW w:w="2060" w:type="dxa"/>
            <w:vAlign w:val="bottom"/>
            <w:tcBorders>
              <w:bottom w:val="single" w:sz="8" w:color="457157"/>
            </w:tcBorders>
          </w:tcPr>
          <w:p>
            <w:pPr>
              <w:spacing w:after="0" w:line="398"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Thomas L. Bené</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98"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62</w:t>
            </w:r>
          </w:p>
        </w:tc>
        <w:tc>
          <w:tcPr>
            <w:tcW w:w="1620" w:type="dxa"/>
            <w:vAlign w:val="bottom"/>
            <w:tcBorders>
              <w:bottom w:val="single" w:sz="8" w:color="457157"/>
            </w:tcBorders>
            <w:gridSpan w:val="3"/>
          </w:tcPr>
          <w:p>
            <w:pPr>
              <w:ind w:left="60"/>
              <w:spacing w:after="0" w:line="398"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2024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spacing w:after="0"/>
              <w:rPr>
                <w:sz w:val="24"/>
                <w:szCs w:val="24"/>
                <w:color w:val="auto"/>
              </w:rPr>
            </w:pP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060" w:type="dxa"/>
            <w:vAlign w:val="bottom"/>
            <w:tcBorders>
              <w:bottom w:val="single" w:sz="8" w:color="457157"/>
            </w:tcBorders>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Bruce E. Chinn</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68</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2023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2"/>
        </w:trPr>
        <w:tc>
          <w:tcPr>
            <w:tcW w:w="2060" w:type="dxa"/>
            <w:vAlign w:val="bottom"/>
            <w:tcBorders>
              <w:bottom w:val="single" w:sz="8" w:color="457157"/>
            </w:tcBorders>
          </w:tcPr>
          <w:p>
            <w:pPr>
              <w:spacing w:after="0" w:line="37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James C. Fish, Jr.</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71"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62</w:t>
            </w:r>
          </w:p>
        </w:tc>
        <w:tc>
          <w:tcPr>
            <w:tcW w:w="1620" w:type="dxa"/>
            <w:vAlign w:val="bottom"/>
            <w:tcBorders>
              <w:bottom w:val="single" w:sz="8" w:color="457157"/>
            </w:tcBorders>
            <w:gridSpan w:val="3"/>
          </w:tcPr>
          <w:p>
            <w:pPr>
              <w:ind w:left="60"/>
              <w:spacing w:after="0" w:line="371"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2016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ind w:lef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060" w:type="dxa"/>
            <w:vAlign w:val="bottom"/>
            <w:tcBorders>
              <w:bottom w:val="single" w:sz="8" w:color="457157"/>
            </w:tcBorders>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Andrés R. Gluski</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67</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2015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spacing w:after="0"/>
              <w:rPr>
                <w:sz w:val="24"/>
                <w:szCs w:val="24"/>
                <w:color w:val="auto"/>
              </w:rPr>
            </w:pP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060" w:type="dxa"/>
            <w:vAlign w:val="bottom"/>
            <w:tcBorders>
              <w:bottom w:val="single" w:sz="8" w:color="457157"/>
            </w:tcBorders>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Victoria M. Holt</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67</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2013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spacing w:after="0"/>
              <w:rPr>
                <w:sz w:val="24"/>
                <w:szCs w:val="24"/>
                <w:color w:val="auto"/>
              </w:rPr>
            </w:pP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260" w:type="dxa"/>
            <w:vAlign w:val="bottom"/>
            <w:tcBorders>
              <w:bottom w:val="single" w:sz="8" w:color="457157"/>
            </w:tcBorders>
            <w:gridSpan w:val="2"/>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Kathleen M. Mazzarella </w:t>
            </w:r>
            <w:r>
              <w:rPr>
                <w:rFonts w:ascii="Arial" w:cs="Arial" w:eastAsia="Arial" w:hAnsi="Arial"/>
                <w:sz w:val="35"/>
                <w:szCs w:val="35"/>
                <w:color w:val="auto"/>
                <w:vertAlign w:val="subscript"/>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65</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2015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spacing w:after="0"/>
              <w:rPr>
                <w:sz w:val="24"/>
                <w:szCs w:val="24"/>
                <w:color w:val="auto"/>
              </w:rPr>
            </w:pP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spacing w:after="0"/>
              <w:rPr>
                <w:sz w:val="24"/>
                <w:szCs w:val="24"/>
                <w:color w:val="auto"/>
              </w:rPr>
            </w:pP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060" w:type="dxa"/>
            <w:vAlign w:val="bottom"/>
            <w:tcBorders>
              <w:bottom w:val="single" w:sz="8" w:color="457157"/>
            </w:tcBorders>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Sean E. Menke</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56</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2021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ind w:left="6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spacing w:after="0"/>
              <w:rPr>
                <w:sz w:val="24"/>
                <w:szCs w:val="24"/>
                <w:color w:val="auto"/>
              </w:rPr>
            </w:pP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060" w:type="dxa"/>
            <w:vAlign w:val="bottom"/>
            <w:tcBorders>
              <w:bottom w:val="single" w:sz="8" w:color="457157"/>
            </w:tcBorders>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William B. Plummer</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66</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2019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spacing w:after="0"/>
              <w:rPr>
                <w:sz w:val="24"/>
                <w:szCs w:val="24"/>
                <w:color w:val="auto"/>
              </w:rPr>
            </w:pP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ind w:left="540"/>
              <w:spacing w:after="0"/>
              <w:rPr>
                <w:sz w:val="20"/>
                <w:szCs w:val="20"/>
                <w:color w:val="auto"/>
              </w:rPr>
            </w:pPr>
            <w:r>
              <w:rPr>
                <w:rFonts w:ascii="Arial" w:cs="Arial" w:eastAsia="Arial" w:hAnsi="Arial"/>
                <w:sz w:val="18"/>
                <w:szCs w:val="18"/>
                <w:color w:val="auto"/>
              </w:rPr>
              <w:t>​</w:t>
            </w: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85"/>
        </w:trPr>
        <w:tc>
          <w:tcPr>
            <w:tcW w:w="2060" w:type="dxa"/>
            <w:vAlign w:val="bottom"/>
            <w:tcBorders>
              <w:bottom w:val="single" w:sz="8" w:color="457157"/>
            </w:tcBorders>
          </w:tcPr>
          <w:p>
            <w:pPr>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Maryrose T. Sylvester</w:t>
            </w:r>
          </w:p>
        </w:tc>
        <w:tc>
          <w:tcPr>
            <w:tcW w:w="200" w:type="dxa"/>
            <w:vAlign w:val="bottom"/>
            <w:tcBorders>
              <w:bottom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457157"/>
            </w:tcBorders>
          </w:tcPr>
          <w:p>
            <w:pPr>
              <w:ind w:left="40"/>
              <w:spacing w:after="0" w:line="385"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 xml:space="preserve"> 59</w:t>
            </w:r>
          </w:p>
        </w:tc>
        <w:tc>
          <w:tcPr>
            <w:tcW w:w="1620" w:type="dxa"/>
            <w:vAlign w:val="bottom"/>
            <w:tcBorders>
              <w:bottom w:val="single" w:sz="8" w:color="457157"/>
            </w:tcBorders>
            <w:gridSpan w:val="3"/>
          </w:tcPr>
          <w:p>
            <w:pPr>
              <w:ind w:left="60"/>
              <w:spacing w:after="0" w:line="385"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2021 – Present</w:t>
            </w:r>
          </w:p>
        </w:tc>
        <w:tc>
          <w:tcPr>
            <w:tcW w:w="460" w:type="dxa"/>
            <w:vAlign w:val="bottom"/>
            <w:tcBorders>
              <w:bottom w:val="single" w:sz="8" w:color="457157"/>
            </w:tcBorders>
            <w:gridSpan w:val="2"/>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457157"/>
            </w:tcBorders>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457157"/>
            </w:tcBorders>
          </w:tcPr>
          <w:p>
            <w:pPr>
              <w:spacing w:after="0"/>
              <w:rPr>
                <w:sz w:val="24"/>
                <w:szCs w:val="24"/>
                <w:color w:val="auto"/>
              </w:rPr>
            </w:pPr>
          </w:p>
        </w:tc>
        <w:tc>
          <w:tcPr>
            <w:tcW w:w="1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457157"/>
            </w:tcBorders>
          </w:tcPr>
          <w:p>
            <w:pPr>
              <w:spacing w:after="0"/>
              <w:rPr>
                <w:sz w:val="24"/>
                <w:szCs w:val="24"/>
                <w:color w:val="auto"/>
              </w:rPr>
            </w:pPr>
          </w:p>
        </w:tc>
        <w:tc>
          <w:tcPr>
            <w:tcW w:w="6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1983105</wp:posOffset>
            </wp:positionH>
            <wp:positionV relativeFrom="paragraph">
              <wp:posOffset>93980</wp:posOffset>
            </wp:positionV>
            <wp:extent cx="11112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-2245360</wp:posOffset>
            </wp:positionV>
            <wp:extent cx="14605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-2271395</wp:posOffset>
            </wp:positionV>
            <wp:extent cx="11112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-1988185</wp:posOffset>
            </wp:positionV>
            <wp:extent cx="146050"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-2014220</wp:posOffset>
            </wp:positionV>
            <wp:extent cx="11112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-1482725</wp:posOffset>
            </wp:positionV>
            <wp:extent cx="14605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-1508125</wp:posOffset>
            </wp:positionV>
            <wp:extent cx="111125"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-1499870</wp:posOffset>
            </wp:positionV>
            <wp:extent cx="16256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-1225550</wp:posOffset>
            </wp:positionV>
            <wp:extent cx="14605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-1250950</wp:posOffset>
            </wp:positionV>
            <wp:extent cx="111125"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5831840</wp:posOffset>
            </wp:positionH>
            <wp:positionV relativeFrom="paragraph">
              <wp:posOffset>-1242695</wp:posOffset>
            </wp:positionV>
            <wp:extent cx="16256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-968375</wp:posOffset>
            </wp:positionV>
            <wp:extent cx="14605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-993775</wp:posOffset>
            </wp:positionV>
            <wp:extent cx="11112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-993775</wp:posOffset>
            </wp:positionV>
            <wp:extent cx="111125"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-993775</wp:posOffset>
            </wp:positionV>
            <wp:extent cx="111125"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-711200</wp:posOffset>
            </wp:positionV>
            <wp:extent cx="14605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4254500</wp:posOffset>
            </wp:positionH>
            <wp:positionV relativeFrom="paragraph">
              <wp:posOffset>-736600</wp:posOffset>
            </wp:positionV>
            <wp:extent cx="111125"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-736600</wp:posOffset>
            </wp:positionV>
            <wp:extent cx="11112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-454025</wp:posOffset>
            </wp:positionV>
            <wp:extent cx="146050"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6050" cy="145415"/>
                    </a:xfrm>
                    <a:prstGeom prst="rect">
                      <a:avLst/>
                    </a:prstGeom>
                    <a:noFill/>
                  </pic:spPr>
                </pic:pic>
              </a:graphicData>
            </a:graphic>
          </wp:anchor>
        </w:drawing>
        <w:drawing>
          <wp:anchor simplePos="0" relativeHeight="251657728" behindDoc="1" locked="0" layoutInCell="0" allowOverlap="1">
            <wp:simplePos x="0" y="0"/>
            <wp:positionH relativeFrom="column">
              <wp:posOffset>4229100</wp:posOffset>
            </wp:positionH>
            <wp:positionV relativeFrom="paragraph">
              <wp:posOffset>-471170</wp:posOffset>
            </wp:positionV>
            <wp:extent cx="16256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-479425</wp:posOffset>
            </wp:positionV>
            <wp:extent cx="11112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-196850</wp:posOffset>
            </wp:positionV>
            <wp:extent cx="14605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6050" cy="146050"/>
                    </a:xfrm>
                    <a:prstGeom prst="rect">
                      <a:avLst/>
                    </a:prstGeom>
                    <a:noFill/>
                  </pic:spPr>
                </pic:pic>
              </a:graphicData>
            </a:graphic>
          </wp:anchor>
        </w:drawing>
        <w:drawing>
          <wp:anchor simplePos="0" relativeHeight="251657728" behindDoc="1" locked="0" layoutInCell="0" allowOverlap="1">
            <wp:simplePos x="0" y="0"/>
            <wp:positionH relativeFrom="column">
              <wp:posOffset>4949190</wp:posOffset>
            </wp:positionH>
            <wp:positionV relativeFrom="paragraph">
              <wp:posOffset>-222250</wp:posOffset>
            </wp:positionV>
            <wp:extent cx="11112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5857875</wp:posOffset>
            </wp:positionH>
            <wp:positionV relativeFrom="paragraph">
              <wp:posOffset>-222250</wp:posOffset>
            </wp:positionV>
            <wp:extent cx="11112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996950</wp:posOffset>
            </wp:positionH>
            <wp:positionV relativeFrom="paragraph">
              <wp:posOffset>102870</wp:posOffset>
            </wp:positionV>
            <wp:extent cx="163195"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3195" cy="162560"/>
                    </a:xfrm>
                    <a:prstGeom prst="rect">
                      <a:avLst/>
                    </a:prstGeom>
                    <a:noFill/>
                  </pic:spPr>
                </pic:pic>
              </a:graphicData>
            </a:graphic>
          </wp:anchor>
        </w:drawing>
      </w:r>
    </w:p>
    <w:p>
      <w:pPr>
        <w:spacing w:after="0" w:line="218" w:lineRule="exact"/>
        <w:rPr>
          <w:sz w:val="20"/>
          <w:szCs w:val="20"/>
          <w:color w:val="auto"/>
        </w:rPr>
      </w:pPr>
    </w:p>
    <w:p>
      <w:pPr>
        <w:ind w:left="880"/>
        <w:spacing w:after="0"/>
        <w:tabs>
          <w:tab w:leader="none" w:pos="2160" w:val="left"/>
        </w:tabs>
        <w:rPr>
          <w:sz w:val="20"/>
          <w:szCs w:val="20"/>
          <w:color w:val="auto"/>
        </w:rPr>
      </w:pPr>
      <w:r>
        <w:rPr>
          <w:rFonts w:ascii="Arial" w:cs="Arial" w:eastAsia="Arial" w:hAnsi="Arial"/>
          <w:sz w:val="18"/>
          <w:szCs w:val="18"/>
          <w:color w:val="auto"/>
        </w:rPr>
        <w:t>Chair</w:t>
      </w:r>
      <w:r>
        <w:rPr>
          <w:sz w:val="20"/>
          <w:szCs w:val="20"/>
          <w:color w:val="auto"/>
        </w:rPr>
        <w:tab/>
      </w:r>
      <w:r>
        <w:rPr>
          <w:rFonts w:ascii="Arial" w:cs="Arial" w:eastAsia="Arial" w:hAnsi="Arial"/>
          <w:sz w:val="18"/>
          <w:szCs w:val="18"/>
          <w:color w:val="auto"/>
        </w:rPr>
        <w:t>Member</w:t>
      </w:r>
    </w:p>
    <w:p>
      <w:pPr>
        <w:spacing w:after="0" w:line="20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Leadership Structure</w:t>
      </w:r>
    </w:p>
    <w:p>
      <w:pPr>
        <w:spacing w:after="0" w:line="121" w:lineRule="exact"/>
        <w:rPr>
          <w:sz w:val="20"/>
          <w:szCs w:val="20"/>
          <w:color w:val="auto"/>
        </w:rPr>
      </w:pPr>
    </w:p>
    <w:p>
      <w:pPr>
        <w:jc w:val="both"/>
        <w:ind w:left="820" w:right="20"/>
        <w:spacing w:after="0" w:line="263" w:lineRule="auto"/>
        <w:rPr>
          <w:sz w:val="20"/>
          <w:szCs w:val="20"/>
          <w:color w:val="auto"/>
        </w:rPr>
      </w:pPr>
      <w:r>
        <w:rPr>
          <w:rFonts w:ascii="Arial" w:cs="Arial" w:eastAsia="Arial" w:hAnsi="Arial"/>
          <w:sz w:val="18"/>
          <w:szCs w:val="18"/>
          <w:color w:val="auto"/>
        </w:rPr>
        <w:t>Ms. Kathleen M. Mazzarella’s service as Non-Executive Chair of the Board began in May 2023. The Board elected Ms. Mazzarella to serve as Non-Executive Chair of the Board due to her extensive leadership experience, expertise in Board governance, and deep understanding of our Company and our strategic vision. Ms. Mazzarella presides over all meetings of the Board, including executive sessions that only non-employee directors attend. The Non-Executive Chair also serves on all three Board committees. Stockholders and interested parties wishing to communicate with the Board or any of the non-employee directors should address their communications to Non- Executive Chair of the Board or the applicable director, c/o Waste Management, Inc., P.O. Box 53569, Houston, Texas 77052-3569. Additional information about communicating with our directors is available in our Corporate Governance Guidelines, which can be found by accessing the “Sustainability &amp; Governance —  Corporate Governance” section of investors.wm.com.</w:t>
      </w:r>
    </w:p>
    <w:p>
      <w:pPr>
        <w:spacing w:after="0" w:line="310" w:lineRule="exact"/>
        <w:rPr>
          <w:sz w:val="20"/>
          <w:szCs w:val="20"/>
          <w:color w:val="auto"/>
        </w:rPr>
      </w:pPr>
    </w:p>
    <w:p>
      <w:pPr>
        <w:jc w:val="both"/>
        <w:ind w:left="820" w:right="40"/>
        <w:spacing w:after="0" w:line="264" w:lineRule="auto"/>
        <w:rPr>
          <w:sz w:val="20"/>
          <w:szCs w:val="20"/>
          <w:color w:val="auto"/>
        </w:rPr>
      </w:pPr>
      <w:r>
        <w:rPr>
          <w:rFonts w:ascii="Arial" w:cs="Arial" w:eastAsia="Arial" w:hAnsi="Arial"/>
          <w:sz w:val="18"/>
          <w:szCs w:val="18"/>
          <w:color w:val="auto"/>
        </w:rPr>
        <w:t>We separated the roles of Chair of the Board and Chief Executive Officer at our Company in 2004. We believe that having a Non-Executive Chair of the Board is in the best interests of the Company and stockholders, due in part to the ever-increasing demands made on boards of directors under federal securities laws, national stock exchange rules and other federal and state regulations. The separation of the positions allows our Chair of the Board to focus on management of Board matters and allows our Chief Executive Officer to focus his attention on managing our business. Additionally, we believe the separation of those roles contributes to the independence of the Board in its oversight role and in assessing the Chief Executive Officer and management generally. At this time, we do not contemplate a situation in which our Company would not have a Non-Executive Chair of the Board.</w:t>
      </w:r>
    </w:p>
    <w:p>
      <w:pPr>
        <w:spacing w:after="0" w:line="200" w:lineRule="exact"/>
        <w:rPr>
          <w:sz w:val="20"/>
          <w:szCs w:val="20"/>
          <w:color w:val="auto"/>
        </w:rPr>
      </w:pPr>
    </w:p>
    <w:p>
      <w:pPr>
        <w:spacing w:after="0" w:line="277" w:lineRule="exact"/>
        <w:rPr>
          <w:sz w:val="20"/>
          <w:szCs w:val="20"/>
          <w:color w:val="auto"/>
        </w:rPr>
      </w:pPr>
    </w:p>
    <w:p>
      <w:pPr>
        <w:ind w:left="820"/>
        <w:spacing w:after="0"/>
        <w:tabs>
          <w:tab w:leader="none" w:pos="108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71170" cy="12890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74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BOARD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Independence of Board Members</w:t>
      </w:r>
    </w:p>
    <w:p>
      <w:pPr>
        <w:spacing w:after="0" w:line="121"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color w:val="auto"/>
        </w:rPr>
        <w:t>The Board of Directors has determined that each of the following eight non- employee director nominees are independent in accordance with the New York Stock Exchange listing standards: Thomas L. Bené, Bruce E. Chinn, Andrés R. Gluski, Victoria M. Holt, Kathleen M. Mazzarella, Sean E. Menke, William B. Plummer and Maryrose T. Sylvester. James C. Fish, Jr., our President and Chief Executive Officer, is also a director of the Company. As an executive officer of the Company, Mr. Fish is not an “independent” director.</w:t>
      </w:r>
    </w:p>
    <w:p>
      <w:pPr>
        <w:spacing w:after="0" w:line="281"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To assist the Board in determining independence, the Board of Directors adopted categorical standards of director independence, which meet or exceed the requirements of the New York Stock Exchange. These standards specify certain relationships that are prohibited in order for the non-employee director to be deemed independent. The categorical standards our Board uses in determining independence are included in our Corporate Governance Guidelines, which can be found by accessing the “Sustainability &amp; Governance — Corporate Governance” section of investors.wm.com. In addition to these categorical standards, our Board makes a subjective determination of independence considering relevant facts and circumstances.</w:t>
      </w:r>
    </w:p>
    <w:p>
      <w:pPr>
        <w:spacing w:after="0" w:line="295"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color w:val="auto"/>
        </w:rPr>
        <w:t>The Board reviewed all commercial and non-profit affiliations of each non-employee director and the dollar amount of all transactions between the Company and each entity with which a non-employee director is affiliated to determine independence. These transactions consisted of the Company, through its subsidiaries, providing waste management services in the ordinary course of business and the Company’s subsidiaries purchasing goods and services in the ordinary course of business and included commercial dealings with Graybar Electric Company, Inc., The AES Corporation, and Chevron Phillips Chemical Company LLC. Ms. Mazzarella, Mr. Gluski, and Mr. Chinn served as chief executive officer of these entities, respectively, for all or a portion of calendar year 2024. The Board concluded there are no transactions between the Company and any entity with which a non-employee director is affiliated that are prohibited by our categorical standards of independence or give rise to a material direct or indirect interest for that non-employee director. Accordingly, the Board has determined that each non -employee director candidate meets the categorical standards of independence and that there are no relationships that would affect independence.</w:t>
      </w:r>
    </w:p>
    <w:p>
      <w:pPr>
        <w:spacing w:after="0" w:line="378"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Meetings and Board Committees</w:t>
      </w:r>
    </w:p>
    <w:p>
      <w:pPr>
        <w:spacing w:after="0" w:line="108"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color w:val="auto"/>
        </w:rPr>
        <w:t>Last year the Board held seven regular meetings and six special meetings, and each committee of the Board met independently as set forth below. Each incumbent director attended at least 75% of the meetings of the Board and the committees on which he or she served. In addition, all directors attended the 2024 Annual Meeting of Stockholders. Our Corporate Governance Guidelines provide that directors are expected to attend the annual meeting of stockholders, and if an unavoidable conflict arises, the director must notify the Chair of the Board in advance.</w:t>
      </w:r>
    </w:p>
    <w:p>
      <w:pPr>
        <w:spacing w:after="0" w:line="67"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The Board appoints committees to help carry out its duties. Committee members take on greater responsibility for key issues. All members of the Board are invited to attend, and do generally attend, all committee meetings. The committees review meeting results and recommendations with the full Board. The Board has three separate standing committees: the Audit Committee; the Management Development and Compensation Committee (the “MD&amp;C Committee”); and the Nominating and Governance Committee. Additionally, the Board has the power to appoint additional committees, as it deems necessary.</w:t>
      </w:r>
    </w:p>
    <w:p>
      <w:pPr>
        <w:spacing w:after="0" w:line="39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Role in Risk Oversight</w:t>
      </w:r>
    </w:p>
    <w:p>
      <w:pPr>
        <w:spacing w:after="0" w:line="108"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Our executive officers have primary responsibility for risk management within our Company. Our Board of Directors oversees risk management to ensure that the processes designed, implemented and maintained by our executives are functioning as intended and adapted when necessary to respond to changes in our Company’s strategy as well as emerging risks. The primary means by which our Board oversees our risk management processes is through its regular communications with management and by regularly reviewing our enterprise risk management, or ERM, framework. We believe that our leadership team’s engagement and communication methods are supportive of comprehensive risk management practices and that our Board’s involvement is appropriate to ensure effective oversight.</w:t>
      </w:r>
    </w:p>
    <w:p>
      <w:pPr>
        <w:spacing w:after="0" w:line="71" w:lineRule="exact"/>
        <w:rPr>
          <w:sz w:val="20"/>
          <w:szCs w:val="20"/>
          <w:color w:val="auto"/>
        </w:rPr>
      </w:pPr>
    </w:p>
    <w:p>
      <w:pPr>
        <w:jc w:val="both"/>
        <w:ind w:left="820" w:right="60"/>
        <w:spacing w:after="0" w:line="247" w:lineRule="auto"/>
        <w:rPr>
          <w:sz w:val="20"/>
          <w:szCs w:val="20"/>
          <w:color w:val="auto"/>
        </w:rPr>
      </w:pPr>
      <w:r>
        <w:rPr>
          <w:rFonts w:ascii="Arial" w:cs="Arial" w:eastAsia="Arial" w:hAnsi="Arial"/>
          <w:sz w:val="18"/>
          <w:szCs w:val="18"/>
          <w:color w:val="auto"/>
        </w:rPr>
        <w:t>Our ERM process is supported by regular inquiries of our Company’s Senior Leadership Team, and additional members of management and operations leadership across the enterprise, as to the risks, including emerging risks, that may affect the execution of our business performance or strategic priorities on a short- term, intermediate or long-term basis. We also consult with a range of outside advisors and experts throughout the year, depending on the subject matter of the</w:t>
      </w:r>
    </w:p>
    <w:p>
      <w:pPr>
        <w:spacing w:after="0" w:line="260"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-162560</wp:posOffset>
            </wp:positionV>
            <wp:extent cx="4718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20"/>
                <w:szCs w:val="20"/>
                <w:b w:val="1"/>
                <w:bCs w:val="1"/>
                <w:color w:val="auto"/>
              </w:rPr>
              <w:t>BOARD OF DIRECTORS</w:t>
            </w:r>
            <w:r>
              <w:rPr>
                <w:rFonts w:ascii="Arial" w:cs="Arial" w:eastAsia="Arial" w:hAnsi="Arial"/>
                <w:sz w:val="17"/>
                <w:szCs w:val="17"/>
                <w:color w:val="auto"/>
              </w:rPr>
              <w:t>​</w:t>
            </w:r>
          </w:p>
        </w:tc>
        <w:tc>
          <w:tcPr>
            <w:tcW w:w="3360" w:type="dxa"/>
            <w:vAlign w:val="bottom"/>
            <w:vMerge w:val="restart"/>
          </w:tcPr>
          <w:p>
            <w:pPr>
              <w:ind w:left="33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6"/>
                <w:szCs w:val="16"/>
                <w:b w:val="1"/>
                <w:bCs w:val="1"/>
                <w:color w:val="auto"/>
              </w:rPr>
              <w:t>​</w:t>
            </w:r>
          </w:p>
        </w:tc>
        <w:tc>
          <w:tcPr>
            <w:tcW w:w="3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8"/>
          <w:szCs w:val="18"/>
          <w:color w:val="auto"/>
        </w:rPr>
        <w:t>risk being evaluated. We believe that use of outside advisors and experts complement our ERM process by ensuring our efforts are comprehensive and balanced. Our ERM process is periodically reviewed and discussed with our Chief Compliance and Ethics Officer and our Vice President of Internal Audit and Controls to enhance alignment with our disclosure controls and procedures. Additionally, our Compliance and Ethics department conducts periodic risk assessments for a range of ongoing risks that are monitored. If those risks rise to certain materiality or frequency thresholds, they receive further analysis and review through the ERM base evaluation and priority risk evaluation processes.</w:t>
      </w:r>
    </w:p>
    <w:p>
      <w:pPr>
        <w:spacing w:after="0" w:line="291"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For the most significant or immediate risks, the ERM process is designed to generate actionable insights that are actively discussed and reviewed with the Senior Leadership Team and our Board. Risks and opportunities are assessed and then prioritized using internal evaluations of financial impact, likelihood and potential timing of occurrence, outlook for changes in the nature or extent of risk exposure and a self-assessment of the Company’s confidence in existing risk mitigation efforts. The Senior Leadership Team reviews the outcomes of the risk assessments, focusing largely on the estimated scope of impacts, as well as the adequacy of current support by internal staff, the sufficiency of financial support for mitigation measures needed to manage and reduce risk, and the sufficiency of any third-party expertise that may be necessary to supplement internal resources. All significant risks have a standardized scorecard that includes forward -looking action plans with measurable indicators and progress updates on action plans from previous assessments.</w:t>
      </w:r>
    </w:p>
    <w:p>
      <w:pPr>
        <w:spacing w:after="0" w:line="293"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color w:val="auto"/>
        </w:rPr>
        <w:t>At quarterly Audit Committee meetings, management provides an ERM report and regularly provides an in-depth update on specific risk topics. Additionally, risks related to our strategy, operations and financial results are also addressed in our Board meetings. Our President and Chief Executive Officer, Chief Operating Officer, Chief Financial Officer, Chief Legal Officer, Chief Human Resources Officer and Chief Sustainability Officer report to our Board and Audit Committee at these meetings, and other members of management periodically attend and present information, including those responsible for our Internal Audit and Controls, Environmental Audit, Ethics and Compliance, Human Resources, Government Affairs, Digital, Insurance, Safety, Finance and Accounting functions. These presentations allow our directors to have direct communication with management and assess management’s evaluation and administration of the Company’s risk profile through our ERM process. Examples of key areas of assessment addressed by our ERM process and overseen by our Audit Committee and Board include the following: emissions and climate impact; industry disruption; revenue management; legal and regulatory; capital allocation; supply chain management; service to customers; cost discipline; physical infrastructure; brand management; environmental, health &amp; safety; human capital; information security and privacy; technology and currency, interest rate and commodity risk management. Additionally, in accordance with New York Stock Exchange requirements, the Audit Committee is responsible for discussing our major financial risk exposures, steps management has taken to monitor and control such exposures and the Company’s process for risk assessment and management, and quarterly reports are made to the Audit Committee on financial and compliance risks.</w:t>
      </w:r>
    </w:p>
    <w:p>
      <w:pPr>
        <w:spacing w:after="0" w:line="200" w:lineRule="exact"/>
        <w:rPr>
          <w:sz w:val="20"/>
          <w:szCs w:val="20"/>
          <w:color w:val="auto"/>
        </w:rPr>
      </w:pPr>
    </w:p>
    <w:p>
      <w:pPr>
        <w:spacing w:after="0" w:line="316"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Management is encouraged to communicate with our directors with respect to any issues or developments that may require consideration between regularly scheduled Board meetings, and members of management are regularly in direct contact with our Non-Executive Chair of the Board and our committee chairs. Our Non- Executive Chair of the Board also facilitates communications with our Board of Directors as a whole and is integral in initiating the discussions among the independent directors necessary to ensure management is adequately evaluating and overseeing risks to our Company.</w:t>
      </w:r>
    </w:p>
    <w:p>
      <w:pPr>
        <w:spacing w:after="0" w:line="389"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Oversight of Sustainability Risk and Performance</w:t>
      </w:r>
    </w:p>
    <w:p>
      <w:pPr>
        <w:spacing w:after="0" w:line="121"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Our fundamental strategy has not changed; we remain dedicated to providing long-term value to our stockholders by successfully executing our core strategy of focused differentiation and continuous improvement. We have enabled a people-first, technology-led focus to drive our mission to maximize resource value, while minimizing environmental impact, and sustainability and environmental stewardship is embedded in all that we do. As a result, it would not be effective, or possible, to assign responsibility for oversight of sustainability, which includes environmental and human capital management risk and performance, to any one committee of our Board of Directors. Rather, various aspects of sustainability risk and performance, which are already organically a part of our Board and committees’ oversight of our performance, risk management and strategic vision, are addressed in different committees and with our full Board of Directors, as appropriate depending on the subject matter.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20"/>
        <w:spacing w:after="0"/>
        <w:tabs>
          <w:tab w:leader="none" w:pos="108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001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71170" cy="12001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74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BOARD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Our Board has a dedicated annual strategic planning session with our Senior Leadership Team and receives focused strategic updates quarterly. Given the nature of our business, those sessions will address topics such as our people, sustainable operations, waste diversion, recycling business improvements, sustainability growth investments, potentially disruptive technologies and environmental impacts, risks and opportunities. In 2024, the Board received several dedicated updates regarding sustainability topics, including our sustainability growth strategy, and the Board receives regular updates from our Chief Human Resources Officer with respect to our people- first strategy, including workforce evolution, labor market developments and employee retention. The full Board of Directors receives annual in- depth reports on leadership, workforce and supplier diversity, as well as quarterly safety performance updates and a detailed annual health and safety report. Additionally, the Company’s Chief Sustainability Officer presents a quarterly Sustainability Scorecard to the entire Board to highlight critical focus areas. Through these reports, our Board directly oversees our sustainability-related performance, including progress toward our sustainability goals and our decarbonization plan for meeting a science-based climate target, detailed in our 2024 Sustainability Report.</w:t>
      </w:r>
    </w:p>
    <w:p>
      <w:pPr>
        <w:spacing w:after="0" w:line="200" w:lineRule="exact"/>
        <w:rPr>
          <w:sz w:val="20"/>
          <w:szCs w:val="20"/>
          <w:color w:val="auto"/>
        </w:rPr>
      </w:pPr>
    </w:p>
    <w:p>
      <w:pPr>
        <w:spacing w:after="0" w:line="311"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color w:val="auto"/>
        </w:rPr>
        <w:t>Our Audit Committee also plays a significant role in oversight of sustainability risk and performance. As discussed above, our Audit Committee receives regular ERM updates with in -depth discussion on specific risk topics, which include sustainability risks. Additionally, the Audit Committee receives quarterly reports on our compliance programs, including ethics and environmental and safety audit, with an annual in-depth review of our compliance programs with risk assessments. Our Audit Committee also has responsibility for oversight of information and cybersecurity and assessment of cyber threats and defenses. Our Audit Committee receives reports from our most senior executives in the Digital organization, and the Company’s executive officers, at least twice a year. Topics historically covered in such reports, and for which our Board exercises oversight, include third-party evaluation of our technology infrastructure and information security against the industry-standard NIST (National Institute of Standards and Technology) cybersecurity framework; management of emerging cyber threats such as merger and acquisition activity and the adoption of governance of artificial intelligence; risk mitigation through the Company’s enterprise-wide cybersecurity training, including our Board of Directors, conducted at least annually, regular simulated phishing tests and third -party penetration testing; review of the Company’s cyber incident insurance coverage and external cyber incident resources; review of the Company’s Cybersecurity Incident Response Plan; review of readouts from cyber incident table top exercises; and consideration of applicable laws and regulations, including those related to privacy.</w:t>
      </w:r>
    </w:p>
    <w:p>
      <w:pPr>
        <w:spacing w:after="0" w:line="200" w:lineRule="exact"/>
        <w:rPr>
          <w:sz w:val="20"/>
          <w:szCs w:val="20"/>
          <w:color w:val="auto"/>
        </w:rPr>
      </w:pPr>
    </w:p>
    <w:p>
      <w:pPr>
        <w:spacing w:after="0" w:line="319"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 xml:space="preserve">Our MD&amp;C Committee has primary oversight of human capital management, including review of employee health, welfare and benefit programs and compensation plan risk assessment. The MD&amp;C Committee is also responsible for executive compensation incentive plan design and the incorporation and measurement of the annual cash incentive program sustainability scorecard performance modifier discussed in our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below. The Committee also engages in quarterly sessions with our President and Chief Executive Officer and our Chief Human Resources Officer regarding talent development and succession planning at several levels of our organization. A critical component of these talent development and succession planning efforts is the recognition that diversity and inclusion are fundamental Company values. Our Human Resources programs overseen by our MD&amp;C Committee embrace and cultivate belonging, respect, trust, open communication and diversity of thought and people.</w:t>
      </w:r>
    </w:p>
    <w:p>
      <w:pPr>
        <w:spacing w:after="0" w:line="293"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Strong and effective corporate governance is established and overseen by our Nominating &amp; Governance Committee. The Committee leads the process for annual Board, committee and director evaluations and is responsible for review and recommendation of Board and committee composition and leadership. In connection with performing this vital function, the Nominating &amp; Governance Committee reviews the skills, expertise and qualifications of our existing directors, as well as potential external candidates, and considers numerous elements of Board composition, tenure and Board refreshment. These efforts deliver on the Nominating &amp; Governance Committee’s purpose to identify and nominate the best possible candidates to guide and support the Company’s strategy and its commitment to serve and care for our customers, the environment, the communities in which we work and our stockholders. Please see the discussion of the Nominating and Governance Committee below for more information on this robust process.</w:t>
      </w:r>
    </w:p>
    <w:p>
      <w:pPr>
        <w:spacing w:after="0" w:line="293"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For additional information about the topics discussed above, including sustainability goals, metrics and progress, we encourage stockholders to review our 2024 Sustainability Report at sustainability.wm.com. The Sustainability Report conveys the strong linkage between the Company’s sustainability goals and our growth strategy, inclusive of the planned and ongoing expansion of the Company’s recycling and renewable energy businesses. Our 2024 Sustainability Report referenced above does not constitute a part of, and is not incorporated by reference into, this Proxy Statement or any report we file with (or furnish to) the SEC.</w:t>
      </w:r>
    </w:p>
    <w:p>
      <w:pPr>
        <w:spacing w:after="0" w:line="200" w:lineRule="exact"/>
        <w:rPr>
          <w:sz w:val="20"/>
          <w:szCs w:val="20"/>
          <w:color w:val="auto"/>
        </w:rPr>
      </w:pPr>
    </w:p>
    <w:p>
      <w:pPr>
        <w:spacing w:after="0" w:line="362"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-153670</wp:posOffset>
            </wp:positionV>
            <wp:extent cx="471805" cy="1200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9940"/>
          </w:cols>
          <w:pgMar w:left="580" w:top="97" w:right="1379" w:bottom="622"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75"/>
        </w:trPr>
        <w:tc>
          <w:tcPr>
            <w:tcW w:w="9060" w:type="dxa"/>
            <w:vAlign w:val="bottom"/>
            <w:tcBorders>
              <w:top w:val="single" w:sz="8" w:color="457157"/>
            </w:tcBorders>
          </w:tcPr>
          <w:p>
            <w:pPr>
              <w:spacing w:after="0" w:line="175"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75"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BOARD OF DIRECTORS</w:t>
            </w:r>
            <w:r>
              <w:rPr>
                <w:rFonts w:ascii="Arial" w:cs="Arial" w:eastAsia="Arial" w:hAnsi="Arial"/>
                <w:sz w:val="17"/>
                <w:szCs w:val="17"/>
                <w:color w:val="auto"/>
              </w:rPr>
              <w:t>​</w:t>
            </w:r>
          </w:p>
        </w:tc>
        <w:tc>
          <w:tcPr>
            <w:tcW w:w="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40640</wp:posOffset>
            </wp:positionV>
            <wp:extent cx="17145" cy="78695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45" cy="7869555"/>
                    </a:xfrm>
                    <a:prstGeom prst="rect">
                      <a:avLst/>
                    </a:prstGeom>
                    <a:noFill/>
                  </pic:spPr>
                </pic:pic>
              </a:graphicData>
            </a:graphic>
          </wp:anchor>
        </w:drawing>
      </w:r>
    </w:p>
    <w:p>
      <w:pPr>
        <w:spacing w:after="0" w:line="24" w:lineRule="exact"/>
        <w:rPr>
          <w:sz w:val="20"/>
          <w:szCs w:val="20"/>
          <w:color w:val="auto"/>
        </w:rPr>
      </w:pPr>
    </w:p>
    <w:tbl>
      <w:tblPr>
        <w:tblLayout w:type="fixed"/>
        <w:tblInd w:w="820" w:type="dxa"/>
        <w:tblCellMar>
          <w:top w:w="0" w:type="dxa"/>
          <w:left w:w="0" w:type="dxa"/>
          <w:bottom w:w="0" w:type="dxa"/>
          <w:right w:w="0" w:type="dxa"/>
        </w:tblCellMar>
      </w:tblPr>
      <w:tr>
        <w:trPr>
          <w:trHeight w:val="505"/>
        </w:trPr>
        <w:tc>
          <w:tcPr>
            <w:tcW w:w="3320" w:type="dxa"/>
            <w:vAlign w:val="bottom"/>
            <w:tcBorders>
              <w:top w:val="single" w:sz="8" w:color="457157"/>
            </w:tcBorders>
            <w:gridSpan w:val="2"/>
            <w:shd w:val="clear" w:color="auto" w:fill="ECF1EE"/>
          </w:tcPr>
          <w:p>
            <w:pPr>
              <w:spacing w:after="0"/>
              <w:rPr>
                <w:sz w:val="20"/>
                <w:szCs w:val="20"/>
                <w:color w:val="auto"/>
              </w:rPr>
            </w:pPr>
            <w:r>
              <w:rPr>
                <w:rFonts w:ascii="Arial" w:cs="Arial" w:eastAsia="Arial" w:hAnsi="Arial"/>
                <w:sz w:val="35"/>
                <w:szCs w:val="35"/>
                <w:b w:val="1"/>
                <w:bCs w:val="1"/>
                <w:color w:val="auto"/>
                <w:vertAlign w:val="superscript"/>
              </w:rPr>
              <w:t>​</w:t>
            </w:r>
            <w:r>
              <w:rPr>
                <w:rFonts w:ascii="Arial" w:cs="Arial" w:eastAsia="Arial" w:hAnsi="Arial"/>
                <w:sz w:val="25"/>
                <w:szCs w:val="25"/>
                <w:b w:val="1"/>
                <w:bCs w:val="1"/>
                <w:color w:val="auto"/>
              </w:rPr>
              <w:t>THE AUDIT COMMITTEE</w:t>
            </w:r>
            <w:r>
              <w:rPr>
                <w:rFonts w:ascii="Arial" w:cs="Arial" w:eastAsia="Arial" w:hAnsi="Arial"/>
                <w:sz w:val="17"/>
                <w:szCs w:val="17"/>
                <w:color w:val="auto"/>
              </w:rPr>
              <w:t>​</w:t>
            </w:r>
          </w:p>
        </w:tc>
        <w:tc>
          <w:tcPr>
            <w:tcW w:w="5440" w:type="dxa"/>
            <w:vAlign w:val="bottom"/>
            <w:tcBorders>
              <w:top w:val="single" w:sz="8" w:color="457157"/>
            </w:tcBorders>
            <w:shd w:val="clear" w:color="auto" w:fill="ECF1EE"/>
          </w:tcPr>
          <w:p>
            <w:pPr>
              <w:spacing w:after="0"/>
              <w:rPr>
                <w:sz w:val="24"/>
                <w:szCs w:val="24"/>
                <w:color w:val="auto"/>
              </w:rPr>
            </w:pPr>
          </w:p>
        </w:tc>
        <w:tc>
          <w:tcPr>
            <w:tcW w:w="300" w:type="dxa"/>
            <w:vAlign w:val="bottom"/>
            <w:tcBorders>
              <w:top w:val="single" w:sz="8" w:color="457157"/>
            </w:tcBorders>
            <w:shd w:val="clear" w:color="auto" w:fill="ECF1EE"/>
          </w:tcPr>
          <w:p>
            <w:pPr>
              <w:ind w:left="2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4"/>
                <w:szCs w:val="24"/>
                <w:color w:val="auto"/>
              </w:rPr>
            </w:pPr>
          </w:p>
        </w:tc>
      </w:tr>
      <w:tr>
        <w:trPr>
          <w:trHeight w:val="238"/>
        </w:trPr>
        <w:tc>
          <w:tcPr>
            <w:tcW w:w="2860" w:type="dxa"/>
            <w:vAlign w:val="bottom"/>
            <w:shd w:val="clear" w:color="auto" w:fill="ECF1EE"/>
          </w:tcPr>
          <w:p>
            <w:pPr>
              <w:ind w:left="100"/>
              <w:spacing w:after="0"/>
              <w:rPr>
                <w:sz w:val="20"/>
                <w:szCs w:val="20"/>
                <w:color w:val="auto"/>
              </w:rPr>
            </w:pPr>
            <w:r>
              <w:rPr>
                <w:rFonts w:ascii="Arial" w:cs="Arial" w:eastAsia="Arial" w:hAnsi="Arial"/>
                <w:sz w:val="18"/>
                <w:szCs w:val="18"/>
                <w:b w:val="1"/>
                <w:bCs w:val="1"/>
                <w:color w:val="auto"/>
              </w:rPr>
              <w:t>Members:</w:t>
            </w:r>
          </w:p>
        </w:tc>
        <w:tc>
          <w:tcPr>
            <w:tcW w:w="460" w:type="dxa"/>
            <w:vAlign w:val="bottom"/>
            <w:shd w:val="clear" w:color="auto" w:fill="ECF1EE"/>
          </w:tcPr>
          <w:p>
            <w:pPr>
              <w:spacing w:after="0"/>
              <w:rPr>
                <w:sz w:val="20"/>
                <w:szCs w:val="20"/>
                <w:color w:val="auto"/>
              </w:rPr>
            </w:pPr>
          </w:p>
        </w:tc>
        <w:tc>
          <w:tcPr>
            <w:tcW w:w="5440" w:type="dxa"/>
            <w:vAlign w:val="bottom"/>
            <w:shd w:val="clear" w:color="auto" w:fill="ECF1EE"/>
          </w:tcPr>
          <w:p>
            <w:pPr>
              <w:ind w:left="1840"/>
              <w:spacing w:after="0"/>
              <w:rPr>
                <w:sz w:val="20"/>
                <w:szCs w:val="20"/>
                <w:color w:val="auto"/>
              </w:rPr>
            </w:pPr>
            <w:r>
              <w:rPr>
                <w:rFonts w:ascii="Arial" w:cs="Arial" w:eastAsia="Arial" w:hAnsi="Arial"/>
                <w:sz w:val="18"/>
                <w:szCs w:val="18"/>
                <w:b w:val="1"/>
                <w:bCs w:val="1"/>
                <w:color w:val="auto"/>
              </w:rPr>
              <w:t>Number of Meetings Held in 2024: 8</w:t>
            </w:r>
          </w:p>
        </w:tc>
        <w:tc>
          <w:tcPr>
            <w:tcW w:w="300" w:type="dxa"/>
            <w:vAlign w:val="bottom"/>
            <w:shd w:val="clear" w:color="auto" w:fill="ECF1EE"/>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2860" w:type="dxa"/>
            <w:vAlign w:val="bottom"/>
          </w:tcPr>
          <w:p>
            <w:pPr>
              <w:spacing w:after="0"/>
              <w:rPr>
                <w:sz w:val="20"/>
                <w:szCs w:val="20"/>
                <w:color w:val="auto"/>
              </w:rPr>
            </w:pPr>
            <w:r>
              <w:rPr>
                <w:rFonts w:ascii="Arial" w:cs="Arial" w:eastAsia="Arial" w:hAnsi="Arial"/>
                <w:sz w:val="18"/>
                <w:szCs w:val="18"/>
                <w:b w:val="1"/>
                <w:bCs w:val="1"/>
                <w:color w:val="auto"/>
              </w:rPr>
              <w:t xml:space="preserve">​ William B. Plummer, </w:t>
            </w:r>
            <w:r>
              <w:rPr>
                <w:rFonts w:ascii="Arial" w:cs="Arial" w:eastAsia="Arial" w:hAnsi="Arial"/>
                <w:sz w:val="18"/>
                <w:szCs w:val="18"/>
                <w:b w:val="1"/>
                <w:bCs w:val="1"/>
                <w:i w:val="1"/>
                <w:iCs w:val="1"/>
                <w:color w:val="auto"/>
              </w:rPr>
              <w:t>Chair</w:t>
            </w:r>
          </w:p>
        </w:tc>
        <w:tc>
          <w:tcPr>
            <w:tcW w:w="5900" w:type="dxa"/>
            <w:vAlign w:val="bottom"/>
            <w:gridSpan w:val="2"/>
          </w:tcPr>
          <w:p>
            <w:pPr>
              <w:ind w:left="320"/>
              <w:spacing w:after="0"/>
              <w:rPr>
                <w:sz w:val="20"/>
                <w:szCs w:val="20"/>
                <w:color w:val="auto"/>
              </w:rPr>
            </w:pPr>
            <w:r>
              <w:rPr>
                <w:rFonts w:ascii="Arial" w:cs="Arial" w:eastAsia="Arial" w:hAnsi="Arial"/>
                <w:sz w:val="18"/>
                <w:szCs w:val="18"/>
                <w:b w:val="1"/>
                <w:bCs w:val="1"/>
                <w:color w:val="auto"/>
              </w:rPr>
              <w:t>​ ​ Victoria M. Holt</w:t>
            </w:r>
          </w:p>
        </w:tc>
        <w:tc>
          <w:tcPr>
            <w:tcW w:w="300" w:type="dxa"/>
            <w:vAlign w:val="bottom"/>
          </w:tcPr>
          <w:p>
            <w:pPr>
              <w:ind w:left="2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r>
      <w:tr>
        <w:trPr>
          <w:trHeight w:val="203"/>
        </w:trPr>
        <w:tc>
          <w:tcPr>
            <w:tcW w:w="286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Bruce E. Chinn</w:t>
            </w:r>
          </w:p>
        </w:tc>
        <w:tc>
          <w:tcPr>
            <w:tcW w:w="460" w:type="dxa"/>
            <w:vAlign w:val="bottom"/>
          </w:tcPr>
          <w:p>
            <w:pPr>
              <w:spacing w:after="0"/>
              <w:rPr>
                <w:sz w:val="17"/>
                <w:szCs w:val="17"/>
                <w:color w:val="auto"/>
              </w:rPr>
            </w:pPr>
          </w:p>
        </w:tc>
        <w:tc>
          <w:tcPr>
            <w:tcW w:w="5440" w:type="dxa"/>
            <w:vAlign w:val="bottom"/>
          </w:tcPr>
          <w:p>
            <w:pPr>
              <w:ind w:left="80"/>
              <w:spacing w:after="0" w:line="202" w:lineRule="exact"/>
              <w:rPr>
                <w:sz w:val="20"/>
                <w:szCs w:val="20"/>
                <w:color w:val="auto"/>
              </w:rPr>
            </w:pPr>
            <w:r>
              <w:rPr>
                <w:rFonts w:ascii="Arial" w:cs="Arial" w:eastAsia="Arial" w:hAnsi="Arial"/>
                <w:sz w:val="18"/>
                <w:szCs w:val="18"/>
                <w:b w:val="1"/>
                <w:bCs w:val="1"/>
                <w:color w:val="auto"/>
              </w:rPr>
              <w:t>Kathleen M. Mazzarella</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1"/>
        </w:trPr>
        <w:tc>
          <w:tcPr>
            <w:tcW w:w="2860" w:type="dxa"/>
            <w:vAlign w:val="bottom"/>
          </w:tcPr>
          <w:p>
            <w:pPr>
              <w:ind w:left="100"/>
              <w:spacing w:after="0"/>
              <w:rPr>
                <w:sz w:val="20"/>
                <w:szCs w:val="20"/>
                <w:color w:val="auto"/>
              </w:rPr>
            </w:pPr>
            <w:r>
              <w:rPr>
                <w:rFonts w:ascii="Arial" w:cs="Arial" w:eastAsia="Arial" w:hAnsi="Arial"/>
                <w:sz w:val="18"/>
                <w:szCs w:val="18"/>
                <w:b w:val="1"/>
                <w:bCs w:val="1"/>
                <w:color w:val="auto"/>
              </w:rPr>
              <w:t>Andrés R. Gluski</w:t>
            </w:r>
          </w:p>
        </w:tc>
        <w:tc>
          <w:tcPr>
            <w:tcW w:w="460" w:type="dxa"/>
            <w:vAlign w:val="bottom"/>
          </w:tcPr>
          <w:p>
            <w:pPr>
              <w:spacing w:after="0"/>
              <w:rPr>
                <w:sz w:val="19"/>
                <w:szCs w:val="19"/>
                <w:color w:val="auto"/>
              </w:rPr>
            </w:pPr>
          </w:p>
        </w:tc>
        <w:tc>
          <w:tcPr>
            <w:tcW w:w="5440" w:type="dxa"/>
            <w:vAlign w:val="bottom"/>
          </w:tcPr>
          <w:p>
            <w:pPr>
              <w:ind w:left="80"/>
              <w:spacing w:after="0"/>
              <w:rPr>
                <w:sz w:val="20"/>
                <w:szCs w:val="20"/>
                <w:color w:val="auto"/>
              </w:rPr>
            </w:pPr>
            <w:r>
              <w:rPr>
                <w:rFonts w:ascii="Arial" w:cs="Arial" w:eastAsia="Arial" w:hAnsi="Arial"/>
                <w:sz w:val="18"/>
                <w:szCs w:val="18"/>
                <w:b w:val="1"/>
                <w:bCs w:val="1"/>
                <w:color w:val="auto"/>
              </w:rPr>
              <w:t>Sean E. Menke</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-401955</wp:posOffset>
            </wp:positionV>
            <wp:extent cx="5743575" cy="73977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43575" cy="7397750"/>
                    </a:xfrm>
                    <a:prstGeom prst="rect">
                      <a:avLst/>
                    </a:prstGeom>
                    <a:noFill/>
                  </pic:spPr>
                </pic:pic>
              </a:graphicData>
            </a:graphic>
          </wp:anchor>
        </w:drawing>
      </w:r>
    </w:p>
    <w:p>
      <w:pPr>
        <w:ind w:left="820"/>
        <w:spacing w:after="0" w:line="184" w:lineRule="auto"/>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Mr. Plummer has been the Chair of our Audit Committee since May 2020. Each member of our Audit</w:t>
      </w:r>
      <w:r>
        <w:rPr>
          <w:rFonts w:ascii="Arial" w:cs="Arial" w:eastAsia="Arial" w:hAnsi="Arial"/>
          <w:sz w:val="32"/>
          <w:szCs w:val="32"/>
          <w:color w:val="auto"/>
          <w:vertAlign w:val="superscript"/>
        </w:rPr>
        <w:t>​</w:t>
      </w:r>
    </w:p>
    <w:tbl>
      <w:tblPr>
        <w:tblLayout w:type="fixed"/>
        <w:tblInd w:w="820" w:type="dxa"/>
        <w:tblCellMar>
          <w:top w:w="0" w:type="dxa"/>
          <w:left w:w="0" w:type="dxa"/>
          <w:bottom w:w="0" w:type="dxa"/>
          <w:right w:w="0" w:type="dxa"/>
        </w:tblCellMar>
      </w:tblPr>
      <w:tr>
        <w:trPr>
          <w:trHeight w:val="186"/>
        </w:trPr>
        <w:tc>
          <w:tcPr>
            <w:tcW w:w="9020" w:type="dxa"/>
            <w:vAlign w:val="bottom"/>
          </w:tcPr>
          <w:p>
            <w:pPr>
              <w:ind w:left="20"/>
              <w:spacing w:after="0" w:line="186" w:lineRule="exact"/>
              <w:rPr>
                <w:sz w:val="20"/>
                <w:szCs w:val="20"/>
                <w:color w:val="auto"/>
              </w:rPr>
            </w:pPr>
            <w:r>
              <w:rPr>
                <w:rFonts w:ascii="Arial" w:cs="Arial" w:eastAsia="Arial" w:hAnsi="Arial"/>
                <w:sz w:val="18"/>
                <w:szCs w:val="18"/>
                <w:color w:val="auto"/>
              </w:rPr>
              <w:t>Committee  satisfies  the  additional  New  York  Stock  Exchange  independence  standards  for  audit</w:t>
            </w:r>
          </w:p>
        </w:tc>
        <w:tc>
          <w:tcPr>
            <w:tcW w:w="60" w:type="dxa"/>
            <w:vAlign w:val="bottom"/>
          </w:tcPr>
          <w:p>
            <w:pPr>
              <w:spacing w:after="0"/>
              <w:rPr>
                <w:sz w:val="16"/>
                <w:szCs w:val="16"/>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committees set forth in Section 10A of the Exchange Act. Our Board of Directors has determined that</w:t>
            </w:r>
          </w:p>
        </w:tc>
        <w:tc>
          <w:tcPr>
            <w:tcW w:w="60" w:type="dxa"/>
            <w:vAlign w:val="bottom"/>
          </w:tcPr>
          <w:p>
            <w:pPr>
              <w:spacing w:after="0"/>
              <w:rPr>
                <w:sz w:val="17"/>
                <w:szCs w:val="17"/>
                <w:color w:val="auto"/>
              </w:rPr>
            </w:pPr>
          </w:p>
        </w:tc>
      </w:tr>
      <w:tr>
        <w:trPr>
          <w:trHeight w:val="216"/>
        </w:trPr>
        <w:tc>
          <w:tcPr>
            <w:tcW w:w="9020" w:type="dxa"/>
            <w:vAlign w:val="bottom"/>
          </w:tcPr>
          <w:p>
            <w:pPr>
              <w:ind w:left="20"/>
              <w:spacing w:after="0"/>
              <w:rPr>
                <w:sz w:val="20"/>
                <w:szCs w:val="20"/>
                <w:color w:val="auto"/>
              </w:rPr>
            </w:pPr>
            <w:r>
              <w:rPr>
                <w:rFonts w:ascii="Arial" w:cs="Arial" w:eastAsia="Arial" w:hAnsi="Arial"/>
                <w:sz w:val="18"/>
                <w:szCs w:val="18"/>
                <w:color w:val="auto"/>
              </w:rPr>
              <w:t>Audit Committee Chair Mr. Plummer, Mr. Chinn, Mr. Gluski, Ms. Holt, Ms. Mazzarella and Mr. Menke</w:t>
            </w:r>
          </w:p>
        </w:tc>
        <w:tc>
          <w:tcPr>
            <w:tcW w:w="60" w:type="dxa"/>
            <w:vAlign w:val="bottom"/>
          </w:tcPr>
          <w:p>
            <w:pPr>
              <w:spacing w:after="0"/>
              <w:rPr>
                <w:sz w:val="18"/>
                <w:szCs w:val="18"/>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are audit committee financial experts as defined by the SEC based on a thorough review of their</w:t>
            </w:r>
          </w:p>
        </w:tc>
        <w:tc>
          <w:tcPr>
            <w:tcW w:w="60" w:type="dxa"/>
            <w:vAlign w:val="bottom"/>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education  and  financial  and  public  company  experience.  Additional  information  regarding  our</w:t>
            </w:r>
          </w:p>
        </w:tc>
        <w:tc>
          <w:tcPr>
            <w:tcW w:w="60" w:type="dxa"/>
            <w:vAlign w:val="bottom"/>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directors’ expertise and qualifications is available under “Election of Directors” below.</w:t>
            </w:r>
          </w:p>
        </w:tc>
        <w:tc>
          <w:tcPr>
            <w:tcW w:w="60" w:type="dxa"/>
            <w:vAlign w:val="bottom"/>
          </w:tcPr>
          <w:p>
            <w:pPr>
              <w:spacing w:after="0"/>
              <w:rPr>
                <w:sz w:val="17"/>
                <w:szCs w:val="17"/>
                <w:color w:val="auto"/>
              </w:rPr>
            </w:pPr>
          </w:p>
        </w:tc>
      </w:tr>
      <w:tr>
        <w:trPr>
          <w:trHeight w:val="270"/>
        </w:trPr>
        <w:tc>
          <w:tcPr>
            <w:tcW w:w="9020" w:type="dxa"/>
            <w:vAlign w:val="bottom"/>
          </w:tcPr>
          <w:p>
            <w:pPr>
              <w:spacing w:after="0" w:line="269" w:lineRule="exact"/>
              <w:rPr>
                <w:sz w:val="20"/>
                <w:szCs w:val="20"/>
                <w:color w:val="auto"/>
              </w:rPr>
            </w:pPr>
            <w:r>
              <w:rPr>
                <w:rFonts w:ascii="Arial" w:cs="Arial" w:eastAsia="Arial" w:hAnsi="Arial"/>
                <w:sz w:val="31"/>
                <w:szCs w:val="31"/>
                <w:b w:val="1"/>
                <w:bCs w:val="1"/>
                <w:color w:val="auto"/>
                <w:vertAlign w:val="superscript"/>
              </w:rPr>
              <w:t>​</w:t>
            </w:r>
            <w:r>
              <w:rPr>
                <w:rFonts w:ascii="Arial" w:cs="Arial" w:eastAsia="Arial" w:hAnsi="Arial"/>
                <w:sz w:val="17"/>
                <w:szCs w:val="17"/>
                <w:b w:val="1"/>
                <w:bCs w:val="1"/>
                <w:color w:val="auto"/>
              </w:rPr>
              <w:t>Key Functions</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83"/>
        </w:trPr>
        <w:tc>
          <w:tcPr>
            <w:tcW w:w="9080" w:type="dxa"/>
            <w:vAlign w:val="bottom"/>
            <w:gridSpan w:val="2"/>
          </w:tcPr>
          <w:p>
            <w:pPr>
              <w:spacing w:after="0" w:line="283" w:lineRule="exact"/>
              <w:rPr>
                <w:sz w:val="20"/>
                <w:szCs w:val="20"/>
                <w:color w:val="auto"/>
              </w:rPr>
            </w:pPr>
            <w:r>
              <w:rPr>
                <w:rFonts w:ascii="Arial" w:cs="Arial" w:eastAsia="Arial" w:hAnsi="Arial"/>
                <w:sz w:val="32"/>
                <w:szCs w:val="32"/>
                <w:color w:val="auto"/>
                <w:vertAlign w:val="superscript"/>
              </w:rPr>
              <w:t>​</w:t>
            </w:r>
            <w:r>
              <w:rPr>
                <w:rFonts w:ascii="Arial" w:cs="Arial" w:eastAsia="Arial" w:hAnsi="Arial"/>
                <w:sz w:val="17"/>
                <w:szCs w:val="17"/>
                <w:color w:val="auto"/>
              </w:rPr>
              <w:t>The Audit Committee’s duties are set forth in a written charter that was approved by the Board of</w:t>
            </w:r>
            <w:r>
              <w:rPr>
                <w:rFonts w:ascii="Arial" w:cs="Arial" w:eastAsia="Arial" w:hAnsi="Arial"/>
                <w:sz w:val="32"/>
                <w:szCs w:val="32"/>
                <w:color w:val="auto"/>
                <w:vertAlign w:val="superscript"/>
              </w:rPr>
              <w:t>​</w:t>
            </w: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Directors. A copy of the charter can be found by accessing the “Sustainability &amp; Governance — </w:t>
            </w:r>
          </w:p>
        </w:tc>
        <w:tc>
          <w:tcPr>
            <w:tcW w:w="60" w:type="dxa"/>
            <w:vAlign w:val="bottom"/>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Corporate Governance” section of investors.wm.com. The Audit Committee generally is responsible</w:t>
            </w:r>
          </w:p>
        </w:tc>
        <w:tc>
          <w:tcPr>
            <w:tcW w:w="60" w:type="dxa"/>
            <w:vAlign w:val="bottom"/>
          </w:tcPr>
          <w:p>
            <w:pPr>
              <w:spacing w:after="0"/>
              <w:rPr>
                <w:sz w:val="17"/>
                <w:szCs w:val="17"/>
                <w:color w:val="auto"/>
              </w:rPr>
            </w:pPr>
          </w:p>
        </w:tc>
      </w:tr>
      <w:tr>
        <w:trPr>
          <w:trHeight w:val="216"/>
        </w:trPr>
        <w:tc>
          <w:tcPr>
            <w:tcW w:w="9020" w:type="dxa"/>
            <w:vAlign w:val="bottom"/>
          </w:tcPr>
          <w:p>
            <w:pPr>
              <w:ind w:left="20"/>
              <w:spacing w:after="0"/>
              <w:rPr>
                <w:sz w:val="20"/>
                <w:szCs w:val="20"/>
                <w:color w:val="auto"/>
              </w:rPr>
            </w:pPr>
            <w:r>
              <w:rPr>
                <w:rFonts w:ascii="Arial" w:cs="Arial" w:eastAsia="Arial" w:hAnsi="Arial"/>
                <w:sz w:val="18"/>
                <w:szCs w:val="18"/>
                <w:color w:val="auto"/>
              </w:rPr>
              <w:t>for overseeing all matters relating to our financial statements and reporting, independent auditors and</w:t>
            </w:r>
          </w:p>
        </w:tc>
        <w:tc>
          <w:tcPr>
            <w:tcW w:w="60" w:type="dxa"/>
            <w:vAlign w:val="bottom"/>
          </w:tcPr>
          <w:p>
            <w:pPr>
              <w:spacing w:after="0"/>
              <w:rPr>
                <w:sz w:val="18"/>
                <w:szCs w:val="18"/>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internal audit function. As part of its function, the Audit Committee reports the results of all of its</w:t>
            </w:r>
          </w:p>
        </w:tc>
        <w:tc>
          <w:tcPr>
            <w:tcW w:w="60" w:type="dxa"/>
            <w:vAlign w:val="bottom"/>
          </w:tcPr>
          <w:p>
            <w:pPr>
              <w:spacing w:after="0"/>
              <w:rPr>
                <w:sz w:val="17"/>
                <w:szCs w:val="17"/>
                <w:color w:val="auto"/>
              </w:rPr>
            </w:pPr>
          </w:p>
        </w:tc>
      </w:tr>
      <w:tr>
        <w:trPr>
          <w:trHeight w:val="203"/>
        </w:trPr>
        <w:tc>
          <w:tcPr>
            <w:tcW w:w="9020" w:type="dxa"/>
            <w:vAlign w:val="bottom"/>
          </w:tcPr>
          <w:p>
            <w:pPr>
              <w:ind w:left="20"/>
              <w:spacing w:after="0" w:line="202" w:lineRule="exact"/>
              <w:rPr>
                <w:sz w:val="20"/>
                <w:szCs w:val="20"/>
                <w:color w:val="auto"/>
              </w:rPr>
            </w:pPr>
            <w:r>
              <w:rPr>
                <w:rFonts w:ascii="Arial" w:cs="Arial" w:eastAsia="Arial" w:hAnsi="Arial"/>
                <w:sz w:val="18"/>
                <w:szCs w:val="18"/>
                <w:color w:val="auto"/>
              </w:rPr>
              <w:t>reviews to the full Board. In fulfilling its duties, the Audit Committee has the following responsibilities:</w:t>
            </w:r>
          </w:p>
        </w:tc>
        <w:tc>
          <w:tcPr>
            <w:tcW w:w="60" w:type="dxa"/>
            <w:vAlign w:val="bottom"/>
          </w:tcPr>
          <w:p>
            <w:pPr>
              <w:spacing w:after="0"/>
              <w:rPr>
                <w:sz w:val="17"/>
                <w:szCs w:val="17"/>
                <w:color w:val="auto"/>
              </w:rPr>
            </w:pPr>
          </w:p>
        </w:tc>
      </w:tr>
      <w:tr>
        <w:trPr>
          <w:trHeight w:val="383"/>
        </w:trPr>
        <w:tc>
          <w:tcPr>
            <w:tcW w:w="9020" w:type="dxa"/>
            <w:vAlign w:val="bottom"/>
          </w:tcPr>
          <w:p>
            <w:pPr>
              <w:spacing w:after="0" w:line="383"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i w:val="1"/>
                <w:iCs w:val="1"/>
                <w:color w:val="auto"/>
              </w:rPr>
              <w:t>Administrative Responsibilities</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ind w:left="1020" w:right="120" w:hanging="177"/>
        <w:spacing w:after="0" w:line="250" w:lineRule="auto"/>
        <w:tabs>
          <w:tab w:leader="none" w:pos="1020" w:val="left"/>
        </w:tabs>
        <w:numPr>
          <w:ilvl w:val="0"/>
          <w:numId w:val="5"/>
        </w:numPr>
        <w:rPr>
          <w:rFonts w:ascii="Arial" w:cs="Arial" w:eastAsia="Arial" w:hAnsi="Arial"/>
          <w:sz w:val="18"/>
          <w:szCs w:val="18"/>
          <w:color w:val="457157"/>
        </w:rPr>
      </w:pPr>
      <w:r>
        <w:rPr>
          <w:rFonts w:ascii="Arial" w:cs="Arial" w:eastAsia="Arial" w:hAnsi="Arial"/>
          <w:sz w:val="18"/>
          <w:szCs w:val="18"/>
          <w:color w:val="auto"/>
        </w:rPr>
        <w:t>Report to the Board, at least annually, all public company audit committee memberships by members of the Audit Committee;</w:t>
      </w:r>
    </w:p>
    <w:p>
      <w:pPr>
        <w:spacing w:after="0" w:line="36" w:lineRule="exact"/>
        <w:rPr>
          <w:rFonts w:ascii="Arial" w:cs="Arial" w:eastAsia="Arial" w:hAnsi="Arial"/>
          <w:sz w:val="18"/>
          <w:szCs w:val="18"/>
          <w:color w:val="457157"/>
        </w:rPr>
      </w:pPr>
    </w:p>
    <w:p>
      <w:pPr>
        <w:ind w:left="1020" w:right="100" w:hanging="177"/>
        <w:spacing w:after="0" w:line="281" w:lineRule="auto"/>
        <w:tabs>
          <w:tab w:leader="none" w:pos="1020" w:val="left"/>
        </w:tabs>
        <w:numPr>
          <w:ilvl w:val="0"/>
          <w:numId w:val="5"/>
        </w:numPr>
        <w:rPr>
          <w:rFonts w:ascii="Arial" w:cs="Arial" w:eastAsia="Arial" w:hAnsi="Arial"/>
          <w:sz w:val="18"/>
          <w:szCs w:val="18"/>
          <w:color w:val="457157"/>
        </w:rPr>
      </w:pPr>
      <w:r>
        <w:rPr>
          <w:rFonts w:ascii="Arial" w:cs="Arial" w:eastAsia="Arial" w:hAnsi="Arial"/>
          <w:sz w:val="18"/>
          <w:szCs w:val="18"/>
          <w:color w:val="auto"/>
        </w:rPr>
        <w:t>Perform an annual review of its performance relative to its charter and report the results of its evaluation to the full Board; and</w:t>
      </w:r>
    </w:p>
    <w:p>
      <w:pPr>
        <w:spacing w:after="0" w:line="1" w:lineRule="exact"/>
        <w:rPr>
          <w:rFonts w:ascii="Arial" w:cs="Arial" w:eastAsia="Arial" w:hAnsi="Arial"/>
          <w:sz w:val="18"/>
          <w:szCs w:val="18"/>
          <w:color w:val="457157"/>
        </w:rPr>
      </w:pPr>
    </w:p>
    <w:p>
      <w:pPr>
        <w:ind w:left="1020" w:hanging="177"/>
        <w:spacing w:after="0"/>
        <w:tabs>
          <w:tab w:leader="none" w:pos="1020" w:val="left"/>
        </w:tabs>
        <w:numPr>
          <w:ilvl w:val="0"/>
          <w:numId w:val="5"/>
        </w:numPr>
        <w:rPr>
          <w:rFonts w:ascii="Arial" w:cs="Arial" w:eastAsia="Arial" w:hAnsi="Arial"/>
          <w:sz w:val="18"/>
          <w:szCs w:val="18"/>
          <w:color w:val="457157"/>
        </w:rPr>
      </w:pPr>
      <w:r>
        <w:rPr>
          <w:rFonts w:ascii="Arial" w:cs="Arial" w:eastAsia="Arial" w:hAnsi="Arial"/>
          <w:sz w:val="18"/>
          <w:szCs w:val="18"/>
          <w:color w:val="auto"/>
        </w:rPr>
        <w:t>Provide an orientation program for new Audit Committee members.</w:t>
      </w:r>
    </w:p>
    <w:p>
      <w:pPr>
        <w:ind w:left="820"/>
        <w:spacing w:after="0" w:line="195" w:lineRule="auto"/>
        <w:tabs>
          <w:tab w:leader="none" w:pos="9820" w:val="left"/>
        </w:tabs>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i w:val="1"/>
          <w:iCs w:val="1"/>
          <w:color w:val="auto"/>
        </w:rPr>
        <w:t>Financial Statements</w:t>
      </w:r>
      <w:r>
        <w:rPr>
          <w:sz w:val="20"/>
          <w:szCs w:val="20"/>
          <w:color w:val="auto"/>
        </w:rPr>
        <w:tab/>
      </w:r>
      <w:r>
        <w:rPr>
          <w:rFonts w:ascii="Arial" w:cs="Arial" w:eastAsia="Arial" w:hAnsi="Arial"/>
          <w:sz w:val="36"/>
          <w:szCs w:val="36"/>
          <w:color w:val="auto"/>
          <w:vertAlign w:val="superscript"/>
        </w:rPr>
        <w:t>​</w:t>
      </w:r>
    </w:p>
    <w:p>
      <w:pPr>
        <w:ind w:left="1020" w:right="620" w:hanging="177"/>
        <w:spacing w:after="0"/>
        <w:tabs>
          <w:tab w:leader="none" w:pos="1020" w:val="left"/>
        </w:tabs>
        <w:numPr>
          <w:ilvl w:val="0"/>
          <w:numId w:val="6"/>
        </w:numPr>
        <w:rPr>
          <w:rFonts w:ascii="Arial" w:cs="Arial" w:eastAsia="Arial" w:hAnsi="Arial"/>
          <w:sz w:val="18"/>
          <w:szCs w:val="18"/>
          <w:color w:val="457157"/>
        </w:rPr>
      </w:pPr>
      <w:r>
        <w:rPr>
          <w:rFonts w:ascii="Arial" w:cs="Arial" w:eastAsia="Arial" w:hAnsi="Arial"/>
          <w:sz w:val="18"/>
          <w:szCs w:val="18"/>
          <w:color w:val="auto"/>
        </w:rPr>
        <w:t>Review financial statements and Forms 10-K and 10-Q with management and the independent auditor;</w:t>
      </w:r>
    </w:p>
    <w:p>
      <w:pPr>
        <w:spacing w:after="0" w:line="220" w:lineRule="exact"/>
        <w:rPr>
          <w:rFonts w:ascii="Arial" w:cs="Arial" w:eastAsia="Arial" w:hAnsi="Arial"/>
          <w:sz w:val="18"/>
          <w:szCs w:val="18"/>
          <w:color w:val="457157"/>
        </w:rPr>
      </w:pPr>
    </w:p>
    <w:p>
      <w:pPr>
        <w:ind w:left="1020" w:right="120" w:hanging="177"/>
        <w:spacing w:after="0" w:line="287" w:lineRule="auto"/>
        <w:tabs>
          <w:tab w:leader="none" w:pos="1020" w:val="left"/>
        </w:tabs>
        <w:numPr>
          <w:ilvl w:val="0"/>
          <w:numId w:val="6"/>
        </w:numPr>
        <w:rPr>
          <w:rFonts w:ascii="Arial" w:cs="Arial" w:eastAsia="Arial" w:hAnsi="Arial"/>
          <w:sz w:val="18"/>
          <w:szCs w:val="18"/>
          <w:color w:val="457157"/>
        </w:rPr>
      </w:pPr>
      <w:r>
        <w:rPr>
          <w:rFonts w:ascii="Arial" w:cs="Arial" w:eastAsia="Arial" w:hAnsi="Arial"/>
          <w:sz w:val="18"/>
          <w:szCs w:val="18"/>
          <w:color w:val="auto"/>
        </w:rPr>
        <w:t>Review all earnings press releases and discuss with management the type of earnings guidance that we provide to analysts and rating agencies;</w:t>
      </w:r>
    </w:p>
    <w:p>
      <w:pPr>
        <w:spacing w:after="0" w:line="4" w:lineRule="exact"/>
        <w:rPr>
          <w:rFonts w:ascii="Arial" w:cs="Arial" w:eastAsia="Arial" w:hAnsi="Arial"/>
          <w:sz w:val="18"/>
          <w:szCs w:val="18"/>
          <w:color w:val="457157"/>
        </w:rPr>
      </w:pPr>
    </w:p>
    <w:p>
      <w:pPr>
        <w:jc w:val="both"/>
        <w:ind w:left="1020" w:right="100" w:hanging="177"/>
        <w:spacing w:after="0" w:line="261" w:lineRule="auto"/>
        <w:tabs>
          <w:tab w:leader="none" w:pos="1020" w:val="left"/>
        </w:tabs>
        <w:numPr>
          <w:ilvl w:val="0"/>
          <w:numId w:val="6"/>
        </w:numPr>
        <w:rPr>
          <w:rFonts w:ascii="Arial" w:cs="Arial" w:eastAsia="Arial" w:hAnsi="Arial"/>
          <w:sz w:val="18"/>
          <w:szCs w:val="18"/>
          <w:color w:val="457157"/>
        </w:rPr>
      </w:pPr>
      <w:r>
        <w:rPr>
          <w:rFonts w:ascii="Arial" w:cs="Arial" w:eastAsia="Arial" w:hAnsi="Arial"/>
          <w:sz w:val="18"/>
          <w:szCs w:val="18"/>
          <w:color w:val="auto"/>
        </w:rPr>
        <w:t xml:space="preserve">Discuss with the independent auditor any material changes to our accounting principles and matters required to be communicated by Public Company Accounting Oversight Board (United States) Auditing Standard No. 1301 </w:t>
      </w:r>
      <w:r>
        <w:rPr>
          <w:rFonts w:ascii="Arial" w:cs="Arial" w:eastAsia="Arial" w:hAnsi="Arial"/>
          <w:sz w:val="18"/>
          <w:szCs w:val="18"/>
          <w:i w:val="1"/>
          <w:iCs w:val="1"/>
          <w:color w:val="auto"/>
        </w:rPr>
        <w:t>Communications with Audit Committees;</w:t>
      </w:r>
    </w:p>
    <w:p>
      <w:pPr>
        <w:spacing w:after="0" w:line="26" w:lineRule="exact"/>
        <w:rPr>
          <w:rFonts w:ascii="Arial" w:cs="Arial" w:eastAsia="Arial" w:hAnsi="Arial"/>
          <w:sz w:val="18"/>
          <w:szCs w:val="18"/>
          <w:color w:val="457157"/>
        </w:rPr>
      </w:pPr>
    </w:p>
    <w:p>
      <w:pPr>
        <w:ind w:left="1020" w:right="120" w:hanging="177"/>
        <w:spacing w:after="0" w:line="271" w:lineRule="auto"/>
        <w:tabs>
          <w:tab w:leader="none" w:pos="1020" w:val="left"/>
        </w:tabs>
        <w:numPr>
          <w:ilvl w:val="0"/>
          <w:numId w:val="6"/>
        </w:numPr>
        <w:rPr>
          <w:rFonts w:ascii="Arial" w:cs="Arial" w:eastAsia="Arial" w:hAnsi="Arial"/>
          <w:sz w:val="18"/>
          <w:szCs w:val="18"/>
          <w:color w:val="457157"/>
        </w:rPr>
      </w:pPr>
      <w:r>
        <w:rPr>
          <w:rFonts w:ascii="Arial" w:cs="Arial" w:eastAsia="Arial" w:hAnsi="Arial"/>
          <w:sz w:val="18"/>
          <w:szCs w:val="18"/>
          <w:color w:val="auto"/>
        </w:rPr>
        <w:t>Review our financial reporting, accounting and auditing practices with management, the independent auditor and our internal auditors;</w:t>
      </w:r>
    </w:p>
    <w:p>
      <w:pPr>
        <w:spacing w:after="0" w:line="32" w:lineRule="exact"/>
        <w:rPr>
          <w:rFonts w:ascii="Arial" w:cs="Arial" w:eastAsia="Arial" w:hAnsi="Arial"/>
          <w:sz w:val="18"/>
          <w:szCs w:val="18"/>
          <w:color w:val="457157"/>
        </w:rPr>
      </w:pPr>
    </w:p>
    <w:p>
      <w:pPr>
        <w:ind w:left="1020" w:right="120" w:hanging="177"/>
        <w:spacing w:after="0" w:line="271" w:lineRule="auto"/>
        <w:tabs>
          <w:tab w:leader="none" w:pos="1020" w:val="left"/>
        </w:tabs>
        <w:numPr>
          <w:ilvl w:val="0"/>
          <w:numId w:val="6"/>
        </w:numPr>
        <w:rPr>
          <w:rFonts w:ascii="Arial" w:cs="Arial" w:eastAsia="Arial" w:hAnsi="Arial"/>
          <w:sz w:val="18"/>
          <w:szCs w:val="18"/>
          <w:color w:val="457157"/>
        </w:rPr>
      </w:pPr>
      <w:r>
        <w:rPr>
          <w:rFonts w:ascii="Arial" w:cs="Arial" w:eastAsia="Arial" w:hAnsi="Arial"/>
          <w:sz w:val="18"/>
          <w:szCs w:val="18"/>
          <w:color w:val="auto"/>
        </w:rPr>
        <w:t>Review management’s and the independent auditor’s assessment of the adequacy and effectiveness of internal controls over financial reporting; and</w:t>
      </w:r>
    </w:p>
    <w:p>
      <w:pPr>
        <w:spacing w:after="0" w:line="5" w:lineRule="exact"/>
        <w:rPr>
          <w:rFonts w:ascii="Arial" w:cs="Arial" w:eastAsia="Arial" w:hAnsi="Arial"/>
          <w:sz w:val="18"/>
          <w:szCs w:val="18"/>
          <w:color w:val="457157"/>
        </w:rPr>
      </w:pPr>
    </w:p>
    <w:p>
      <w:pPr>
        <w:ind w:left="1020" w:hanging="177"/>
        <w:spacing w:after="0"/>
        <w:tabs>
          <w:tab w:leader="none" w:pos="1020" w:val="left"/>
        </w:tabs>
        <w:numPr>
          <w:ilvl w:val="0"/>
          <w:numId w:val="6"/>
        </w:numPr>
        <w:rPr>
          <w:rFonts w:ascii="Arial" w:cs="Arial" w:eastAsia="Arial" w:hAnsi="Arial"/>
          <w:sz w:val="18"/>
          <w:szCs w:val="18"/>
          <w:color w:val="457157"/>
        </w:rPr>
      </w:pPr>
      <w:r>
        <w:rPr>
          <w:rFonts w:ascii="Arial" w:cs="Arial" w:eastAsia="Arial" w:hAnsi="Arial"/>
          <w:sz w:val="18"/>
          <w:szCs w:val="18"/>
          <w:color w:val="auto"/>
        </w:rPr>
        <w:t>Review executive officer certifications related to our reports and filings.</w:t>
      </w:r>
    </w:p>
    <w:p>
      <w:pPr>
        <w:ind w:left="820"/>
        <w:spacing w:after="0" w:line="195" w:lineRule="auto"/>
        <w:tabs>
          <w:tab w:leader="none" w:pos="9820" w:val="left"/>
        </w:tabs>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i w:val="1"/>
          <w:iCs w:val="1"/>
          <w:color w:val="auto"/>
        </w:rPr>
        <w:t>Independent Auditor</w:t>
      </w:r>
      <w:r>
        <w:rPr>
          <w:sz w:val="20"/>
          <w:szCs w:val="20"/>
          <w:color w:val="auto"/>
        </w:rPr>
        <w:tab/>
      </w:r>
      <w:r>
        <w:rPr>
          <w:rFonts w:ascii="Arial" w:cs="Arial" w:eastAsia="Arial" w:hAnsi="Arial"/>
          <w:sz w:val="36"/>
          <w:szCs w:val="36"/>
          <w:color w:val="auto"/>
          <w:vertAlign w:val="superscript"/>
        </w:rPr>
        <w:t>​</w:t>
      </w:r>
    </w:p>
    <w:p>
      <w:pPr>
        <w:ind w:left="1020" w:right="440" w:hanging="177"/>
        <w:spacing w:after="0" w:line="229" w:lineRule="auto"/>
        <w:tabs>
          <w:tab w:leader="none" w:pos="1020" w:val="left"/>
        </w:tabs>
        <w:numPr>
          <w:ilvl w:val="0"/>
          <w:numId w:val="7"/>
        </w:numPr>
        <w:rPr>
          <w:rFonts w:ascii="Arial" w:cs="Arial" w:eastAsia="Arial" w:hAnsi="Arial"/>
          <w:sz w:val="18"/>
          <w:szCs w:val="18"/>
          <w:color w:val="457157"/>
        </w:rPr>
      </w:pPr>
      <w:r>
        <w:rPr>
          <w:rFonts w:ascii="Arial" w:cs="Arial" w:eastAsia="Arial" w:hAnsi="Arial"/>
          <w:sz w:val="18"/>
          <w:szCs w:val="18"/>
          <w:color w:val="auto"/>
        </w:rPr>
        <w:t>Engage an independent auditor, determine the auditor’s compensation and replace the auditor if necessary;</w:t>
      </w:r>
    </w:p>
    <w:p>
      <w:pPr>
        <w:spacing w:after="0" w:line="32" w:lineRule="exact"/>
        <w:rPr>
          <w:rFonts w:ascii="Arial" w:cs="Arial" w:eastAsia="Arial" w:hAnsi="Arial"/>
          <w:sz w:val="18"/>
          <w:szCs w:val="18"/>
          <w:color w:val="457157"/>
        </w:rPr>
      </w:pPr>
    </w:p>
    <w:p>
      <w:pPr>
        <w:ind w:left="1020" w:right="100" w:hanging="177"/>
        <w:spacing w:after="0" w:line="287" w:lineRule="auto"/>
        <w:tabs>
          <w:tab w:leader="none" w:pos="1020" w:val="left"/>
        </w:tabs>
        <w:numPr>
          <w:ilvl w:val="0"/>
          <w:numId w:val="7"/>
        </w:numPr>
        <w:rPr>
          <w:rFonts w:ascii="Arial" w:cs="Arial" w:eastAsia="Arial" w:hAnsi="Arial"/>
          <w:sz w:val="18"/>
          <w:szCs w:val="18"/>
          <w:color w:val="457157"/>
        </w:rPr>
      </w:pPr>
      <w:r>
        <w:rPr>
          <w:rFonts w:ascii="Arial" w:cs="Arial" w:eastAsia="Arial" w:hAnsi="Arial"/>
          <w:sz w:val="18"/>
          <w:szCs w:val="18"/>
          <w:color w:val="auto"/>
        </w:rPr>
        <w:t>Review the independence of the independent auditor and establish our policies for hiring current or former employees of the independent auditor;</w:t>
      </w:r>
    </w:p>
    <w:p>
      <w:pPr>
        <w:spacing w:after="0" w:line="4" w:lineRule="exact"/>
        <w:rPr>
          <w:rFonts w:ascii="Arial" w:cs="Arial" w:eastAsia="Arial" w:hAnsi="Arial"/>
          <w:sz w:val="18"/>
          <w:szCs w:val="18"/>
          <w:color w:val="457157"/>
        </w:rPr>
      </w:pPr>
    </w:p>
    <w:p>
      <w:pPr>
        <w:ind w:left="1020" w:right="100" w:hanging="177"/>
        <w:spacing w:after="0" w:line="271" w:lineRule="auto"/>
        <w:tabs>
          <w:tab w:leader="none" w:pos="1020" w:val="left"/>
        </w:tabs>
        <w:numPr>
          <w:ilvl w:val="0"/>
          <w:numId w:val="7"/>
        </w:numPr>
        <w:rPr>
          <w:rFonts w:ascii="Arial" w:cs="Arial" w:eastAsia="Arial" w:hAnsi="Arial"/>
          <w:sz w:val="18"/>
          <w:szCs w:val="18"/>
          <w:color w:val="457157"/>
        </w:rPr>
      </w:pPr>
      <w:r>
        <w:rPr>
          <w:rFonts w:ascii="Arial" w:cs="Arial" w:eastAsia="Arial" w:hAnsi="Arial"/>
          <w:sz w:val="18"/>
          <w:szCs w:val="18"/>
          <w:color w:val="auto"/>
        </w:rPr>
        <w:t>Evaluate the lead partner of our independent audit team and review a report, at least annually, describing the independent auditor’s internal control procedures; and</w:t>
      </w:r>
    </w:p>
    <w:p>
      <w:pPr>
        <w:spacing w:after="0" w:line="18" w:lineRule="exact"/>
        <w:rPr>
          <w:rFonts w:ascii="Arial" w:cs="Arial" w:eastAsia="Arial" w:hAnsi="Arial"/>
          <w:sz w:val="18"/>
          <w:szCs w:val="18"/>
          <w:color w:val="457157"/>
        </w:rPr>
      </w:pPr>
    </w:p>
    <w:p>
      <w:pPr>
        <w:ind w:left="1020" w:hanging="177"/>
        <w:spacing w:after="0"/>
        <w:tabs>
          <w:tab w:leader="none" w:pos="1020" w:val="left"/>
        </w:tabs>
        <w:numPr>
          <w:ilvl w:val="0"/>
          <w:numId w:val="7"/>
        </w:numPr>
        <w:rPr>
          <w:rFonts w:ascii="Arial" w:cs="Arial" w:eastAsia="Arial" w:hAnsi="Arial"/>
          <w:sz w:val="18"/>
          <w:szCs w:val="18"/>
          <w:color w:val="457157"/>
        </w:rPr>
      </w:pPr>
      <w:r>
        <w:rPr>
          <w:rFonts w:ascii="Arial" w:cs="Arial" w:eastAsia="Arial" w:hAnsi="Arial"/>
          <w:sz w:val="18"/>
          <w:szCs w:val="18"/>
          <w:color w:val="auto"/>
        </w:rPr>
        <w:t>Pre-approve all services, including non-audit engagements, provided by the independent auditor.</w:t>
      </w:r>
    </w:p>
    <w:p>
      <w:pPr>
        <w:ind w:left="820"/>
        <w:spacing w:after="0" w:line="195" w:lineRule="auto"/>
        <w:tabs>
          <w:tab w:leader="none" w:pos="9820" w:val="left"/>
        </w:tabs>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i w:val="1"/>
          <w:iCs w:val="1"/>
          <w:color w:val="auto"/>
        </w:rPr>
        <w:t>Internal Audit</w:t>
      </w:r>
      <w:r>
        <w:rPr>
          <w:sz w:val="20"/>
          <w:szCs w:val="20"/>
          <w:color w:val="auto"/>
        </w:rPr>
        <w:tab/>
      </w:r>
      <w:r>
        <w:rPr>
          <w:rFonts w:ascii="Arial" w:cs="Arial" w:eastAsia="Arial" w:hAnsi="Arial"/>
          <w:sz w:val="36"/>
          <w:szCs w:val="36"/>
          <w:color w:val="auto"/>
          <w:vertAlign w:val="superscript"/>
        </w:rPr>
        <w:t>​</w:t>
      </w:r>
    </w:p>
    <w:p>
      <w:pPr>
        <w:ind w:left="1020" w:hanging="177"/>
        <w:spacing w:after="0"/>
        <w:tabs>
          <w:tab w:leader="none" w:pos="1020" w:val="left"/>
        </w:tabs>
        <w:numPr>
          <w:ilvl w:val="0"/>
          <w:numId w:val="8"/>
        </w:numPr>
        <w:rPr>
          <w:rFonts w:ascii="Arial" w:cs="Arial" w:eastAsia="Arial" w:hAnsi="Arial"/>
          <w:sz w:val="18"/>
          <w:szCs w:val="18"/>
          <w:color w:val="457157"/>
        </w:rPr>
      </w:pPr>
      <w:r>
        <w:rPr>
          <w:rFonts w:ascii="Arial" w:cs="Arial" w:eastAsia="Arial" w:hAnsi="Arial"/>
          <w:sz w:val="18"/>
          <w:szCs w:val="18"/>
          <w:color w:val="auto"/>
        </w:rPr>
        <w:t>Review the plans, staffing, reports and activities of the internal auditors; and</w:t>
      </w:r>
    </w:p>
    <w:p>
      <w:pPr>
        <w:spacing w:after="0" w:line="45" w:lineRule="exact"/>
        <w:rPr>
          <w:rFonts w:ascii="Arial" w:cs="Arial" w:eastAsia="Arial" w:hAnsi="Arial"/>
          <w:sz w:val="18"/>
          <w:szCs w:val="18"/>
          <w:color w:val="457157"/>
        </w:rPr>
      </w:pPr>
    </w:p>
    <w:p>
      <w:pPr>
        <w:jc w:val="both"/>
        <w:ind w:left="1020" w:right="100" w:hanging="177"/>
        <w:spacing w:after="0" w:line="268" w:lineRule="auto"/>
        <w:tabs>
          <w:tab w:leader="none" w:pos="1020" w:val="left"/>
        </w:tabs>
        <w:numPr>
          <w:ilvl w:val="0"/>
          <w:numId w:val="8"/>
        </w:numPr>
        <w:rPr>
          <w:rFonts w:ascii="Arial" w:cs="Arial" w:eastAsia="Arial" w:hAnsi="Arial"/>
          <w:sz w:val="18"/>
          <w:szCs w:val="18"/>
          <w:color w:val="457157"/>
        </w:rPr>
      </w:pPr>
      <w:r>
        <w:rPr>
          <w:rFonts w:ascii="Arial" w:cs="Arial" w:eastAsia="Arial" w:hAnsi="Arial"/>
          <w:sz w:val="18"/>
          <w:szCs w:val="18"/>
          <w:color w:val="auto"/>
        </w:rPr>
        <w:t>Review and establish procedures for receiving, retaining and handling complaints, including anonymous complaints by our employees, regarding accounting, internal controls and auditing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155575</wp:posOffset>
            </wp:positionV>
            <wp:extent cx="57607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20"/>
        <w:spacing w:after="0"/>
        <w:tabs>
          <w:tab w:leader="none" w:pos="108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001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1170" cy="12001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5200" w:type="dxa"/>
            <w:vAlign w:val="bottom"/>
            <w:tcBorders>
              <w:top w:val="single" w:sz="8" w:color="457157"/>
            </w:tcBorders>
          </w:tcPr>
          <w:p>
            <w:pPr>
              <w:spacing w:after="0"/>
              <w:rPr>
                <w:sz w:val="20"/>
                <w:szCs w:val="20"/>
                <w:color w:val="auto"/>
              </w:rPr>
            </w:pPr>
            <w:r>
              <w:rPr>
                <w:rFonts w:ascii="Arial" w:cs="Arial" w:eastAsia="Arial" w:hAnsi="Arial"/>
                <w:sz w:val="16"/>
                <w:szCs w:val="16"/>
                <w:b w:val="1"/>
                <w:bCs w:val="1"/>
                <w:color w:val="auto"/>
              </w:rPr>
              <w:t>​</w:t>
            </w:r>
          </w:p>
        </w:tc>
        <w:tc>
          <w:tcPr>
            <w:tcW w:w="3860" w:type="dxa"/>
            <w:vAlign w:val="bottom"/>
            <w:tcBorders>
              <w:top w:val="single" w:sz="8" w:color="457157"/>
            </w:tcBorders>
          </w:tcPr>
          <w:p>
            <w:pPr>
              <w:ind w:left="1440"/>
              <w:spacing w:after="0"/>
              <w:rPr>
                <w:sz w:val="20"/>
                <w:szCs w:val="20"/>
                <w:color w:val="auto"/>
              </w:rPr>
            </w:pPr>
            <w:r>
              <w:rPr>
                <w:rFonts w:ascii="Arial" w:cs="Arial" w:eastAsia="Arial" w:hAnsi="Arial"/>
                <w:sz w:val="20"/>
                <w:szCs w:val="20"/>
                <w:b w:val="1"/>
                <w:bCs w:val="1"/>
                <w:color w:val="auto"/>
              </w:rPr>
              <w:t>BOARD OF DIRECTORS</w:t>
            </w:r>
          </w:p>
        </w:tc>
        <w:tc>
          <w:tcPr>
            <w:tcW w:w="60" w:type="dxa"/>
            <w:vAlign w:val="bottom"/>
          </w:tcPr>
          <w:p>
            <w:pPr>
              <w:spacing w:after="0"/>
              <w:rPr>
                <w:sz w:val="20"/>
                <w:szCs w:val="20"/>
                <w:color w:val="auto"/>
              </w:rPr>
            </w:pPr>
            <w:r>
              <w:rPr>
                <w:rFonts w:ascii="Arial" w:cs="Arial" w:eastAsia="Arial" w:hAnsi="Arial"/>
                <w:sz w:val="16"/>
                <w:szCs w:val="16"/>
                <w:b w:val="1"/>
                <w:bCs w:val="1"/>
                <w:color w:val="auto"/>
              </w:rPr>
              <w:t>​</w:t>
            </w:r>
          </w:p>
        </w:tc>
      </w:tr>
      <w:tr>
        <w:trPr>
          <w:trHeight w:val="226"/>
        </w:trPr>
        <w:tc>
          <w:tcPr>
            <w:tcW w:w="5200" w:type="dxa"/>
            <w:vAlign w:val="bottom"/>
            <w:tcBorders>
              <w:bottom w:val="single" w:sz="8" w:color="457157"/>
            </w:tcBorders>
          </w:tcPr>
          <w:p>
            <w:pPr>
              <w:spacing w:after="0"/>
              <w:rPr>
                <w:sz w:val="19"/>
                <w:szCs w:val="19"/>
                <w:color w:val="auto"/>
              </w:rPr>
            </w:pPr>
          </w:p>
        </w:tc>
        <w:tc>
          <w:tcPr>
            <w:tcW w:w="3860" w:type="dxa"/>
            <w:vAlign w:val="bottom"/>
            <w:tcBorders>
              <w:bottom w:val="single" w:sz="8" w:color="457157"/>
            </w:tcBorders>
          </w:tcPr>
          <w:p>
            <w:pPr>
              <w:spacing w:after="0"/>
              <w:rPr>
                <w:sz w:val="19"/>
                <w:szCs w:val="19"/>
                <w:color w:val="auto"/>
              </w:rPr>
            </w:pPr>
          </w:p>
        </w:tc>
        <w:tc>
          <w:tcPr>
            <w:tcW w:w="60" w:type="dxa"/>
            <w:vAlign w:val="bottom"/>
          </w:tcPr>
          <w:p>
            <w:pPr>
              <w:spacing w:after="0"/>
              <w:rPr>
                <w:sz w:val="19"/>
                <w:szCs w:val="19"/>
                <w:color w:val="auto"/>
              </w:rPr>
            </w:pPr>
          </w:p>
        </w:tc>
      </w:tr>
      <w:tr>
        <w:trPr>
          <w:trHeight w:val="384"/>
        </w:trPr>
        <w:tc>
          <w:tcPr>
            <w:tcW w:w="5200" w:type="dxa"/>
            <w:vAlign w:val="bottom"/>
          </w:tcPr>
          <w:p>
            <w:pPr>
              <w:spacing w:after="0" w:line="384" w:lineRule="exact"/>
              <w:rPr>
                <w:sz w:val="20"/>
                <w:szCs w:val="20"/>
                <w:color w:val="auto"/>
              </w:rPr>
            </w:pPr>
            <w:r>
              <w:rPr>
                <w:rFonts w:ascii="Arial" w:cs="Arial" w:eastAsia="Arial" w:hAnsi="Arial"/>
                <w:sz w:val="44"/>
                <w:szCs w:val="44"/>
                <w:b w:val="1"/>
                <w:bCs w:val="1"/>
                <w:color w:val="auto"/>
                <w:vertAlign w:val="superscript"/>
              </w:rPr>
              <w:t>​</w:t>
            </w:r>
            <w:r>
              <w:rPr>
                <w:rFonts w:ascii="Arial" w:cs="Arial" w:eastAsia="Arial" w:hAnsi="Arial"/>
                <w:sz w:val="23"/>
                <w:szCs w:val="23"/>
                <w:b w:val="1"/>
                <w:bCs w:val="1"/>
                <w:color w:val="auto"/>
              </w:rPr>
              <w:t>AUDIT COMMITTEE REPORT</w:t>
            </w:r>
          </w:p>
        </w:tc>
        <w:tc>
          <w:tcPr>
            <w:tcW w:w="3920" w:type="dxa"/>
            <w:vAlign w:val="bottom"/>
            <w:gridSpan w:val="2"/>
          </w:tcPr>
          <w:p>
            <w:pPr>
              <w:ind w:left="3820"/>
              <w:spacing w:after="0"/>
              <w:rPr>
                <w:sz w:val="20"/>
                <w:szCs w:val="20"/>
                <w:color w:val="auto"/>
              </w:rPr>
            </w:pPr>
            <w:r>
              <w:rPr>
                <w:rFonts w:ascii="Arial" w:cs="Arial" w:eastAsia="Arial" w:hAnsi="Arial"/>
                <w:sz w:val="25"/>
                <w:szCs w:val="25"/>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-255905</wp:posOffset>
            </wp:positionV>
            <wp:extent cx="5760720" cy="79895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60720" cy="7989570"/>
                    </a:xfrm>
                    <a:prstGeom prst="rect">
                      <a:avLst/>
                    </a:prstGeom>
                    <a:noFill/>
                  </pic:spPr>
                </pic:pic>
              </a:graphicData>
            </a:graphic>
          </wp:anchor>
        </w:drawing>
      </w:r>
    </w:p>
    <w:p>
      <w:pPr>
        <w:jc w:val="both"/>
        <w:ind w:left="840" w:right="40" w:hanging="26"/>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The role of the Audit Committee is, among other things, to oversee the Company’s financial reporting</w:t>
      </w:r>
      <w:r>
        <w:rPr>
          <w:rFonts w:ascii="Arial" w:cs="Arial" w:eastAsia="Arial" w:hAnsi="Arial"/>
          <w:sz w:val="35"/>
          <w:szCs w:val="35"/>
          <w:color w:val="auto"/>
          <w:vertAlign w:val="superscript"/>
        </w:rPr>
        <w:t>​</w:t>
      </w:r>
      <w:r>
        <w:rPr>
          <w:rFonts w:ascii="Arial" w:cs="Arial" w:eastAsia="Arial" w:hAnsi="Arial"/>
          <w:sz w:val="18"/>
          <w:szCs w:val="18"/>
          <w:color w:val="auto"/>
        </w:rPr>
        <w:t xml:space="preserve"> process on behalf of 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accounting principles generally accepted in the United States.</w:t>
      </w:r>
    </w:p>
    <w:p>
      <w:pPr>
        <w:spacing w:after="0" w:line="84" w:lineRule="exact"/>
        <w:rPr>
          <w:sz w:val="20"/>
          <w:szCs w:val="20"/>
          <w:color w:val="auto"/>
        </w:rPr>
      </w:pPr>
    </w:p>
    <w:p>
      <w:pPr>
        <w:jc w:val="both"/>
        <w:ind w:left="840" w:right="40" w:hanging="26"/>
        <w:spacing w:after="0" w:line="216" w:lineRule="auto"/>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The Audit Committee has reviewed and discussed the Company’s audited financial statements as of</w:t>
      </w:r>
      <w:r>
        <w:rPr>
          <w:rFonts w:ascii="Arial" w:cs="Arial" w:eastAsia="Arial" w:hAnsi="Arial"/>
          <w:sz w:val="35"/>
          <w:szCs w:val="35"/>
          <w:color w:val="auto"/>
          <w:vertAlign w:val="superscript"/>
        </w:rPr>
        <w:t>​</w:t>
      </w:r>
      <w:r>
        <w:rPr>
          <w:rFonts w:ascii="Arial" w:cs="Arial" w:eastAsia="Arial" w:hAnsi="Arial"/>
          <w:sz w:val="18"/>
          <w:szCs w:val="18"/>
          <w:color w:val="auto"/>
        </w:rPr>
        <w:t xml:space="preserve"> and for the year ended December 31, 2024 with management and the independent registered public accounting firm, and has taken the following steps in making its recommendation that the Company’s financial statements be included in its Annual Report on Form 10-K.</w:t>
      </w:r>
    </w:p>
    <w:p>
      <w:pPr>
        <w:spacing w:after="0" w:line="19" w:lineRule="exact"/>
        <w:rPr>
          <w:sz w:val="20"/>
          <w:szCs w:val="20"/>
          <w:color w:val="auto"/>
        </w:rPr>
      </w:pPr>
    </w:p>
    <w:p>
      <w:pPr>
        <w:jc w:val="both"/>
        <w:ind w:left="1020" w:right="100" w:hanging="177"/>
        <w:spacing w:after="0" w:line="245" w:lineRule="auto"/>
        <w:tabs>
          <w:tab w:leader="none" w:pos="1020" w:val="left"/>
        </w:tabs>
        <w:numPr>
          <w:ilvl w:val="0"/>
          <w:numId w:val="9"/>
        </w:numPr>
        <w:rPr>
          <w:rFonts w:ascii="Arial" w:cs="Arial" w:eastAsia="Arial" w:hAnsi="Arial"/>
          <w:sz w:val="18"/>
          <w:szCs w:val="18"/>
          <w:color w:val="457157"/>
        </w:rPr>
      </w:pPr>
      <w:r>
        <w:rPr>
          <w:rFonts w:ascii="Arial" w:cs="Arial" w:eastAsia="Arial" w:hAnsi="Arial"/>
          <w:sz w:val="18"/>
          <w:szCs w:val="18"/>
          <w:color w:val="auto"/>
        </w:rPr>
        <w:t>The Audit Committee discussed with Ernst &amp; Young LLP, the Company’s independent registered public accounting firm for fiscal year 2024, those matters required to be discussed by the applicable requirements of the Public Company Accounting Oversight Board (United States) and the SEC, including information regarding the scope and results of the audit. These communications and discussions are intended to assist the Audit Committee in overseeing the financial reporting and disclosure process.</w:t>
      </w:r>
    </w:p>
    <w:p>
      <w:pPr>
        <w:spacing w:after="0" w:line="226" w:lineRule="exact"/>
        <w:rPr>
          <w:rFonts w:ascii="Arial" w:cs="Arial" w:eastAsia="Arial" w:hAnsi="Arial"/>
          <w:sz w:val="18"/>
          <w:szCs w:val="18"/>
          <w:color w:val="457157"/>
        </w:rPr>
      </w:pPr>
    </w:p>
    <w:p>
      <w:pPr>
        <w:ind w:left="1020" w:hanging="177"/>
        <w:spacing w:after="0"/>
        <w:tabs>
          <w:tab w:leader="none" w:pos="1020" w:val="left"/>
        </w:tabs>
        <w:numPr>
          <w:ilvl w:val="0"/>
          <w:numId w:val="9"/>
        </w:numPr>
        <w:rPr>
          <w:rFonts w:ascii="Arial" w:cs="Arial" w:eastAsia="Arial" w:hAnsi="Arial"/>
          <w:sz w:val="18"/>
          <w:szCs w:val="18"/>
          <w:color w:val="457157"/>
        </w:rPr>
      </w:pPr>
      <w:r>
        <w:rPr>
          <w:rFonts w:ascii="Arial" w:cs="Arial" w:eastAsia="Arial" w:hAnsi="Arial"/>
          <w:sz w:val="18"/>
          <w:szCs w:val="18"/>
          <w:color w:val="auto"/>
        </w:rPr>
        <w:t>The Audit Committee discussed with Ernst &amp; Young LLP its independence and received from Ernst</w:t>
      </w:r>
    </w:p>
    <w:p>
      <w:pPr>
        <w:spacing w:after="0" w:line="13" w:lineRule="exact"/>
        <w:rPr>
          <w:rFonts w:ascii="Arial" w:cs="Arial" w:eastAsia="Arial" w:hAnsi="Arial"/>
          <w:sz w:val="18"/>
          <w:szCs w:val="18"/>
          <w:color w:val="457157"/>
        </w:rPr>
      </w:pPr>
    </w:p>
    <w:p>
      <w:pPr>
        <w:jc w:val="both"/>
        <w:ind w:left="1020" w:right="100" w:firstLine="3"/>
        <w:spacing w:after="0" w:line="242" w:lineRule="auto"/>
        <w:tabs>
          <w:tab w:leader="none" w:pos="1279" w:val="left"/>
        </w:tabs>
        <w:numPr>
          <w:ilvl w:val="1"/>
          <w:numId w:val="9"/>
        </w:numPr>
        <w:rPr>
          <w:rFonts w:ascii="Arial" w:cs="Arial" w:eastAsia="Arial" w:hAnsi="Arial"/>
          <w:sz w:val="18"/>
          <w:szCs w:val="18"/>
          <w:color w:val="auto"/>
        </w:rPr>
      </w:pPr>
      <w:r>
        <w:rPr>
          <w:rFonts w:ascii="Arial" w:cs="Arial" w:eastAsia="Arial" w:hAnsi="Arial"/>
          <w:sz w:val="18"/>
          <w:szCs w:val="18"/>
          <w:color w:val="auto"/>
        </w:rPr>
        <w:t>Young LLP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227" w:lineRule="exact"/>
        <w:rPr>
          <w:rFonts w:ascii="Arial" w:cs="Arial" w:eastAsia="Arial" w:hAnsi="Arial"/>
          <w:sz w:val="18"/>
          <w:szCs w:val="18"/>
          <w:color w:val="auto"/>
        </w:rPr>
      </w:pPr>
    </w:p>
    <w:p>
      <w:pPr>
        <w:ind w:left="1020" w:hanging="177"/>
        <w:spacing w:after="0"/>
        <w:tabs>
          <w:tab w:leader="none" w:pos="1020" w:val="left"/>
        </w:tabs>
        <w:numPr>
          <w:ilvl w:val="0"/>
          <w:numId w:val="9"/>
        </w:numPr>
        <w:rPr>
          <w:rFonts w:ascii="Arial" w:cs="Arial" w:eastAsia="Arial" w:hAnsi="Arial"/>
          <w:sz w:val="18"/>
          <w:szCs w:val="18"/>
          <w:color w:val="457157"/>
        </w:rPr>
      </w:pPr>
      <w:r>
        <w:rPr>
          <w:rFonts w:ascii="Arial" w:cs="Arial" w:eastAsia="Arial" w:hAnsi="Arial"/>
          <w:sz w:val="18"/>
          <w:szCs w:val="18"/>
          <w:color w:val="auto"/>
        </w:rPr>
        <w:t>The Audit Committee met periodically with members of management, the internal auditors and Ernst</w:t>
      </w:r>
    </w:p>
    <w:p>
      <w:pPr>
        <w:spacing w:after="0" w:line="13" w:lineRule="exact"/>
        <w:rPr>
          <w:rFonts w:ascii="Arial" w:cs="Arial" w:eastAsia="Arial" w:hAnsi="Arial"/>
          <w:sz w:val="18"/>
          <w:szCs w:val="18"/>
          <w:color w:val="457157"/>
        </w:rPr>
      </w:pPr>
    </w:p>
    <w:p>
      <w:pPr>
        <w:jc w:val="both"/>
        <w:ind w:left="1020" w:right="100" w:firstLine="3"/>
        <w:spacing w:after="0" w:line="245" w:lineRule="auto"/>
        <w:tabs>
          <w:tab w:leader="none" w:pos="1242" w:val="left"/>
        </w:tabs>
        <w:numPr>
          <w:ilvl w:val="1"/>
          <w:numId w:val="9"/>
        </w:numPr>
        <w:rPr>
          <w:rFonts w:ascii="Arial" w:cs="Arial" w:eastAsia="Arial" w:hAnsi="Arial"/>
          <w:sz w:val="18"/>
          <w:szCs w:val="18"/>
          <w:color w:val="auto"/>
        </w:rPr>
      </w:pPr>
      <w:r>
        <w:rPr>
          <w:rFonts w:ascii="Arial" w:cs="Arial" w:eastAsia="Arial" w:hAnsi="Arial"/>
          <w:sz w:val="18"/>
          <w:szCs w:val="18"/>
          <w:color w:val="auto"/>
        </w:rPr>
        <w:t>Young LLP to review and discuss internal controls over financial reporting. Further, the Audit Committee reviewed and discussed management’s report on internal control over financial reporting as of December 31, 2024, as well as Ernst &amp; Young LLP’s report regarding the effectiveness of internal control over financial reporting.</w:t>
      </w:r>
    </w:p>
    <w:p>
      <w:pPr>
        <w:spacing w:after="0" w:line="14" w:lineRule="exact"/>
        <w:rPr>
          <w:rFonts w:ascii="Arial" w:cs="Arial" w:eastAsia="Arial" w:hAnsi="Arial"/>
          <w:sz w:val="18"/>
          <w:szCs w:val="18"/>
          <w:color w:val="auto"/>
        </w:rPr>
      </w:pPr>
    </w:p>
    <w:p>
      <w:pPr>
        <w:jc w:val="both"/>
        <w:ind w:left="1020" w:right="100" w:hanging="177"/>
        <w:spacing w:after="0" w:line="244" w:lineRule="auto"/>
        <w:tabs>
          <w:tab w:leader="none" w:pos="1020" w:val="left"/>
        </w:tabs>
        <w:numPr>
          <w:ilvl w:val="0"/>
          <w:numId w:val="9"/>
        </w:numPr>
        <w:rPr>
          <w:rFonts w:ascii="Arial" w:cs="Arial" w:eastAsia="Arial" w:hAnsi="Arial"/>
          <w:sz w:val="18"/>
          <w:szCs w:val="18"/>
          <w:color w:val="457157"/>
        </w:rPr>
      </w:pPr>
      <w:r>
        <w:rPr>
          <w:rFonts w:ascii="Arial" w:cs="Arial" w:eastAsia="Arial" w:hAnsi="Arial"/>
          <w:sz w:val="18"/>
          <w:szCs w:val="18"/>
          <w:color w:val="auto"/>
        </w:rPr>
        <w:t>The Audit Committee reviewed and discussed, with the Company’s management and Ernst &amp; Young LLP, the Company’s audited consolidated balance sheet as of December 31, 2024, and consolidated statements of operations, comprehensive income, cash flows and changes in equity for the fiscal year ended December 31, 2024, including the quality, not just the acceptability, of the accounting principles, the reasonableness of significant judgments and the clarity of the disclosure.</w:t>
      </w:r>
    </w:p>
    <w:p>
      <w:pPr>
        <w:spacing w:after="0" w:line="27" w:lineRule="exact"/>
        <w:rPr>
          <w:rFonts w:ascii="Arial" w:cs="Arial" w:eastAsia="Arial" w:hAnsi="Arial"/>
          <w:sz w:val="18"/>
          <w:szCs w:val="18"/>
          <w:color w:val="457157"/>
        </w:rPr>
      </w:pPr>
    </w:p>
    <w:p>
      <w:pPr>
        <w:jc w:val="both"/>
        <w:ind w:left="1020" w:right="100" w:hanging="177"/>
        <w:spacing w:after="0" w:line="244" w:lineRule="auto"/>
        <w:tabs>
          <w:tab w:leader="none" w:pos="1020" w:val="left"/>
        </w:tabs>
        <w:numPr>
          <w:ilvl w:val="0"/>
          <w:numId w:val="9"/>
        </w:numPr>
        <w:rPr>
          <w:rFonts w:ascii="Arial" w:cs="Arial" w:eastAsia="Arial" w:hAnsi="Arial"/>
          <w:sz w:val="18"/>
          <w:szCs w:val="18"/>
          <w:color w:val="457157"/>
        </w:rPr>
      </w:pPr>
      <w:r>
        <w:rPr>
          <w:rFonts w:ascii="Arial" w:cs="Arial" w:eastAsia="Arial" w:hAnsi="Arial"/>
          <w:sz w:val="18"/>
          <w:szCs w:val="18"/>
          <w:color w:val="auto"/>
        </w:rPr>
        <w:t>The Audit Committee discussed with the Company’s internal auditors and independent registered public accounting firm the overall scope and plans of their respective audits. The Audit Committee meets periodically with both the internal auditors and independent registered public accounting firm, with and without management present, to discuss the results of their examinations and their evaluations of the Company’s internal controls over financial reporting.</w:t>
      </w:r>
    </w:p>
    <w:p>
      <w:pPr>
        <w:spacing w:after="0" w:line="27" w:lineRule="exact"/>
        <w:rPr>
          <w:rFonts w:ascii="Arial" w:cs="Arial" w:eastAsia="Arial" w:hAnsi="Arial"/>
          <w:sz w:val="18"/>
          <w:szCs w:val="18"/>
          <w:color w:val="457157"/>
        </w:rPr>
      </w:pPr>
    </w:p>
    <w:p>
      <w:pPr>
        <w:jc w:val="both"/>
        <w:ind w:left="1020" w:right="100" w:hanging="177"/>
        <w:spacing w:after="0" w:line="244" w:lineRule="auto"/>
        <w:tabs>
          <w:tab w:leader="none" w:pos="1020" w:val="left"/>
        </w:tabs>
        <w:numPr>
          <w:ilvl w:val="0"/>
          <w:numId w:val="9"/>
        </w:numPr>
        <w:rPr>
          <w:rFonts w:ascii="Arial" w:cs="Arial" w:eastAsia="Arial" w:hAnsi="Arial"/>
          <w:sz w:val="18"/>
          <w:szCs w:val="18"/>
          <w:color w:val="457157"/>
        </w:rPr>
      </w:pPr>
      <w:r>
        <w:rPr>
          <w:rFonts w:ascii="Arial" w:cs="Arial" w:eastAsia="Arial" w:hAnsi="Arial"/>
          <w:sz w:val="18"/>
          <w:szCs w:val="18"/>
          <w:color w:val="auto"/>
        </w:rPr>
        <w:t>The members of the Audit Committee are not engaged in the accounting or auditing profession and, consequently, are not experts in matters involving auditing or accounting. In the performance of their oversight function, the members of the Audit Committee necessarily relied upon the information, opinions, reports and statements presented to them by Company management and by the independent registered public accounting firm.</w:t>
      </w:r>
    </w:p>
    <w:p>
      <w:pPr>
        <w:spacing w:after="0" w:line="27" w:lineRule="exact"/>
        <w:rPr>
          <w:rFonts w:ascii="Arial" w:cs="Arial" w:eastAsia="Arial" w:hAnsi="Arial"/>
          <w:sz w:val="18"/>
          <w:szCs w:val="18"/>
          <w:color w:val="457157"/>
        </w:rPr>
      </w:pPr>
    </w:p>
    <w:p>
      <w:pPr>
        <w:jc w:val="both"/>
        <w:ind w:left="1020" w:right="100" w:hanging="177"/>
        <w:spacing w:after="0" w:line="244" w:lineRule="auto"/>
        <w:tabs>
          <w:tab w:leader="none" w:pos="1020" w:val="left"/>
        </w:tabs>
        <w:numPr>
          <w:ilvl w:val="0"/>
          <w:numId w:val="9"/>
        </w:numPr>
        <w:rPr>
          <w:rFonts w:ascii="Arial" w:cs="Arial" w:eastAsia="Arial" w:hAnsi="Arial"/>
          <w:sz w:val="18"/>
          <w:szCs w:val="18"/>
          <w:color w:val="457157"/>
        </w:rPr>
      </w:pPr>
      <w:r>
        <w:rPr>
          <w:rFonts w:ascii="Arial" w:cs="Arial" w:eastAsia="Arial" w:hAnsi="Arial"/>
          <w:sz w:val="18"/>
          <w:szCs w:val="18"/>
          <w:color w:val="auto"/>
        </w:rPr>
        <w:t>Based on the reviews and discussions explained above (and without other independent verification), the Audit Committee recommended to the Board (and the Board approved) that the Company’s financial statements be included in its Annual Report on Form 10-K for its fiscal year ended December 31, 2024. The Audit Committee has also approved the selection of Ernst &amp; Young LLP as the Company’s independent registered public accounting firm for fiscal year 2025.</w:t>
      </w:r>
    </w:p>
    <w:p>
      <w:pPr>
        <w:spacing w:after="0" w:line="14"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The Audit Committee of the Board of Directors</w:t>
      </w:r>
    </w:p>
    <w:p>
      <w:pPr>
        <w:spacing w:after="0" w:line="5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William B. Plummer, </w:t>
      </w:r>
      <w:r>
        <w:rPr>
          <w:rFonts w:ascii="Arial" w:cs="Arial" w:eastAsia="Arial" w:hAnsi="Arial"/>
          <w:sz w:val="18"/>
          <w:szCs w:val="18"/>
          <w:i w:val="1"/>
          <w:iCs w:val="1"/>
          <w:color w:val="auto"/>
        </w:rPr>
        <w:t>Chair</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Bruce E. Chinn</w:t>
      </w:r>
    </w:p>
    <w:p>
      <w:pPr>
        <w:ind w:left="840"/>
        <w:spacing w:after="0" w:line="234" w:lineRule="auto"/>
        <w:rPr>
          <w:sz w:val="20"/>
          <w:szCs w:val="20"/>
          <w:color w:val="auto"/>
        </w:rPr>
      </w:pPr>
      <w:r>
        <w:rPr>
          <w:rFonts w:ascii="Arial" w:cs="Arial" w:eastAsia="Arial" w:hAnsi="Arial"/>
          <w:sz w:val="18"/>
          <w:szCs w:val="18"/>
          <w:color w:val="auto"/>
        </w:rPr>
        <w:t>Andrés R. Gluski</w:t>
      </w:r>
    </w:p>
    <w:p>
      <w:pPr>
        <w:ind w:left="840"/>
        <w:spacing w:after="0" w:line="235" w:lineRule="auto"/>
        <w:rPr>
          <w:sz w:val="20"/>
          <w:szCs w:val="20"/>
          <w:color w:val="auto"/>
        </w:rPr>
      </w:pPr>
      <w:r>
        <w:rPr>
          <w:rFonts w:ascii="Arial" w:cs="Arial" w:eastAsia="Arial" w:hAnsi="Arial"/>
          <w:sz w:val="18"/>
          <w:szCs w:val="18"/>
          <w:color w:val="auto"/>
        </w:rPr>
        <w:t>Victoria M. Holt</w:t>
      </w:r>
    </w:p>
    <w:p>
      <w:pPr>
        <w:ind w:left="840"/>
        <w:spacing w:after="0" w:line="235" w:lineRule="auto"/>
        <w:rPr>
          <w:sz w:val="20"/>
          <w:szCs w:val="20"/>
          <w:color w:val="auto"/>
        </w:rPr>
      </w:pPr>
      <w:r>
        <w:rPr>
          <w:rFonts w:ascii="Arial" w:cs="Arial" w:eastAsia="Arial" w:hAnsi="Arial"/>
          <w:sz w:val="18"/>
          <w:szCs w:val="18"/>
          <w:color w:val="auto"/>
        </w:rPr>
        <w:t>Kathleen M. Mazzarella</w:t>
      </w:r>
    </w:p>
    <w:p>
      <w:pPr>
        <w:ind w:left="840"/>
        <w:spacing w:after="0"/>
        <w:rPr>
          <w:sz w:val="20"/>
          <w:szCs w:val="20"/>
          <w:color w:val="auto"/>
        </w:rPr>
      </w:pPr>
      <w:r>
        <w:rPr>
          <w:rFonts w:ascii="Arial" w:cs="Arial" w:eastAsia="Arial" w:hAnsi="Arial"/>
          <w:sz w:val="18"/>
          <w:szCs w:val="18"/>
          <w:color w:val="auto"/>
        </w:rPr>
        <w:t>Sean E. Menke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40640</wp:posOffset>
            </wp:positionV>
            <wp:extent cx="57607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right"/>
        <w:spacing w:after="0"/>
        <w:tabs>
          <w:tab w:leader="none" w:pos="42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4091940</wp:posOffset>
            </wp:positionH>
            <wp:positionV relativeFrom="paragraph">
              <wp:posOffset>-153670</wp:posOffset>
            </wp:positionV>
            <wp:extent cx="471805" cy="1289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2820" w:type="dxa"/>
            <w:vAlign w:val="bottom"/>
            <w:shd w:val="clear" w:color="auto" w:fill="457157"/>
          </w:tcPr>
          <w:p>
            <w:pPr>
              <w:spacing w:after="0"/>
              <w:rPr>
                <w:sz w:val="20"/>
                <w:szCs w:val="20"/>
                <w:color w:val="auto"/>
              </w:rPr>
            </w:pPr>
            <w:r>
              <w:rPr>
                <w:rFonts w:ascii="Arial" w:cs="Arial" w:eastAsia="Arial" w:hAnsi="Arial"/>
                <w:sz w:val="20"/>
                <w:szCs w:val="20"/>
                <w:b w:val="1"/>
                <w:bCs w:val="1"/>
                <w:color w:val="auto"/>
              </w:rPr>
              <w:t>BOARD OF DIRECTORS</w:t>
            </w:r>
            <w:r>
              <w:rPr>
                <w:rFonts w:ascii="Arial" w:cs="Arial" w:eastAsia="Arial" w:hAnsi="Arial"/>
                <w:sz w:val="17"/>
                <w:szCs w:val="17"/>
                <w:color w:val="auto"/>
              </w:rPr>
              <w:t>​</w:t>
            </w:r>
          </w:p>
        </w:tc>
        <w:tc>
          <w:tcPr>
            <w:tcW w:w="6200" w:type="dxa"/>
            <w:vAlign w:val="bottom"/>
            <w:shd w:val="clear" w:color="auto" w:fill="457157"/>
          </w:tcPr>
          <w:p>
            <w:pPr>
              <w:spacing w:after="0"/>
              <w:rPr>
                <w:sz w:val="19"/>
                <w:szCs w:val="19"/>
                <w:color w:val="auto"/>
              </w:rPr>
            </w:pPr>
          </w:p>
        </w:tc>
        <w:tc>
          <w:tcPr>
            <w:tcW w:w="40" w:type="dxa"/>
            <w:vAlign w:val="bottom"/>
            <w:shd w:val="clear" w:color="auto" w:fill="457157"/>
          </w:tcPr>
          <w:p>
            <w:pPr>
              <w:spacing w:after="0"/>
              <w:rPr>
                <w:sz w:val="19"/>
                <w:szCs w:val="19"/>
                <w:color w:val="auto"/>
              </w:rPr>
            </w:pPr>
          </w:p>
        </w:tc>
        <w:tc>
          <w:tcPr>
            <w:tcW w:w="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6"/>
                <w:szCs w:val="16"/>
                <w:b w:val="1"/>
                <w:bCs w:val="1"/>
                <w:color w:val="auto"/>
              </w:rPr>
              <w:t>​</w:t>
            </w:r>
          </w:p>
        </w:tc>
        <w:tc>
          <w:tcPr>
            <w:tcW w:w="6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2820" w:type="dxa"/>
            <w:vAlign w:val="bottom"/>
            <w:tcBorders>
              <w:bottom w:val="single" w:sz="8" w:color="457157"/>
            </w:tcBorders>
          </w:tcPr>
          <w:p>
            <w:pPr>
              <w:spacing w:after="0"/>
              <w:rPr>
                <w:sz w:val="22"/>
                <w:szCs w:val="22"/>
                <w:color w:val="auto"/>
              </w:rPr>
            </w:pPr>
          </w:p>
        </w:tc>
        <w:tc>
          <w:tcPr>
            <w:tcW w:w="6200" w:type="dxa"/>
            <w:vAlign w:val="bottom"/>
            <w:tcBorders>
              <w:bottom w:val="single" w:sz="8" w:color="457157"/>
            </w:tcBorders>
          </w:tcPr>
          <w:p>
            <w:pPr>
              <w:spacing w:after="0"/>
              <w:rPr>
                <w:sz w:val="22"/>
                <w:szCs w:val="22"/>
                <w:color w:val="auto"/>
              </w:rPr>
            </w:pPr>
          </w:p>
        </w:tc>
        <w:tc>
          <w:tcPr>
            <w:tcW w:w="40" w:type="dxa"/>
            <w:vAlign w:val="bottom"/>
            <w:tcBorders>
              <w:bottom w:val="single" w:sz="8" w:color="457157"/>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820" w:type="dxa"/>
            <w:vAlign w:val="bottom"/>
            <w:shd w:val="clear" w:color="auto" w:fill="ECF1EE"/>
          </w:tcPr>
          <w:p>
            <w:pPr>
              <w:spacing w:after="0" w:line="156" w:lineRule="exact"/>
              <w:rPr>
                <w:sz w:val="20"/>
                <w:szCs w:val="20"/>
                <w:color w:val="auto"/>
              </w:rPr>
            </w:pPr>
            <w:r>
              <w:rPr>
                <w:rFonts w:ascii="Arial" w:cs="Arial" w:eastAsia="Arial" w:hAnsi="Arial"/>
                <w:sz w:val="18"/>
                <w:szCs w:val="18"/>
                <w:b w:val="1"/>
                <w:bCs w:val="1"/>
                <w:color w:val="auto"/>
              </w:rPr>
              <w:t>​</w:t>
            </w:r>
          </w:p>
        </w:tc>
        <w:tc>
          <w:tcPr>
            <w:tcW w:w="6200" w:type="dxa"/>
            <w:vAlign w:val="bottom"/>
            <w:shd w:val="clear" w:color="auto" w:fill="ECF1EE"/>
          </w:tcPr>
          <w:p>
            <w:pPr>
              <w:spacing w:after="0"/>
              <w:rPr>
                <w:sz w:val="13"/>
                <w:szCs w:val="13"/>
                <w:color w:val="auto"/>
              </w:rPr>
            </w:pPr>
          </w:p>
        </w:tc>
        <w:tc>
          <w:tcPr>
            <w:tcW w:w="40" w:type="dxa"/>
            <w:vAlign w:val="bottom"/>
            <w:shd w:val="clear" w:color="auto" w:fill="ECF1EE"/>
          </w:tcPr>
          <w:p>
            <w:pPr>
              <w:spacing w:after="0" w:line="156" w:lineRule="exact"/>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9020" w:type="dxa"/>
            <w:vAlign w:val="bottom"/>
            <w:gridSpan w:val="2"/>
            <w:shd w:val="clear" w:color="auto" w:fill="ECF1EE"/>
          </w:tcPr>
          <w:p>
            <w:pPr>
              <w:ind w:left="20"/>
              <w:spacing w:after="0" w:line="259" w:lineRule="exact"/>
              <w:rPr>
                <w:sz w:val="20"/>
                <w:szCs w:val="20"/>
                <w:color w:val="auto"/>
              </w:rPr>
            </w:pPr>
            <w:r>
              <w:rPr>
                <w:rFonts w:ascii="Arial" w:cs="Arial" w:eastAsia="Arial" w:hAnsi="Arial"/>
                <w:sz w:val="25"/>
                <w:szCs w:val="25"/>
                <w:b w:val="1"/>
                <w:bCs w:val="1"/>
                <w:color w:val="auto"/>
              </w:rPr>
              <w:t>THE MANAGEMENT DEVELOPMENT AND COMPENSATION</w:t>
            </w:r>
          </w:p>
        </w:tc>
        <w:tc>
          <w:tcPr>
            <w:tcW w:w="40" w:type="dxa"/>
            <w:vAlign w:val="bottom"/>
            <w:shd w:val="clear" w:color="auto" w:fill="ECF1EE"/>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8"/>
        </w:trPr>
        <w:tc>
          <w:tcPr>
            <w:tcW w:w="2820" w:type="dxa"/>
            <w:vAlign w:val="bottom"/>
            <w:shd w:val="clear" w:color="auto" w:fill="ECF1EE"/>
          </w:tcPr>
          <w:p>
            <w:pPr>
              <w:ind w:left="20"/>
              <w:spacing w:after="0"/>
              <w:rPr>
                <w:sz w:val="20"/>
                <w:szCs w:val="20"/>
                <w:color w:val="auto"/>
              </w:rPr>
            </w:pPr>
            <w:r>
              <w:rPr>
                <w:rFonts w:ascii="Arial" w:cs="Arial" w:eastAsia="Arial" w:hAnsi="Arial"/>
                <w:sz w:val="25"/>
                <w:szCs w:val="25"/>
                <w:b w:val="1"/>
                <w:bCs w:val="1"/>
                <w:color w:val="auto"/>
              </w:rPr>
              <w:t>COMMITTEE</w:t>
            </w:r>
            <w:r>
              <w:rPr>
                <w:rFonts w:ascii="Arial" w:cs="Arial" w:eastAsia="Arial" w:hAnsi="Arial"/>
                <w:sz w:val="17"/>
                <w:szCs w:val="17"/>
                <w:color w:val="auto"/>
              </w:rPr>
              <w:t>​</w:t>
            </w:r>
          </w:p>
        </w:tc>
        <w:tc>
          <w:tcPr>
            <w:tcW w:w="6200" w:type="dxa"/>
            <w:vAlign w:val="bottom"/>
            <w:shd w:val="clear" w:color="auto" w:fill="ECF1EE"/>
          </w:tcPr>
          <w:p>
            <w:pPr>
              <w:spacing w:after="0"/>
              <w:rPr>
                <w:sz w:val="24"/>
                <w:szCs w:val="24"/>
                <w:color w:val="auto"/>
              </w:rPr>
            </w:pPr>
          </w:p>
        </w:tc>
        <w:tc>
          <w:tcPr>
            <w:tcW w:w="40" w:type="dxa"/>
            <w:vAlign w:val="bottom"/>
            <w:shd w:val="clear" w:color="auto" w:fill="ECF1E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820" w:type="dxa"/>
            <w:vAlign w:val="bottom"/>
            <w:shd w:val="clear" w:color="auto" w:fill="ECF1EE"/>
          </w:tcPr>
          <w:p>
            <w:pPr>
              <w:ind w:left="80"/>
              <w:spacing w:after="0"/>
              <w:rPr>
                <w:sz w:val="20"/>
                <w:szCs w:val="20"/>
                <w:color w:val="auto"/>
              </w:rPr>
            </w:pPr>
            <w:r>
              <w:rPr>
                <w:rFonts w:ascii="Arial" w:cs="Arial" w:eastAsia="Arial" w:hAnsi="Arial"/>
                <w:sz w:val="18"/>
                <w:szCs w:val="18"/>
                <w:b w:val="1"/>
                <w:bCs w:val="1"/>
                <w:color w:val="auto"/>
              </w:rPr>
              <w:t>Members:</w:t>
            </w:r>
          </w:p>
        </w:tc>
        <w:tc>
          <w:tcPr>
            <w:tcW w:w="6200" w:type="dxa"/>
            <w:vAlign w:val="bottom"/>
            <w:shd w:val="clear" w:color="auto" w:fill="ECF1EE"/>
          </w:tcPr>
          <w:p>
            <w:pPr>
              <w:ind w:left="2340"/>
              <w:spacing w:after="0"/>
              <w:rPr>
                <w:sz w:val="20"/>
                <w:szCs w:val="20"/>
                <w:color w:val="auto"/>
              </w:rPr>
            </w:pPr>
            <w:r>
              <w:rPr>
                <w:rFonts w:ascii="Arial" w:cs="Arial" w:eastAsia="Arial" w:hAnsi="Arial"/>
                <w:sz w:val="18"/>
                <w:szCs w:val="18"/>
                <w:b w:val="1"/>
                <w:bCs w:val="1"/>
                <w:color w:val="auto"/>
              </w:rPr>
              <w:t>Number of Meetings Held in 2024: 6</w:t>
            </w:r>
          </w:p>
        </w:tc>
        <w:tc>
          <w:tcPr>
            <w:tcW w:w="40" w:type="dxa"/>
            <w:vAlign w:val="bottom"/>
            <w:shd w:val="clear" w:color="auto" w:fill="ECF1E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820" w:type="dxa"/>
            <w:vAlign w:val="bottom"/>
          </w:tcPr>
          <w:p>
            <w:pPr>
              <w:spacing w:after="0"/>
              <w:rPr>
                <w:sz w:val="20"/>
                <w:szCs w:val="20"/>
                <w:color w:val="auto"/>
              </w:rPr>
            </w:pPr>
            <w:r>
              <w:rPr>
                <w:rFonts w:ascii="Arial" w:cs="Arial" w:eastAsia="Arial" w:hAnsi="Arial"/>
                <w:sz w:val="18"/>
                <w:szCs w:val="18"/>
                <w:b w:val="1"/>
                <w:bCs w:val="1"/>
                <w:color w:val="auto"/>
              </w:rPr>
              <w:t xml:space="preserve">​ Andrés R. Gluski, </w:t>
            </w:r>
            <w:r>
              <w:rPr>
                <w:rFonts w:ascii="Arial" w:cs="Arial" w:eastAsia="Arial" w:hAnsi="Arial"/>
                <w:sz w:val="18"/>
                <w:szCs w:val="18"/>
                <w:b w:val="1"/>
                <w:bCs w:val="1"/>
                <w:i w:val="1"/>
                <w:iCs w:val="1"/>
                <w:color w:val="auto"/>
              </w:rPr>
              <w:t>Chair</w:t>
            </w:r>
          </w:p>
        </w:tc>
        <w:tc>
          <w:tcPr>
            <w:tcW w:w="6200" w:type="dxa"/>
            <w:vAlign w:val="bottom"/>
          </w:tcPr>
          <w:p>
            <w:pPr>
              <w:ind w:left="360"/>
              <w:spacing w:after="0"/>
              <w:rPr>
                <w:sz w:val="20"/>
                <w:szCs w:val="20"/>
                <w:color w:val="auto"/>
              </w:rPr>
            </w:pPr>
            <w:r>
              <w:rPr>
                <w:rFonts w:ascii="Arial" w:cs="Arial" w:eastAsia="Arial" w:hAnsi="Arial"/>
                <w:sz w:val="18"/>
                <w:szCs w:val="18"/>
                <w:b w:val="1"/>
                <w:bCs w:val="1"/>
                <w:color w:val="auto"/>
              </w:rPr>
              <w:t>​ ​ William B. Plummer</w:t>
            </w: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Thomas L. Bené</w:t>
            </w:r>
          </w:p>
        </w:tc>
        <w:tc>
          <w:tcPr>
            <w:tcW w:w="6200" w:type="dxa"/>
            <w:vAlign w:val="bottom"/>
          </w:tcPr>
          <w:p>
            <w:pPr>
              <w:ind w:left="580"/>
              <w:spacing w:after="0" w:line="202" w:lineRule="exact"/>
              <w:rPr>
                <w:sz w:val="20"/>
                <w:szCs w:val="20"/>
                <w:color w:val="auto"/>
              </w:rPr>
            </w:pPr>
            <w:r>
              <w:rPr>
                <w:rFonts w:ascii="Arial" w:cs="Arial" w:eastAsia="Arial" w:hAnsi="Arial"/>
                <w:sz w:val="18"/>
                <w:szCs w:val="18"/>
                <w:b w:val="1"/>
                <w:bCs w:val="1"/>
                <w:color w:val="auto"/>
              </w:rPr>
              <w:t>Maryrose T. Sylvester</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100"/>
              <w:spacing w:after="0" w:line="202" w:lineRule="exact"/>
              <w:rPr>
                <w:sz w:val="20"/>
                <w:szCs w:val="20"/>
                <w:color w:val="auto"/>
              </w:rPr>
            </w:pPr>
            <w:r>
              <w:rPr>
                <w:rFonts w:ascii="Arial" w:cs="Arial" w:eastAsia="Arial" w:hAnsi="Arial"/>
                <w:sz w:val="18"/>
                <w:szCs w:val="18"/>
                <w:b w:val="1"/>
                <w:bCs w:val="1"/>
                <w:color w:val="auto"/>
              </w:rPr>
              <w:t>Kathleen M. Mazzarella</w:t>
            </w:r>
          </w:p>
        </w:tc>
        <w:tc>
          <w:tcPr>
            <w:tcW w:w="6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9060" w:type="dxa"/>
            <w:vAlign w:val="bottom"/>
            <w:gridSpan w:val="3"/>
          </w:tcPr>
          <w:p>
            <w:pPr>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Mr. Gluski has served as the Chair of our MD&amp;C Committee since May 2021. Each member of our</w:t>
            </w:r>
            <w:r>
              <w:rPr>
                <w:rFonts w:ascii="Arial" w:cs="Arial" w:eastAsia="Arial" w:hAnsi="Arial"/>
                <w:sz w:val="31"/>
                <w:szCs w:val="31"/>
                <w:color w:val="auto"/>
                <w:vertAlign w:val="superscript"/>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90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MD&amp;C Committee is independent in accordance with the rules and regulations of the New York Stock</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8"/>
                <w:szCs w:val="18"/>
                <w:color w:val="auto"/>
              </w:rPr>
              <w:t>Exchange.</w:t>
            </w:r>
          </w:p>
        </w:tc>
        <w:tc>
          <w:tcPr>
            <w:tcW w:w="6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3"/>
        </w:trPr>
        <w:tc>
          <w:tcPr>
            <w:tcW w:w="2820" w:type="dxa"/>
            <w:vAlign w:val="bottom"/>
          </w:tcPr>
          <w:p>
            <w:pPr>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color w:val="auto"/>
              </w:rPr>
              <w:t>Key Functions</w:t>
            </w:r>
          </w:p>
        </w:tc>
        <w:tc>
          <w:tcPr>
            <w:tcW w:w="6200" w:type="dxa"/>
            <w:vAlign w:val="bottom"/>
          </w:tcPr>
          <w:p>
            <w:pPr>
              <w:spacing w:after="0"/>
              <w:rPr>
                <w:sz w:val="24"/>
                <w:szCs w:val="24"/>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-1828800</wp:posOffset>
            </wp:positionV>
            <wp:extent cx="5760720" cy="75780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60720" cy="7578090"/>
                    </a:xfrm>
                    <a:prstGeom prst="rect">
                      <a:avLst/>
                    </a:prstGeom>
                    <a:noFill/>
                  </pic:spPr>
                </pic:pic>
              </a:graphicData>
            </a:graphic>
          </wp:anchor>
        </w:drawing>
      </w:r>
    </w:p>
    <w:p>
      <w:pPr>
        <w:spacing w:after="0" w:line="10" w:lineRule="exact"/>
        <w:rPr>
          <w:sz w:val="20"/>
          <w:szCs w:val="20"/>
          <w:color w:val="auto"/>
        </w:rPr>
      </w:pPr>
    </w:p>
    <w:p>
      <w:pPr>
        <w:jc w:val="both"/>
        <w:ind w:left="840" w:right="100"/>
        <w:spacing w:after="0" w:line="246" w:lineRule="auto"/>
        <w:rPr>
          <w:sz w:val="20"/>
          <w:szCs w:val="20"/>
          <w:color w:val="auto"/>
        </w:rPr>
      </w:pPr>
      <w:r>
        <w:rPr>
          <w:rFonts w:ascii="Arial" w:cs="Arial" w:eastAsia="Arial" w:hAnsi="Arial"/>
          <w:sz w:val="18"/>
          <w:szCs w:val="18"/>
          <w:color w:val="auto"/>
        </w:rPr>
        <w:t>Our MD&amp;C Committee is responsible for overseeing our executive officer compensation, as well as developing the Company’s compensation philosophy generally. The MD&amp;C Committee’s written charter, which was approved by the Board of Directors, can be found by accessing the “Sustainability</w:t>
      </w:r>
    </w:p>
    <w:p>
      <w:pPr>
        <w:spacing w:after="0" w:line="3" w:lineRule="exact"/>
        <w:rPr>
          <w:sz w:val="20"/>
          <w:szCs w:val="20"/>
          <w:color w:val="auto"/>
        </w:rPr>
      </w:pPr>
    </w:p>
    <w:p>
      <w:pPr>
        <w:ind w:left="840" w:right="120" w:firstLine="3"/>
        <w:spacing w:after="0" w:line="250" w:lineRule="auto"/>
        <w:tabs>
          <w:tab w:leader="none" w:pos="1081"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Governance — Corporate Governance” section of investors.wm.com. In fulfilling its duties, the MD&amp;C Committee has the following responsibilities:</w:t>
      </w:r>
    </w:p>
    <w:p>
      <w:pPr>
        <w:spacing w:after="0" w:line="77" w:lineRule="exact"/>
        <w:rPr>
          <w:sz w:val="20"/>
          <w:szCs w:val="20"/>
          <w:color w:val="auto"/>
        </w:rPr>
      </w:pPr>
    </w:p>
    <w:p>
      <w:pPr>
        <w:ind w:left="1020" w:hanging="177"/>
        <w:spacing w:after="0"/>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Review and establish policies governing the compensation and benefits of our executive officers;</w:t>
      </w:r>
    </w:p>
    <w:p>
      <w:pPr>
        <w:spacing w:after="0" w:line="117" w:lineRule="exact"/>
        <w:rPr>
          <w:rFonts w:ascii="Arial" w:cs="Arial" w:eastAsia="Arial" w:hAnsi="Arial"/>
          <w:sz w:val="18"/>
          <w:szCs w:val="18"/>
          <w:color w:val="457157"/>
        </w:rPr>
      </w:pPr>
    </w:p>
    <w:p>
      <w:pPr>
        <w:ind w:left="1020" w:right="680" w:hanging="177"/>
        <w:spacing w:after="0"/>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Approve the compensation of our executive officers and set the incentive plan goals for those individuals;</w:t>
      </w:r>
    </w:p>
    <w:p>
      <w:pPr>
        <w:spacing w:after="0" w:line="72" w:lineRule="exact"/>
        <w:rPr>
          <w:rFonts w:ascii="Arial" w:cs="Arial" w:eastAsia="Arial" w:hAnsi="Arial"/>
          <w:sz w:val="18"/>
          <w:szCs w:val="18"/>
          <w:color w:val="457157"/>
        </w:rPr>
      </w:pPr>
    </w:p>
    <w:p>
      <w:pPr>
        <w:ind w:left="1020" w:right="400" w:hanging="177"/>
        <w:spacing w:after="0" w:line="256" w:lineRule="auto"/>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Conduct an annual evaluation of our Chief Executive Officer by all independent directors and set his compensation;</w:t>
      </w:r>
    </w:p>
    <w:p>
      <w:pPr>
        <w:spacing w:after="0" w:line="57" w:lineRule="exact"/>
        <w:rPr>
          <w:rFonts w:ascii="Arial" w:cs="Arial" w:eastAsia="Arial" w:hAnsi="Arial"/>
          <w:sz w:val="18"/>
          <w:szCs w:val="18"/>
          <w:color w:val="457157"/>
        </w:rPr>
      </w:pPr>
    </w:p>
    <w:p>
      <w:pPr>
        <w:ind w:left="1020" w:hanging="177"/>
        <w:spacing w:after="0"/>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Oversee the administration of our equity-based incentive plans;</w:t>
      </w:r>
    </w:p>
    <w:p>
      <w:pPr>
        <w:spacing w:after="0" w:line="117" w:lineRule="exact"/>
        <w:rPr>
          <w:rFonts w:ascii="Arial" w:cs="Arial" w:eastAsia="Arial" w:hAnsi="Arial"/>
          <w:sz w:val="18"/>
          <w:szCs w:val="18"/>
          <w:color w:val="457157"/>
        </w:rPr>
      </w:pPr>
    </w:p>
    <w:p>
      <w:pPr>
        <w:ind w:left="1020" w:right="100" w:hanging="177"/>
        <w:spacing w:after="0" w:line="287" w:lineRule="auto"/>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Review the results of the stockholder advisory vote on executive compensation and consider any implications of such voting results on the Company’s compensation programs;</w:t>
      </w:r>
    </w:p>
    <w:p>
      <w:pPr>
        <w:spacing w:after="0" w:line="44" w:lineRule="exact"/>
        <w:rPr>
          <w:rFonts w:ascii="Arial" w:cs="Arial" w:eastAsia="Arial" w:hAnsi="Arial"/>
          <w:sz w:val="18"/>
          <w:szCs w:val="18"/>
          <w:color w:val="457157"/>
        </w:rPr>
      </w:pPr>
    </w:p>
    <w:p>
      <w:pPr>
        <w:ind w:left="1020" w:right="560" w:hanging="177"/>
        <w:spacing w:after="0"/>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Recommend to the full Board new Company compensation and benefit plans or changes to our existing plans;</w:t>
      </w:r>
    </w:p>
    <w:p>
      <w:pPr>
        <w:spacing w:after="0" w:line="85" w:lineRule="exact"/>
        <w:rPr>
          <w:rFonts w:ascii="Arial" w:cs="Arial" w:eastAsia="Arial" w:hAnsi="Arial"/>
          <w:sz w:val="18"/>
          <w:szCs w:val="18"/>
          <w:color w:val="457157"/>
        </w:rPr>
      </w:pPr>
    </w:p>
    <w:p>
      <w:pPr>
        <w:ind w:left="1020" w:hanging="177"/>
        <w:spacing w:after="0"/>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Evaluate and recommend to the Board the compensation paid to our non-employee directors;</w:t>
      </w:r>
    </w:p>
    <w:p>
      <w:pPr>
        <w:spacing w:after="0" w:line="103" w:lineRule="exact"/>
        <w:rPr>
          <w:rFonts w:ascii="Arial" w:cs="Arial" w:eastAsia="Arial" w:hAnsi="Arial"/>
          <w:sz w:val="18"/>
          <w:szCs w:val="18"/>
          <w:color w:val="457157"/>
        </w:rPr>
      </w:pPr>
    </w:p>
    <w:p>
      <w:pPr>
        <w:ind w:left="1020" w:hanging="177"/>
        <w:spacing w:after="0"/>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Review the independence of the MD&amp;C Committee’s compensation consultant annually; and</w:t>
      </w:r>
    </w:p>
    <w:p>
      <w:pPr>
        <w:spacing w:after="0" w:line="117" w:lineRule="exact"/>
        <w:rPr>
          <w:rFonts w:ascii="Arial" w:cs="Arial" w:eastAsia="Arial" w:hAnsi="Arial"/>
          <w:sz w:val="18"/>
          <w:szCs w:val="18"/>
          <w:color w:val="457157"/>
        </w:rPr>
      </w:pPr>
    </w:p>
    <w:p>
      <w:pPr>
        <w:ind w:left="1020" w:right="100" w:hanging="177"/>
        <w:spacing w:after="0" w:line="287" w:lineRule="auto"/>
        <w:tabs>
          <w:tab w:leader="none" w:pos="1020" w:val="left"/>
        </w:tabs>
        <w:numPr>
          <w:ilvl w:val="0"/>
          <w:numId w:val="11"/>
        </w:numPr>
        <w:rPr>
          <w:rFonts w:ascii="Arial" w:cs="Arial" w:eastAsia="Arial" w:hAnsi="Arial"/>
          <w:sz w:val="18"/>
          <w:szCs w:val="18"/>
          <w:color w:val="457157"/>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58"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 overseeing compensation matters, the MD&amp;C Committee may delegate authority for day-to-day</w:t>
      </w:r>
    </w:p>
    <w:p>
      <w:pPr>
        <w:spacing w:after="0" w:line="14" w:lineRule="exact"/>
        <w:rPr>
          <w:sz w:val="20"/>
          <w:szCs w:val="20"/>
          <w:color w:val="auto"/>
        </w:rPr>
      </w:pPr>
    </w:p>
    <w:p>
      <w:pPr>
        <w:ind w:left="840"/>
        <w:spacing w:after="0"/>
        <w:tabs>
          <w:tab w:leader="none" w:pos="2220" w:val="left"/>
          <w:tab w:leader="none" w:pos="2680" w:val="left"/>
          <w:tab w:leader="none" w:pos="4000" w:val="left"/>
          <w:tab w:leader="none" w:pos="4320" w:val="left"/>
          <w:tab w:leader="none" w:pos="4740" w:val="left"/>
          <w:tab w:leader="none" w:pos="5860" w:val="left"/>
          <w:tab w:leader="none" w:pos="6540" w:val="left"/>
          <w:tab w:leader="none" w:pos="7480" w:val="left"/>
          <w:tab w:leader="none" w:pos="8420" w:val="left"/>
          <w:tab w:leader="none" w:pos="8740" w:val="left"/>
        </w:tabs>
        <w:rPr>
          <w:sz w:val="20"/>
          <w:szCs w:val="20"/>
          <w:color w:val="auto"/>
        </w:rPr>
      </w:pPr>
      <w:r>
        <w:rPr>
          <w:rFonts w:ascii="Arial" w:cs="Arial" w:eastAsia="Arial" w:hAnsi="Arial"/>
          <w:sz w:val="18"/>
          <w:szCs w:val="18"/>
          <w:color w:val="auto"/>
        </w:rPr>
        <w:t>administration</w:t>
        <w:tab/>
        <w:t>and</w:t>
        <w:tab/>
        <w:t>interpretation</w:t>
        <w:tab/>
        <w:t>of</w:t>
        <w:tab/>
        <w:t>the</w:t>
        <w:tab/>
        <w:t>Company’s</w:t>
        <w:tab/>
        <w:t>plans,</w:t>
        <w:tab/>
        <w:t>including</w:t>
        <w:tab/>
        <w:t>selection</w:t>
        <w:tab/>
        <w:t>of</w:t>
        <w:tab/>
        <w:t>participants,</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determination of award levels within plan parameters, and approval of award documents, to Company</w:t>
      </w:r>
    </w:p>
    <w:p>
      <w:pPr>
        <w:ind w:left="840"/>
        <w:spacing w:after="0" w:line="234" w:lineRule="auto"/>
        <w:rPr>
          <w:sz w:val="20"/>
          <w:szCs w:val="20"/>
          <w:color w:val="auto"/>
        </w:rPr>
      </w:pPr>
      <w:r>
        <w:rPr>
          <w:rFonts w:ascii="Arial" w:cs="Arial" w:eastAsia="Arial" w:hAnsi="Arial"/>
          <w:sz w:val="18"/>
          <w:szCs w:val="18"/>
          <w:color w:val="auto"/>
        </w:rPr>
        <w:t>employees. However, the MD&amp;C Committee may not delegate any authority to Company employees</w:t>
      </w:r>
    </w:p>
    <w:p>
      <w:pPr>
        <w:ind w:left="840"/>
        <w:spacing w:after="0" w:line="235" w:lineRule="auto"/>
        <w:rPr>
          <w:sz w:val="20"/>
          <w:szCs w:val="20"/>
          <w:color w:val="auto"/>
        </w:rPr>
      </w:pPr>
      <w:r>
        <w:rPr>
          <w:rFonts w:ascii="Arial" w:cs="Arial" w:eastAsia="Arial" w:hAnsi="Arial"/>
          <w:sz w:val="18"/>
          <w:szCs w:val="18"/>
          <w:color w:val="auto"/>
        </w:rPr>
        <w:t>under those plans for matters affecting the compensation and benefits of the executive officers.</w:t>
      </w:r>
    </w:p>
    <w:p>
      <w:pPr>
        <w:ind w:left="820"/>
        <w:spacing w:after="0" w:line="222" w:lineRule="auto"/>
        <w:tabs>
          <w:tab w:leader="none" w:pos="9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ind w:left="840"/>
        <w:spacing w:after="0"/>
        <w:rPr>
          <w:sz w:val="20"/>
          <w:szCs w:val="20"/>
          <w:color w:val="auto"/>
        </w:rPr>
      </w:pPr>
      <w:r>
        <w:rPr>
          <w:rFonts w:ascii="Arial" w:cs="Arial" w:eastAsia="Arial" w:hAnsi="Arial"/>
          <w:sz w:val="25"/>
          <w:szCs w:val="25"/>
          <w:b w:val="1"/>
          <w:bCs w:val="1"/>
          <w:color w:val="auto"/>
        </w:rPr>
        <w:t>COMPENSATION COMMITTEE REPORT</w:t>
      </w:r>
    </w:p>
    <w:p>
      <w:pPr>
        <w:spacing w:after="0" w:line="9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 xml:space="preserve">The  MD&amp;C  Committee  has  reviewed  and  discussed  the  </w:t>
      </w:r>
      <w:r>
        <w:rPr>
          <w:rFonts w:ascii="Arial" w:cs="Arial" w:eastAsia="Arial" w:hAnsi="Arial"/>
          <w:sz w:val="18"/>
          <w:szCs w:val="18"/>
          <w:i w:val="1"/>
          <w:iCs w:val="1"/>
          <w:color w:val="auto"/>
        </w:rPr>
        <w:t>Compensation  Discussion  and  Analysis</w:t>
      </w:r>
    </w:p>
    <w:p>
      <w:pPr>
        <w:spacing w:after="0" w:line="14" w:lineRule="exact"/>
        <w:rPr>
          <w:sz w:val="20"/>
          <w:szCs w:val="20"/>
          <w:color w:val="auto"/>
        </w:rPr>
      </w:pPr>
    </w:p>
    <w:p>
      <w:pPr>
        <w:ind w:left="840"/>
        <w:spacing w:after="0"/>
        <w:rPr>
          <w:sz w:val="20"/>
          <w:szCs w:val="20"/>
          <w:color w:val="auto"/>
        </w:rPr>
      </w:pPr>
      <w:r>
        <w:rPr>
          <w:rFonts w:ascii="Arial" w:cs="Arial" w:eastAsia="Arial" w:hAnsi="Arial"/>
          <w:sz w:val="18"/>
          <w:szCs w:val="18"/>
          <w:color w:val="auto"/>
        </w:rPr>
        <w:t>included in this Proxy Statement with management. Based on their review and discussions, the MD&amp;C</w:t>
      </w:r>
    </w:p>
    <w:p>
      <w:pPr>
        <w:sectPr>
          <w:pgSz w:w="11900" w:h="16838" w:orient="portrait"/>
          <w:cols w:equalWidth="0" w:num="1">
            <w:col w:w="9940"/>
          </w:cols>
          <w:pgMar w:left="580" w:top="97" w:right="1379" w:bottom="1440" w:gutter="0" w:footer="0" w:header="0"/>
        </w:sectPr>
      </w:pPr>
    </w:p>
    <w:p>
      <w:pPr>
        <w:spacing w:after="0" w:line="9" w:lineRule="exact"/>
        <w:rPr>
          <w:sz w:val="20"/>
          <w:szCs w:val="20"/>
          <w:color w:val="auto"/>
        </w:rPr>
      </w:pPr>
    </w:p>
    <w:p>
      <w:pPr>
        <w:ind w:left="840"/>
        <w:spacing w:after="0" w:line="234" w:lineRule="auto"/>
        <w:rPr>
          <w:sz w:val="20"/>
          <w:szCs w:val="20"/>
          <w:color w:val="auto"/>
        </w:rPr>
      </w:pPr>
      <w:r>
        <w:rPr>
          <w:rFonts w:ascii="Arial" w:cs="Arial" w:eastAsia="Arial" w:hAnsi="Arial"/>
          <w:sz w:val="18"/>
          <w:szCs w:val="18"/>
          <w:color w:val="auto"/>
        </w:rPr>
        <w:t xml:space="preserve">Committee recommended to the Board of Directors that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be included in the Company’s Proxy Statement.</w:t>
      </w:r>
    </w:p>
    <w:p>
      <w:pPr>
        <w:ind w:left="820"/>
        <w:spacing w:after="0" w:line="236" w:lineRule="auto"/>
        <w:rPr>
          <w:sz w:val="20"/>
          <w:szCs w:val="20"/>
          <w:color w:val="auto"/>
        </w:rPr>
      </w:pPr>
      <w:r>
        <w:rPr>
          <w:rFonts w:ascii="Arial" w:cs="Arial" w:eastAsia="Arial" w:hAnsi="Arial"/>
          <w:sz w:val="18"/>
          <w:szCs w:val="18"/>
          <w:b w:val="1"/>
          <w:bCs w:val="1"/>
          <w:color w:val="auto"/>
        </w:rPr>
        <w:t>​</w:t>
      </w:r>
    </w:p>
    <w:p>
      <w:pPr>
        <w:ind w:left="840"/>
        <w:spacing w:after="0"/>
        <w:rPr>
          <w:sz w:val="20"/>
          <w:szCs w:val="20"/>
          <w:color w:val="auto"/>
        </w:rPr>
      </w:pPr>
      <w:r>
        <w:rPr>
          <w:rFonts w:ascii="Arial" w:cs="Arial" w:eastAsia="Arial" w:hAnsi="Arial"/>
          <w:sz w:val="18"/>
          <w:szCs w:val="18"/>
          <w:b w:val="1"/>
          <w:bCs w:val="1"/>
          <w:color w:val="auto"/>
        </w:rPr>
        <w:t>The Management Development and Compensation Committee of the Board of Directors</w:t>
      </w:r>
    </w:p>
    <w:p>
      <w:pPr>
        <w:spacing w:after="0" w:line="2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​Andrés R. Gluski, </w:t>
      </w:r>
      <w:r>
        <w:rPr>
          <w:rFonts w:ascii="Arial" w:cs="Arial" w:eastAsia="Arial" w:hAnsi="Arial"/>
          <w:sz w:val="18"/>
          <w:szCs w:val="18"/>
          <w:i w:val="1"/>
          <w:iCs w:val="1"/>
          <w:color w:val="auto"/>
        </w:rPr>
        <w:t>Chair</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Thomas L. Bené</w:t>
      </w:r>
    </w:p>
    <w:p>
      <w:pPr>
        <w:ind w:left="840"/>
        <w:spacing w:after="0" w:line="234" w:lineRule="auto"/>
        <w:rPr>
          <w:sz w:val="20"/>
          <w:szCs w:val="20"/>
          <w:color w:val="auto"/>
        </w:rPr>
      </w:pPr>
      <w:r>
        <w:rPr>
          <w:rFonts w:ascii="Arial" w:cs="Arial" w:eastAsia="Arial" w:hAnsi="Arial"/>
          <w:sz w:val="18"/>
          <w:szCs w:val="18"/>
          <w:color w:val="auto"/>
        </w:rPr>
        <w:t>Kathleen M. Mazzarella</w:t>
      </w:r>
    </w:p>
    <w:p>
      <w:pPr>
        <w:spacing w:after="0" w:line="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William B. Plummer</w:t>
      </w:r>
    </w:p>
    <w:p>
      <w:pPr>
        <w:spacing w:after="0" w:line="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Maryrose T. Sylvester</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15" w:lineRule="exact"/>
        <w:rPr>
          <w:sz w:val="20"/>
          <w:szCs w:val="20"/>
          <w:color w:val="auto"/>
        </w:rPr>
      </w:pPr>
    </w:p>
    <w:p>
      <w:pPr>
        <w:sectPr>
          <w:pgSz w:w="11900" w:h="16838" w:orient="portrait"/>
          <w:cols w:equalWidth="0" w:num="2">
            <w:col w:w="9840" w:space="0"/>
            <w:col w:w="100"/>
          </w:cols>
          <w:pgMar w:left="580" w:top="97" w:right="1379" w:bottom="1440" w:gutter="0" w:footer="0" w:header="0"/>
          <w:type w:val="continuous"/>
        </w:sectPr>
      </w:pPr>
    </w:p>
    <w:p>
      <w:pPr>
        <w:ind w:left="820"/>
        <w:spacing w:after="0"/>
        <w:tabs>
          <w:tab w:leader="none" w:pos="12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-213995</wp:posOffset>
            </wp:positionV>
            <wp:extent cx="57607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3340" w:type="dxa"/>
            <w:vAlign w:val="bottom"/>
            <w:tcBorders>
              <w:top w:val="single" w:sz="8" w:color="457157"/>
            </w:tcBorders>
          </w:tcPr>
          <w:p>
            <w:pPr>
              <w:spacing w:after="0"/>
              <w:rPr>
                <w:sz w:val="20"/>
                <w:szCs w:val="20"/>
                <w:color w:val="auto"/>
              </w:rPr>
            </w:pPr>
            <w:r>
              <w:rPr>
                <w:rFonts w:ascii="Arial" w:cs="Arial" w:eastAsia="Arial" w:hAnsi="Arial"/>
                <w:sz w:val="16"/>
                <w:szCs w:val="16"/>
                <w:b w:val="1"/>
                <w:bCs w:val="1"/>
                <w:color w:val="auto"/>
              </w:rPr>
              <w:t>​</w:t>
            </w:r>
          </w:p>
        </w:tc>
        <w:tc>
          <w:tcPr>
            <w:tcW w:w="5720" w:type="dxa"/>
            <w:vAlign w:val="bottom"/>
            <w:tcBorders>
              <w:top w:val="single" w:sz="8" w:color="457157"/>
            </w:tcBorders>
          </w:tcPr>
          <w:p>
            <w:pPr>
              <w:ind w:left="3300"/>
              <w:spacing w:after="0"/>
              <w:rPr>
                <w:sz w:val="20"/>
                <w:szCs w:val="20"/>
                <w:color w:val="auto"/>
              </w:rPr>
            </w:pPr>
            <w:r>
              <w:rPr>
                <w:rFonts w:ascii="Arial" w:cs="Arial" w:eastAsia="Arial" w:hAnsi="Arial"/>
                <w:sz w:val="20"/>
                <w:szCs w:val="20"/>
                <w:b w:val="1"/>
                <w:bCs w:val="1"/>
                <w:color w:val="auto"/>
              </w:rPr>
              <w:t>BOARD OF DIRECTORS</w:t>
            </w:r>
          </w:p>
        </w:tc>
        <w:tc>
          <w:tcPr>
            <w:tcW w:w="60" w:type="dxa"/>
            <w:vAlign w:val="bottom"/>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6"/>
        </w:trPr>
        <w:tc>
          <w:tcPr>
            <w:tcW w:w="3340" w:type="dxa"/>
            <w:vAlign w:val="bottom"/>
            <w:tcBorders>
              <w:bottom w:val="single" w:sz="8" w:color="457157"/>
            </w:tcBorders>
          </w:tcPr>
          <w:p>
            <w:pPr>
              <w:spacing w:after="0"/>
              <w:rPr>
                <w:sz w:val="19"/>
                <w:szCs w:val="19"/>
                <w:color w:val="auto"/>
              </w:rPr>
            </w:pPr>
          </w:p>
        </w:tc>
        <w:tc>
          <w:tcPr>
            <w:tcW w:w="5720" w:type="dxa"/>
            <w:vAlign w:val="bottom"/>
            <w:tcBorders>
              <w:bottom w:val="single" w:sz="8" w:color="457157"/>
            </w:tcBorders>
          </w:tcPr>
          <w:p>
            <w:pPr>
              <w:spacing w:after="0"/>
              <w:rPr>
                <w:sz w:val="19"/>
                <w:szCs w:val="19"/>
                <w:color w:val="auto"/>
              </w:rPr>
            </w:pPr>
          </w:p>
        </w:tc>
        <w:tc>
          <w:tcPr>
            <w:tcW w:w="6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3340" w:type="dxa"/>
            <w:vAlign w:val="bottom"/>
          </w:tcPr>
          <w:p>
            <w:pPr>
              <w:spacing w:after="0" w:line="157" w:lineRule="exact"/>
              <w:rPr>
                <w:sz w:val="20"/>
                <w:szCs w:val="20"/>
                <w:color w:val="auto"/>
              </w:rPr>
            </w:pPr>
            <w:r>
              <w:rPr>
                <w:rFonts w:ascii="Arial" w:cs="Arial" w:eastAsia="Arial" w:hAnsi="Arial"/>
                <w:sz w:val="18"/>
                <w:szCs w:val="18"/>
                <w:color w:val="auto"/>
              </w:rPr>
              <w:t>​</w:t>
            </w:r>
          </w:p>
        </w:tc>
        <w:tc>
          <w:tcPr>
            <w:tcW w:w="5720" w:type="dxa"/>
            <w:vAlign w:val="bottom"/>
          </w:tcPr>
          <w:p>
            <w:pPr>
              <w:ind w:left="5680"/>
              <w:spacing w:after="0" w:line="157" w:lineRule="exact"/>
              <w:rPr>
                <w:sz w:val="20"/>
                <w:szCs w:val="20"/>
                <w:color w:val="auto"/>
              </w:rPr>
            </w:pPr>
            <w:r>
              <w:rPr>
                <w:rFonts w:ascii="Arial" w:cs="Arial" w:eastAsia="Arial" w:hAnsi="Arial"/>
                <w:sz w:val="18"/>
                <w:szCs w:val="18"/>
                <w:color w:val="auto"/>
              </w:rPr>
              <w:t>​</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-111760</wp:posOffset>
            </wp:positionV>
            <wp:extent cx="5760720" cy="84524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60720" cy="8452485"/>
                    </a:xfrm>
                    <a:prstGeom prst="rect">
                      <a:avLst/>
                    </a:prstGeom>
                    <a:noFill/>
                  </pic:spPr>
                </pic:pic>
              </a:graphicData>
            </a:graphic>
          </wp:anchor>
        </w:drawing>
      </w:r>
    </w:p>
    <w:p>
      <w:pPr>
        <w:ind w:left="840" w:right="1500"/>
        <w:spacing w:after="0" w:line="265" w:lineRule="auto"/>
        <w:rPr>
          <w:sz w:val="20"/>
          <w:szCs w:val="20"/>
          <w:color w:val="auto"/>
        </w:rPr>
      </w:pPr>
      <w:r>
        <w:rPr>
          <w:rFonts w:ascii="Arial" w:cs="Arial" w:eastAsia="Arial" w:hAnsi="Arial"/>
          <w:sz w:val="25"/>
          <w:szCs w:val="25"/>
          <w:b w:val="1"/>
          <w:bCs w:val="1"/>
          <w:color w:val="auto"/>
        </w:rPr>
        <w:t>COMPENSATION COMMITTEE INTERLOCKS AND INSIDER PARTICIPATION</w:t>
      </w:r>
    </w:p>
    <w:p>
      <w:pPr>
        <w:spacing w:after="0" w:line="33" w:lineRule="exact"/>
        <w:rPr>
          <w:sz w:val="20"/>
          <w:szCs w:val="20"/>
          <w:color w:val="auto"/>
        </w:rPr>
      </w:pPr>
    </w:p>
    <w:p>
      <w:pPr>
        <w:jc w:val="both"/>
        <w:ind w:left="840" w:right="100"/>
        <w:spacing w:after="0" w:line="243" w:lineRule="auto"/>
        <w:rPr>
          <w:sz w:val="20"/>
          <w:szCs w:val="20"/>
          <w:color w:val="auto"/>
        </w:rPr>
      </w:pPr>
      <w:r>
        <w:rPr>
          <w:rFonts w:ascii="Arial" w:cs="Arial" w:eastAsia="Arial" w:hAnsi="Arial"/>
          <w:sz w:val="18"/>
          <w:szCs w:val="18"/>
          <w:color w:val="auto"/>
        </w:rPr>
        <w:t>During 2024, Ms. Mazzarella, Ms. Sylvester and Messrs. Bené, Gluski and Plummer served on the MD&amp;C Committee, as well as retired director Mr. John C. Pope. No member of the MD&amp;C Committee was an officer or employee of the Company during 2024; no member of the MD&amp;C Committee is a former officer of the Company; and during 2024, none of our executive officers served as a member of a board of directors or compensation committee of any entity that has one or more executive officers who serve on our Board of Directors or MD&amp;C Committee.</w:t>
      </w:r>
    </w:p>
    <w:tbl>
      <w:tblPr>
        <w:tblLayout w:type="fixed"/>
        <w:tblInd w:w="820" w:type="dxa"/>
        <w:tblCellMar>
          <w:top w:w="0" w:type="dxa"/>
          <w:left w:w="0" w:type="dxa"/>
          <w:bottom w:w="0" w:type="dxa"/>
          <w:right w:w="0" w:type="dxa"/>
        </w:tblCellMar>
      </w:tblPr>
      <w:tr>
        <w:trPr>
          <w:trHeight w:val="444"/>
        </w:trPr>
        <w:tc>
          <w:tcPr>
            <w:tcW w:w="8940" w:type="dxa"/>
            <w:vAlign w:val="bottom"/>
            <w:gridSpan w:val="3"/>
          </w:tcPr>
          <w:p>
            <w:pPr>
              <w:spacing w:after="0" w:line="444" w:lineRule="exact"/>
              <w:rPr>
                <w:sz w:val="20"/>
                <w:szCs w:val="20"/>
                <w:color w:val="auto"/>
              </w:rPr>
            </w:pPr>
            <w:r>
              <w:rPr>
                <w:rFonts w:ascii="Arial" w:cs="Arial" w:eastAsia="Arial" w:hAnsi="Arial"/>
                <w:sz w:val="50"/>
                <w:szCs w:val="50"/>
                <w:b w:val="1"/>
                <w:bCs w:val="1"/>
                <w:color w:val="auto"/>
                <w:vertAlign w:val="superscript"/>
              </w:rPr>
              <w:t>​</w:t>
            </w:r>
            <w:r>
              <w:rPr>
                <w:rFonts w:ascii="Arial" w:cs="Arial" w:eastAsia="Arial" w:hAnsi="Arial"/>
                <w:sz w:val="25"/>
                <w:szCs w:val="25"/>
                <w:b w:val="1"/>
                <w:bCs w:val="1"/>
                <w:color w:val="auto"/>
              </w:rPr>
              <w:t>THE NOMINATING AND GOVERNANCE COMMITTEE</w:t>
            </w:r>
            <w:r>
              <w:rPr>
                <w:rFonts w:ascii="Arial" w:cs="Arial" w:eastAsia="Arial" w:hAnsi="Arial"/>
                <w:sz w:val="17"/>
                <w:szCs w:val="17"/>
                <w:color w:val="auto"/>
              </w:rPr>
              <w:t>​</w:t>
            </w:r>
          </w:p>
        </w:tc>
        <w:tc>
          <w:tcPr>
            <w:tcW w:w="160" w:type="dxa"/>
            <w:vAlign w:val="bottom"/>
          </w:tcPr>
          <w:p>
            <w:pPr>
              <w:ind w:left="80"/>
              <w:spacing w:after="0"/>
              <w:rPr>
                <w:sz w:val="20"/>
                <w:szCs w:val="20"/>
                <w:color w:val="auto"/>
              </w:rPr>
            </w:pPr>
            <w:r>
              <w:rPr>
                <w:rFonts w:ascii="Arial" w:cs="Arial" w:eastAsia="Arial" w:hAnsi="Arial"/>
                <w:sz w:val="25"/>
                <w:szCs w:val="25"/>
                <w:b w:val="1"/>
                <w:bCs w:val="1"/>
                <w:color w:val="auto"/>
              </w:rPr>
              <w:t>​</w:t>
            </w:r>
          </w:p>
        </w:tc>
      </w:tr>
      <w:tr>
        <w:trPr>
          <w:trHeight w:val="365"/>
        </w:trPr>
        <w:tc>
          <w:tcPr>
            <w:tcW w:w="2720" w:type="dxa"/>
            <w:vAlign w:val="bottom"/>
          </w:tcPr>
          <w:p>
            <w:pPr>
              <w:spacing w:after="0" w:line="364" w:lineRule="exact"/>
              <w:rPr>
                <w:sz w:val="20"/>
                <w:szCs w:val="20"/>
                <w:color w:val="auto"/>
              </w:rPr>
            </w:pPr>
            <w:r>
              <w:rPr>
                <w:rFonts w:ascii="Arial" w:cs="Arial" w:eastAsia="Arial" w:hAnsi="Arial"/>
                <w:sz w:val="35"/>
                <w:szCs w:val="35"/>
                <w:b w:val="1"/>
                <w:bCs w:val="1"/>
                <w:color w:val="auto"/>
                <w:vertAlign w:val="superscript"/>
              </w:rPr>
              <w:t>​</w:t>
            </w:r>
            <w:r>
              <w:rPr>
                <w:rFonts w:ascii="Arial" w:cs="Arial" w:eastAsia="Arial" w:hAnsi="Arial"/>
                <w:sz w:val="18"/>
                <w:szCs w:val="18"/>
                <w:b w:val="1"/>
                <w:bCs w:val="1"/>
                <w:color w:val="auto"/>
              </w:rPr>
              <w:t xml:space="preserve"> Members:</w:t>
            </w:r>
          </w:p>
        </w:tc>
        <w:tc>
          <w:tcPr>
            <w:tcW w:w="2840" w:type="dxa"/>
            <w:vAlign w:val="bottom"/>
          </w:tcPr>
          <w:p>
            <w:pPr>
              <w:ind w:left="460"/>
              <w:spacing w:after="0"/>
              <w:rPr>
                <w:sz w:val="20"/>
                <w:szCs w:val="20"/>
                <w:color w:val="auto"/>
              </w:rPr>
            </w:pPr>
            <w:r>
              <w:rPr>
                <w:rFonts w:ascii="Arial" w:cs="Arial" w:eastAsia="Arial" w:hAnsi="Arial"/>
                <w:sz w:val="18"/>
                <w:szCs w:val="18"/>
                <w:b w:val="1"/>
                <w:bCs w:val="1"/>
                <w:color w:val="auto"/>
              </w:rPr>
              <w:t>​ ​</w:t>
            </w:r>
          </w:p>
        </w:tc>
        <w:tc>
          <w:tcPr>
            <w:tcW w:w="3380" w:type="dxa"/>
            <w:vAlign w:val="bottom"/>
          </w:tcPr>
          <w:p>
            <w:pPr>
              <w:ind w:left="120"/>
              <w:spacing w:after="0"/>
              <w:rPr>
                <w:sz w:val="20"/>
                <w:szCs w:val="20"/>
                <w:color w:val="auto"/>
              </w:rPr>
            </w:pPr>
            <w:r>
              <w:rPr>
                <w:rFonts w:ascii="Arial" w:cs="Arial" w:eastAsia="Arial" w:hAnsi="Arial"/>
                <w:sz w:val="18"/>
                <w:szCs w:val="18"/>
                <w:b w:val="1"/>
                <w:bCs w:val="1"/>
                <w:color w:val="auto"/>
              </w:rPr>
              <w:t>Number of Meetings Held in 2024:</w:t>
            </w: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r>
      <w:tr>
        <w:trPr>
          <w:trHeight w:val="216"/>
        </w:trPr>
        <w:tc>
          <w:tcPr>
            <w:tcW w:w="2720" w:type="dxa"/>
            <w:vAlign w:val="bottom"/>
          </w:tcPr>
          <w:p>
            <w:pPr>
              <w:spacing w:after="0"/>
              <w:rPr>
                <w:sz w:val="18"/>
                <w:szCs w:val="18"/>
                <w:color w:val="auto"/>
              </w:rPr>
            </w:pPr>
          </w:p>
        </w:tc>
        <w:tc>
          <w:tcPr>
            <w:tcW w:w="2840" w:type="dxa"/>
            <w:vAlign w:val="bottom"/>
          </w:tcPr>
          <w:p>
            <w:pPr>
              <w:ind w:left="680"/>
              <w:spacing w:after="0"/>
              <w:rPr>
                <w:sz w:val="20"/>
                <w:szCs w:val="20"/>
                <w:color w:val="auto"/>
              </w:rPr>
            </w:pPr>
            <w:r>
              <w:rPr>
                <w:rFonts w:ascii="Arial" w:cs="Arial" w:eastAsia="Arial" w:hAnsi="Arial"/>
                <w:sz w:val="18"/>
                <w:szCs w:val="18"/>
                <w:b w:val="1"/>
                <w:bCs w:val="1"/>
                <w:color w:val="auto"/>
              </w:rPr>
              <w:t>5</w:t>
            </w:r>
          </w:p>
        </w:tc>
        <w:tc>
          <w:tcPr>
            <w:tcW w:w="33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2720" w:type="dxa"/>
            <w:vAlign w:val="bottom"/>
          </w:tcPr>
          <w:p>
            <w:pPr>
              <w:spacing w:after="0" w:line="256" w:lineRule="exact"/>
              <w:rPr>
                <w:sz w:val="20"/>
                <w:szCs w:val="20"/>
                <w:color w:val="auto"/>
              </w:rPr>
            </w:pPr>
            <w:r>
              <w:rPr>
                <w:rFonts w:ascii="Arial" w:cs="Arial" w:eastAsia="Arial" w:hAnsi="Arial"/>
                <w:sz w:val="29"/>
                <w:szCs w:val="29"/>
                <w:b w:val="1"/>
                <w:bCs w:val="1"/>
                <w:color w:val="auto"/>
                <w:vertAlign w:val="superscript"/>
              </w:rPr>
              <w:t>​</w:t>
            </w:r>
            <w:r>
              <w:rPr>
                <w:rFonts w:ascii="Arial" w:cs="Arial" w:eastAsia="Arial" w:hAnsi="Arial"/>
                <w:sz w:val="16"/>
                <w:szCs w:val="16"/>
                <w:b w:val="1"/>
                <w:bCs w:val="1"/>
                <w:color w:val="auto"/>
              </w:rPr>
              <w:t xml:space="preserve"> Victoria M. Holt, </w:t>
            </w:r>
            <w:r>
              <w:rPr>
                <w:rFonts w:ascii="Arial" w:cs="Arial" w:eastAsia="Arial" w:hAnsi="Arial"/>
                <w:sz w:val="16"/>
                <w:szCs w:val="16"/>
                <w:b w:val="1"/>
                <w:bCs w:val="1"/>
                <w:i w:val="1"/>
                <w:iCs w:val="1"/>
                <w:color w:val="auto"/>
              </w:rPr>
              <w:t>Chair</w:t>
            </w:r>
          </w:p>
        </w:tc>
        <w:tc>
          <w:tcPr>
            <w:tcW w:w="2840" w:type="dxa"/>
            <w:vAlign w:val="bottom"/>
          </w:tcPr>
          <w:p>
            <w:pPr>
              <w:ind w:left="460"/>
              <w:spacing w:after="0" w:line="256" w:lineRule="exact"/>
              <w:rPr>
                <w:sz w:val="20"/>
                <w:szCs w:val="20"/>
                <w:color w:val="auto"/>
              </w:rPr>
            </w:pPr>
            <w:r>
              <w:rPr>
                <w:rFonts w:ascii="Arial" w:cs="Arial" w:eastAsia="Arial" w:hAnsi="Arial"/>
                <w:sz w:val="29"/>
                <w:szCs w:val="29"/>
                <w:b w:val="1"/>
                <w:bCs w:val="1"/>
                <w:color w:val="auto"/>
                <w:vertAlign w:val="superscript"/>
              </w:rPr>
              <w:t>​ ​</w:t>
            </w:r>
            <w:r>
              <w:rPr>
                <w:rFonts w:ascii="Arial" w:cs="Arial" w:eastAsia="Arial" w:hAnsi="Arial"/>
                <w:sz w:val="16"/>
                <w:szCs w:val="16"/>
                <w:b w:val="1"/>
                <w:bCs w:val="1"/>
                <w:color w:val="auto"/>
              </w:rPr>
              <w:t xml:space="preserve"> Sean E. Menke</w:t>
            </w:r>
          </w:p>
        </w:tc>
        <w:tc>
          <w:tcPr>
            <w:tcW w:w="3380" w:type="dxa"/>
            <w:vAlign w:val="bottom"/>
          </w:tcPr>
          <w:p>
            <w:pPr>
              <w:spacing w:after="0"/>
              <w:rPr>
                <w:sz w:val="22"/>
                <w:szCs w:val="22"/>
                <w:color w:val="auto"/>
              </w:rPr>
            </w:pP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r>
      <w:tr>
        <w:trPr>
          <w:trHeight w:val="234"/>
        </w:trPr>
        <w:tc>
          <w:tcPr>
            <w:tcW w:w="2720" w:type="dxa"/>
            <w:vAlign w:val="bottom"/>
          </w:tcPr>
          <w:p>
            <w:pPr>
              <w:ind w:left="100"/>
              <w:spacing w:after="0"/>
              <w:rPr>
                <w:sz w:val="20"/>
                <w:szCs w:val="20"/>
                <w:color w:val="auto"/>
              </w:rPr>
            </w:pPr>
            <w:r>
              <w:rPr>
                <w:rFonts w:ascii="Arial" w:cs="Arial" w:eastAsia="Arial" w:hAnsi="Arial"/>
                <w:sz w:val="18"/>
                <w:szCs w:val="18"/>
                <w:b w:val="1"/>
                <w:bCs w:val="1"/>
                <w:color w:val="auto"/>
              </w:rPr>
              <w:t>Kathleen M. Mazzarella</w:t>
            </w:r>
          </w:p>
        </w:tc>
        <w:tc>
          <w:tcPr>
            <w:tcW w:w="2840" w:type="dxa"/>
            <w:vAlign w:val="bottom"/>
          </w:tcPr>
          <w:p>
            <w:pPr>
              <w:ind w:left="680"/>
              <w:spacing w:after="0"/>
              <w:rPr>
                <w:sz w:val="20"/>
                <w:szCs w:val="20"/>
                <w:color w:val="auto"/>
              </w:rPr>
            </w:pPr>
            <w:r>
              <w:rPr>
                <w:rFonts w:ascii="Arial" w:cs="Arial" w:eastAsia="Arial" w:hAnsi="Arial"/>
                <w:sz w:val="18"/>
                <w:szCs w:val="18"/>
                <w:b w:val="1"/>
                <w:bCs w:val="1"/>
                <w:color w:val="auto"/>
              </w:rPr>
              <w:t>Maryrose T. Sylvester</w:t>
            </w:r>
          </w:p>
        </w:tc>
        <w:tc>
          <w:tcPr>
            <w:tcW w:w="338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jc w:val="both"/>
        <w:ind w:left="840" w:right="40" w:hanging="26"/>
        <w:spacing w:after="0" w:line="199" w:lineRule="auto"/>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Ms. Holt was named Chair of our Nominating and Governance Committee in May 2023. Each member</w:t>
      </w:r>
      <w:r>
        <w:rPr>
          <w:rFonts w:ascii="Arial" w:cs="Arial" w:eastAsia="Arial" w:hAnsi="Arial"/>
          <w:sz w:val="35"/>
          <w:szCs w:val="35"/>
          <w:color w:val="auto"/>
          <w:vertAlign w:val="superscript"/>
        </w:rPr>
        <w:t>​</w:t>
      </w:r>
      <w:r>
        <w:rPr>
          <w:rFonts w:ascii="Arial" w:cs="Arial" w:eastAsia="Arial" w:hAnsi="Arial"/>
          <w:sz w:val="18"/>
          <w:szCs w:val="18"/>
          <w:color w:val="auto"/>
        </w:rPr>
        <w:t xml:space="preserve"> of our Nominating and Governance Committee is independent in accordance with the rules and regulations of the New York Stock Exchange.</w:t>
      </w:r>
    </w:p>
    <w:p>
      <w:pPr>
        <w:ind w:left="820"/>
        <w:spacing w:after="0" w:line="210" w:lineRule="auto"/>
        <w:tabs>
          <w:tab w:leader="none" w:pos="9820" w:val="left"/>
        </w:tabs>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b w:val="1"/>
          <w:bCs w:val="1"/>
          <w:color w:val="auto"/>
        </w:rPr>
        <w:t>Key Functions</w:t>
      </w:r>
      <w:r>
        <w:rPr>
          <w:sz w:val="20"/>
          <w:szCs w:val="20"/>
          <w:color w:val="auto"/>
        </w:rPr>
        <w:tab/>
      </w:r>
      <w:r>
        <w:rPr>
          <w:rFonts w:ascii="Arial" w:cs="Arial" w:eastAsia="Arial" w:hAnsi="Arial"/>
          <w:sz w:val="36"/>
          <w:szCs w:val="36"/>
          <w:color w:val="auto"/>
          <w:vertAlign w:val="superscript"/>
        </w:rPr>
        <w:t>​</w:t>
      </w:r>
    </w:p>
    <w:p>
      <w:pPr>
        <w:jc w:val="both"/>
        <w:ind w:left="840" w:right="100"/>
        <w:spacing w:after="0" w:line="242" w:lineRule="auto"/>
        <w:rPr>
          <w:sz w:val="20"/>
          <w:szCs w:val="20"/>
          <w:color w:val="auto"/>
        </w:rPr>
      </w:pPr>
      <w:r>
        <w:rPr>
          <w:rFonts w:ascii="Arial" w:cs="Arial" w:eastAsia="Arial" w:hAnsi="Arial"/>
          <w:sz w:val="18"/>
          <w:szCs w:val="18"/>
          <w:color w:val="auto"/>
        </w:rPr>
        <w:t>The Nominating and Governance Committee has a written charter that has been approved by the Board of Directors and can be found by accessing the “Sustainability &amp; Governance — Corporate Governance” section of investors.wm.com. It is the duty of the Nominating and Governance Committee to oversee matters regarding corporate governance. In fulfilling its duties, the Nominating and Governance Committee has the following responsibilities:</w:t>
      </w:r>
    </w:p>
    <w:p>
      <w:pPr>
        <w:spacing w:after="0" w:line="86" w:lineRule="exact"/>
        <w:rPr>
          <w:sz w:val="20"/>
          <w:szCs w:val="20"/>
          <w:color w:val="auto"/>
        </w:rPr>
      </w:pPr>
    </w:p>
    <w:p>
      <w:pPr>
        <w:ind w:left="1020" w:right="100" w:hanging="177"/>
        <w:spacing w:after="0" w:line="287" w:lineRule="auto"/>
        <w:tabs>
          <w:tab w:leader="none" w:pos="1020" w:val="left"/>
        </w:tabs>
        <w:numPr>
          <w:ilvl w:val="0"/>
          <w:numId w:val="12"/>
        </w:numPr>
        <w:rPr>
          <w:rFonts w:ascii="Arial" w:cs="Arial" w:eastAsia="Arial" w:hAnsi="Arial"/>
          <w:sz w:val="18"/>
          <w:szCs w:val="18"/>
          <w:color w:val="457157"/>
        </w:rPr>
      </w:pPr>
      <w:r>
        <w:rPr>
          <w:rFonts w:ascii="Arial" w:cs="Arial" w:eastAsia="Arial" w:hAnsi="Arial"/>
          <w:sz w:val="18"/>
          <w:szCs w:val="18"/>
          <w:color w:val="auto"/>
        </w:rPr>
        <w:t>Review and recommend the composition of our Board, and the nature and duties of each of our committees, in accordance with our Corporate Governance Guidelines;</w:t>
      </w:r>
    </w:p>
    <w:p>
      <w:pPr>
        <w:spacing w:after="0" w:line="31" w:lineRule="exact"/>
        <w:rPr>
          <w:rFonts w:ascii="Arial" w:cs="Arial" w:eastAsia="Arial" w:hAnsi="Arial"/>
          <w:sz w:val="18"/>
          <w:szCs w:val="18"/>
          <w:color w:val="457157"/>
        </w:rPr>
      </w:pPr>
    </w:p>
    <w:p>
      <w:pPr>
        <w:ind w:left="1020" w:right="380" w:hanging="177"/>
        <w:spacing w:after="0"/>
        <w:tabs>
          <w:tab w:leader="none" w:pos="1020" w:val="left"/>
        </w:tabs>
        <w:numPr>
          <w:ilvl w:val="0"/>
          <w:numId w:val="12"/>
        </w:numPr>
        <w:rPr>
          <w:rFonts w:ascii="Arial" w:cs="Arial" w:eastAsia="Arial" w:hAnsi="Arial"/>
          <w:sz w:val="18"/>
          <w:szCs w:val="18"/>
          <w:color w:val="457157"/>
        </w:rPr>
      </w:pPr>
      <w:r>
        <w:rPr>
          <w:rFonts w:ascii="Arial" w:cs="Arial" w:eastAsia="Arial" w:hAnsi="Arial"/>
          <w:sz w:val="18"/>
          <w:szCs w:val="18"/>
          <w:color w:val="auto"/>
        </w:rPr>
        <w:t>Evaluate the charters of each of the committees and recommend directors to serve as committee chairs;</w:t>
      </w:r>
    </w:p>
    <w:p>
      <w:pPr>
        <w:spacing w:after="0" w:line="279" w:lineRule="exact"/>
        <w:rPr>
          <w:rFonts w:ascii="Arial" w:cs="Arial" w:eastAsia="Arial" w:hAnsi="Arial"/>
          <w:sz w:val="18"/>
          <w:szCs w:val="18"/>
          <w:color w:val="457157"/>
        </w:rPr>
      </w:pPr>
    </w:p>
    <w:p>
      <w:pPr>
        <w:ind w:left="1020" w:right="100" w:hanging="177"/>
        <w:spacing w:after="0" w:line="271" w:lineRule="auto"/>
        <w:tabs>
          <w:tab w:leader="none" w:pos="1020" w:val="left"/>
        </w:tabs>
        <w:numPr>
          <w:ilvl w:val="0"/>
          <w:numId w:val="12"/>
        </w:numPr>
        <w:rPr>
          <w:rFonts w:ascii="Arial" w:cs="Arial" w:eastAsia="Arial" w:hAnsi="Arial"/>
          <w:sz w:val="18"/>
          <w:szCs w:val="18"/>
          <w:color w:val="457157"/>
        </w:rPr>
      </w:pPr>
      <w:r>
        <w:rPr>
          <w:rFonts w:ascii="Arial" w:cs="Arial" w:eastAsia="Arial" w:hAnsi="Arial"/>
          <w:sz w:val="18"/>
          <w:szCs w:val="18"/>
          <w:color w:val="auto"/>
        </w:rPr>
        <w:t>Review individual director’s performance in consultation with the Chair of the Board and review the overall effectiveness of the Board;</w:t>
      </w:r>
    </w:p>
    <w:p>
      <w:pPr>
        <w:spacing w:after="0" w:line="59" w:lineRule="exact"/>
        <w:rPr>
          <w:rFonts w:ascii="Arial" w:cs="Arial" w:eastAsia="Arial" w:hAnsi="Arial"/>
          <w:sz w:val="18"/>
          <w:szCs w:val="18"/>
          <w:color w:val="457157"/>
        </w:rPr>
      </w:pPr>
    </w:p>
    <w:p>
      <w:pPr>
        <w:ind w:left="1020" w:right="100" w:hanging="177"/>
        <w:spacing w:after="0" w:line="287" w:lineRule="auto"/>
        <w:tabs>
          <w:tab w:leader="none" w:pos="1020" w:val="left"/>
        </w:tabs>
        <w:numPr>
          <w:ilvl w:val="0"/>
          <w:numId w:val="12"/>
        </w:numPr>
        <w:rPr>
          <w:rFonts w:ascii="Arial" w:cs="Arial" w:eastAsia="Arial" w:hAnsi="Arial"/>
          <w:sz w:val="18"/>
          <w:szCs w:val="18"/>
          <w:color w:val="457157"/>
        </w:rPr>
      </w:pPr>
      <w:r>
        <w:rPr>
          <w:rFonts w:ascii="Arial" w:cs="Arial" w:eastAsia="Arial" w:hAnsi="Arial"/>
          <w:sz w:val="18"/>
          <w:szCs w:val="18"/>
          <w:color w:val="auto"/>
        </w:rPr>
        <w:t>Recommend retirement policies for the Board, the terms for directors and the proper ratio of employee directors to non-employee directors;</w:t>
      </w:r>
    </w:p>
    <w:p>
      <w:pPr>
        <w:spacing w:after="0" w:line="44" w:lineRule="exact"/>
        <w:rPr>
          <w:rFonts w:ascii="Arial" w:cs="Arial" w:eastAsia="Arial" w:hAnsi="Arial"/>
          <w:sz w:val="18"/>
          <w:szCs w:val="18"/>
          <w:color w:val="457157"/>
        </w:rPr>
      </w:pPr>
    </w:p>
    <w:p>
      <w:pPr>
        <w:ind w:left="1020" w:right="100" w:hanging="177"/>
        <w:spacing w:after="0" w:line="271" w:lineRule="auto"/>
        <w:tabs>
          <w:tab w:leader="none" w:pos="1020" w:val="left"/>
        </w:tabs>
        <w:numPr>
          <w:ilvl w:val="0"/>
          <w:numId w:val="12"/>
        </w:numPr>
        <w:rPr>
          <w:rFonts w:ascii="Arial" w:cs="Arial" w:eastAsia="Arial" w:hAnsi="Arial"/>
          <w:sz w:val="18"/>
          <w:szCs w:val="18"/>
          <w:color w:val="457157"/>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59" w:lineRule="exact"/>
        <w:rPr>
          <w:rFonts w:ascii="Arial" w:cs="Arial" w:eastAsia="Arial" w:hAnsi="Arial"/>
          <w:sz w:val="18"/>
          <w:szCs w:val="18"/>
          <w:color w:val="457157"/>
        </w:rPr>
      </w:pPr>
    </w:p>
    <w:p>
      <w:pPr>
        <w:ind w:left="1020" w:right="100" w:hanging="177"/>
        <w:spacing w:after="0" w:line="271" w:lineRule="auto"/>
        <w:tabs>
          <w:tab w:leader="none" w:pos="1020" w:val="left"/>
        </w:tabs>
        <w:numPr>
          <w:ilvl w:val="0"/>
          <w:numId w:val="12"/>
        </w:numPr>
        <w:rPr>
          <w:rFonts w:ascii="Arial" w:cs="Arial" w:eastAsia="Arial" w:hAnsi="Arial"/>
          <w:sz w:val="18"/>
          <w:szCs w:val="18"/>
          <w:color w:val="457157"/>
        </w:rPr>
      </w:pPr>
      <w:r>
        <w:rPr>
          <w:rFonts w:ascii="Arial" w:cs="Arial" w:eastAsia="Arial" w:hAnsi="Arial"/>
          <w:sz w:val="18"/>
          <w:szCs w:val="18"/>
          <w:color w:val="auto"/>
        </w:rPr>
        <w:t>Review stockholder proposals received for inclusion in the Company’s proxy statement and recommend action to be taken with regard to the proposals to the Board; and</w:t>
      </w:r>
    </w:p>
    <w:p>
      <w:pPr>
        <w:spacing w:after="0" w:line="45" w:lineRule="exact"/>
        <w:rPr>
          <w:rFonts w:ascii="Arial" w:cs="Arial" w:eastAsia="Arial" w:hAnsi="Arial"/>
          <w:sz w:val="18"/>
          <w:szCs w:val="18"/>
          <w:color w:val="457157"/>
        </w:rPr>
      </w:pPr>
    </w:p>
    <w:p>
      <w:pPr>
        <w:ind w:left="1020" w:hanging="177"/>
        <w:spacing w:after="0"/>
        <w:tabs>
          <w:tab w:leader="none" w:pos="1020" w:val="left"/>
        </w:tabs>
        <w:numPr>
          <w:ilvl w:val="0"/>
          <w:numId w:val="12"/>
        </w:numPr>
        <w:rPr>
          <w:rFonts w:ascii="Arial" w:cs="Arial" w:eastAsia="Arial" w:hAnsi="Arial"/>
          <w:sz w:val="18"/>
          <w:szCs w:val="18"/>
          <w:color w:val="457157"/>
        </w:rPr>
      </w:pPr>
      <w:r>
        <w:rPr>
          <w:rFonts w:ascii="Arial" w:cs="Arial" w:eastAsia="Arial" w:hAnsi="Arial"/>
          <w:sz w:val="18"/>
          <w:szCs w:val="18"/>
          <w:color w:val="auto"/>
        </w:rPr>
        <w:t>Identify and recommend to the Board candidates to fill director vacancies.</w:t>
      </w:r>
    </w:p>
    <w:p>
      <w:pPr>
        <w:spacing w:after="0" w:line="90" w:lineRule="exact"/>
        <w:rPr>
          <w:sz w:val="20"/>
          <w:szCs w:val="20"/>
          <w:color w:val="auto"/>
        </w:rPr>
      </w:pPr>
    </w:p>
    <w:p>
      <w:pPr>
        <w:jc w:val="both"/>
        <w:ind w:left="840" w:right="100"/>
        <w:spacing w:after="0" w:line="245" w:lineRule="auto"/>
        <w:rPr>
          <w:sz w:val="20"/>
          <w:szCs w:val="20"/>
          <w:color w:val="auto"/>
        </w:rPr>
      </w:pPr>
      <w:r>
        <w:rPr>
          <w:rFonts w:ascii="Arial" w:cs="Arial" w:eastAsia="Arial" w:hAnsi="Arial"/>
          <w:sz w:val="18"/>
          <w:szCs w:val="18"/>
          <w:color w:val="auto"/>
        </w:rPr>
        <w:t>The Nominating and Governance Committee is continually engaged in reviewing the skills, expertise and qualifications of our existing directors, as well as potential external candidates, to identify and nominate the best possible candidates to guide and support the Company’s strategy and its commitment to serve and care for our customers, the environment, the communities in which we work and our stockholders. This is a process that the Nominating and Governance Committee believes should continue to involve significant subjective judgments.</w:t>
      </w:r>
    </w:p>
    <w:p>
      <w:pPr>
        <w:spacing w:after="0" w:line="280" w:lineRule="exact"/>
        <w:rPr>
          <w:sz w:val="20"/>
          <w:szCs w:val="20"/>
          <w:color w:val="auto"/>
        </w:rPr>
      </w:pPr>
    </w:p>
    <w:p>
      <w:pPr>
        <w:jc w:val="both"/>
        <w:ind w:left="840" w:right="100"/>
        <w:spacing w:after="0" w:line="243" w:lineRule="auto"/>
        <w:rPr>
          <w:sz w:val="20"/>
          <w:szCs w:val="20"/>
          <w:color w:val="auto"/>
        </w:rPr>
      </w:pPr>
      <w:r>
        <w:rPr>
          <w:rFonts w:ascii="Arial" w:cs="Arial" w:eastAsia="Arial" w:hAnsi="Arial"/>
          <w:sz w:val="18"/>
          <w:szCs w:val="18"/>
          <w:color w:val="auto"/>
        </w:rPr>
        <w:t>The Nominating and Governance Committee considers current and future needs of the Board as a whole and reviews a matrix of experience, skills and expertise to inform nominee criteria. The Committee recommends individuals as nominees based on an evaluation of all factors deemed relevant, including personal and professional integrity and sound judgment, business and professional skills and experience, independence, possible conflicts of interest, diversity and the potential for effectiveness, in conjunction with the other directors, to serve the long-term interests of the stockholders. The Committee seeks diversity of background, thoughts and opinions on the Board obtained through, among other factors, diversity in business experience, professional expertise, gender and racial / ethnic background. The Nominating and Governance Committee has considered the gender and racial / ethnic composition of our Board, including the presence of three women, Mr. Plummer’s and Mr. Chinn’s self-identification as African American / Black and Mr. Gluski’s self-identification as Hispanic, and believes these factors, among numerous others, contribute to a valuable diversity of background, thoughts and opinions on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163830</wp:posOffset>
            </wp:positionV>
            <wp:extent cx="57607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tabs>
          <w:tab w:leader="none" w:pos="52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-162560</wp:posOffset>
            </wp:positionV>
            <wp:extent cx="471805"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027" w:gutter="0" w:footer="0" w:header="0"/>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20"/>
                <w:szCs w:val="20"/>
                <w:b w:val="1"/>
                <w:bCs w:val="1"/>
                <w:color w:val="auto"/>
              </w:rPr>
              <w:t>BOARD OF DIRECTORS</w:t>
            </w:r>
            <w:r>
              <w:rPr>
                <w:rFonts w:ascii="Arial" w:cs="Arial" w:eastAsia="Arial" w:hAnsi="Arial"/>
                <w:sz w:val="17"/>
                <w:szCs w:val="17"/>
                <w:color w:val="auto"/>
              </w:rPr>
              <w:t>​</w:t>
            </w:r>
          </w:p>
        </w:tc>
        <w:tc>
          <w:tcPr>
            <w:tcW w:w="3360" w:type="dxa"/>
            <w:vAlign w:val="bottom"/>
            <w:vMerge w:val="restart"/>
          </w:tcPr>
          <w:p>
            <w:pPr>
              <w:ind w:left="33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6"/>
                <w:szCs w:val="16"/>
                <w:b w:val="1"/>
                <w:bCs w:val="1"/>
                <w:color w:val="auto"/>
              </w:rPr>
              <w:t>​</w:t>
            </w:r>
          </w:p>
        </w:tc>
        <w:tc>
          <w:tcPr>
            <w:tcW w:w="3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36" w:lineRule="exact"/>
        <w:rPr>
          <w:sz w:val="20"/>
          <w:szCs w:val="20"/>
          <w:color w:val="auto"/>
        </w:rPr>
      </w:pPr>
    </w:p>
    <w:p>
      <w:pPr>
        <w:jc w:val="both"/>
        <w:ind w:left="840" w:right="20" w:hanging="26"/>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When nominating or re-nominating individuals to serve as directors of the Company, the Nominating</w:t>
      </w:r>
      <w:r>
        <w:rPr>
          <w:rFonts w:ascii="Arial" w:cs="Arial" w:eastAsia="Arial" w:hAnsi="Arial"/>
          <w:sz w:val="35"/>
          <w:szCs w:val="35"/>
          <w:color w:val="auto"/>
          <w:vertAlign w:val="superscript"/>
        </w:rPr>
        <w:t>​</w:t>
      </w:r>
      <w:r>
        <w:rPr>
          <w:rFonts w:ascii="Arial" w:cs="Arial" w:eastAsia="Arial" w:hAnsi="Arial"/>
          <w:sz w:val="18"/>
          <w:szCs w:val="18"/>
          <w:color w:val="auto"/>
        </w:rPr>
        <w:t xml:space="preserve"> and Governance Committee also considers prior contributions to the Board, evaluation feedback, tenure and age of the Board as a whole and tenure and age of the individual. The Nominating and Governance Committee takes into account the nature and extent of the directors’ other commitments when determining whether to re-nominate that individual for election to the Board. In addition to complying with the limitations on public company board memberships set forth in the Corporate Governance Guidelines, the Committee expects each director to ensure that his or her other commitments do not interfere with his or her duties as a director of the Company. The Committee’s primary formal mechanism to support Board refreshment is the retirement age policy set forth in the Corporate Governance Guidelines, which includes the guideline that directors will not stand for reelection to the Board after reaching age 75 unless the Nominating and Governance Committee, having considered the foregoing factors, recommends otherwise. The Committee believes that existing practices have been effective at bringing in new expertise and perspectives, while also maintaining the valuable industry knowledge, experience and stability that our longer-tenured directors provide.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-1828800</wp:posOffset>
            </wp:positionV>
            <wp:extent cx="5760720" cy="3454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60720" cy="3454400"/>
                    </a:xfrm>
                    <a:prstGeom prst="rect">
                      <a:avLst/>
                    </a:prstGeom>
                    <a:noFill/>
                  </pic:spPr>
                </pic:pic>
              </a:graphicData>
            </a:graphic>
          </wp:anchor>
        </w:drawing>
      </w:r>
    </w:p>
    <w:p>
      <w:pPr>
        <w:spacing w:after="0" w:line="388" w:lineRule="exact"/>
        <w:rPr>
          <w:sz w:val="20"/>
          <w:szCs w:val="20"/>
          <w:color w:val="auto"/>
        </w:rPr>
      </w:pPr>
    </w:p>
    <w:p>
      <w:pPr>
        <w:jc w:val="both"/>
        <w:ind w:left="840" w:right="100"/>
        <w:spacing w:after="0" w:line="244" w:lineRule="auto"/>
        <w:rPr>
          <w:sz w:val="20"/>
          <w:szCs w:val="20"/>
          <w:color w:val="auto"/>
        </w:rPr>
      </w:pPr>
      <w:r>
        <w:rPr>
          <w:rFonts w:ascii="Arial" w:cs="Arial" w:eastAsia="Arial" w:hAnsi="Arial"/>
          <w:sz w:val="18"/>
          <w:szCs w:val="18"/>
          <w:color w:val="auto"/>
        </w:rPr>
        <w:t>The Nominating and Governance Committee will consider all potential nominees on their merits, regardless of source, and welcomes suggestions from directors, members of management, and stockholders. Before being recommended for nomination by the Committee, director candidates are interviewed by the Chief Executive Officer, the Chair of the Nominating and Governance Committee, and the Non-Executive Chair of the Board, as well as additional members of the Board and an external consultant. To suggest a nominee for consideration by the Nominating and Governance Committee, you should submit your candidate’s name, together with biographical information and his or her written consent to nomination to the Chair of the Nominating and Governance Committee, Waste Management, Inc., 800 Capitol Street, Suite 3000, Houston, Texas 77002, between November 2, 2025 and December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163830</wp:posOffset>
            </wp:positionV>
            <wp:extent cx="57607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Related Party Transactions</w:t>
      </w:r>
    </w:p>
    <w:p>
      <w:pPr>
        <w:spacing w:after="0" w:line="126"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The Board of Directors has adopted a written Related Party Transactions Policy for the review and approval of related party transactions. Our policy generally defines related party transactions as current or proposed transactions since the beginning of the last fiscal year in excess of $120,000 in which (a) the Company is a participant and (b) any director; executive officer; immediate family member of any director or executive officer; or party known to be the owner of more than 5% of the Company’s Common Stock has a direct or indirect material interest. In addition, the policy sets forth certain transactions that will not be considered related party transactions, including (a) executive officer compensation and benefit arrangements; (b) director compensation arrangements; (c) business travel and expenses, advances and reimbursements in the ordinary course of business;</w:t>
      </w:r>
    </w:p>
    <w:p>
      <w:pPr>
        <w:spacing w:after="0" w:line="210" w:lineRule="exact"/>
        <w:rPr>
          <w:sz w:val="20"/>
          <w:szCs w:val="20"/>
          <w:color w:val="auto"/>
        </w:rPr>
      </w:pPr>
    </w:p>
    <w:p>
      <w:pPr>
        <w:jc w:val="both"/>
        <w:ind w:left="820" w:right="60" w:hanging="4"/>
        <w:spacing w:after="0" w:line="253" w:lineRule="auto"/>
        <w:tabs>
          <w:tab w:leader="none" w:pos="1179"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indemnification payments and advancement of expenses, and payments under directors’ and officers’ indemnification insurance policies; (e) any transaction between the Company and any entity in which a related party has a relationship solely as a director; a less than 5% equity holder; a beneficial owner of the Company’s Common Stock that reports such ownership on a Schedule 13G due to lack of control or intent to influence control; or an employee (other than an executive officer) and (f) purchases of Company debt securities, provided that the related party has a passive ownership of no more than 2% of the principal amount of any outstanding series. The Nominating and Governance Committee is responsible for overseeing the policy.</w:t>
      </w:r>
    </w:p>
    <w:p>
      <w:pPr>
        <w:spacing w:after="0" w:line="291"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color w:val="auto"/>
        </w:rPr>
        <w:t>All executive officers and directors are required to notify the Chief Legal Officer as soon as practicable of any potential related party transaction that involves the Company. The Chief Legal Officer will determine whether such transaction or relationship constitutes a related party transaction that must be referred to the Nominating and Governance Committee. In the event that the Chief Legal Officer is a participant in a potential related party transaction, the determination whether the transaction must be referred to the Nominating and Governance Committee shall be made by the Chief Executive Officer, with consultation from the Corporate Secretary and the Chief Compliance and Ethics Officer. Any member of the Committee who has an interest in a transaction presented for consideration will abstain from voting on the related party transaction.</w:t>
      </w:r>
    </w:p>
    <w:p>
      <w:pPr>
        <w:spacing w:after="0" w:line="267"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Arial" w:cs="Arial" w:eastAsia="Arial" w:hAnsi="Arial"/>
                <w:sz w:val="18"/>
                <w:szCs w:val="18"/>
                <w:color w:val="auto"/>
              </w:rPr>
              <w:t>The Nominating and Governance Committee will review a detailed description</w:t>
            </w:r>
          </w:p>
        </w:tc>
        <w:tc>
          <w:tcPr>
            <w:tcW w:w="320" w:type="dxa"/>
            <w:vAlign w:val="bottom"/>
          </w:tcPr>
          <w:p>
            <w:pPr>
              <w:ind w:left="60"/>
              <w:spacing w:after="0"/>
              <w:rPr>
                <w:sz w:val="20"/>
                <w:szCs w:val="20"/>
                <w:color w:val="auto"/>
              </w:rPr>
            </w:pPr>
            <w:r>
              <w:rPr>
                <w:rFonts w:ascii="Arial" w:cs="Arial" w:eastAsia="Arial" w:hAnsi="Arial"/>
                <w:sz w:val="18"/>
                <w:szCs w:val="18"/>
                <w:color w:val="auto"/>
              </w:rPr>
              <w:t>of</w:t>
            </w:r>
          </w:p>
        </w:tc>
        <w:tc>
          <w:tcPr>
            <w:tcW w:w="1420" w:type="dxa"/>
            <w:vAlign w:val="bottom"/>
          </w:tcPr>
          <w:p>
            <w:pPr>
              <w:jc w:val="right"/>
              <w:spacing w:after="0"/>
              <w:rPr>
                <w:sz w:val="20"/>
                <w:szCs w:val="20"/>
                <w:color w:val="auto"/>
              </w:rPr>
            </w:pPr>
            <w:r>
              <w:rPr>
                <w:rFonts w:ascii="Arial" w:cs="Arial" w:eastAsia="Arial" w:hAnsi="Arial"/>
                <w:sz w:val="18"/>
                <w:szCs w:val="18"/>
                <w:color w:val="auto"/>
              </w:rPr>
              <w:t>the transaction,</w:t>
            </w:r>
          </w:p>
        </w:tc>
        <w:tc>
          <w:tcPr>
            <w:tcW w:w="0" w:type="dxa"/>
            <w:vAlign w:val="bottom"/>
          </w:tcPr>
          <w:p>
            <w:pPr>
              <w:spacing w:after="0"/>
              <w:rPr>
                <w:sz w:val="1"/>
                <w:szCs w:val="1"/>
                <w:color w:val="auto"/>
              </w:rPr>
            </w:pPr>
          </w:p>
        </w:tc>
      </w:tr>
      <w:tr>
        <w:trPr>
          <w:trHeight w:val="162"/>
        </w:trPr>
        <w:tc>
          <w:tcPr>
            <w:tcW w:w="820" w:type="dxa"/>
            <w:vAlign w:val="bottom"/>
          </w:tcPr>
          <w:p>
            <w:pPr>
              <w:spacing w:after="0" w:line="162" w:lineRule="exact"/>
              <w:rPr>
                <w:sz w:val="20"/>
                <w:szCs w:val="20"/>
                <w:color w:val="auto"/>
              </w:rPr>
            </w:pPr>
            <w:r>
              <w:rPr>
                <w:rFonts w:ascii="Arial" w:cs="Arial" w:eastAsia="Arial" w:hAnsi="Arial"/>
                <w:sz w:val="18"/>
                <w:szCs w:val="18"/>
                <w:color w:val="auto"/>
              </w:rPr>
              <w:t>12</w:t>
            </w:r>
          </w:p>
        </w:tc>
        <w:tc>
          <w:tcPr>
            <w:tcW w:w="6500" w:type="dxa"/>
            <w:vAlign w:val="bottom"/>
          </w:tcPr>
          <w:p>
            <w:pPr>
              <w:ind w:left="780"/>
              <w:spacing w:after="0" w:line="162" w:lineRule="exact"/>
              <w:rPr>
                <w:sz w:val="20"/>
                <w:szCs w:val="20"/>
                <w:color w:val="auto"/>
              </w:rPr>
            </w:pPr>
            <w:r>
              <w:rPr>
                <w:rFonts w:ascii="Arial" w:cs="Arial" w:eastAsia="Arial" w:hAnsi="Arial"/>
                <w:sz w:val="18"/>
                <w:szCs w:val="18"/>
                <w:color w:val="auto"/>
              </w:rPr>
              <w:t>2025 Proxy Statement</w:t>
            </w:r>
          </w:p>
        </w:tc>
        <w:tc>
          <w:tcPr>
            <w:tcW w:w="320" w:type="dxa"/>
            <w:vAlign w:val="bottom"/>
            <w:vMerge w:val="restart"/>
          </w:tcPr>
          <w:p>
            <w:pPr>
              <w:ind w:left="60"/>
              <w:spacing w:after="0"/>
              <w:rPr>
                <w:sz w:val="20"/>
                <w:szCs w:val="20"/>
                <w:color w:val="auto"/>
              </w:rPr>
            </w:pPr>
            <w:r>
              <w:rPr>
                <w:rFonts w:ascii="Arial" w:cs="Arial" w:eastAsia="Arial" w:hAnsi="Arial"/>
                <w:sz w:val="18"/>
                <w:szCs w:val="18"/>
                <w:color w:val="auto"/>
                <w:w w:val="95"/>
              </w:rPr>
              <w:t>the</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benefits to the</w:t>
            </w:r>
          </w:p>
        </w:tc>
        <w:tc>
          <w:tcPr>
            <w:tcW w:w="0" w:type="dxa"/>
            <w:vAlign w:val="bottom"/>
          </w:tcPr>
          <w:p>
            <w:pPr>
              <w:spacing w:after="0"/>
              <w:rPr>
                <w:sz w:val="1"/>
                <w:szCs w:val="1"/>
                <w:color w:val="auto"/>
              </w:rPr>
            </w:pPr>
          </w:p>
        </w:tc>
      </w:tr>
      <w:tr>
        <w:trPr>
          <w:trHeight w:val="107"/>
        </w:trPr>
        <w:tc>
          <w:tcPr>
            <w:tcW w:w="820" w:type="dxa"/>
            <w:vAlign w:val="bottom"/>
          </w:tcPr>
          <w:p>
            <w:pPr>
              <w:spacing w:after="0" w:line="107" w:lineRule="exact"/>
              <w:rPr>
                <w:sz w:val="20"/>
                <w:szCs w:val="20"/>
                <w:color w:val="auto"/>
              </w:rPr>
            </w:pPr>
            <w:r>
              <w:rPr>
                <w:rFonts w:ascii="Arial" w:cs="Arial" w:eastAsia="Arial" w:hAnsi="Arial"/>
                <w:sz w:val="10"/>
                <w:szCs w:val="10"/>
                <w:color w:val="auto"/>
              </w:rPr>
              <w:t>including</w:t>
            </w:r>
            <w:r>
              <w:rPr>
                <w:rFonts w:ascii="Arial" w:cs="Arial" w:eastAsia="Arial" w:hAnsi="Arial"/>
                <w:sz w:val="12"/>
                <w:szCs w:val="12"/>
                <w:b w:val="1"/>
                <w:bCs w:val="1"/>
                <w:color w:val="457157"/>
              </w:rPr>
              <w:t>|</w:t>
            </w:r>
          </w:p>
        </w:tc>
        <w:tc>
          <w:tcPr>
            <w:tcW w:w="6500" w:type="dxa"/>
            <w:vAlign w:val="bottom"/>
          </w:tcPr>
          <w:p>
            <w:pPr>
              <w:ind w:left="60"/>
              <w:spacing w:after="0" w:line="107" w:lineRule="exact"/>
              <w:rPr>
                <w:sz w:val="20"/>
                <w:szCs w:val="20"/>
                <w:color w:val="auto"/>
              </w:rPr>
            </w:pPr>
            <w:r>
              <w:rPr>
                <w:rFonts w:ascii="Arial" w:cs="Arial" w:eastAsia="Arial" w:hAnsi="Arial"/>
                <w:sz w:val="12"/>
                <w:szCs w:val="12"/>
                <w:color w:val="auto"/>
              </w:rPr>
              <w:t>the terms of the transaction; the business purpose of the transaction;</w:t>
            </w:r>
          </w:p>
        </w:tc>
        <w:tc>
          <w:tcPr>
            <w:tcW w:w="32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945515</wp:posOffset>
            </wp:positionH>
            <wp:positionV relativeFrom="paragraph">
              <wp:posOffset>-170180</wp:posOffset>
            </wp:positionV>
            <wp:extent cx="471805"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jc w:val="both"/>
        <w:ind w:left="820" w:right="60"/>
        <w:spacing w:after="0" w:line="266" w:lineRule="auto"/>
        <w:rPr>
          <w:sz w:val="20"/>
          <w:szCs w:val="20"/>
          <w:color w:val="auto"/>
        </w:rPr>
      </w:pPr>
      <w:r>
        <w:rPr>
          <w:rFonts w:ascii="Arial" w:cs="Arial" w:eastAsia="Arial" w:hAnsi="Arial"/>
          <w:sz w:val="18"/>
          <w:szCs w:val="18"/>
          <w:color w:val="auto"/>
        </w:rPr>
        <w:t>Company and to the relevant related party; and whether the transaction would require a waiver of the Company’s Code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151130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74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BOARD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ind w:left="820" w:right="60"/>
        <w:spacing w:after="0" w:line="287" w:lineRule="auto"/>
        <w:rPr>
          <w:sz w:val="20"/>
          <w:szCs w:val="20"/>
          <w:color w:val="auto"/>
        </w:rPr>
      </w:pPr>
      <w:r>
        <w:rPr>
          <w:rFonts w:ascii="Arial" w:cs="Arial" w:eastAsia="Arial" w:hAnsi="Arial"/>
          <w:sz w:val="18"/>
          <w:szCs w:val="18"/>
          <w:color w:val="auto"/>
        </w:rPr>
        <w:t>In determining whether to approve a related party transaction, the Nominating and Governance Committee will consider, among other things, the following factors:</w:t>
      </w:r>
    </w:p>
    <w:p>
      <w:pPr>
        <w:spacing w:after="0" w:line="45" w:lineRule="exact"/>
        <w:rPr>
          <w:sz w:val="20"/>
          <w:szCs w:val="20"/>
          <w:color w:val="auto"/>
        </w:rPr>
      </w:pPr>
    </w:p>
    <w:p>
      <w:pPr>
        <w:ind w:left="1360" w:right="80" w:hanging="184"/>
        <w:spacing w:after="0" w:line="287" w:lineRule="auto"/>
        <w:tabs>
          <w:tab w:leader="none" w:pos="1360" w:val="left"/>
        </w:tabs>
        <w:numPr>
          <w:ilvl w:val="0"/>
          <w:numId w:val="14"/>
        </w:numPr>
        <w:rPr>
          <w:rFonts w:ascii="Arial" w:cs="Arial" w:eastAsia="Arial" w:hAnsi="Arial"/>
          <w:sz w:val="18"/>
          <w:szCs w:val="18"/>
          <w:color w:val="457157"/>
        </w:rPr>
      </w:pPr>
      <w:r>
        <w:rPr>
          <w:rFonts w:ascii="Arial" w:cs="Arial" w:eastAsia="Arial" w:hAnsi="Arial"/>
          <w:sz w:val="18"/>
          <w:szCs w:val="18"/>
          <w:color w:val="auto"/>
        </w:rPr>
        <w:t>whether the terms of the related party transaction are fair to the Company and such terms would be reasonable in an arms-length transaction;</w:t>
      </w:r>
    </w:p>
    <w:p>
      <w:pPr>
        <w:spacing w:after="0" w:line="44" w:lineRule="exact"/>
        <w:rPr>
          <w:rFonts w:ascii="Arial" w:cs="Arial" w:eastAsia="Arial" w:hAnsi="Arial"/>
          <w:sz w:val="18"/>
          <w:szCs w:val="18"/>
          <w:color w:val="457157"/>
        </w:rPr>
      </w:pPr>
    </w:p>
    <w:p>
      <w:pPr>
        <w:ind w:left="1360" w:hanging="184"/>
        <w:spacing w:after="0"/>
        <w:tabs>
          <w:tab w:leader="none" w:pos="1360" w:val="left"/>
        </w:tabs>
        <w:numPr>
          <w:ilvl w:val="0"/>
          <w:numId w:val="14"/>
        </w:numPr>
        <w:rPr>
          <w:rFonts w:ascii="Arial" w:cs="Arial" w:eastAsia="Arial" w:hAnsi="Arial"/>
          <w:sz w:val="18"/>
          <w:szCs w:val="18"/>
          <w:color w:val="457157"/>
        </w:rPr>
      </w:pPr>
      <w:r>
        <w:rPr>
          <w:rFonts w:ascii="Arial" w:cs="Arial" w:eastAsia="Arial" w:hAnsi="Arial"/>
          <w:sz w:val="18"/>
          <w:szCs w:val="18"/>
          <w:color w:val="auto"/>
        </w:rPr>
        <w:t>whether there are business reasons for the Company to enter into the related party transaction;</w:t>
      </w:r>
    </w:p>
    <w:p>
      <w:pPr>
        <w:spacing w:after="0" w:line="117" w:lineRule="exact"/>
        <w:rPr>
          <w:rFonts w:ascii="Arial" w:cs="Arial" w:eastAsia="Arial" w:hAnsi="Arial"/>
          <w:sz w:val="18"/>
          <w:szCs w:val="18"/>
          <w:color w:val="457157"/>
        </w:rPr>
      </w:pPr>
    </w:p>
    <w:p>
      <w:pPr>
        <w:ind w:left="1360" w:right="620" w:hanging="184"/>
        <w:spacing w:after="0" w:line="263" w:lineRule="auto"/>
        <w:tabs>
          <w:tab w:leader="none" w:pos="1360" w:val="left"/>
        </w:tabs>
        <w:numPr>
          <w:ilvl w:val="0"/>
          <w:numId w:val="14"/>
        </w:numPr>
        <w:rPr>
          <w:rFonts w:ascii="Arial" w:cs="Arial" w:eastAsia="Arial" w:hAnsi="Arial"/>
          <w:sz w:val="18"/>
          <w:szCs w:val="18"/>
          <w:color w:val="457157"/>
        </w:rPr>
      </w:pPr>
      <w:r>
        <w:rPr>
          <w:rFonts w:ascii="Arial" w:cs="Arial" w:eastAsia="Arial" w:hAnsi="Arial"/>
          <w:sz w:val="18"/>
          <w:szCs w:val="18"/>
          <w:color w:val="auto"/>
        </w:rPr>
        <w:t>whether the related party transaction would impair the independence of any non-employee director;</w:t>
      </w:r>
    </w:p>
    <w:p>
      <w:pPr>
        <w:spacing w:after="0" w:line="313" w:lineRule="exact"/>
        <w:rPr>
          <w:rFonts w:ascii="Arial" w:cs="Arial" w:eastAsia="Arial" w:hAnsi="Arial"/>
          <w:sz w:val="18"/>
          <w:szCs w:val="18"/>
          <w:color w:val="457157"/>
        </w:rPr>
      </w:pPr>
    </w:p>
    <w:p>
      <w:pPr>
        <w:ind w:left="1360" w:right="80" w:hanging="184"/>
        <w:spacing w:after="0" w:line="287" w:lineRule="auto"/>
        <w:tabs>
          <w:tab w:leader="none" w:pos="1360" w:val="left"/>
        </w:tabs>
        <w:numPr>
          <w:ilvl w:val="0"/>
          <w:numId w:val="14"/>
        </w:numPr>
        <w:rPr>
          <w:rFonts w:ascii="Arial" w:cs="Arial" w:eastAsia="Arial" w:hAnsi="Arial"/>
          <w:sz w:val="18"/>
          <w:szCs w:val="18"/>
          <w:color w:val="457157"/>
        </w:rPr>
      </w:pPr>
      <w:r>
        <w:rPr>
          <w:rFonts w:ascii="Arial" w:cs="Arial" w:eastAsia="Arial" w:hAnsi="Arial"/>
          <w:sz w:val="18"/>
          <w:szCs w:val="18"/>
          <w:color w:val="auto"/>
        </w:rPr>
        <w:t>whether the related party transaction would present an improper conflict of interest for any director or executive officer of the Company; and</w:t>
      </w:r>
    </w:p>
    <w:p>
      <w:pPr>
        <w:spacing w:after="0" w:line="44" w:lineRule="exact"/>
        <w:rPr>
          <w:rFonts w:ascii="Arial" w:cs="Arial" w:eastAsia="Arial" w:hAnsi="Arial"/>
          <w:sz w:val="18"/>
          <w:szCs w:val="18"/>
          <w:color w:val="457157"/>
        </w:rPr>
      </w:pPr>
    </w:p>
    <w:p>
      <w:pPr>
        <w:ind w:left="1360" w:hanging="184"/>
        <w:spacing w:after="0"/>
        <w:tabs>
          <w:tab w:leader="none" w:pos="1360" w:val="left"/>
        </w:tabs>
        <w:numPr>
          <w:ilvl w:val="0"/>
          <w:numId w:val="14"/>
        </w:numPr>
        <w:rPr>
          <w:rFonts w:ascii="Arial" w:cs="Arial" w:eastAsia="Arial" w:hAnsi="Arial"/>
          <w:sz w:val="18"/>
          <w:szCs w:val="18"/>
          <w:color w:val="457157"/>
        </w:rPr>
      </w:pPr>
      <w:r>
        <w:rPr>
          <w:rFonts w:ascii="Arial" w:cs="Arial" w:eastAsia="Arial" w:hAnsi="Arial"/>
          <w:sz w:val="18"/>
          <w:szCs w:val="18"/>
          <w:color w:val="auto"/>
        </w:rPr>
        <w:t>whether the related party transaction is material to the Company or the individual.</w:t>
      </w:r>
    </w:p>
    <w:p>
      <w:pPr>
        <w:spacing w:after="0" w:line="117"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color w:val="auto"/>
        </w:rPr>
        <w:t>The Nominating and Governance Committee’s consideration of related party transactions and its determination of whether to approve such a transaction are reflected in the minutes of the Nominating and Governance Committee’s meetings. Based on its review processes for potential related party transactions in 2024, the Company identified certain continuing transactions involving employment of immediate family members of executive officers that the Nominating and Governance Committee had previously considered and approved. The Nominating and Governance Committee re-reviewed the employment relationships set forth below and again concluded that such transactions are not inconsistent with the interests of the Company and its stockholders. Other than as reported below, we are not aware of any other transactions in 2024 that are required to be disclosed.</w:t>
      </w:r>
    </w:p>
    <w:p>
      <w:pPr>
        <w:spacing w:after="0" w:line="73" w:lineRule="exact"/>
        <w:rPr>
          <w:sz w:val="20"/>
          <w:szCs w:val="20"/>
          <w:color w:val="auto"/>
        </w:rPr>
      </w:pPr>
    </w:p>
    <w:p>
      <w:pPr>
        <w:jc w:val="both"/>
        <w:ind w:left="1180" w:right="60"/>
        <w:spacing w:after="0" w:line="255" w:lineRule="auto"/>
        <w:rPr>
          <w:sz w:val="20"/>
          <w:szCs w:val="20"/>
          <w:color w:val="auto"/>
        </w:rPr>
      </w:pPr>
      <w:r>
        <w:rPr>
          <w:rFonts w:ascii="Arial" w:cs="Arial" w:eastAsia="Arial" w:hAnsi="Arial"/>
          <w:sz w:val="18"/>
          <w:szCs w:val="18"/>
          <w:color w:val="auto"/>
        </w:rPr>
        <w:t>John Morris is our Executive Vice President and Chief Operating Officer. The brother -in -law of Mr. Morris continues to be employed by a subsidiary of Waste Management, Inc. as a Senior Manager of Talent Management &amp; Learning Optimization. In 2024, Mr. Morris’s brother-in-law received total cash compensation in excess of $120,000, but less than $ 220,000. The compensation of Mr. Morris’s brother-in-law is determined in accordance with the compensation practices generally applicable to employees of Company subsidiaries with comparable qualifications and responsibilities and holding similar positions, and without the involvement, input or approval of Mr. Morris. Mr. Morris is not directly or indirectly responsible for managing or overseeing the work of his brother-in-law.</w:t>
      </w:r>
    </w:p>
    <w:p>
      <w:pPr>
        <w:spacing w:after="0" w:line="293" w:lineRule="exact"/>
        <w:rPr>
          <w:sz w:val="20"/>
          <w:szCs w:val="20"/>
          <w:color w:val="auto"/>
        </w:rPr>
      </w:pPr>
    </w:p>
    <w:p>
      <w:pPr>
        <w:jc w:val="both"/>
        <w:ind w:left="1180" w:right="60"/>
        <w:spacing w:after="0" w:line="254" w:lineRule="auto"/>
        <w:rPr>
          <w:sz w:val="20"/>
          <w:szCs w:val="20"/>
          <w:color w:val="auto"/>
        </w:rPr>
      </w:pPr>
      <w:r>
        <w:rPr>
          <w:rFonts w:ascii="Arial" w:cs="Arial" w:eastAsia="Arial" w:hAnsi="Arial"/>
          <w:sz w:val="18"/>
          <w:szCs w:val="18"/>
          <w:color w:val="auto"/>
        </w:rPr>
        <w:t>Kelly Rooney served as our Senior Vice President and Chief Human Resources and Diversity &amp; Inclusion Officer during 2024 until her voluntary resignation in September. Two brothers of Ms. Rooney continue to be employed by subsidiaries of Waste Management, Inc. Currently, one brother is a Senior District Manager, and one brother is an Area Safety Director. Each of Ms. Rooney’s brothers received total cash compensation in 2024 in excess of $120,000 but less than $280,000 and an equity incentive grant with a target value of less than $50,000. The compensation of Ms. Rooney’s brothers is determined in accordance with the compensation practices generally applicable to employees of Company subsidiaries with comparable qualifications and responsibilities and holding similar positions, and without the involvement, input or approval of Ms. Rooney. Ms. Rooney was not directly or indirectly responsible for managing or overseeing the work of her brothers.</w:t>
      </w:r>
    </w:p>
    <w:p>
      <w:pPr>
        <w:spacing w:after="0" w:line="39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Board of Directors Governing Documents</w:t>
      </w:r>
    </w:p>
    <w:p>
      <w:pPr>
        <w:spacing w:after="0" w:line="126" w:lineRule="exact"/>
        <w:rPr>
          <w:sz w:val="20"/>
          <w:szCs w:val="20"/>
          <w:color w:val="auto"/>
        </w:rPr>
      </w:pPr>
    </w:p>
    <w:p>
      <w:pPr>
        <w:jc w:val="both"/>
        <w:ind w:left="820" w:right="40"/>
        <w:spacing w:after="0" w:line="261" w:lineRule="auto"/>
        <w:rPr>
          <w:sz w:val="20"/>
          <w:szCs w:val="20"/>
          <w:color w:val="auto"/>
        </w:rPr>
      </w:pPr>
      <w:r>
        <w:rPr>
          <w:rFonts w:ascii="Arial" w:cs="Arial" w:eastAsia="Arial" w:hAnsi="Arial"/>
          <w:sz w:val="18"/>
          <w:szCs w:val="18"/>
          <w:color w:val="auto"/>
        </w:rPr>
        <w:t>Stockholders may obtain copies of our Corporate Governance Guidelines, the charters of the Audit Committee, the MD&amp;C Committee, and the Nominating and Governance Committee, and our Code of Conduct free of charge by contacting the Corporate Secretary, Waste Management, Inc., 800 Capitol Street, Suite 3000, Houston, Texas 77002 or by accessing the “Sustainability &amp; Governance —  Corporate Governance” section of investors.wm.com.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20"/>
                <w:szCs w:val="20"/>
                <w:b w:val="1"/>
                <w:bCs w:val="1"/>
                <w:color w:val="auto"/>
              </w:rPr>
              <w:t>BOARD OF DIRECTORS</w:t>
            </w:r>
            <w:r>
              <w:rPr>
                <w:rFonts w:ascii="Arial" w:cs="Arial" w:eastAsia="Arial" w:hAnsi="Arial"/>
                <w:sz w:val="17"/>
                <w:szCs w:val="17"/>
                <w:color w:val="auto"/>
              </w:rPr>
              <w:t>​</w:t>
            </w:r>
          </w:p>
        </w:tc>
        <w:tc>
          <w:tcPr>
            <w:tcW w:w="3360" w:type="dxa"/>
            <w:vAlign w:val="bottom"/>
            <w:vMerge w:val="restart"/>
          </w:tcPr>
          <w:p>
            <w:pPr>
              <w:ind w:left="33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6"/>
                <w:szCs w:val="16"/>
                <w:b w:val="1"/>
                <w:bCs w:val="1"/>
                <w:color w:val="auto"/>
              </w:rPr>
              <w:t>​</w:t>
            </w:r>
          </w:p>
        </w:tc>
        <w:tc>
          <w:tcPr>
            <w:tcW w:w="3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1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Non-Employee Director Compensation</w:t>
      </w:r>
    </w:p>
    <w:p>
      <w:pPr>
        <w:spacing w:after="0" w:line="126" w:lineRule="exact"/>
        <w:rPr>
          <w:sz w:val="20"/>
          <w:szCs w:val="20"/>
          <w:color w:val="auto"/>
        </w:rPr>
      </w:pPr>
    </w:p>
    <w:p>
      <w:pPr>
        <w:jc w:val="both"/>
        <w:ind w:left="820" w:right="60"/>
        <w:spacing w:after="0" w:line="264" w:lineRule="auto"/>
        <w:rPr>
          <w:sz w:val="20"/>
          <w:szCs w:val="20"/>
          <w:color w:val="auto"/>
        </w:rPr>
      </w:pPr>
      <w:r>
        <w:rPr>
          <w:rFonts w:ascii="Arial" w:cs="Arial" w:eastAsia="Arial" w:hAnsi="Arial"/>
          <w:sz w:val="18"/>
          <w:szCs w:val="18"/>
          <w:color w:val="auto"/>
        </w:rPr>
        <w:t>Our non -employee director compensation program consists of equity awards and cash consideration. Director compensation is reviewed annually by the MD&amp;C Committee, with the assistance of an independent third-party consultant, and set by action of the Board of Directors. The Board’s goal in designing directors’ compensation is to provide a competitive package that will enable the Company to attract and retain highly skilled individuals with relevant experience. The compensation is also designed to reward the time and talent required to serve on the board of a company of our size and complexity. The Board seeks to provide sufficient flexibility in the form of compensation delivered to meet the needs of different individuals while ensuring that a substantial portion of directors’ compensation is linked to the long-term success of the Company. Following its annual review, the MD&amp;C Committee did not recommend any changes to director compensation for 2024. As a result, the 2024 non-employee director compensation levels remained consistent with the levels established in 2022.</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5" w:lineRule="exact"/>
        <w:rPr>
          <w:sz w:val="20"/>
          <w:szCs w:val="20"/>
          <w:color w:val="auto"/>
        </w:rPr>
      </w:pPr>
    </w:p>
    <w:p>
      <w:pPr>
        <w:jc w:val="both"/>
        <w:ind w:left="820" w:right="60"/>
        <w:spacing w:after="0" w:line="263" w:lineRule="auto"/>
        <w:rPr>
          <w:sz w:val="20"/>
          <w:szCs w:val="20"/>
          <w:color w:val="auto"/>
        </w:rPr>
      </w:pPr>
      <w:r>
        <w:rPr>
          <w:rFonts w:ascii="Arial" w:cs="Arial" w:eastAsia="Arial" w:hAnsi="Arial"/>
          <w:sz w:val="18"/>
          <w:szCs w:val="18"/>
          <w:color w:val="auto"/>
        </w:rPr>
        <w:t>Non-employee directors receive an annual grant of shares of Common Stock under the Company’s current stock incentive plan. The shares are fully vested at the time of grant; however, non-employee directors are required to hold all net shares throughout their tenure on the Board and are subject to ownership guidelines, as discussed below. The grant of shares is generally made in two equal installments, and the number of shares issued is based on the market value of our Common Stock on the dates of grant, which are typically January 15 and July 15 of each year. Each non-employee director serving at the time received a grant of Common Stock valued at approximately $90,000 in January 2024 and July 2024. Additionally, any director serving as Non-Executive Chair of the Board receives an additional grant of Common Stock valued at approximately $50,000 in January and July of each year.</w:t>
      </w:r>
    </w:p>
    <w:p>
      <w:pPr>
        <w:spacing w:after="0" w:line="200" w:lineRule="exact"/>
        <w:rPr>
          <w:sz w:val="20"/>
          <w:szCs w:val="20"/>
          <w:color w:val="auto"/>
        </w:rPr>
      </w:pPr>
    </w:p>
    <w:p>
      <w:pPr>
        <w:spacing w:after="0" w:line="218"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15" w:lineRule="exact"/>
        <w:rPr>
          <w:sz w:val="20"/>
          <w:szCs w:val="20"/>
          <w:color w:val="auto"/>
        </w:rPr>
      </w:pPr>
    </w:p>
    <w:p>
      <w:pPr>
        <w:jc w:val="both"/>
        <w:ind w:left="820" w:right="60"/>
        <w:spacing w:after="0" w:line="273" w:lineRule="auto"/>
        <w:rPr>
          <w:sz w:val="20"/>
          <w:szCs w:val="20"/>
          <w:color w:val="auto"/>
        </w:rPr>
      </w:pPr>
      <w:r>
        <w:rPr>
          <w:rFonts w:ascii="Arial" w:cs="Arial" w:eastAsia="Arial" w:hAnsi="Arial"/>
          <w:sz w:val="18"/>
          <w:szCs w:val="18"/>
          <w:color w:val="auto"/>
        </w:rPr>
        <w:t>Non-employee directors received an annual cash retainer of $120,000 for Board service in 2024. Committee chairs received the additional annual retainer payments set forth below. Directors do not receive meeting fees in addition to the retainers. The annual cash retainer is generally paid in advance in two equal installments in January and July of each year.</w:t>
      </w:r>
    </w:p>
    <w:p>
      <w:pPr>
        <w:spacing w:after="0" w:line="84" w:lineRule="exact"/>
        <w:rPr>
          <w:sz w:val="20"/>
          <w:szCs w:val="20"/>
          <w:color w:val="auto"/>
        </w:rPr>
      </w:pPr>
    </w:p>
    <w:p>
      <w:pPr>
        <w:ind w:left="3600" w:right="2200" w:hanging="2069"/>
        <w:spacing w:after="0" w:line="260" w:lineRule="auto"/>
        <w:rPr>
          <w:sz w:val="20"/>
          <w:szCs w:val="20"/>
          <w:color w:val="auto"/>
        </w:rPr>
      </w:pPr>
      <w:r>
        <w:rPr>
          <w:rFonts w:ascii="Arial" w:cs="Arial" w:eastAsia="Arial" w:hAnsi="Arial"/>
          <w:sz w:val="18"/>
          <w:szCs w:val="18"/>
          <w:b w:val="1"/>
          <w:bCs w:val="1"/>
          <w:color w:val="auto"/>
        </w:rPr>
        <w:t>Annual Chair Retainers:</w:t>
      </w:r>
      <w:r>
        <w:rPr>
          <w:rFonts w:ascii="Arial" w:cs="Arial" w:eastAsia="Arial" w:hAnsi="Arial"/>
          <w:sz w:val="18"/>
          <w:szCs w:val="18"/>
          <w:color w:val="auto"/>
        </w:rPr>
        <w:t>$100,000 for Non -Executive Chair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$25,000 for Audit Committee Chair</w:t>
      </w:r>
    </w:p>
    <w:p>
      <w:pPr>
        <w:spacing w:after="0" w:line="2"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$20,000 for MD&amp;C Committee Chair</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$20,000 for Nominating and Governance Committee Chair</w:t>
      </w:r>
    </w:p>
    <w:p>
      <w:pPr>
        <w:spacing w:after="0" w:line="209"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Stock Ownership Guidelines for Non-Employee Directors</w:t>
      </w:r>
    </w:p>
    <w:p>
      <w:pPr>
        <w:spacing w:after="0" w:line="115" w:lineRule="exact"/>
        <w:rPr>
          <w:sz w:val="20"/>
          <w:szCs w:val="20"/>
          <w:color w:val="auto"/>
        </w:rPr>
      </w:pPr>
    </w:p>
    <w:p>
      <w:pPr>
        <w:jc w:val="both"/>
        <w:ind w:left="820" w:right="60"/>
        <w:spacing w:after="0" w:line="263" w:lineRule="auto"/>
        <w:rPr>
          <w:sz w:val="20"/>
          <w:szCs w:val="20"/>
          <w:color w:val="auto"/>
        </w:rPr>
      </w:pPr>
      <w:r>
        <w:rPr>
          <w:rFonts w:ascii="Arial" w:cs="Arial" w:eastAsia="Arial" w:hAnsi="Arial"/>
          <w:sz w:val="18"/>
          <w:szCs w:val="18"/>
          <w:color w:val="auto"/>
        </w:rPr>
        <w:t>Our non-employee directors are subject to ownership guidelines that establish a minimum ownership level and require that all net shares received in connection with a stock award, after selling shares to pay all applicable taxes, be held throughout their tenure as a director. The ownership guideline for non-employee directors is equal to five times the non-employee directors’ annualized cash retainer. As of December 31, 2024, this amount was $600,000. There is no deadline for non-employee directors to reach their ownership guideline; however, the MD&amp;C Committee performs regular reviews to confirm that all non-employee directors are in compliance or are showing sustained progress toward achievement of their ownership guideline. Based on the closing price of our Common Stock on March 18, 2025, all non-employee directors have reached the ownership guideline with the exception of our two newest directors, Mr. Bené and Mr. Chinn, who are making appropriate progress toward the ownership guideline. Additionally, our Insider Trading Policy provides that directors are not permitted to hedge their ownership of Company securities, including trading in options, warrants, puts and calls or similar derivative instruments on any security of the Company or selling any security of the Company “short.”</w:t>
      </w:r>
    </w:p>
    <w:p>
      <w:pPr>
        <w:spacing w:after="0" w:line="200" w:lineRule="exact"/>
        <w:rPr>
          <w:sz w:val="20"/>
          <w:szCs w:val="20"/>
          <w:color w:val="auto"/>
        </w:rPr>
      </w:pPr>
    </w:p>
    <w:p>
      <w:pPr>
        <w:spacing w:after="0" w:line="233"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428625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74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BOARD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6"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2024 Director Compensation Table</w:t>
      </w:r>
    </w:p>
    <w:p>
      <w:pPr>
        <w:spacing w:after="0" w:line="115" w:lineRule="exact"/>
        <w:rPr>
          <w:sz w:val="20"/>
          <w:szCs w:val="20"/>
          <w:color w:val="auto"/>
        </w:rPr>
      </w:pPr>
    </w:p>
    <w:p>
      <w:pPr>
        <w:ind w:left="820" w:right="80"/>
        <w:spacing w:after="0" w:line="287" w:lineRule="auto"/>
        <w:rPr>
          <w:sz w:val="20"/>
          <w:szCs w:val="20"/>
          <w:color w:val="auto"/>
        </w:rPr>
      </w:pPr>
      <w:r>
        <w:rPr>
          <w:rFonts w:ascii="Arial" w:cs="Arial" w:eastAsia="Arial" w:hAnsi="Arial"/>
          <w:sz w:val="18"/>
          <w:szCs w:val="18"/>
          <w:color w:val="auto"/>
        </w:rPr>
        <w:t>The table below shows the aggregate cash paid, and stock awards issued, to the non-employee directors in 2024 in accordance with the descriptions set forth above:</w:t>
      </w:r>
    </w:p>
    <w:p>
      <w:pPr>
        <w:spacing w:after="0" w:line="69"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60" w:type="dxa"/>
            <w:vAlign w:val="bottom"/>
            <w:gridSpan w:val="2"/>
          </w:tcPr>
          <w:p>
            <w:pPr>
              <w:jc w:val="right"/>
              <w:ind w:right="33"/>
              <w:spacing w:after="0"/>
              <w:rPr>
                <w:sz w:val="20"/>
                <w:szCs w:val="20"/>
                <w:color w:val="auto"/>
              </w:rPr>
            </w:pPr>
            <w:r>
              <w:rPr>
                <w:rFonts w:ascii="Arial" w:cs="Arial" w:eastAsia="Arial" w:hAnsi="Arial"/>
                <w:sz w:val="14"/>
                <w:szCs w:val="14"/>
                <w:b w:val="1"/>
                <w:bCs w:val="1"/>
                <w:color w:val="457157"/>
              </w:rPr>
              <w:t>Fees Earned</w:t>
            </w:r>
          </w:p>
        </w:tc>
        <w:tc>
          <w:tcPr>
            <w:tcW w:w="220" w:type="dxa"/>
            <w:vAlign w:val="bottom"/>
          </w:tcPr>
          <w:p>
            <w:pPr>
              <w:spacing w:after="0"/>
              <w:rPr>
                <w:sz w:val="14"/>
                <w:szCs w:val="14"/>
                <w:color w:val="auto"/>
              </w:rPr>
            </w:pPr>
          </w:p>
        </w:tc>
        <w:tc>
          <w:tcPr>
            <w:tcW w:w="660" w:type="dxa"/>
            <w:vAlign w:val="bottom"/>
          </w:tcPr>
          <w:p>
            <w:pPr>
              <w:jc w:val="right"/>
              <w:ind w:right="31"/>
              <w:spacing w:after="0"/>
              <w:rPr>
                <w:sz w:val="20"/>
                <w:szCs w:val="20"/>
                <w:color w:val="auto"/>
              </w:rPr>
            </w:pPr>
            <w:r>
              <w:rPr>
                <w:rFonts w:ascii="Arial" w:cs="Arial" w:eastAsia="Arial" w:hAnsi="Arial"/>
                <w:sz w:val="14"/>
                <w:szCs w:val="14"/>
                <w:b w:val="1"/>
                <w:bCs w:val="1"/>
                <w:color w:val="457157"/>
              </w:rPr>
              <w:t>Stock</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380" w:type="dxa"/>
            <w:vAlign w:val="bottom"/>
            <w:vMerge w:val="restart"/>
          </w:tcPr>
          <w:p>
            <w:pPr>
              <w:ind w:left="60"/>
              <w:spacing w:after="0"/>
              <w:rPr>
                <w:sz w:val="20"/>
                <w:szCs w:val="20"/>
                <w:color w:val="auto"/>
              </w:rPr>
            </w:pPr>
            <w:r>
              <w:rPr>
                <w:rFonts w:ascii="Arial" w:cs="Arial" w:eastAsia="Arial" w:hAnsi="Arial"/>
                <w:sz w:val="14"/>
                <w:szCs w:val="14"/>
                <w:b w:val="1"/>
                <w:bCs w:val="1"/>
                <w:color w:val="457157"/>
              </w:rPr>
              <w:t>Name</w:t>
            </w: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right"/>
              <w:ind w:right="33"/>
              <w:spacing w:after="0" w:line="145" w:lineRule="exact"/>
              <w:rPr>
                <w:sz w:val="20"/>
                <w:szCs w:val="20"/>
                <w:color w:val="auto"/>
              </w:rPr>
            </w:pPr>
            <w:r>
              <w:rPr>
                <w:rFonts w:ascii="Arial" w:cs="Arial" w:eastAsia="Arial" w:hAnsi="Arial"/>
                <w:sz w:val="14"/>
                <w:szCs w:val="14"/>
                <w:b w:val="1"/>
                <w:bCs w:val="1"/>
                <w:color w:val="457157"/>
              </w:rPr>
              <w:t>or Paid in</w:t>
            </w:r>
          </w:p>
        </w:tc>
        <w:tc>
          <w:tcPr>
            <w:tcW w:w="220" w:type="dxa"/>
            <w:vAlign w:val="bottom"/>
          </w:tcPr>
          <w:p>
            <w:pPr>
              <w:spacing w:after="0"/>
              <w:rPr>
                <w:sz w:val="12"/>
                <w:szCs w:val="12"/>
                <w:color w:val="auto"/>
              </w:rPr>
            </w:pPr>
          </w:p>
        </w:tc>
        <w:tc>
          <w:tcPr>
            <w:tcW w:w="660" w:type="dxa"/>
            <w:vAlign w:val="bottom"/>
          </w:tcPr>
          <w:p>
            <w:pPr>
              <w:jc w:val="right"/>
              <w:ind w:right="31"/>
              <w:spacing w:after="0" w:line="145" w:lineRule="exact"/>
              <w:rPr>
                <w:sz w:val="20"/>
                <w:szCs w:val="20"/>
                <w:color w:val="auto"/>
              </w:rPr>
            </w:pPr>
            <w:r>
              <w:rPr>
                <w:rFonts w:ascii="Arial" w:cs="Arial" w:eastAsia="Arial" w:hAnsi="Arial"/>
                <w:sz w:val="14"/>
                <w:szCs w:val="14"/>
                <w:b w:val="1"/>
                <w:bCs w:val="1"/>
                <w:color w:val="457157"/>
              </w:rPr>
              <w:t>Awards</w:t>
            </w:r>
          </w:p>
        </w:tc>
        <w:tc>
          <w:tcPr>
            <w:tcW w:w="220" w:type="dxa"/>
            <w:vAlign w:val="bottom"/>
          </w:tcPr>
          <w:p>
            <w:pPr>
              <w:spacing w:after="0"/>
              <w:rPr>
                <w:sz w:val="12"/>
                <w:szCs w:val="12"/>
                <w:color w:val="auto"/>
              </w:rPr>
            </w:pPr>
          </w:p>
        </w:tc>
        <w:tc>
          <w:tcPr>
            <w:tcW w:w="680" w:type="dxa"/>
            <w:vAlign w:val="bottom"/>
            <w:vMerge w:val="restart"/>
          </w:tcPr>
          <w:p>
            <w:pPr>
              <w:spacing w:after="0"/>
              <w:rPr>
                <w:sz w:val="20"/>
                <w:szCs w:val="20"/>
                <w:color w:val="auto"/>
              </w:rPr>
            </w:pPr>
            <w:r>
              <w:rPr>
                <w:rFonts w:ascii="Arial" w:cs="Arial" w:eastAsia="Arial" w:hAnsi="Arial"/>
                <w:sz w:val="14"/>
                <w:szCs w:val="14"/>
                <w:b w:val="1"/>
                <w:bCs w:val="1"/>
                <w:color w:val="457157"/>
              </w:rPr>
              <w:t>Total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80" w:type="dxa"/>
            <w:vAlign w:val="bottom"/>
            <w:vMerge w:val="continue"/>
          </w:tcPr>
          <w:p>
            <w:pPr>
              <w:spacing w:after="0"/>
              <w:rPr>
                <w:sz w:val="11"/>
                <w:szCs w:val="11"/>
                <w:color w:val="auto"/>
              </w:rPr>
            </w:pPr>
          </w:p>
        </w:tc>
        <w:tc>
          <w:tcPr>
            <w:tcW w:w="1420" w:type="dxa"/>
            <w:vAlign w:val="bottom"/>
            <w:vMerge w:val="restart"/>
          </w:tcPr>
          <w:p>
            <w:pPr>
              <w:jc w:val="center"/>
              <w:ind w:left="1172"/>
              <w:spacing w:after="0"/>
              <w:rPr>
                <w:sz w:val="20"/>
                <w:szCs w:val="20"/>
                <w:color w:val="auto"/>
              </w:rPr>
            </w:pPr>
            <w:r>
              <w:rPr>
                <w:rFonts w:ascii="Arial" w:cs="Arial" w:eastAsia="Arial" w:hAnsi="Arial"/>
                <w:sz w:val="14"/>
                <w:szCs w:val="14"/>
                <w:b w:val="1"/>
                <w:bCs w:val="1"/>
                <w:color w:val="457157"/>
              </w:rPr>
              <w:t>​</w:t>
            </w:r>
          </w:p>
        </w:tc>
        <w:tc>
          <w:tcPr>
            <w:tcW w:w="120" w:type="dxa"/>
            <w:vAlign w:val="bottom"/>
            <w:vMerge w:val="restart"/>
          </w:tcPr>
          <w:p>
            <w:pPr>
              <w:spacing w:after="0"/>
              <w:rPr>
                <w:sz w:val="20"/>
                <w:szCs w:val="20"/>
                <w:color w:val="auto"/>
              </w:rPr>
            </w:pPr>
            <w:r>
              <w:rPr>
                <w:rFonts w:ascii="Arial" w:cs="Arial" w:eastAsia="Arial" w:hAnsi="Arial"/>
                <w:sz w:val="14"/>
                <w:szCs w:val="14"/>
                <w:b w:val="1"/>
                <w:bCs w:val="1"/>
                <w:color w:val="457157"/>
              </w:rPr>
              <w:t>​</w:t>
            </w:r>
          </w:p>
        </w:tc>
        <w:tc>
          <w:tcPr>
            <w:tcW w:w="94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Cash ($)</w:t>
            </w:r>
          </w:p>
        </w:tc>
        <w:tc>
          <w:tcPr>
            <w:tcW w:w="220" w:type="dxa"/>
            <w:vAlign w:val="bottom"/>
            <w:vMerge w:val="restart"/>
          </w:tcPr>
          <w:p>
            <w:pPr>
              <w:ind w:left="60"/>
              <w:spacing w:after="0"/>
              <w:rPr>
                <w:sz w:val="20"/>
                <w:szCs w:val="20"/>
                <w:color w:val="auto"/>
              </w:rPr>
            </w:pPr>
            <w:r>
              <w:rPr>
                <w:rFonts w:ascii="Arial" w:cs="Arial" w:eastAsia="Arial" w:hAnsi="Arial"/>
                <w:sz w:val="14"/>
                <w:szCs w:val="14"/>
                <w:b w:val="1"/>
                <w:bCs w:val="1"/>
                <w:color w:val="457157"/>
              </w:rPr>
              <w:t>​ ​</w:t>
            </w: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457157"/>
              </w:rPr>
              <w:t>($)</w:t>
            </w:r>
            <w:r>
              <w:rPr>
                <w:rFonts w:ascii="Arial" w:cs="Arial" w:eastAsia="Arial" w:hAnsi="Arial"/>
                <w:sz w:val="15"/>
                <w:szCs w:val="15"/>
                <w:b w:val="1"/>
                <w:bCs w:val="1"/>
                <w:color w:val="457157"/>
                <w:vertAlign w:val="superscript"/>
              </w:rPr>
              <w:t>(1)</w:t>
            </w:r>
          </w:p>
        </w:tc>
        <w:tc>
          <w:tcPr>
            <w:tcW w:w="220" w:type="dxa"/>
            <w:vAlign w:val="bottom"/>
            <w:vMerge w:val="restart"/>
          </w:tcPr>
          <w:p>
            <w:pPr>
              <w:ind w:left="60"/>
              <w:spacing w:after="0"/>
              <w:rPr>
                <w:sz w:val="20"/>
                <w:szCs w:val="20"/>
                <w:color w:val="auto"/>
              </w:rPr>
            </w:pPr>
            <w:r>
              <w:rPr>
                <w:rFonts w:ascii="Arial" w:cs="Arial" w:eastAsia="Arial" w:hAnsi="Arial"/>
                <w:sz w:val="14"/>
                <w:szCs w:val="14"/>
                <w:b w:val="1"/>
                <w:bCs w:val="1"/>
                <w:color w:val="457157"/>
              </w:rPr>
              <w:t>​ ​</w:t>
            </w:r>
          </w:p>
        </w:tc>
        <w:tc>
          <w:tcPr>
            <w:tcW w:w="680" w:type="dxa"/>
            <w:vAlign w:val="bottom"/>
            <w:vMerge w:val="continue"/>
          </w:tcPr>
          <w:p>
            <w:pPr>
              <w:spacing w:after="0"/>
              <w:rPr>
                <w:sz w:val="11"/>
                <w:szCs w:val="1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54"/>
        </w:trPr>
        <w:tc>
          <w:tcPr>
            <w:tcW w:w="3380" w:type="dxa"/>
            <w:vAlign w:val="bottom"/>
            <w:tcBorders>
              <w:bottom w:val="single" w:sz="8" w:color="457157"/>
            </w:tcBorders>
          </w:tcPr>
          <w:p>
            <w:pPr>
              <w:ind w:left="60"/>
              <w:spacing w:after="0" w:line="54" w:lineRule="exact"/>
              <w:rPr>
                <w:sz w:val="20"/>
                <w:szCs w:val="20"/>
                <w:color w:val="auto"/>
              </w:rPr>
            </w:pPr>
            <w:r>
              <w:rPr>
                <w:rFonts w:ascii="Arial" w:cs="Arial" w:eastAsia="Arial" w:hAnsi="Arial"/>
                <w:sz w:val="6"/>
                <w:szCs w:val="6"/>
                <w:b w:val="1"/>
                <w:bCs w:val="1"/>
                <w:color w:val="457157"/>
              </w:rPr>
              <w:t>​</w:t>
            </w:r>
          </w:p>
        </w:tc>
        <w:tc>
          <w:tcPr>
            <w:tcW w:w="1420" w:type="dxa"/>
            <w:vAlign w:val="bottom"/>
            <w:tcBorders>
              <w:bottom w:val="single" w:sz="8" w:color="457157"/>
            </w:tcBorders>
            <w:vMerge w:val="continue"/>
          </w:tcPr>
          <w:p>
            <w:pPr>
              <w:spacing w:after="0"/>
              <w:rPr>
                <w:sz w:val="4"/>
                <w:szCs w:val="4"/>
                <w:color w:val="auto"/>
              </w:rPr>
            </w:pPr>
          </w:p>
        </w:tc>
        <w:tc>
          <w:tcPr>
            <w:tcW w:w="120" w:type="dxa"/>
            <w:vAlign w:val="bottom"/>
            <w:tcBorders>
              <w:bottom w:val="single" w:sz="8" w:color="457157"/>
            </w:tcBorders>
            <w:vMerge w:val="continue"/>
          </w:tcPr>
          <w:p>
            <w:pPr>
              <w:spacing w:after="0"/>
              <w:rPr>
                <w:sz w:val="4"/>
                <w:szCs w:val="4"/>
                <w:color w:val="auto"/>
              </w:rPr>
            </w:pPr>
          </w:p>
        </w:tc>
        <w:tc>
          <w:tcPr>
            <w:tcW w:w="940" w:type="dxa"/>
            <w:vAlign w:val="bottom"/>
            <w:tcBorders>
              <w:bottom w:val="single" w:sz="8" w:color="457157"/>
            </w:tcBorders>
          </w:tcPr>
          <w:p>
            <w:pPr>
              <w:spacing w:after="0"/>
              <w:rPr>
                <w:sz w:val="4"/>
                <w:szCs w:val="4"/>
                <w:color w:val="auto"/>
              </w:rPr>
            </w:pPr>
          </w:p>
        </w:tc>
        <w:tc>
          <w:tcPr>
            <w:tcW w:w="220" w:type="dxa"/>
            <w:vAlign w:val="bottom"/>
            <w:tcBorders>
              <w:bottom w:val="single" w:sz="8" w:color="457157"/>
            </w:tcBorders>
            <w:vMerge w:val="continue"/>
          </w:tcPr>
          <w:p>
            <w:pPr>
              <w:spacing w:after="0"/>
              <w:rPr>
                <w:sz w:val="4"/>
                <w:szCs w:val="4"/>
                <w:color w:val="auto"/>
              </w:rPr>
            </w:pPr>
          </w:p>
        </w:tc>
        <w:tc>
          <w:tcPr>
            <w:tcW w:w="660" w:type="dxa"/>
            <w:vAlign w:val="bottom"/>
            <w:tcBorders>
              <w:bottom w:val="single" w:sz="8" w:color="457157"/>
            </w:tcBorders>
          </w:tcPr>
          <w:p>
            <w:pPr>
              <w:spacing w:after="0"/>
              <w:rPr>
                <w:sz w:val="4"/>
                <w:szCs w:val="4"/>
                <w:color w:val="auto"/>
              </w:rPr>
            </w:pPr>
          </w:p>
        </w:tc>
        <w:tc>
          <w:tcPr>
            <w:tcW w:w="220" w:type="dxa"/>
            <w:vAlign w:val="bottom"/>
            <w:tcBorders>
              <w:bottom w:val="single" w:sz="8" w:color="457157"/>
            </w:tcBorders>
            <w:vMerge w:val="continue"/>
          </w:tcPr>
          <w:p>
            <w:pPr>
              <w:spacing w:after="0"/>
              <w:rPr>
                <w:sz w:val="4"/>
                <w:szCs w:val="4"/>
                <w:color w:val="auto"/>
              </w:rPr>
            </w:pPr>
          </w:p>
        </w:tc>
        <w:tc>
          <w:tcPr>
            <w:tcW w:w="680" w:type="dxa"/>
            <w:vAlign w:val="bottom"/>
            <w:tcBorders>
              <w:bottom w:val="single" w:sz="8" w:color="457157"/>
            </w:tcBorders>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380" w:type="dxa"/>
            <w:vAlign w:val="bottom"/>
          </w:tcPr>
          <w:p>
            <w:pPr>
              <w:ind w:left="40"/>
              <w:spacing w:after="0" w:line="223" w:lineRule="exact"/>
              <w:rPr>
                <w:sz w:val="20"/>
                <w:szCs w:val="20"/>
                <w:color w:val="auto"/>
              </w:rPr>
            </w:pPr>
            <w:r>
              <w:rPr>
                <w:rFonts w:ascii="Arial" w:cs="Arial" w:eastAsia="Arial" w:hAnsi="Arial"/>
                <w:sz w:val="18"/>
                <w:szCs w:val="18"/>
                <w:color w:val="auto"/>
              </w:rPr>
              <w:t>​Thomas L. Bené</w:t>
            </w:r>
            <w:r>
              <w:rPr>
                <w:rFonts w:ascii="Arial" w:cs="Arial" w:eastAsia="Arial" w:hAnsi="Arial"/>
                <w:sz w:val="23"/>
                <w:szCs w:val="23"/>
                <w:color w:val="auto"/>
                <w:vertAlign w:val="superscript"/>
              </w:rPr>
              <w:t>(2)</w:t>
            </w:r>
          </w:p>
        </w:tc>
        <w:tc>
          <w:tcPr>
            <w:tcW w:w="1420" w:type="dxa"/>
            <w:vAlign w:val="bottom"/>
          </w:tcPr>
          <w:p>
            <w:pPr>
              <w:jc w:val="center"/>
              <w:ind w:left="1172"/>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9"/>
                <w:szCs w:val="19"/>
                <w:color w:val="auto"/>
              </w:rPr>
            </w:pPr>
          </w:p>
        </w:tc>
        <w:tc>
          <w:tcPr>
            <w:tcW w:w="2760" w:type="dxa"/>
            <w:vAlign w:val="bottom"/>
            <w:gridSpan w:val="6"/>
          </w:tcPr>
          <w:p>
            <w:pPr>
              <w:jc w:val="right"/>
              <w:spacing w:after="0"/>
              <w:rPr>
                <w:sz w:val="20"/>
                <w:szCs w:val="20"/>
                <w:color w:val="auto"/>
              </w:rPr>
            </w:pPr>
            <w:r>
              <w:rPr>
                <w:rFonts w:ascii="Arial" w:cs="Arial" w:eastAsia="Arial" w:hAnsi="Arial"/>
                <w:sz w:val="18"/>
                <w:szCs w:val="18"/>
                <w:color w:val="auto"/>
              </w:rPr>
              <w:t>​​ 105,180​​ ​</w:t>
            </w:r>
            <w:r>
              <w:rPr>
                <w:rFonts w:ascii="Arial" w:cs="Arial" w:eastAsia="Arial" w:hAnsi="Arial"/>
                <w:sz w:val="18"/>
                <w:szCs w:val="18"/>
                <w:b w:val="1"/>
                <w:bCs w:val="1"/>
                <w:color w:val="auto"/>
              </w:rPr>
              <w:t>​</w:t>
            </w:r>
            <w:r>
              <w:rPr>
                <w:rFonts w:ascii="Arial" w:cs="Arial" w:eastAsia="Arial" w:hAnsi="Arial"/>
                <w:sz w:val="18"/>
                <w:szCs w:val="18"/>
                <w:color w:val="auto"/>
              </w:rPr>
              <w:t>157,672​​ ​</w:t>
            </w:r>
            <w:r>
              <w:rPr>
                <w:rFonts w:ascii="Arial" w:cs="Arial" w:eastAsia="Arial" w:hAnsi="Arial"/>
                <w:sz w:val="18"/>
                <w:szCs w:val="18"/>
                <w:b w:val="1"/>
                <w:bCs w:val="1"/>
                <w:color w:val="auto"/>
              </w:rPr>
              <w:t>​</w:t>
            </w:r>
            <w:r>
              <w:rPr>
                <w:rFonts w:ascii="Arial" w:cs="Arial" w:eastAsia="Arial" w:hAnsi="Arial"/>
                <w:sz w:val="18"/>
                <w:szCs w:val="18"/>
                <w:color w:val="auto"/>
              </w:rPr>
              <w:t>262,852​​</w:t>
            </w:r>
          </w:p>
        </w:tc>
        <w:tc>
          <w:tcPr>
            <w:tcW w:w="0" w:type="dxa"/>
            <w:vAlign w:val="bottom"/>
          </w:tcPr>
          <w:p>
            <w:pPr>
              <w:spacing w:after="0"/>
              <w:rPr>
                <w:sz w:val="1"/>
                <w:szCs w:val="1"/>
                <w:color w:val="auto"/>
              </w:rPr>
            </w:pPr>
          </w:p>
        </w:tc>
      </w:tr>
      <w:tr>
        <w:trPr>
          <w:trHeight w:val="20"/>
        </w:trPr>
        <w:tc>
          <w:tcPr>
            <w:tcW w:w="3380" w:type="dxa"/>
            <w:vAlign w:val="bottom"/>
            <w:shd w:val="clear" w:color="auto" w:fill="457157"/>
          </w:tcPr>
          <w:p>
            <w:pPr>
              <w:spacing w:after="0" w:line="20" w:lineRule="exact"/>
              <w:rPr>
                <w:sz w:val="1"/>
                <w:szCs w:val="1"/>
                <w:color w:val="auto"/>
              </w:rPr>
            </w:pPr>
          </w:p>
        </w:tc>
        <w:tc>
          <w:tcPr>
            <w:tcW w:w="142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720" w:type="dxa"/>
            <w:vAlign w:val="bottom"/>
            <w:gridSpan w:val="5"/>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tcPr>
          <w:p>
            <w:pPr>
              <w:ind w:left="40"/>
              <w:spacing w:after="0"/>
              <w:rPr>
                <w:sz w:val="20"/>
                <w:szCs w:val="20"/>
                <w:color w:val="auto"/>
              </w:rPr>
            </w:pPr>
            <w:r>
              <w:rPr>
                <w:rFonts w:ascii="Arial" w:cs="Arial" w:eastAsia="Arial" w:hAnsi="Arial"/>
                <w:sz w:val="18"/>
                <w:szCs w:val="18"/>
                <w:color w:val="auto"/>
              </w:rPr>
              <w:t>​Bruce E. Chinn</w:t>
            </w:r>
          </w:p>
        </w:tc>
        <w:tc>
          <w:tcPr>
            <w:tcW w:w="1420" w:type="dxa"/>
            <w:vAlign w:val="bottom"/>
          </w:tcPr>
          <w:p>
            <w:pPr>
              <w:jc w:val="center"/>
              <w:ind w:left="1172"/>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8"/>
                <w:szCs w:val="18"/>
                <w:color w:val="auto"/>
              </w:rPr>
            </w:pPr>
          </w:p>
        </w:tc>
        <w:tc>
          <w:tcPr>
            <w:tcW w:w="2760" w:type="dxa"/>
            <w:vAlign w:val="bottom"/>
            <w:gridSpan w:val="6"/>
          </w:tcPr>
          <w:p>
            <w:pPr>
              <w:jc w:val="right"/>
              <w:spacing w:after="0"/>
              <w:rPr>
                <w:sz w:val="20"/>
                <w:szCs w:val="20"/>
                <w:color w:val="auto"/>
              </w:rPr>
            </w:pPr>
            <w:r>
              <w:rPr>
                <w:rFonts w:ascii="Arial" w:cs="Arial" w:eastAsia="Arial" w:hAnsi="Arial"/>
                <w:sz w:val="18"/>
                <w:szCs w:val="18"/>
                <w:color w:val="auto"/>
              </w:rPr>
              <w:t>​​ 120,000​​ ​</w:t>
            </w:r>
            <w:r>
              <w:rPr>
                <w:rFonts w:ascii="Arial" w:cs="Arial" w:eastAsia="Arial" w:hAnsi="Arial"/>
                <w:sz w:val="18"/>
                <w:szCs w:val="18"/>
                <w:b w:val="1"/>
                <w:bCs w:val="1"/>
                <w:color w:val="auto"/>
              </w:rPr>
              <w:t>​</w:t>
            </w:r>
            <w:r>
              <w:rPr>
                <w:rFonts w:ascii="Arial" w:cs="Arial" w:eastAsia="Arial" w:hAnsi="Arial"/>
                <w:sz w:val="18"/>
                <w:szCs w:val="18"/>
                <w:color w:val="auto"/>
              </w:rPr>
              <w:t>179,862​​ ​</w:t>
            </w:r>
            <w:r>
              <w:rPr>
                <w:rFonts w:ascii="Arial" w:cs="Arial" w:eastAsia="Arial" w:hAnsi="Arial"/>
                <w:sz w:val="18"/>
                <w:szCs w:val="18"/>
                <w:b w:val="1"/>
                <w:bCs w:val="1"/>
                <w:color w:val="auto"/>
              </w:rPr>
              <w:t>​</w:t>
            </w:r>
            <w:r>
              <w:rPr>
                <w:rFonts w:ascii="Arial" w:cs="Arial" w:eastAsia="Arial" w:hAnsi="Arial"/>
                <w:sz w:val="18"/>
                <w:szCs w:val="18"/>
                <w:color w:val="auto"/>
              </w:rPr>
              <w:t>299,862​​</w:t>
            </w:r>
          </w:p>
        </w:tc>
        <w:tc>
          <w:tcPr>
            <w:tcW w:w="0" w:type="dxa"/>
            <w:vAlign w:val="bottom"/>
          </w:tcPr>
          <w:p>
            <w:pPr>
              <w:spacing w:after="0"/>
              <w:rPr>
                <w:sz w:val="1"/>
                <w:szCs w:val="1"/>
                <w:color w:val="auto"/>
              </w:rPr>
            </w:pPr>
          </w:p>
        </w:tc>
      </w:tr>
      <w:tr>
        <w:trPr>
          <w:trHeight w:val="20"/>
        </w:trPr>
        <w:tc>
          <w:tcPr>
            <w:tcW w:w="3380" w:type="dxa"/>
            <w:vAlign w:val="bottom"/>
            <w:shd w:val="clear" w:color="auto" w:fill="457157"/>
          </w:tcPr>
          <w:p>
            <w:pPr>
              <w:spacing w:after="0" w:line="20" w:lineRule="exact"/>
              <w:rPr>
                <w:sz w:val="1"/>
                <w:szCs w:val="1"/>
                <w:color w:val="auto"/>
              </w:rPr>
            </w:pPr>
          </w:p>
        </w:tc>
        <w:tc>
          <w:tcPr>
            <w:tcW w:w="142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720" w:type="dxa"/>
            <w:vAlign w:val="bottom"/>
            <w:gridSpan w:val="5"/>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tcPr>
          <w:p>
            <w:pPr>
              <w:ind w:left="40"/>
              <w:spacing w:after="0"/>
              <w:rPr>
                <w:sz w:val="20"/>
                <w:szCs w:val="20"/>
                <w:color w:val="auto"/>
              </w:rPr>
            </w:pPr>
            <w:r>
              <w:rPr>
                <w:rFonts w:ascii="Arial" w:cs="Arial" w:eastAsia="Arial" w:hAnsi="Arial"/>
                <w:sz w:val="18"/>
                <w:szCs w:val="18"/>
                <w:color w:val="auto"/>
              </w:rPr>
              <w:t>​Andrés R. Gluski</w:t>
            </w:r>
          </w:p>
        </w:tc>
        <w:tc>
          <w:tcPr>
            <w:tcW w:w="1420" w:type="dxa"/>
            <w:vAlign w:val="bottom"/>
          </w:tcPr>
          <w:p>
            <w:pPr>
              <w:jc w:val="center"/>
              <w:ind w:left="1172"/>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8"/>
                <w:szCs w:val="18"/>
                <w:color w:val="auto"/>
              </w:rPr>
            </w:pPr>
          </w:p>
        </w:tc>
        <w:tc>
          <w:tcPr>
            <w:tcW w:w="2760" w:type="dxa"/>
            <w:vAlign w:val="bottom"/>
            <w:gridSpan w:val="6"/>
          </w:tcPr>
          <w:p>
            <w:pPr>
              <w:jc w:val="right"/>
              <w:spacing w:after="0"/>
              <w:rPr>
                <w:sz w:val="20"/>
                <w:szCs w:val="20"/>
                <w:color w:val="auto"/>
              </w:rPr>
            </w:pPr>
            <w:r>
              <w:rPr>
                <w:rFonts w:ascii="Arial" w:cs="Arial" w:eastAsia="Arial" w:hAnsi="Arial"/>
                <w:sz w:val="18"/>
                <w:szCs w:val="18"/>
                <w:color w:val="auto"/>
              </w:rPr>
              <w:t>​​ 140,000​​ ​</w:t>
            </w:r>
            <w:r>
              <w:rPr>
                <w:rFonts w:ascii="Arial" w:cs="Arial" w:eastAsia="Arial" w:hAnsi="Arial"/>
                <w:sz w:val="18"/>
                <w:szCs w:val="18"/>
                <w:b w:val="1"/>
                <w:bCs w:val="1"/>
                <w:color w:val="auto"/>
              </w:rPr>
              <w:t>​</w:t>
            </w:r>
            <w:r>
              <w:rPr>
                <w:rFonts w:ascii="Arial" w:cs="Arial" w:eastAsia="Arial" w:hAnsi="Arial"/>
                <w:sz w:val="18"/>
                <w:szCs w:val="18"/>
                <w:color w:val="auto"/>
              </w:rPr>
              <w:t>179,862​​ ​</w:t>
            </w:r>
            <w:r>
              <w:rPr>
                <w:rFonts w:ascii="Arial" w:cs="Arial" w:eastAsia="Arial" w:hAnsi="Arial"/>
                <w:sz w:val="18"/>
                <w:szCs w:val="18"/>
                <w:b w:val="1"/>
                <w:bCs w:val="1"/>
                <w:color w:val="auto"/>
              </w:rPr>
              <w:t>​</w:t>
            </w:r>
            <w:r>
              <w:rPr>
                <w:rFonts w:ascii="Arial" w:cs="Arial" w:eastAsia="Arial" w:hAnsi="Arial"/>
                <w:sz w:val="18"/>
                <w:szCs w:val="18"/>
                <w:color w:val="auto"/>
              </w:rPr>
              <w:t>319,862​​</w:t>
            </w:r>
          </w:p>
        </w:tc>
        <w:tc>
          <w:tcPr>
            <w:tcW w:w="0" w:type="dxa"/>
            <w:vAlign w:val="bottom"/>
          </w:tcPr>
          <w:p>
            <w:pPr>
              <w:spacing w:after="0"/>
              <w:rPr>
                <w:sz w:val="1"/>
                <w:szCs w:val="1"/>
                <w:color w:val="auto"/>
              </w:rPr>
            </w:pPr>
          </w:p>
        </w:tc>
      </w:tr>
      <w:tr>
        <w:trPr>
          <w:trHeight w:val="20"/>
        </w:trPr>
        <w:tc>
          <w:tcPr>
            <w:tcW w:w="3380" w:type="dxa"/>
            <w:vAlign w:val="bottom"/>
            <w:shd w:val="clear" w:color="auto" w:fill="457157"/>
          </w:tcPr>
          <w:p>
            <w:pPr>
              <w:spacing w:after="0" w:line="20" w:lineRule="exact"/>
              <w:rPr>
                <w:sz w:val="1"/>
                <w:szCs w:val="1"/>
                <w:color w:val="auto"/>
              </w:rPr>
            </w:pPr>
          </w:p>
        </w:tc>
        <w:tc>
          <w:tcPr>
            <w:tcW w:w="142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720" w:type="dxa"/>
            <w:vAlign w:val="bottom"/>
            <w:gridSpan w:val="5"/>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tcPr>
          <w:p>
            <w:pPr>
              <w:ind w:left="40"/>
              <w:spacing w:after="0"/>
              <w:rPr>
                <w:sz w:val="20"/>
                <w:szCs w:val="20"/>
                <w:color w:val="auto"/>
              </w:rPr>
            </w:pPr>
            <w:r>
              <w:rPr>
                <w:rFonts w:ascii="Arial" w:cs="Arial" w:eastAsia="Arial" w:hAnsi="Arial"/>
                <w:sz w:val="18"/>
                <w:szCs w:val="18"/>
                <w:color w:val="auto"/>
              </w:rPr>
              <w:t>​Victoria M. Holt</w:t>
            </w:r>
          </w:p>
        </w:tc>
        <w:tc>
          <w:tcPr>
            <w:tcW w:w="1420" w:type="dxa"/>
            <w:vAlign w:val="bottom"/>
          </w:tcPr>
          <w:p>
            <w:pPr>
              <w:jc w:val="center"/>
              <w:ind w:left="1172"/>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8"/>
                <w:szCs w:val="18"/>
                <w:color w:val="auto"/>
              </w:rPr>
            </w:pPr>
          </w:p>
        </w:tc>
        <w:tc>
          <w:tcPr>
            <w:tcW w:w="2760" w:type="dxa"/>
            <w:vAlign w:val="bottom"/>
            <w:gridSpan w:val="6"/>
          </w:tcPr>
          <w:p>
            <w:pPr>
              <w:jc w:val="right"/>
              <w:spacing w:after="0"/>
              <w:rPr>
                <w:sz w:val="20"/>
                <w:szCs w:val="20"/>
                <w:color w:val="auto"/>
              </w:rPr>
            </w:pPr>
            <w:r>
              <w:rPr>
                <w:rFonts w:ascii="Arial" w:cs="Arial" w:eastAsia="Arial" w:hAnsi="Arial"/>
                <w:sz w:val="18"/>
                <w:szCs w:val="18"/>
                <w:color w:val="auto"/>
              </w:rPr>
              <w:t>​​ 140,000​​ ​</w:t>
            </w:r>
            <w:r>
              <w:rPr>
                <w:rFonts w:ascii="Arial" w:cs="Arial" w:eastAsia="Arial" w:hAnsi="Arial"/>
                <w:sz w:val="18"/>
                <w:szCs w:val="18"/>
                <w:b w:val="1"/>
                <w:bCs w:val="1"/>
                <w:color w:val="auto"/>
              </w:rPr>
              <w:t>​</w:t>
            </w:r>
            <w:r>
              <w:rPr>
                <w:rFonts w:ascii="Arial" w:cs="Arial" w:eastAsia="Arial" w:hAnsi="Arial"/>
                <w:sz w:val="18"/>
                <w:szCs w:val="18"/>
                <w:color w:val="auto"/>
              </w:rPr>
              <w:t>179,862​​ ​</w:t>
            </w:r>
            <w:r>
              <w:rPr>
                <w:rFonts w:ascii="Arial" w:cs="Arial" w:eastAsia="Arial" w:hAnsi="Arial"/>
                <w:sz w:val="18"/>
                <w:szCs w:val="18"/>
                <w:b w:val="1"/>
                <w:bCs w:val="1"/>
                <w:color w:val="auto"/>
              </w:rPr>
              <w:t>​</w:t>
            </w:r>
            <w:r>
              <w:rPr>
                <w:rFonts w:ascii="Arial" w:cs="Arial" w:eastAsia="Arial" w:hAnsi="Arial"/>
                <w:sz w:val="18"/>
                <w:szCs w:val="18"/>
                <w:color w:val="auto"/>
              </w:rPr>
              <w:t>319,862​​</w:t>
            </w:r>
          </w:p>
        </w:tc>
        <w:tc>
          <w:tcPr>
            <w:tcW w:w="0" w:type="dxa"/>
            <w:vAlign w:val="bottom"/>
          </w:tcPr>
          <w:p>
            <w:pPr>
              <w:spacing w:after="0"/>
              <w:rPr>
                <w:sz w:val="1"/>
                <w:szCs w:val="1"/>
                <w:color w:val="auto"/>
              </w:rPr>
            </w:pPr>
          </w:p>
        </w:tc>
      </w:tr>
      <w:tr>
        <w:trPr>
          <w:trHeight w:val="20"/>
        </w:trPr>
        <w:tc>
          <w:tcPr>
            <w:tcW w:w="3380" w:type="dxa"/>
            <w:vAlign w:val="bottom"/>
            <w:shd w:val="clear" w:color="auto" w:fill="457157"/>
          </w:tcPr>
          <w:p>
            <w:pPr>
              <w:spacing w:after="0" w:line="20" w:lineRule="exact"/>
              <w:rPr>
                <w:sz w:val="1"/>
                <w:szCs w:val="1"/>
                <w:color w:val="auto"/>
              </w:rPr>
            </w:pPr>
          </w:p>
        </w:tc>
        <w:tc>
          <w:tcPr>
            <w:tcW w:w="142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720" w:type="dxa"/>
            <w:vAlign w:val="bottom"/>
            <w:gridSpan w:val="5"/>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tcPr>
          <w:p>
            <w:pPr>
              <w:ind w:left="40"/>
              <w:spacing w:after="0"/>
              <w:rPr>
                <w:sz w:val="20"/>
                <w:szCs w:val="20"/>
                <w:color w:val="auto"/>
              </w:rPr>
            </w:pPr>
            <w:r>
              <w:rPr>
                <w:rFonts w:ascii="Arial" w:cs="Arial" w:eastAsia="Arial" w:hAnsi="Arial"/>
                <w:sz w:val="18"/>
                <w:szCs w:val="18"/>
                <w:color w:val="auto"/>
              </w:rPr>
              <w:t>​Kathleen M. Mazzarella</w:t>
            </w:r>
          </w:p>
        </w:tc>
        <w:tc>
          <w:tcPr>
            <w:tcW w:w="1420" w:type="dxa"/>
            <w:vAlign w:val="bottom"/>
          </w:tcPr>
          <w:p>
            <w:pPr>
              <w:jc w:val="center"/>
              <w:ind w:left="1172"/>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8"/>
                <w:szCs w:val="18"/>
                <w:color w:val="auto"/>
              </w:rPr>
            </w:pPr>
          </w:p>
        </w:tc>
        <w:tc>
          <w:tcPr>
            <w:tcW w:w="2760" w:type="dxa"/>
            <w:vAlign w:val="bottom"/>
            <w:gridSpan w:val="6"/>
          </w:tcPr>
          <w:p>
            <w:pPr>
              <w:jc w:val="right"/>
              <w:spacing w:after="0"/>
              <w:rPr>
                <w:sz w:val="20"/>
                <w:szCs w:val="20"/>
                <w:color w:val="auto"/>
              </w:rPr>
            </w:pPr>
            <w:r>
              <w:rPr>
                <w:rFonts w:ascii="Arial" w:cs="Arial" w:eastAsia="Arial" w:hAnsi="Arial"/>
                <w:sz w:val="18"/>
                <w:szCs w:val="18"/>
                <w:color w:val="auto"/>
              </w:rPr>
              <w:t>​​ 220,000​​ ​</w:t>
            </w:r>
            <w:r>
              <w:rPr>
                <w:rFonts w:ascii="Arial" w:cs="Arial" w:eastAsia="Arial" w:hAnsi="Arial"/>
                <w:sz w:val="18"/>
                <w:szCs w:val="18"/>
                <w:b w:val="1"/>
                <w:bCs w:val="1"/>
                <w:color w:val="auto"/>
              </w:rPr>
              <w:t>​</w:t>
            </w:r>
            <w:r>
              <w:rPr>
                <w:rFonts w:ascii="Arial" w:cs="Arial" w:eastAsia="Arial" w:hAnsi="Arial"/>
                <w:sz w:val="18"/>
                <w:szCs w:val="18"/>
                <w:color w:val="auto"/>
              </w:rPr>
              <w:t>280,093​​ ​</w:t>
            </w:r>
            <w:r>
              <w:rPr>
                <w:rFonts w:ascii="Arial" w:cs="Arial" w:eastAsia="Arial" w:hAnsi="Arial"/>
                <w:sz w:val="18"/>
                <w:szCs w:val="18"/>
                <w:b w:val="1"/>
                <w:bCs w:val="1"/>
                <w:color w:val="auto"/>
              </w:rPr>
              <w:t>​</w:t>
            </w:r>
            <w:r>
              <w:rPr>
                <w:rFonts w:ascii="Arial" w:cs="Arial" w:eastAsia="Arial" w:hAnsi="Arial"/>
                <w:sz w:val="18"/>
                <w:szCs w:val="18"/>
                <w:color w:val="auto"/>
              </w:rPr>
              <w:t>500,093​​</w:t>
            </w:r>
          </w:p>
        </w:tc>
        <w:tc>
          <w:tcPr>
            <w:tcW w:w="0" w:type="dxa"/>
            <w:vAlign w:val="bottom"/>
          </w:tcPr>
          <w:p>
            <w:pPr>
              <w:spacing w:after="0"/>
              <w:rPr>
                <w:sz w:val="1"/>
                <w:szCs w:val="1"/>
                <w:color w:val="auto"/>
              </w:rPr>
            </w:pPr>
          </w:p>
        </w:tc>
      </w:tr>
      <w:tr>
        <w:trPr>
          <w:trHeight w:val="20"/>
        </w:trPr>
        <w:tc>
          <w:tcPr>
            <w:tcW w:w="3380" w:type="dxa"/>
            <w:vAlign w:val="bottom"/>
            <w:shd w:val="clear" w:color="auto" w:fill="457157"/>
          </w:tcPr>
          <w:p>
            <w:pPr>
              <w:spacing w:after="0" w:line="20" w:lineRule="exact"/>
              <w:rPr>
                <w:sz w:val="1"/>
                <w:szCs w:val="1"/>
                <w:color w:val="auto"/>
              </w:rPr>
            </w:pPr>
          </w:p>
        </w:tc>
        <w:tc>
          <w:tcPr>
            <w:tcW w:w="142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720" w:type="dxa"/>
            <w:vAlign w:val="bottom"/>
            <w:gridSpan w:val="5"/>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tcPr>
          <w:p>
            <w:pPr>
              <w:ind w:left="40"/>
              <w:spacing w:after="0"/>
              <w:rPr>
                <w:sz w:val="20"/>
                <w:szCs w:val="20"/>
                <w:color w:val="auto"/>
              </w:rPr>
            </w:pPr>
            <w:r>
              <w:rPr>
                <w:rFonts w:ascii="Arial" w:cs="Arial" w:eastAsia="Arial" w:hAnsi="Arial"/>
                <w:sz w:val="18"/>
                <w:szCs w:val="18"/>
                <w:color w:val="auto"/>
              </w:rPr>
              <w:t>​Sean E. Menke</w:t>
            </w:r>
          </w:p>
        </w:tc>
        <w:tc>
          <w:tcPr>
            <w:tcW w:w="1420" w:type="dxa"/>
            <w:vAlign w:val="bottom"/>
          </w:tcPr>
          <w:p>
            <w:pPr>
              <w:jc w:val="center"/>
              <w:ind w:left="1172"/>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8"/>
                <w:szCs w:val="18"/>
                <w:color w:val="auto"/>
              </w:rPr>
            </w:pPr>
          </w:p>
        </w:tc>
        <w:tc>
          <w:tcPr>
            <w:tcW w:w="2760" w:type="dxa"/>
            <w:vAlign w:val="bottom"/>
            <w:gridSpan w:val="6"/>
          </w:tcPr>
          <w:p>
            <w:pPr>
              <w:jc w:val="right"/>
              <w:spacing w:after="0"/>
              <w:rPr>
                <w:sz w:val="20"/>
                <w:szCs w:val="20"/>
                <w:color w:val="auto"/>
              </w:rPr>
            </w:pPr>
            <w:r>
              <w:rPr>
                <w:rFonts w:ascii="Arial" w:cs="Arial" w:eastAsia="Arial" w:hAnsi="Arial"/>
                <w:sz w:val="18"/>
                <w:szCs w:val="18"/>
                <w:color w:val="auto"/>
              </w:rPr>
              <w:t>​​ 120,000​​ ​</w:t>
            </w:r>
            <w:r>
              <w:rPr>
                <w:rFonts w:ascii="Arial" w:cs="Arial" w:eastAsia="Arial" w:hAnsi="Arial"/>
                <w:sz w:val="18"/>
                <w:szCs w:val="18"/>
                <w:b w:val="1"/>
                <w:bCs w:val="1"/>
                <w:color w:val="auto"/>
              </w:rPr>
              <w:t>​</w:t>
            </w:r>
            <w:r>
              <w:rPr>
                <w:rFonts w:ascii="Arial" w:cs="Arial" w:eastAsia="Arial" w:hAnsi="Arial"/>
                <w:sz w:val="18"/>
                <w:szCs w:val="18"/>
                <w:color w:val="auto"/>
              </w:rPr>
              <w:t>179,862​​ ​</w:t>
            </w:r>
            <w:r>
              <w:rPr>
                <w:rFonts w:ascii="Arial" w:cs="Arial" w:eastAsia="Arial" w:hAnsi="Arial"/>
                <w:sz w:val="18"/>
                <w:szCs w:val="18"/>
                <w:b w:val="1"/>
                <w:bCs w:val="1"/>
                <w:color w:val="auto"/>
              </w:rPr>
              <w:t>​</w:t>
            </w:r>
            <w:r>
              <w:rPr>
                <w:rFonts w:ascii="Arial" w:cs="Arial" w:eastAsia="Arial" w:hAnsi="Arial"/>
                <w:sz w:val="18"/>
                <w:szCs w:val="18"/>
                <w:color w:val="auto"/>
              </w:rPr>
              <w:t>299,862​​</w:t>
            </w:r>
          </w:p>
        </w:tc>
        <w:tc>
          <w:tcPr>
            <w:tcW w:w="0" w:type="dxa"/>
            <w:vAlign w:val="bottom"/>
          </w:tcPr>
          <w:p>
            <w:pPr>
              <w:spacing w:after="0"/>
              <w:rPr>
                <w:sz w:val="1"/>
                <w:szCs w:val="1"/>
                <w:color w:val="auto"/>
              </w:rPr>
            </w:pPr>
          </w:p>
        </w:tc>
      </w:tr>
      <w:tr>
        <w:trPr>
          <w:trHeight w:val="20"/>
        </w:trPr>
        <w:tc>
          <w:tcPr>
            <w:tcW w:w="3380" w:type="dxa"/>
            <w:vAlign w:val="bottom"/>
            <w:shd w:val="clear" w:color="auto" w:fill="457157"/>
          </w:tcPr>
          <w:p>
            <w:pPr>
              <w:spacing w:after="0" w:line="20" w:lineRule="exact"/>
              <w:rPr>
                <w:sz w:val="1"/>
                <w:szCs w:val="1"/>
                <w:color w:val="auto"/>
              </w:rPr>
            </w:pPr>
          </w:p>
        </w:tc>
        <w:tc>
          <w:tcPr>
            <w:tcW w:w="142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720" w:type="dxa"/>
            <w:vAlign w:val="bottom"/>
            <w:gridSpan w:val="5"/>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tcPr>
          <w:p>
            <w:pPr>
              <w:ind w:left="40"/>
              <w:spacing w:after="0"/>
              <w:rPr>
                <w:sz w:val="20"/>
                <w:szCs w:val="20"/>
                <w:color w:val="auto"/>
              </w:rPr>
            </w:pPr>
            <w:r>
              <w:rPr>
                <w:rFonts w:ascii="Arial" w:cs="Arial" w:eastAsia="Arial" w:hAnsi="Arial"/>
                <w:sz w:val="18"/>
                <w:szCs w:val="18"/>
                <w:color w:val="auto"/>
              </w:rPr>
              <w:t>​William B. Plummer</w:t>
            </w:r>
          </w:p>
        </w:tc>
        <w:tc>
          <w:tcPr>
            <w:tcW w:w="1420" w:type="dxa"/>
            <w:vAlign w:val="bottom"/>
          </w:tcPr>
          <w:p>
            <w:pPr>
              <w:jc w:val="center"/>
              <w:ind w:left="1172"/>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8"/>
                <w:szCs w:val="18"/>
                <w:color w:val="auto"/>
              </w:rPr>
            </w:pPr>
          </w:p>
        </w:tc>
        <w:tc>
          <w:tcPr>
            <w:tcW w:w="2760" w:type="dxa"/>
            <w:vAlign w:val="bottom"/>
            <w:gridSpan w:val="6"/>
          </w:tcPr>
          <w:p>
            <w:pPr>
              <w:jc w:val="right"/>
              <w:spacing w:after="0"/>
              <w:rPr>
                <w:sz w:val="20"/>
                <w:szCs w:val="20"/>
                <w:color w:val="auto"/>
              </w:rPr>
            </w:pPr>
            <w:r>
              <w:rPr>
                <w:rFonts w:ascii="Arial" w:cs="Arial" w:eastAsia="Arial" w:hAnsi="Arial"/>
                <w:sz w:val="18"/>
                <w:szCs w:val="18"/>
                <w:color w:val="auto"/>
              </w:rPr>
              <w:t>​​ 145,000​​ ​</w:t>
            </w:r>
            <w:r>
              <w:rPr>
                <w:rFonts w:ascii="Arial" w:cs="Arial" w:eastAsia="Arial" w:hAnsi="Arial"/>
                <w:sz w:val="18"/>
                <w:szCs w:val="18"/>
                <w:b w:val="1"/>
                <w:bCs w:val="1"/>
                <w:color w:val="auto"/>
              </w:rPr>
              <w:t>​</w:t>
            </w:r>
            <w:r>
              <w:rPr>
                <w:rFonts w:ascii="Arial" w:cs="Arial" w:eastAsia="Arial" w:hAnsi="Arial"/>
                <w:sz w:val="18"/>
                <w:szCs w:val="18"/>
                <w:color w:val="auto"/>
              </w:rPr>
              <w:t>179,862​​ ​</w:t>
            </w:r>
            <w:r>
              <w:rPr>
                <w:rFonts w:ascii="Arial" w:cs="Arial" w:eastAsia="Arial" w:hAnsi="Arial"/>
                <w:sz w:val="18"/>
                <w:szCs w:val="18"/>
                <w:b w:val="1"/>
                <w:bCs w:val="1"/>
                <w:color w:val="auto"/>
              </w:rPr>
              <w:t>​</w:t>
            </w:r>
            <w:r>
              <w:rPr>
                <w:rFonts w:ascii="Arial" w:cs="Arial" w:eastAsia="Arial" w:hAnsi="Arial"/>
                <w:sz w:val="18"/>
                <w:szCs w:val="18"/>
                <w:color w:val="auto"/>
              </w:rPr>
              <w:t>324,862​​</w:t>
            </w:r>
          </w:p>
        </w:tc>
        <w:tc>
          <w:tcPr>
            <w:tcW w:w="0" w:type="dxa"/>
            <w:vAlign w:val="bottom"/>
          </w:tcPr>
          <w:p>
            <w:pPr>
              <w:spacing w:after="0"/>
              <w:rPr>
                <w:sz w:val="1"/>
                <w:szCs w:val="1"/>
                <w:color w:val="auto"/>
              </w:rPr>
            </w:pPr>
          </w:p>
        </w:tc>
      </w:tr>
      <w:tr>
        <w:trPr>
          <w:trHeight w:val="20"/>
        </w:trPr>
        <w:tc>
          <w:tcPr>
            <w:tcW w:w="3380" w:type="dxa"/>
            <w:vAlign w:val="bottom"/>
            <w:shd w:val="clear" w:color="auto" w:fill="457157"/>
          </w:tcPr>
          <w:p>
            <w:pPr>
              <w:spacing w:after="0" w:line="20" w:lineRule="exact"/>
              <w:rPr>
                <w:sz w:val="1"/>
                <w:szCs w:val="1"/>
                <w:color w:val="auto"/>
              </w:rPr>
            </w:pPr>
          </w:p>
        </w:tc>
        <w:tc>
          <w:tcPr>
            <w:tcW w:w="142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720" w:type="dxa"/>
            <w:vAlign w:val="bottom"/>
            <w:gridSpan w:val="5"/>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tcPr>
          <w:p>
            <w:pPr>
              <w:ind w:left="40"/>
              <w:spacing w:after="0" w:line="210" w:lineRule="exact"/>
              <w:rPr>
                <w:sz w:val="20"/>
                <w:szCs w:val="20"/>
                <w:color w:val="auto"/>
              </w:rPr>
            </w:pPr>
            <w:r>
              <w:rPr>
                <w:rFonts w:ascii="Arial" w:cs="Arial" w:eastAsia="Arial" w:hAnsi="Arial"/>
                <w:sz w:val="18"/>
                <w:szCs w:val="18"/>
                <w:color w:val="auto"/>
              </w:rPr>
              <w:t>​John C. Pope</w:t>
            </w:r>
            <w:r>
              <w:rPr>
                <w:rFonts w:ascii="Arial" w:cs="Arial" w:eastAsia="Arial" w:hAnsi="Arial"/>
                <w:sz w:val="23"/>
                <w:szCs w:val="23"/>
                <w:color w:val="auto"/>
                <w:vertAlign w:val="superscript"/>
              </w:rPr>
              <w:t>(3)</w:t>
            </w:r>
          </w:p>
        </w:tc>
        <w:tc>
          <w:tcPr>
            <w:tcW w:w="1420" w:type="dxa"/>
            <w:vAlign w:val="bottom"/>
          </w:tcPr>
          <w:p>
            <w:pPr>
              <w:jc w:val="center"/>
              <w:ind w:left="1172"/>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8"/>
                <w:szCs w:val="18"/>
                <w:color w:val="auto"/>
              </w:rPr>
            </w:pPr>
          </w:p>
        </w:tc>
        <w:tc>
          <w:tcPr>
            <w:tcW w:w="2760" w:type="dxa"/>
            <w:vAlign w:val="bottom"/>
            <w:gridSpan w:val="6"/>
          </w:tcPr>
          <w:p>
            <w:pPr>
              <w:jc w:val="right"/>
              <w:spacing w:after="0"/>
              <w:rPr>
                <w:sz w:val="20"/>
                <w:szCs w:val="20"/>
                <w:color w:val="auto"/>
              </w:rPr>
            </w:pPr>
            <w:r>
              <w:rPr>
                <w:rFonts w:ascii="Arial" w:cs="Arial" w:eastAsia="Arial" w:hAnsi="Arial"/>
                <w:sz w:val="18"/>
                <w:szCs w:val="18"/>
                <w:color w:val="auto"/>
              </w:rPr>
              <w:t>​​  60,000​​ ​</w:t>
            </w:r>
            <w:r>
              <w:rPr>
                <w:rFonts w:ascii="Arial" w:cs="Arial" w:eastAsia="Arial" w:hAnsi="Arial"/>
                <w:sz w:val="18"/>
                <w:szCs w:val="18"/>
                <w:b w:val="1"/>
                <w:bCs w:val="1"/>
                <w:color w:val="auto"/>
              </w:rPr>
              <w:t>​</w:t>
            </w:r>
            <w:r>
              <w:rPr>
                <w:rFonts w:ascii="Arial" w:cs="Arial" w:eastAsia="Arial" w:hAnsi="Arial"/>
                <w:sz w:val="18"/>
                <w:szCs w:val="18"/>
                <w:color w:val="auto"/>
              </w:rPr>
              <w:t xml:space="preserve"> 89,965​​ ​</w:t>
            </w:r>
            <w:r>
              <w:rPr>
                <w:rFonts w:ascii="Arial" w:cs="Arial" w:eastAsia="Arial" w:hAnsi="Arial"/>
                <w:sz w:val="18"/>
                <w:szCs w:val="18"/>
                <w:b w:val="1"/>
                <w:bCs w:val="1"/>
                <w:color w:val="auto"/>
              </w:rPr>
              <w:t>​</w:t>
            </w:r>
            <w:r>
              <w:rPr>
                <w:rFonts w:ascii="Arial" w:cs="Arial" w:eastAsia="Arial" w:hAnsi="Arial"/>
                <w:sz w:val="18"/>
                <w:szCs w:val="18"/>
                <w:color w:val="auto"/>
              </w:rPr>
              <w:t>149,965​​</w:t>
            </w:r>
          </w:p>
        </w:tc>
        <w:tc>
          <w:tcPr>
            <w:tcW w:w="0" w:type="dxa"/>
            <w:vAlign w:val="bottom"/>
          </w:tcPr>
          <w:p>
            <w:pPr>
              <w:spacing w:after="0"/>
              <w:rPr>
                <w:sz w:val="1"/>
                <w:szCs w:val="1"/>
                <w:color w:val="auto"/>
              </w:rPr>
            </w:pPr>
          </w:p>
        </w:tc>
      </w:tr>
      <w:tr>
        <w:trPr>
          <w:trHeight w:val="20"/>
        </w:trPr>
        <w:tc>
          <w:tcPr>
            <w:tcW w:w="3380" w:type="dxa"/>
            <w:vAlign w:val="bottom"/>
            <w:shd w:val="clear" w:color="auto" w:fill="457157"/>
          </w:tcPr>
          <w:p>
            <w:pPr>
              <w:spacing w:after="0" w:line="20" w:lineRule="exact"/>
              <w:rPr>
                <w:sz w:val="1"/>
                <w:szCs w:val="1"/>
                <w:color w:val="auto"/>
              </w:rPr>
            </w:pPr>
          </w:p>
        </w:tc>
        <w:tc>
          <w:tcPr>
            <w:tcW w:w="142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720" w:type="dxa"/>
            <w:vAlign w:val="bottom"/>
            <w:gridSpan w:val="5"/>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80" w:type="dxa"/>
            <w:vAlign w:val="bottom"/>
          </w:tcPr>
          <w:p>
            <w:pPr>
              <w:ind w:left="40"/>
              <w:spacing w:after="0"/>
              <w:rPr>
                <w:sz w:val="20"/>
                <w:szCs w:val="20"/>
                <w:color w:val="auto"/>
              </w:rPr>
            </w:pPr>
            <w:r>
              <w:rPr>
                <w:rFonts w:ascii="Arial" w:cs="Arial" w:eastAsia="Arial" w:hAnsi="Arial"/>
                <w:sz w:val="18"/>
                <w:szCs w:val="18"/>
                <w:color w:val="auto"/>
              </w:rPr>
              <w:t>​Maryrose T. Sylvester</w:t>
            </w:r>
          </w:p>
        </w:tc>
        <w:tc>
          <w:tcPr>
            <w:tcW w:w="1420" w:type="dxa"/>
            <w:vAlign w:val="bottom"/>
          </w:tcPr>
          <w:p>
            <w:pPr>
              <w:jc w:val="center"/>
              <w:ind w:left="1172"/>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8"/>
                <w:szCs w:val="18"/>
                <w:color w:val="auto"/>
              </w:rPr>
            </w:pPr>
          </w:p>
        </w:tc>
        <w:tc>
          <w:tcPr>
            <w:tcW w:w="2760" w:type="dxa"/>
            <w:vAlign w:val="bottom"/>
            <w:gridSpan w:val="6"/>
          </w:tcPr>
          <w:p>
            <w:pPr>
              <w:jc w:val="right"/>
              <w:spacing w:after="0"/>
              <w:rPr>
                <w:sz w:val="20"/>
                <w:szCs w:val="20"/>
                <w:color w:val="auto"/>
              </w:rPr>
            </w:pPr>
            <w:r>
              <w:rPr>
                <w:rFonts w:ascii="Arial" w:cs="Arial" w:eastAsia="Arial" w:hAnsi="Arial"/>
                <w:sz w:val="18"/>
                <w:szCs w:val="18"/>
                <w:color w:val="auto"/>
              </w:rPr>
              <w:t>​​ 120,000​​ ​</w:t>
            </w:r>
            <w:r>
              <w:rPr>
                <w:rFonts w:ascii="Arial" w:cs="Arial" w:eastAsia="Arial" w:hAnsi="Arial"/>
                <w:sz w:val="18"/>
                <w:szCs w:val="18"/>
                <w:b w:val="1"/>
                <w:bCs w:val="1"/>
                <w:color w:val="auto"/>
              </w:rPr>
              <w:t>​</w:t>
            </w:r>
            <w:r>
              <w:rPr>
                <w:rFonts w:ascii="Arial" w:cs="Arial" w:eastAsia="Arial" w:hAnsi="Arial"/>
                <w:sz w:val="18"/>
                <w:szCs w:val="18"/>
                <w:color w:val="auto"/>
              </w:rPr>
              <w:t>179,862​​ ​</w:t>
            </w:r>
            <w:r>
              <w:rPr>
                <w:rFonts w:ascii="Arial" w:cs="Arial" w:eastAsia="Arial" w:hAnsi="Arial"/>
                <w:sz w:val="18"/>
                <w:szCs w:val="18"/>
                <w:b w:val="1"/>
                <w:bCs w:val="1"/>
                <w:color w:val="auto"/>
              </w:rPr>
              <w:t>​</w:t>
            </w:r>
            <w:r>
              <w:rPr>
                <w:rFonts w:ascii="Arial" w:cs="Arial" w:eastAsia="Arial" w:hAnsi="Arial"/>
                <w:sz w:val="18"/>
                <w:szCs w:val="18"/>
                <w:color w:val="auto"/>
              </w:rPr>
              <w:t>299,862​​</w:t>
            </w:r>
          </w:p>
        </w:tc>
        <w:tc>
          <w:tcPr>
            <w:tcW w:w="0" w:type="dxa"/>
            <w:vAlign w:val="bottom"/>
          </w:tcPr>
          <w:p>
            <w:pPr>
              <w:spacing w:after="0"/>
              <w:rPr>
                <w:sz w:val="1"/>
                <w:szCs w:val="1"/>
                <w:color w:val="auto"/>
              </w:rPr>
            </w:pPr>
          </w:p>
        </w:tc>
      </w:tr>
      <w:tr>
        <w:trPr>
          <w:trHeight w:val="20"/>
        </w:trPr>
        <w:tc>
          <w:tcPr>
            <w:tcW w:w="3380" w:type="dxa"/>
            <w:vAlign w:val="bottom"/>
            <w:shd w:val="clear" w:color="auto" w:fill="457157"/>
          </w:tcPr>
          <w:p>
            <w:pPr>
              <w:spacing w:after="0" w:line="20" w:lineRule="exact"/>
              <w:rPr>
                <w:sz w:val="1"/>
                <w:szCs w:val="1"/>
                <w:color w:val="auto"/>
              </w:rPr>
            </w:pPr>
          </w:p>
        </w:tc>
        <w:tc>
          <w:tcPr>
            <w:tcW w:w="142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-1328420</wp:posOffset>
            </wp:positionV>
            <wp:extent cx="4843145"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843145" cy="1543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-1028065</wp:posOffset>
            </wp:positionV>
            <wp:extent cx="4843145"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843145" cy="14541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-736600</wp:posOffset>
            </wp:positionV>
            <wp:extent cx="4843145"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843145" cy="14605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-445135</wp:posOffset>
            </wp:positionV>
            <wp:extent cx="4843145" cy="146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843145" cy="14605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-153670</wp:posOffset>
            </wp:positionV>
            <wp:extent cx="4843145" cy="145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843145" cy="145415"/>
                    </a:xfrm>
                    <a:prstGeom prst="rect">
                      <a:avLst/>
                    </a:prstGeom>
                    <a:noFill/>
                  </pic:spPr>
                </pic:pic>
              </a:graphicData>
            </a:graphic>
          </wp:anchor>
        </w:drawing>
      </w:r>
    </w:p>
    <w:p>
      <w:pPr>
        <w:spacing w:after="0" w:line="15" w:lineRule="exact"/>
        <w:rPr>
          <w:sz w:val="20"/>
          <w:szCs w:val="20"/>
          <w:color w:val="auto"/>
        </w:rPr>
      </w:pPr>
    </w:p>
    <w:p>
      <w:pPr>
        <w:jc w:val="both"/>
        <w:ind w:left="1900" w:right="60" w:hanging="364"/>
        <w:spacing w:after="0" w:line="259" w:lineRule="auto"/>
        <w:tabs>
          <w:tab w:leader="none" w:pos="1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stock awards granted in 2024, in accordance with Financial Accounting Standards Board Accounting Standards Codification Topic 718. The grant date fair value of the awards is equal to the number of shares issued multiplied by the average of the high and low market price of our Common Stock on each date of grant; there are no assumptions used in the valuation of shares.</w:t>
      </w:r>
    </w:p>
    <w:p>
      <w:pPr>
        <w:spacing w:after="0" w:line="71" w:lineRule="exact"/>
        <w:rPr>
          <w:rFonts w:ascii="Arial" w:cs="Arial" w:eastAsia="Arial" w:hAnsi="Arial"/>
          <w:sz w:val="18"/>
          <w:szCs w:val="18"/>
          <w:color w:val="auto"/>
        </w:rPr>
      </w:pPr>
    </w:p>
    <w:p>
      <w:pPr>
        <w:jc w:val="both"/>
        <w:ind w:left="1900" w:right="60" w:hanging="364"/>
        <w:spacing w:after="0" w:line="268" w:lineRule="auto"/>
        <w:tabs>
          <w:tab w:leader="none" w:pos="1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Bené was elected to our Board effective March 1, 2024 and received prorated equity and cash compensation for service as a director from the date of election until the next regular installment of compensation payments in July 2024.</w:t>
      </w:r>
    </w:p>
    <w:p>
      <w:pPr>
        <w:spacing w:after="0" w:line="62" w:lineRule="exact"/>
        <w:rPr>
          <w:rFonts w:ascii="Arial" w:cs="Arial" w:eastAsia="Arial" w:hAnsi="Arial"/>
          <w:sz w:val="18"/>
          <w:szCs w:val="18"/>
          <w:color w:val="auto"/>
        </w:rPr>
      </w:pPr>
    </w:p>
    <w:p>
      <w:pPr>
        <w:jc w:val="both"/>
        <w:ind w:left="1900" w:right="60" w:hanging="364"/>
        <w:spacing w:after="0" w:line="268" w:lineRule="auto"/>
        <w:tabs>
          <w:tab w:leader="none" w:pos="1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the 2024 Annual Meeting, Mr. Pope had reached the retirement age set forth in the Company’s Corporate Governance Guidelines; therefore, he did not stand for re-election. His term as a director of the Company expired on May 14,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ELECTION OF DIRECTORS</w:t>
      </w:r>
      <w:r>
        <w:rPr>
          <w:rFonts w:ascii="Times New Roman" w:cs="Times New Roman" w:eastAsia="Times New Roman" w:hAnsi="Times New Roman"/>
          <w:sz w:val="64"/>
          <w:szCs w:val="64"/>
          <w:color w:val="000000"/>
        </w:rPr>
        <w:t>​</w:t>
      </w:r>
    </w:p>
    <w:p>
      <w:pPr>
        <w:spacing w:after="0" w:line="3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457157"/>
        </w:rPr>
        <w:t>(Item 1 on the Proxy Card — Director Nominees)</w:t>
      </w:r>
    </w:p>
    <w:p>
      <w:pPr>
        <w:spacing w:after="0" w:line="106" w:lineRule="exact"/>
        <w:rPr>
          <w:sz w:val="20"/>
          <w:szCs w:val="20"/>
          <w:color w:val="auto"/>
        </w:rPr>
      </w:pPr>
    </w:p>
    <w:p>
      <w:pPr>
        <w:jc w:val="both"/>
        <w:ind w:left="820"/>
        <w:spacing w:after="0" w:line="253" w:lineRule="auto"/>
        <w:rPr>
          <w:sz w:val="20"/>
          <w:szCs w:val="20"/>
          <w:color w:val="auto"/>
        </w:rPr>
      </w:pPr>
      <w:r>
        <w:rPr>
          <w:rFonts w:ascii="Arial" w:cs="Arial" w:eastAsia="Arial" w:hAnsi="Arial"/>
          <w:sz w:val="18"/>
          <w:szCs w:val="18"/>
          <w:color w:val="auto"/>
        </w:rPr>
        <w:t>The first item on the proxy card is the election of nine directors to serve until the 2026 Annual Meeting of Stockholders and until their respective successors have been duly elected and qualified. The Board has nominated the nine director candidates named below and recommends that you vote FOR their election. Each of the director nominees currently serves on our Board of Directors. If any nominee is unable or unwilling to serve as a director, which we do not anticipate, the Board, by resolution, may reduce the number of directors that constitute the Board or may choose a substitute. To be elected, a director must receive a majority of the votes cast with respect to that director at the meeting. Our Company’s By- laws provide that if the number of shares voted “for” any director nominee does not exceed 50% of the votes cast with respect to that director, he or she will tender his or her resignation to the Board of Directors contingent on the acceptance of such resignation by the Board. The Nominating and Governance Committee will then make a recommendation to the Board on whether to accept or reject the resignation, or whether other action should be taken. The Board will act on the resignation, taking into account the Nominating and Governance Committee’s recommendation, and publicly disclose its decision and the rationale behind it within 90 days of the date of the certification of the election results.</w:t>
      </w:r>
    </w:p>
    <w:p>
      <w:pPr>
        <w:spacing w:after="0" w:line="200" w:lineRule="exact"/>
        <w:rPr>
          <w:sz w:val="20"/>
          <w:szCs w:val="20"/>
          <w:color w:val="auto"/>
        </w:rPr>
      </w:pPr>
    </w:p>
    <w:p>
      <w:pPr>
        <w:spacing w:after="0" w:line="311" w:lineRule="exact"/>
        <w:rPr>
          <w:sz w:val="20"/>
          <w:szCs w:val="20"/>
          <w:color w:val="auto"/>
        </w:rPr>
      </w:pPr>
    </w:p>
    <w:p>
      <w:pPr>
        <w:jc w:val="both"/>
        <w:ind w:left="820"/>
        <w:spacing w:after="0" w:line="257" w:lineRule="auto"/>
        <w:rPr>
          <w:sz w:val="20"/>
          <w:szCs w:val="20"/>
          <w:color w:val="auto"/>
        </w:rPr>
      </w:pPr>
      <w:r>
        <w:rPr>
          <w:rFonts w:ascii="Arial" w:cs="Arial" w:eastAsia="Arial" w:hAnsi="Arial"/>
          <w:sz w:val="18"/>
          <w:szCs w:val="18"/>
          <w:color w:val="auto"/>
        </w:rPr>
        <w:t>Below we present biographical information of each director nominee, as well as information about the qualifications, skills and areas of expertise that make each of these individuals a valuable member of our Board and that were considered by the Board when nominating them for re-election. Definitions of the categories of skill and expertise presented in the following chart are provided below. This is intended as a high-level summary to support an understanding of director qualifications and is not an exhaustive list of the areas of skill and expertise that our director nominees contribute to the Board.</w:t>
      </w:r>
    </w:p>
    <w:p>
      <w:pPr>
        <w:spacing w:after="0" w:line="200" w:lineRule="exact"/>
        <w:rPr>
          <w:sz w:val="20"/>
          <w:szCs w:val="20"/>
          <w:color w:val="auto"/>
        </w:rPr>
      </w:pPr>
    </w:p>
    <w:p>
      <w:pPr>
        <w:spacing w:after="0" w:line="203"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457157"/>
        </w:rPr>
        <w:t>BOARD COMPOSITION, SKILLS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wp:posOffset>
            </wp:positionH>
            <wp:positionV relativeFrom="paragraph">
              <wp:posOffset>106680</wp:posOffset>
            </wp:positionV>
            <wp:extent cx="5734685" cy="27946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3468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80"/>
          </w:cols>
          <w:pgMar w:left="580" w:top="97" w:right="14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1"/>
        </w:trPr>
        <w:tc>
          <w:tcPr>
            <w:tcW w:w="2500" w:type="dxa"/>
            <w:vAlign w:val="bottom"/>
            <w:gridSpan w:val="3"/>
          </w:tcPr>
          <w:p>
            <w:pPr>
              <w:spacing w:after="0"/>
              <w:rPr>
                <w:sz w:val="20"/>
                <w:szCs w:val="20"/>
                <w:color w:val="auto"/>
              </w:rPr>
            </w:pPr>
            <w:r>
              <w:rPr>
                <w:rFonts w:ascii="Calibri" w:cs="Calibri" w:eastAsia="Calibri" w:hAnsi="Calibri"/>
                <w:sz w:val="14"/>
                <w:szCs w:val="14"/>
                <w:color w:val="003366"/>
              </w:rPr>
              <w:t>TABLE OF CONTENTS</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820" w:type="dxa"/>
            <w:vAlign w:val="bottom"/>
          </w:tcPr>
          <w:p>
            <w:pPr>
              <w:spacing w:after="0"/>
              <w:rPr>
                <w:sz w:val="24"/>
                <w:szCs w:val="24"/>
                <w:color w:val="auto"/>
              </w:rPr>
            </w:pPr>
          </w:p>
        </w:tc>
        <w:tc>
          <w:tcPr>
            <w:tcW w:w="100" w:type="dxa"/>
            <w:vAlign w:val="bottom"/>
            <w:tcBorders>
              <w:bottom w:val="single" w:sz="8" w:color="457157"/>
            </w:tcBorders>
          </w:tcPr>
          <w:p>
            <w:pPr>
              <w:spacing w:after="0"/>
              <w:rPr>
                <w:sz w:val="24"/>
                <w:szCs w:val="24"/>
                <w:color w:val="auto"/>
              </w:rPr>
            </w:pPr>
          </w:p>
        </w:tc>
        <w:tc>
          <w:tcPr>
            <w:tcW w:w="1580" w:type="dxa"/>
            <w:vAlign w:val="bottom"/>
            <w:tcBorders>
              <w:bottom w:val="single" w:sz="8" w:color="457157"/>
            </w:tcBorders>
          </w:tcPr>
          <w:p>
            <w:pPr>
              <w:spacing w:after="0"/>
              <w:rPr>
                <w:sz w:val="24"/>
                <w:szCs w:val="24"/>
                <w:color w:val="auto"/>
              </w:rPr>
            </w:pPr>
          </w:p>
        </w:tc>
        <w:tc>
          <w:tcPr>
            <w:tcW w:w="200" w:type="dxa"/>
            <w:vAlign w:val="bottom"/>
            <w:tcBorders>
              <w:bottom w:val="single" w:sz="8" w:color="457157"/>
            </w:tcBorders>
          </w:tcPr>
          <w:p>
            <w:pPr>
              <w:spacing w:after="0"/>
              <w:rPr>
                <w:sz w:val="24"/>
                <w:szCs w:val="24"/>
                <w:color w:val="auto"/>
              </w:rPr>
            </w:pPr>
          </w:p>
        </w:tc>
        <w:tc>
          <w:tcPr>
            <w:tcW w:w="780" w:type="dxa"/>
            <w:vAlign w:val="bottom"/>
            <w:tcBorders>
              <w:bottom w:val="single" w:sz="8" w:color="457157"/>
            </w:tcBorders>
          </w:tcPr>
          <w:p>
            <w:pPr>
              <w:spacing w:after="0"/>
              <w:rPr>
                <w:sz w:val="24"/>
                <w:szCs w:val="24"/>
                <w:color w:val="auto"/>
              </w:rPr>
            </w:pPr>
          </w:p>
        </w:tc>
        <w:tc>
          <w:tcPr>
            <w:tcW w:w="80" w:type="dxa"/>
            <w:vAlign w:val="bottom"/>
            <w:tcBorders>
              <w:bottom w:val="single" w:sz="8" w:color="457157"/>
            </w:tcBorders>
          </w:tcPr>
          <w:p>
            <w:pPr>
              <w:spacing w:after="0"/>
              <w:rPr>
                <w:sz w:val="24"/>
                <w:szCs w:val="24"/>
                <w:color w:val="auto"/>
              </w:rPr>
            </w:pPr>
          </w:p>
        </w:tc>
        <w:tc>
          <w:tcPr>
            <w:tcW w:w="700" w:type="dxa"/>
            <w:vAlign w:val="bottom"/>
            <w:tcBorders>
              <w:bottom w:val="single" w:sz="8" w:color="457157"/>
            </w:tcBorders>
          </w:tcPr>
          <w:p>
            <w:pPr>
              <w:spacing w:after="0"/>
              <w:rPr>
                <w:sz w:val="24"/>
                <w:szCs w:val="24"/>
                <w:color w:val="auto"/>
              </w:rPr>
            </w:pPr>
          </w:p>
        </w:tc>
        <w:tc>
          <w:tcPr>
            <w:tcW w:w="2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spacing w:after="0"/>
              <w:rPr>
                <w:sz w:val="24"/>
                <w:szCs w:val="24"/>
                <w:color w:val="auto"/>
              </w:rPr>
            </w:pPr>
          </w:p>
        </w:tc>
        <w:tc>
          <w:tcPr>
            <w:tcW w:w="76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spacing w:after="0"/>
              <w:rPr>
                <w:sz w:val="24"/>
                <w:szCs w:val="24"/>
                <w:color w:val="auto"/>
              </w:rPr>
            </w:pPr>
          </w:p>
        </w:tc>
        <w:tc>
          <w:tcPr>
            <w:tcW w:w="56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spacing w:after="0"/>
              <w:rPr>
                <w:sz w:val="24"/>
                <w:szCs w:val="24"/>
                <w:color w:val="auto"/>
              </w:rPr>
            </w:pPr>
          </w:p>
        </w:tc>
        <w:tc>
          <w:tcPr>
            <w:tcW w:w="100" w:type="dxa"/>
            <w:vAlign w:val="bottom"/>
            <w:tcBorders>
              <w:bottom w:val="single" w:sz="8" w:color="457157"/>
            </w:tcBorders>
          </w:tcPr>
          <w:p>
            <w:pPr>
              <w:spacing w:after="0"/>
              <w:rPr>
                <w:sz w:val="24"/>
                <w:szCs w:val="24"/>
                <w:color w:val="auto"/>
              </w:rPr>
            </w:pPr>
          </w:p>
        </w:tc>
        <w:tc>
          <w:tcPr>
            <w:tcW w:w="80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spacing w:after="0"/>
              <w:rPr>
                <w:sz w:val="24"/>
                <w:szCs w:val="24"/>
                <w:color w:val="auto"/>
              </w:rPr>
            </w:pPr>
          </w:p>
        </w:tc>
        <w:tc>
          <w:tcPr>
            <w:tcW w:w="780" w:type="dxa"/>
            <w:vAlign w:val="bottom"/>
            <w:tcBorders>
              <w:bottom w:val="single" w:sz="8" w:color="457157"/>
            </w:tcBorders>
            <w:gridSpan w:val="2"/>
          </w:tcPr>
          <w:p>
            <w:pPr>
              <w:spacing w:after="0"/>
              <w:rPr>
                <w:sz w:val="24"/>
                <w:szCs w:val="24"/>
                <w:color w:val="auto"/>
              </w:rPr>
            </w:pPr>
          </w:p>
        </w:tc>
        <w:tc>
          <w:tcPr>
            <w:tcW w:w="920" w:type="dxa"/>
            <w:vAlign w:val="bottom"/>
            <w:tcBorders>
              <w:bottom w:val="single" w:sz="8" w:color="457157"/>
            </w:tcBorders>
            <w:gridSpan w:val="2"/>
          </w:tcPr>
          <w:p>
            <w:pPr>
              <w:spacing w:after="0"/>
              <w:rPr>
                <w:sz w:val="24"/>
                <w:szCs w:val="24"/>
                <w:color w:val="auto"/>
              </w:rPr>
            </w:pPr>
          </w:p>
        </w:tc>
        <w:tc>
          <w:tcPr>
            <w:tcW w:w="800" w:type="dxa"/>
            <w:vAlign w:val="bottom"/>
            <w:tcBorders>
              <w:bottom w:val="single" w:sz="8" w:color="457157"/>
            </w:tcBorders>
            <w:gridSpan w:val="3"/>
          </w:tcPr>
          <w:p>
            <w:pPr>
              <w:spacing w:after="0"/>
              <w:rPr>
                <w:sz w:val="24"/>
                <w:szCs w:val="24"/>
                <w:color w:val="auto"/>
              </w:rPr>
            </w:pPr>
          </w:p>
        </w:tc>
        <w:tc>
          <w:tcPr>
            <w:tcW w:w="360" w:type="dxa"/>
            <w:vAlign w:val="bottom"/>
            <w:tcBorders>
              <w:bottom w:val="single" w:sz="8" w:color="457157"/>
            </w:tcBorders>
            <w:gridSpan w:val="2"/>
          </w:tcPr>
          <w:p>
            <w:pPr>
              <w:spacing w:after="0"/>
              <w:rPr>
                <w:sz w:val="24"/>
                <w:szCs w:val="24"/>
                <w:color w:val="auto"/>
              </w:rPr>
            </w:pPr>
          </w:p>
        </w:tc>
        <w:tc>
          <w:tcPr>
            <w:tcW w:w="520" w:type="dxa"/>
            <w:vAlign w:val="bottom"/>
            <w:vMerge w:val="restart"/>
          </w:tcPr>
          <w:p>
            <w:pPr>
              <w:jc w:val="center"/>
              <w:ind w:right="3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820" w:type="dxa"/>
            <w:vAlign w:val="bottom"/>
          </w:tcPr>
          <w:p>
            <w:pPr>
              <w:spacing w:after="0"/>
              <w:rPr>
                <w:sz w:val="23"/>
                <w:szCs w:val="23"/>
                <w:color w:val="auto"/>
              </w:rPr>
            </w:pPr>
          </w:p>
        </w:tc>
        <w:tc>
          <w:tcPr>
            <w:tcW w:w="1680" w:type="dxa"/>
            <w:vAlign w:val="bottom"/>
            <w:gridSpan w:val="2"/>
          </w:tcPr>
          <w:p>
            <w:pPr>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60" w:type="dxa"/>
            <w:vAlign w:val="bottom"/>
            <w:gridSpan w:val="9"/>
          </w:tcPr>
          <w:p>
            <w:pPr>
              <w:ind w:left="140"/>
              <w:spacing w:after="0"/>
              <w:rPr>
                <w:sz w:val="20"/>
                <w:szCs w:val="20"/>
                <w:color w:val="auto"/>
              </w:rPr>
            </w:pPr>
            <w:r>
              <w:rPr>
                <w:rFonts w:ascii="Arial" w:cs="Arial" w:eastAsia="Arial" w:hAnsi="Arial"/>
                <w:sz w:val="20"/>
                <w:szCs w:val="20"/>
                <w:b w:val="1"/>
                <w:bCs w:val="1"/>
                <w:color w:val="auto"/>
              </w:rPr>
              <w:t>ELECTION OF DIRECTORS</w:t>
            </w:r>
          </w:p>
        </w:tc>
        <w:tc>
          <w:tcPr>
            <w:tcW w:w="52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820" w:type="dxa"/>
            <w:vAlign w:val="bottom"/>
          </w:tcPr>
          <w:p>
            <w:pPr>
              <w:spacing w:after="0"/>
              <w:rPr>
                <w:sz w:val="19"/>
                <w:szCs w:val="19"/>
                <w:color w:val="auto"/>
              </w:rPr>
            </w:pPr>
          </w:p>
        </w:tc>
        <w:tc>
          <w:tcPr>
            <w:tcW w:w="100" w:type="dxa"/>
            <w:vAlign w:val="bottom"/>
            <w:tcBorders>
              <w:bottom w:val="single" w:sz="8" w:color="457157"/>
            </w:tcBorders>
          </w:tcPr>
          <w:p>
            <w:pPr>
              <w:spacing w:after="0"/>
              <w:rPr>
                <w:sz w:val="19"/>
                <w:szCs w:val="19"/>
                <w:color w:val="auto"/>
              </w:rPr>
            </w:pPr>
          </w:p>
        </w:tc>
        <w:tc>
          <w:tcPr>
            <w:tcW w:w="1580" w:type="dxa"/>
            <w:vAlign w:val="bottom"/>
            <w:tcBorders>
              <w:bottom w:val="single" w:sz="8" w:color="457157"/>
            </w:tcBorders>
          </w:tcPr>
          <w:p>
            <w:pPr>
              <w:spacing w:after="0"/>
              <w:rPr>
                <w:sz w:val="19"/>
                <w:szCs w:val="19"/>
                <w:color w:val="auto"/>
              </w:rPr>
            </w:pPr>
          </w:p>
        </w:tc>
        <w:tc>
          <w:tcPr>
            <w:tcW w:w="200" w:type="dxa"/>
            <w:vAlign w:val="bottom"/>
            <w:tcBorders>
              <w:bottom w:val="single" w:sz="8" w:color="457157"/>
            </w:tcBorders>
          </w:tcPr>
          <w:p>
            <w:pPr>
              <w:spacing w:after="0"/>
              <w:rPr>
                <w:sz w:val="19"/>
                <w:szCs w:val="19"/>
                <w:color w:val="auto"/>
              </w:rPr>
            </w:pPr>
          </w:p>
        </w:tc>
        <w:tc>
          <w:tcPr>
            <w:tcW w:w="780" w:type="dxa"/>
            <w:vAlign w:val="bottom"/>
            <w:tcBorders>
              <w:bottom w:val="single" w:sz="8" w:color="457157"/>
            </w:tcBorders>
          </w:tcPr>
          <w:p>
            <w:pPr>
              <w:spacing w:after="0"/>
              <w:rPr>
                <w:sz w:val="19"/>
                <w:szCs w:val="19"/>
                <w:color w:val="auto"/>
              </w:rPr>
            </w:pPr>
          </w:p>
        </w:tc>
        <w:tc>
          <w:tcPr>
            <w:tcW w:w="80" w:type="dxa"/>
            <w:vAlign w:val="bottom"/>
            <w:tcBorders>
              <w:bottom w:val="single" w:sz="8" w:color="457157"/>
            </w:tcBorders>
          </w:tcPr>
          <w:p>
            <w:pPr>
              <w:spacing w:after="0"/>
              <w:rPr>
                <w:sz w:val="19"/>
                <w:szCs w:val="19"/>
                <w:color w:val="auto"/>
              </w:rPr>
            </w:pPr>
          </w:p>
        </w:tc>
        <w:tc>
          <w:tcPr>
            <w:tcW w:w="700" w:type="dxa"/>
            <w:vAlign w:val="bottom"/>
            <w:tcBorders>
              <w:bottom w:val="single" w:sz="8" w:color="457157"/>
            </w:tcBorders>
          </w:tcPr>
          <w:p>
            <w:pPr>
              <w:spacing w:after="0"/>
              <w:rPr>
                <w:sz w:val="19"/>
                <w:szCs w:val="19"/>
                <w:color w:val="auto"/>
              </w:rPr>
            </w:pPr>
          </w:p>
        </w:tc>
        <w:tc>
          <w:tcPr>
            <w:tcW w:w="20" w:type="dxa"/>
            <w:vAlign w:val="bottom"/>
            <w:tcBorders>
              <w:bottom w:val="single" w:sz="8" w:color="457157"/>
            </w:tcBorders>
          </w:tcPr>
          <w:p>
            <w:pPr>
              <w:spacing w:after="0"/>
              <w:rPr>
                <w:sz w:val="19"/>
                <w:szCs w:val="19"/>
                <w:color w:val="auto"/>
              </w:rPr>
            </w:pPr>
          </w:p>
        </w:tc>
        <w:tc>
          <w:tcPr>
            <w:tcW w:w="140" w:type="dxa"/>
            <w:vAlign w:val="bottom"/>
            <w:tcBorders>
              <w:bottom w:val="single" w:sz="8" w:color="457157"/>
            </w:tcBorders>
          </w:tcPr>
          <w:p>
            <w:pPr>
              <w:spacing w:after="0"/>
              <w:rPr>
                <w:sz w:val="19"/>
                <w:szCs w:val="19"/>
                <w:color w:val="auto"/>
              </w:rPr>
            </w:pPr>
          </w:p>
        </w:tc>
        <w:tc>
          <w:tcPr>
            <w:tcW w:w="760" w:type="dxa"/>
            <w:vAlign w:val="bottom"/>
            <w:tcBorders>
              <w:bottom w:val="single" w:sz="8" w:color="457157"/>
            </w:tcBorders>
          </w:tcPr>
          <w:p>
            <w:pPr>
              <w:spacing w:after="0"/>
              <w:rPr>
                <w:sz w:val="19"/>
                <w:szCs w:val="19"/>
                <w:color w:val="auto"/>
              </w:rPr>
            </w:pPr>
          </w:p>
        </w:tc>
        <w:tc>
          <w:tcPr>
            <w:tcW w:w="140" w:type="dxa"/>
            <w:vAlign w:val="bottom"/>
            <w:tcBorders>
              <w:bottom w:val="single" w:sz="8" w:color="457157"/>
            </w:tcBorders>
          </w:tcPr>
          <w:p>
            <w:pPr>
              <w:spacing w:after="0"/>
              <w:rPr>
                <w:sz w:val="19"/>
                <w:szCs w:val="19"/>
                <w:color w:val="auto"/>
              </w:rPr>
            </w:pPr>
          </w:p>
        </w:tc>
        <w:tc>
          <w:tcPr>
            <w:tcW w:w="560" w:type="dxa"/>
            <w:vAlign w:val="bottom"/>
            <w:tcBorders>
              <w:bottom w:val="single" w:sz="8" w:color="457157"/>
            </w:tcBorders>
          </w:tcPr>
          <w:p>
            <w:pPr>
              <w:spacing w:after="0"/>
              <w:rPr>
                <w:sz w:val="19"/>
                <w:szCs w:val="19"/>
                <w:color w:val="auto"/>
              </w:rPr>
            </w:pPr>
          </w:p>
        </w:tc>
        <w:tc>
          <w:tcPr>
            <w:tcW w:w="120" w:type="dxa"/>
            <w:vAlign w:val="bottom"/>
            <w:tcBorders>
              <w:bottom w:val="single" w:sz="8" w:color="457157"/>
            </w:tcBorders>
          </w:tcPr>
          <w:p>
            <w:pPr>
              <w:spacing w:after="0"/>
              <w:rPr>
                <w:sz w:val="19"/>
                <w:szCs w:val="19"/>
                <w:color w:val="auto"/>
              </w:rPr>
            </w:pPr>
          </w:p>
        </w:tc>
        <w:tc>
          <w:tcPr>
            <w:tcW w:w="100" w:type="dxa"/>
            <w:vAlign w:val="bottom"/>
            <w:tcBorders>
              <w:bottom w:val="single" w:sz="8" w:color="457157"/>
            </w:tcBorders>
          </w:tcPr>
          <w:p>
            <w:pPr>
              <w:spacing w:after="0"/>
              <w:rPr>
                <w:sz w:val="19"/>
                <w:szCs w:val="19"/>
                <w:color w:val="auto"/>
              </w:rPr>
            </w:pPr>
          </w:p>
        </w:tc>
        <w:tc>
          <w:tcPr>
            <w:tcW w:w="800" w:type="dxa"/>
            <w:vAlign w:val="bottom"/>
            <w:tcBorders>
              <w:bottom w:val="single" w:sz="8" w:color="457157"/>
            </w:tcBorders>
          </w:tcPr>
          <w:p>
            <w:pPr>
              <w:spacing w:after="0"/>
              <w:rPr>
                <w:sz w:val="19"/>
                <w:szCs w:val="19"/>
                <w:color w:val="auto"/>
              </w:rPr>
            </w:pPr>
          </w:p>
        </w:tc>
        <w:tc>
          <w:tcPr>
            <w:tcW w:w="120" w:type="dxa"/>
            <w:vAlign w:val="bottom"/>
            <w:tcBorders>
              <w:bottom w:val="single" w:sz="8" w:color="457157"/>
            </w:tcBorders>
          </w:tcPr>
          <w:p>
            <w:pPr>
              <w:spacing w:after="0"/>
              <w:rPr>
                <w:sz w:val="19"/>
                <w:szCs w:val="19"/>
                <w:color w:val="auto"/>
              </w:rPr>
            </w:pPr>
          </w:p>
        </w:tc>
        <w:tc>
          <w:tcPr>
            <w:tcW w:w="700" w:type="dxa"/>
            <w:vAlign w:val="bottom"/>
            <w:tcBorders>
              <w:bottom w:val="single" w:sz="8" w:color="457157"/>
            </w:tcBorders>
          </w:tcPr>
          <w:p>
            <w:pPr>
              <w:spacing w:after="0"/>
              <w:rPr>
                <w:sz w:val="19"/>
                <w:szCs w:val="19"/>
                <w:color w:val="auto"/>
              </w:rPr>
            </w:pPr>
          </w:p>
        </w:tc>
        <w:tc>
          <w:tcPr>
            <w:tcW w:w="80" w:type="dxa"/>
            <w:vAlign w:val="bottom"/>
            <w:tcBorders>
              <w:bottom w:val="single" w:sz="8" w:color="457157"/>
            </w:tcBorders>
          </w:tcPr>
          <w:p>
            <w:pPr>
              <w:spacing w:after="0"/>
              <w:rPr>
                <w:sz w:val="19"/>
                <w:szCs w:val="19"/>
                <w:color w:val="auto"/>
              </w:rPr>
            </w:pPr>
          </w:p>
        </w:tc>
        <w:tc>
          <w:tcPr>
            <w:tcW w:w="140" w:type="dxa"/>
            <w:vAlign w:val="bottom"/>
            <w:tcBorders>
              <w:bottom w:val="single" w:sz="8" w:color="457157"/>
            </w:tcBorders>
          </w:tcPr>
          <w:p>
            <w:pPr>
              <w:spacing w:after="0"/>
              <w:rPr>
                <w:sz w:val="19"/>
                <w:szCs w:val="19"/>
                <w:color w:val="auto"/>
              </w:rPr>
            </w:pPr>
          </w:p>
        </w:tc>
        <w:tc>
          <w:tcPr>
            <w:tcW w:w="780" w:type="dxa"/>
            <w:vAlign w:val="bottom"/>
            <w:tcBorders>
              <w:bottom w:val="single" w:sz="8" w:color="457157"/>
            </w:tcBorders>
          </w:tcPr>
          <w:p>
            <w:pPr>
              <w:spacing w:after="0"/>
              <w:rPr>
                <w:sz w:val="19"/>
                <w:szCs w:val="19"/>
                <w:color w:val="auto"/>
              </w:rPr>
            </w:pPr>
          </w:p>
        </w:tc>
        <w:tc>
          <w:tcPr>
            <w:tcW w:w="80" w:type="dxa"/>
            <w:vAlign w:val="bottom"/>
            <w:tcBorders>
              <w:bottom w:val="single" w:sz="8" w:color="457157"/>
            </w:tcBorders>
          </w:tcPr>
          <w:p>
            <w:pPr>
              <w:spacing w:after="0"/>
              <w:rPr>
                <w:sz w:val="19"/>
                <w:szCs w:val="19"/>
                <w:color w:val="auto"/>
              </w:rPr>
            </w:pPr>
          </w:p>
        </w:tc>
        <w:tc>
          <w:tcPr>
            <w:tcW w:w="700" w:type="dxa"/>
            <w:vAlign w:val="bottom"/>
            <w:tcBorders>
              <w:bottom w:val="single" w:sz="8" w:color="457157"/>
            </w:tcBorders>
          </w:tcPr>
          <w:p>
            <w:pPr>
              <w:spacing w:after="0"/>
              <w:rPr>
                <w:sz w:val="19"/>
                <w:szCs w:val="19"/>
                <w:color w:val="auto"/>
              </w:rPr>
            </w:pPr>
          </w:p>
        </w:tc>
        <w:tc>
          <w:tcPr>
            <w:tcW w:w="20" w:type="dxa"/>
            <w:vAlign w:val="bottom"/>
            <w:tcBorders>
              <w:bottom w:val="single" w:sz="8" w:color="457157"/>
            </w:tcBorders>
          </w:tcPr>
          <w:p>
            <w:pPr>
              <w:spacing w:after="0"/>
              <w:rPr>
                <w:sz w:val="19"/>
                <w:szCs w:val="19"/>
                <w:color w:val="auto"/>
              </w:rPr>
            </w:pPr>
          </w:p>
        </w:tc>
        <w:tc>
          <w:tcPr>
            <w:tcW w:w="120" w:type="dxa"/>
            <w:vAlign w:val="bottom"/>
            <w:tcBorders>
              <w:bottom w:val="single" w:sz="8" w:color="457157"/>
            </w:tcBorders>
          </w:tcPr>
          <w:p>
            <w:pPr>
              <w:spacing w:after="0"/>
              <w:rPr>
                <w:sz w:val="19"/>
                <w:szCs w:val="19"/>
                <w:color w:val="auto"/>
              </w:rPr>
            </w:pPr>
          </w:p>
        </w:tc>
        <w:tc>
          <w:tcPr>
            <w:tcW w:w="760" w:type="dxa"/>
            <w:vAlign w:val="bottom"/>
            <w:tcBorders>
              <w:bottom w:val="single" w:sz="8" w:color="457157"/>
            </w:tcBorders>
            <w:gridSpan w:val="2"/>
          </w:tcPr>
          <w:p>
            <w:pPr>
              <w:spacing w:after="0"/>
              <w:rPr>
                <w:sz w:val="19"/>
                <w:szCs w:val="19"/>
                <w:color w:val="auto"/>
              </w:rPr>
            </w:pPr>
          </w:p>
        </w:tc>
        <w:tc>
          <w:tcPr>
            <w:tcW w:w="100" w:type="dxa"/>
            <w:vAlign w:val="bottom"/>
            <w:tcBorders>
              <w:bottom w:val="single" w:sz="8" w:color="457157"/>
            </w:tcBorders>
          </w:tcPr>
          <w:p>
            <w:pPr>
              <w:spacing w:after="0"/>
              <w:rPr>
                <w:sz w:val="19"/>
                <w:szCs w:val="19"/>
                <w:color w:val="auto"/>
              </w:rPr>
            </w:pPr>
          </w:p>
        </w:tc>
        <w:tc>
          <w:tcPr>
            <w:tcW w:w="0" w:type="dxa"/>
            <w:vAlign w:val="bottom"/>
          </w:tcPr>
          <w:p>
            <w:pPr>
              <w:spacing w:after="0"/>
              <w:rPr>
                <w:sz w:val="1"/>
                <w:szCs w:val="1"/>
                <w:color w:val="auto"/>
              </w:rPr>
            </w:pPr>
          </w:p>
        </w:tc>
      </w:tr>
      <w:tr>
        <w:trPr>
          <w:trHeight w:val="1316"/>
        </w:trPr>
        <w:tc>
          <w:tcPr>
            <w:tcW w:w="820" w:type="dxa"/>
            <w:vAlign w:val="bottom"/>
          </w:tcPr>
          <w:p>
            <w:pPr>
              <w:spacing w:after="0"/>
              <w:rPr>
                <w:sz w:val="24"/>
                <w:szCs w:val="24"/>
                <w:color w:val="auto"/>
              </w:rPr>
            </w:pPr>
          </w:p>
        </w:tc>
        <w:tc>
          <w:tcPr>
            <w:tcW w:w="1680" w:type="dxa"/>
            <w:vAlign w:val="bottom"/>
            <w:gridSpan w:val="2"/>
            <w:vMerge w:val="restart"/>
          </w:tcPr>
          <w:p>
            <w:pPr>
              <w:spacing w:after="0"/>
              <w:rPr>
                <w:sz w:val="20"/>
                <w:szCs w:val="20"/>
                <w:color w:val="auto"/>
              </w:rPr>
            </w:pPr>
            <w:r>
              <w:rPr>
                <w:rFonts w:ascii="Arial" w:cs="Arial" w:eastAsia="Arial" w:hAnsi="Arial"/>
                <w:sz w:val="20"/>
                <w:szCs w:val="20"/>
                <w:b w:val="1"/>
                <w:bCs w:val="1"/>
                <w:color w:val="457157"/>
              </w:rPr>
              <w:t>​ ​</w:t>
            </w:r>
          </w:p>
        </w:tc>
        <w:tc>
          <w:tcPr>
            <w:tcW w:w="200" w:type="dxa"/>
            <w:vAlign w:val="bottom"/>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780" w:type="dxa"/>
            <w:vAlign w:val="bottom"/>
            <w:textDirection w:val="btLr"/>
          </w:tcPr>
          <w:p>
            <w:pPr>
              <w:ind w:left="186"/>
              <w:spacing w:after="0"/>
              <w:rPr>
                <w:sz w:val="20"/>
                <w:szCs w:val="20"/>
                <w:color w:val="auto"/>
              </w:rPr>
            </w:pPr>
            <w:r>
              <w:rPr>
                <w:rFonts w:ascii="Arial" w:cs="Arial" w:eastAsia="Arial" w:hAnsi="Arial"/>
                <w:sz w:val="20"/>
                <w:szCs w:val="20"/>
                <w:b w:val="1"/>
                <w:bCs w:val="1"/>
                <w:color w:val="457157"/>
              </w:rPr>
              <w:t>Bené</w:t>
            </w:r>
          </w:p>
        </w:tc>
        <w:tc>
          <w:tcPr>
            <w:tcW w:w="80" w:type="dxa"/>
            <w:vAlign w:val="bottom"/>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700" w:type="dxa"/>
            <w:vAlign w:val="bottom"/>
            <w:textDirection w:val="btLr"/>
          </w:tcPr>
          <w:p>
            <w:pPr>
              <w:spacing w:after="0"/>
              <w:rPr>
                <w:sz w:val="20"/>
                <w:szCs w:val="20"/>
                <w:color w:val="auto"/>
              </w:rPr>
            </w:pPr>
            <w:r>
              <w:rPr>
                <w:rFonts w:ascii="Arial" w:cs="Arial" w:eastAsia="Arial" w:hAnsi="Arial"/>
                <w:sz w:val="20"/>
                <w:szCs w:val="20"/>
                <w:b w:val="1"/>
                <w:bCs w:val="1"/>
                <w:color w:val="457157"/>
              </w:rPr>
              <w:t>Chinn</w:t>
            </w:r>
          </w:p>
        </w:tc>
        <w:tc>
          <w:tcPr>
            <w:tcW w:w="16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760" w:type="dxa"/>
            <w:vAlign w:val="bottom"/>
            <w:textDirection w:val="btLr"/>
          </w:tcPr>
          <w:p>
            <w:pPr>
              <w:ind w:left="180"/>
              <w:spacing w:after="0"/>
              <w:rPr>
                <w:sz w:val="20"/>
                <w:szCs w:val="20"/>
                <w:color w:val="auto"/>
              </w:rPr>
            </w:pPr>
            <w:r>
              <w:rPr>
                <w:rFonts w:ascii="Arial" w:cs="Arial" w:eastAsia="Arial" w:hAnsi="Arial"/>
                <w:sz w:val="20"/>
                <w:szCs w:val="20"/>
                <w:b w:val="1"/>
                <w:bCs w:val="1"/>
                <w:color w:val="457157"/>
              </w:rPr>
              <w:t>Fish</w:t>
            </w:r>
          </w:p>
        </w:tc>
        <w:tc>
          <w:tcPr>
            <w:tcW w:w="140" w:type="dxa"/>
            <w:vAlign w:val="bottom"/>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560" w:type="dxa"/>
            <w:vAlign w:val="bottom"/>
            <w:textDirection w:val="btLr"/>
          </w:tcPr>
          <w:p>
            <w:pPr>
              <w:spacing w:after="0"/>
              <w:rPr>
                <w:sz w:val="20"/>
                <w:szCs w:val="20"/>
                <w:color w:val="auto"/>
              </w:rPr>
            </w:pPr>
            <w:r>
              <w:rPr>
                <w:rFonts w:ascii="Arial" w:cs="Arial" w:eastAsia="Arial" w:hAnsi="Arial"/>
                <w:sz w:val="20"/>
                <w:szCs w:val="20"/>
                <w:b w:val="1"/>
                <w:bCs w:val="1"/>
                <w:color w:val="457157"/>
              </w:rPr>
              <w:t>Gluski</w:t>
            </w: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800" w:type="dxa"/>
            <w:vAlign w:val="bottom"/>
            <w:textDirection w:val="btLr"/>
          </w:tcPr>
          <w:p>
            <w:pPr>
              <w:ind w:left="215"/>
              <w:spacing w:after="0"/>
              <w:rPr>
                <w:sz w:val="20"/>
                <w:szCs w:val="20"/>
                <w:color w:val="auto"/>
              </w:rPr>
            </w:pPr>
            <w:r>
              <w:rPr>
                <w:rFonts w:ascii="Arial" w:cs="Arial" w:eastAsia="Arial" w:hAnsi="Arial"/>
                <w:sz w:val="20"/>
                <w:szCs w:val="20"/>
                <w:b w:val="1"/>
                <w:bCs w:val="1"/>
                <w:color w:val="457157"/>
              </w:rPr>
              <w:t>Holt</w:t>
            </w:r>
          </w:p>
        </w:tc>
        <w:tc>
          <w:tcPr>
            <w:tcW w:w="120" w:type="dxa"/>
            <w:vAlign w:val="bottom"/>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700" w:type="dxa"/>
            <w:vAlign w:val="bottom"/>
            <w:textDirection w:val="btLr"/>
          </w:tcPr>
          <w:p>
            <w:pPr>
              <w:ind w:left="199"/>
              <w:spacing w:after="0"/>
              <w:rPr>
                <w:sz w:val="20"/>
                <w:szCs w:val="20"/>
                <w:color w:val="auto"/>
              </w:rPr>
            </w:pPr>
            <w:r>
              <w:rPr>
                <w:rFonts w:ascii="Arial" w:cs="Arial" w:eastAsia="Arial" w:hAnsi="Arial"/>
                <w:sz w:val="20"/>
                <w:szCs w:val="20"/>
                <w:b w:val="1"/>
                <w:bCs w:val="1"/>
                <w:color w:val="457157"/>
              </w:rPr>
              <w:t>Mazzarella</w:t>
            </w:r>
          </w:p>
        </w:tc>
        <w:tc>
          <w:tcPr>
            <w:tcW w:w="22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780" w:type="dxa"/>
            <w:vAlign w:val="bottom"/>
            <w:textDirection w:val="btLr"/>
          </w:tcPr>
          <w:p>
            <w:pPr>
              <w:ind w:left="184"/>
              <w:spacing w:after="0"/>
              <w:rPr>
                <w:sz w:val="20"/>
                <w:szCs w:val="20"/>
                <w:color w:val="auto"/>
              </w:rPr>
            </w:pPr>
            <w:r>
              <w:rPr>
                <w:rFonts w:ascii="Arial" w:cs="Arial" w:eastAsia="Arial" w:hAnsi="Arial"/>
                <w:sz w:val="20"/>
                <w:szCs w:val="20"/>
                <w:b w:val="1"/>
                <w:bCs w:val="1"/>
                <w:color w:val="457157"/>
              </w:rPr>
              <w:t>Menke</w:t>
            </w:r>
          </w:p>
        </w:tc>
        <w:tc>
          <w:tcPr>
            <w:tcW w:w="80" w:type="dxa"/>
            <w:vAlign w:val="bottom"/>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700" w:type="dxa"/>
            <w:vAlign w:val="bottom"/>
            <w:textDirection w:val="btLr"/>
          </w:tcPr>
          <w:p>
            <w:pPr>
              <w:spacing w:after="0"/>
              <w:rPr>
                <w:sz w:val="20"/>
                <w:szCs w:val="20"/>
                <w:color w:val="auto"/>
              </w:rPr>
            </w:pPr>
            <w:r>
              <w:rPr>
                <w:rFonts w:ascii="Arial" w:cs="Arial" w:eastAsia="Arial" w:hAnsi="Arial"/>
                <w:sz w:val="20"/>
                <w:szCs w:val="20"/>
                <w:b w:val="1"/>
                <w:bCs w:val="1"/>
                <w:color w:val="457157"/>
              </w:rPr>
              <w:t>Plummer</w:t>
            </w:r>
          </w:p>
        </w:tc>
        <w:tc>
          <w:tcPr>
            <w:tcW w:w="140" w:type="dxa"/>
            <w:vAlign w:val="bottom"/>
            <w:gridSpan w:val="2"/>
            <w:vMerge w:val="restart"/>
          </w:tcPr>
          <w:p>
            <w:pPr>
              <w:jc w:val="right"/>
              <w:spacing w:after="0"/>
              <w:rPr>
                <w:sz w:val="20"/>
                <w:szCs w:val="20"/>
                <w:color w:val="auto"/>
              </w:rPr>
            </w:pPr>
            <w:r>
              <w:rPr>
                <w:rFonts w:ascii="Arial" w:cs="Arial" w:eastAsia="Arial" w:hAnsi="Arial"/>
                <w:sz w:val="20"/>
                <w:szCs w:val="20"/>
                <w:b w:val="1"/>
                <w:bCs w:val="1"/>
                <w:color w:val="457157"/>
              </w:rPr>
              <w:t>​​</w:t>
            </w:r>
          </w:p>
        </w:tc>
        <w:tc>
          <w:tcPr>
            <w:tcW w:w="760" w:type="dxa"/>
            <w:vAlign w:val="bottom"/>
            <w:gridSpan w:val="2"/>
            <w:textDirection w:val="btLr"/>
          </w:tcPr>
          <w:p>
            <w:pPr>
              <w:ind w:right="52"/>
              <w:spacing w:after="0"/>
              <w:rPr>
                <w:sz w:val="20"/>
                <w:szCs w:val="20"/>
                <w:color w:val="auto"/>
              </w:rPr>
            </w:pPr>
            <w:r>
              <w:rPr>
                <w:rFonts w:ascii="Arial" w:cs="Arial" w:eastAsia="Arial" w:hAnsi="Arial"/>
                <w:sz w:val="20"/>
                <w:szCs w:val="20"/>
                <w:b w:val="1"/>
                <w:bCs w:val="1"/>
                <w:color w:val="457157"/>
              </w:rPr>
              <w:t>Sylvester</w:t>
            </w:r>
          </w:p>
        </w:tc>
        <w:tc>
          <w:tcPr>
            <w:tcW w:w="100" w:type="dxa"/>
            <w:vAlign w:val="bottom"/>
            <w:vMerge w:val="restart"/>
          </w:tcPr>
          <w:p>
            <w:pPr>
              <w:spacing w:after="0"/>
              <w:rPr>
                <w:sz w:val="20"/>
                <w:szCs w:val="20"/>
                <w:color w:val="auto"/>
              </w:rPr>
            </w:pPr>
            <w:r>
              <w:rPr>
                <w:rFonts w:ascii="Arial" w:cs="Arial" w:eastAsia="Arial" w:hAnsi="Arial"/>
                <w:sz w:val="20"/>
                <w:szCs w:val="20"/>
                <w:b w:val="1"/>
                <w:bCs w:val="1"/>
                <w:color w:val="457157"/>
              </w:rPr>
              <w:t>​</w:t>
            </w:r>
          </w:p>
        </w:tc>
        <w:tc>
          <w:tcPr>
            <w:tcW w:w="0" w:type="dxa"/>
            <w:vAlign w:val="bottom"/>
          </w:tcPr>
          <w:p>
            <w:pPr>
              <w:spacing w:after="0"/>
              <w:rPr>
                <w:sz w:val="1"/>
                <w:szCs w:val="1"/>
                <w:color w:val="auto"/>
              </w:rPr>
            </w:pPr>
          </w:p>
        </w:tc>
      </w:tr>
      <w:tr>
        <w:trPr>
          <w:trHeight w:val="122"/>
        </w:trPr>
        <w:tc>
          <w:tcPr>
            <w:tcW w:w="820" w:type="dxa"/>
            <w:vAlign w:val="bottom"/>
          </w:tcPr>
          <w:p>
            <w:pPr>
              <w:spacing w:after="0"/>
              <w:rPr>
                <w:sz w:val="10"/>
                <w:szCs w:val="10"/>
                <w:color w:val="auto"/>
              </w:rPr>
            </w:pPr>
          </w:p>
        </w:tc>
        <w:tc>
          <w:tcPr>
            <w:tcW w:w="168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820" w:type="dxa"/>
            <w:vAlign w:val="bottom"/>
          </w:tcPr>
          <w:p>
            <w:pPr>
              <w:spacing w:after="0"/>
              <w:rPr>
                <w:sz w:val="23"/>
                <w:szCs w:val="23"/>
                <w:color w:val="auto"/>
              </w:rPr>
            </w:pPr>
          </w:p>
        </w:tc>
        <w:tc>
          <w:tcPr>
            <w:tcW w:w="100" w:type="dxa"/>
            <w:vAlign w:val="bottom"/>
            <w:shd w:val="clear" w:color="auto" w:fill="457157"/>
          </w:tcPr>
          <w:p>
            <w:pPr>
              <w:spacing w:after="0"/>
              <w:rPr>
                <w:sz w:val="20"/>
                <w:szCs w:val="20"/>
                <w:color w:val="auto"/>
              </w:rPr>
            </w:pPr>
            <w:r>
              <w:rPr>
                <w:rFonts w:ascii="Arial" w:cs="Arial" w:eastAsia="Arial" w:hAnsi="Arial"/>
                <w:sz w:val="14"/>
                <w:szCs w:val="14"/>
                <w:b w:val="1"/>
                <w:bCs w:val="1"/>
                <w:color w:val="FFFFFF"/>
              </w:rPr>
              <w:t>​</w:t>
            </w:r>
          </w:p>
        </w:tc>
        <w:tc>
          <w:tcPr>
            <w:tcW w:w="2560" w:type="dxa"/>
            <w:vAlign w:val="bottom"/>
            <w:tcBorders>
              <w:right w:val="single" w:sz="8" w:color="457157"/>
            </w:tcBorders>
            <w:gridSpan w:val="3"/>
            <w:shd w:val="clear" w:color="auto" w:fill="457157"/>
          </w:tcPr>
          <w:p>
            <w:pPr>
              <w:spacing w:after="0"/>
              <w:rPr>
                <w:sz w:val="20"/>
                <w:szCs w:val="20"/>
                <w:color w:val="auto"/>
              </w:rPr>
            </w:pPr>
            <w:r>
              <w:rPr>
                <w:rFonts w:ascii="Arial" w:cs="Arial" w:eastAsia="Arial" w:hAnsi="Arial"/>
                <w:sz w:val="14"/>
                <w:szCs w:val="14"/>
                <w:b w:val="1"/>
                <w:bCs w:val="1"/>
                <w:color w:val="FFFFFF"/>
              </w:rPr>
              <w:t>SKILLS AND EXPERIENCE</w:t>
            </w:r>
            <w:r>
              <w:rPr>
                <w:rFonts w:ascii="Arial" w:cs="Arial" w:eastAsia="Arial" w:hAnsi="Arial"/>
                <w:sz w:val="16"/>
                <w:szCs w:val="16"/>
                <w:color w:val="000000"/>
              </w:rPr>
              <w:t>​</w:t>
            </w:r>
          </w:p>
        </w:tc>
        <w:tc>
          <w:tcPr>
            <w:tcW w:w="80" w:type="dxa"/>
            <w:vAlign w:val="bottom"/>
            <w:shd w:val="clear" w:color="auto" w:fill="457157"/>
          </w:tcPr>
          <w:p>
            <w:pPr>
              <w:spacing w:after="0"/>
              <w:rPr>
                <w:sz w:val="23"/>
                <w:szCs w:val="23"/>
                <w:color w:val="auto"/>
              </w:rPr>
            </w:pPr>
          </w:p>
        </w:tc>
        <w:tc>
          <w:tcPr>
            <w:tcW w:w="700" w:type="dxa"/>
            <w:vAlign w:val="bottom"/>
            <w:shd w:val="clear" w:color="auto" w:fill="457157"/>
          </w:tcPr>
          <w:p>
            <w:pPr>
              <w:spacing w:after="0"/>
              <w:rPr>
                <w:sz w:val="23"/>
                <w:szCs w:val="23"/>
                <w:color w:val="auto"/>
              </w:rPr>
            </w:pPr>
          </w:p>
        </w:tc>
        <w:tc>
          <w:tcPr>
            <w:tcW w:w="20" w:type="dxa"/>
            <w:vAlign w:val="bottom"/>
            <w:shd w:val="clear" w:color="auto" w:fill="457157"/>
          </w:tcPr>
          <w:p>
            <w:pPr>
              <w:spacing w:after="0"/>
              <w:rPr>
                <w:sz w:val="23"/>
                <w:szCs w:val="23"/>
                <w:color w:val="auto"/>
              </w:rPr>
            </w:pPr>
          </w:p>
        </w:tc>
        <w:tc>
          <w:tcPr>
            <w:tcW w:w="140" w:type="dxa"/>
            <w:vAlign w:val="bottom"/>
            <w:shd w:val="clear" w:color="auto" w:fill="457157"/>
          </w:tcPr>
          <w:p>
            <w:pPr>
              <w:spacing w:after="0"/>
              <w:rPr>
                <w:sz w:val="23"/>
                <w:szCs w:val="23"/>
                <w:color w:val="auto"/>
              </w:rPr>
            </w:pPr>
          </w:p>
        </w:tc>
        <w:tc>
          <w:tcPr>
            <w:tcW w:w="760" w:type="dxa"/>
            <w:vAlign w:val="bottom"/>
            <w:tcBorders>
              <w:right w:val="single" w:sz="8" w:color="457157"/>
            </w:tcBorders>
            <w:shd w:val="clear" w:color="auto" w:fill="457157"/>
          </w:tcPr>
          <w:p>
            <w:pPr>
              <w:spacing w:after="0"/>
              <w:rPr>
                <w:sz w:val="23"/>
                <w:szCs w:val="23"/>
                <w:color w:val="auto"/>
              </w:rPr>
            </w:pPr>
          </w:p>
        </w:tc>
        <w:tc>
          <w:tcPr>
            <w:tcW w:w="140" w:type="dxa"/>
            <w:vAlign w:val="bottom"/>
            <w:shd w:val="clear" w:color="auto" w:fill="457157"/>
          </w:tcPr>
          <w:p>
            <w:pPr>
              <w:spacing w:after="0"/>
              <w:rPr>
                <w:sz w:val="23"/>
                <w:szCs w:val="23"/>
                <w:color w:val="auto"/>
              </w:rPr>
            </w:pPr>
          </w:p>
        </w:tc>
        <w:tc>
          <w:tcPr>
            <w:tcW w:w="560" w:type="dxa"/>
            <w:vAlign w:val="bottom"/>
            <w:shd w:val="clear" w:color="auto" w:fill="457157"/>
          </w:tcPr>
          <w:p>
            <w:pPr>
              <w:spacing w:after="0"/>
              <w:rPr>
                <w:sz w:val="23"/>
                <w:szCs w:val="23"/>
                <w:color w:val="auto"/>
              </w:rPr>
            </w:pPr>
          </w:p>
        </w:tc>
        <w:tc>
          <w:tcPr>
            <w:tcW w:w="120" w:type="dxa"/>
            <w:vAlign w:val="bottom"/>
            <w:shd w:val="clear" w:color="auto" w:fill="457157"/>
          </w:tcPr>
          <w:p>
            <w:pPr>
              <w:spacing w:after="0"/>
              <w:rPr>
                <w:sz w:val="23"/>
                <w:szCs w:val="23"/>
                <w:color w:val="auto"/>
              </w:rPr>
            </w:pPr>
          </w:p>
        </w:tc>
        <w:tc>
          <w:tcPr>
            <w:tcW w:w="100" w:type="dxa"/>
            <w:vAlign w:val="bottom"/>
            <w:shd w:val="clear" w:color="auto" w:fill="457157"/>
          </w:tcPr>
          <w:p>
            <w:pPr>
              <w:spacing w:after="0"/>
              <w:rPr>
                <w:sz w:val="23"/>
                <w:szCs w:val="23"/>
                <w:color w:val="auto"/>
              </w:rPr>
            </w:pPr>
          </w:p>
        </w:tc>
        <w:tc>
          <w:tcPr>
            <w:tcW w:w="800" w:type="dxa"/>
            <w:vAlign w:val="bottom"/>
            <w:tcBorders>
              <w:right w:val="single" w:sz="8" w:color="457157"/>
            </w:tcBorders>
            <w:shd w:val="clear" w:color="auto" w:fill="457157"/>
          </w:tcPr>
          <w:p>
            <w:pPr>
              <w:spacing w:after="0"/>
              <w:rPr>
                <w:sz w:val="23"/>
                <w:szCs w:val="23"/>
                <w:color w:val="auto"/>
              </w:rPr>
            </w:pPr>
          </w:p>
        </w:tc>
        <w:tc>
          <w:tcPr>
            <w:tcW w:w="120" w:type="dxa"/>
            <w:vAlign w:val="bottom"/>
            <w:shd w:val="clear" w:color="auto" w:fill="457157"/>
          </w:tcPr>
          <w:p>
            <w:pPr>
              <w:spacing w:after="0"/>
              <w:rPr>
                <w:sz w:val="23"/>
                <w:szCs w:val="23"/>
                <w:color w:val="auto"/>
              </w:rPr>
            </w:pPr>
          </w:p>
        </w:tc>
        <w:tc>
          <w:tcPr>
            <w:tcW w:w="700" w:type="dxa"/>
            <w:vAlign w:val="bottom"/>
            <w:shd w:val="clear" w:color="auto" w:fill="457157"/>
          </w:tcPr>
          <w:p>
            <w:pPr>
              <w:spacing w:after="0"/>
              <w:rPr>
                <w:sz w:val="23"/>
                <w:szCs w:val="23"/>
                <w:color w:val="auto"/>
              </w:rPr>
            </w:pPr>
          </w:p>
        </w:tc>
        <w:tc>
          <w:tcPr>
            <w:tcW w:w="80" w:type="dxa"/>
            <w:vAlign w:val="bottom"/>
            <w:shd w:val="clear" w:color="auto" w:fill="457157"/>
          </w:tcPr>
          <w:p>
            <w:pPr>
              <w:spacing w:after="0"/>
              <w:rPr>
                <w:sz w:val="23"/>
                <w:szCs w:val="23"/>
                <w:color w:val="auto"/>
              </w:rPr>
            </w:pPr>
          </w:p>
        </w:tc>
        <w:tc>
          <w:tcPr>
            <w:tcW w:w="140" w:type="dxa"/>
            <w:vAlign w:val="bottom"/>
            <w:shd w:val="clear" w:color="auto" w:fill="457157"/>
          </w:tcPr>
          <w:p>
            <w:pPr>
              <w:spacing w:after="0"/>
              <w:rPr>
                <w:sz w:val="23"/>
                <w:szCs w:val="23"/>
                <w:color w:val="auto"/>
              </w:rPr>
            </w:pPr>
          </w:p>
        </w:tc>
        <w:tc>
          <w:tcPr>
            <w:tcW w:w="780" w:type="dxa"/>
            <w:vAlign w:val="bottom"/>
            <w:tcBorders>
              <w:right w:val="single" w:sz="8" w:color="457157"/>
            </w:tcBorders>
            <w:shd w:val="clear" w:color="auto" w:fill="457157"/>
          </w:tcPr>
          <w:p>
            <w:pPr>
              <w:spacing w:after="0"/>
              <w:rPr>
                <w:sz w:val="23"/>
                <w:szCs w:val="23"/>
                <w:color w:val="auto"/>
              </w:rPr>
            </w:pPr>
          </w:p>
        </w:tc>
        <w:tc>
          <w:tcPr>
            <w:tcW w:w="80" w:type="dxa"/>
            <w:vAlign w:val="bottom"/>
            <w:shd w:val="clear" w:color="auto" w:fill="457157"/>
          </w:tcPr>
          <w:p>
            <w:pPr>
              <w:spacing w:after="0"/>
              <w:rPr>
                <w:sz w:val="23"/>
                <w:szCs w:val="23"/>
                <w:color w:val="auto"/>
              </w:rPr>
            </w:pPr>
          </w:p>
        </w:tc>
        <w:tc>
          <w:tcPr>
            <w:tcW w:w="700" w:type="dxa"/>
            <w:vAlign w:val="bottom"/>
            <w:shd w:val="clear" w:color="auto" w:fill="457157"/>
          </w:tcPr>
          <w:p>
            <w:pPr>
              <w:spacing w:after="0"/>
              <w:rPr>
                <w:sz w:val="23"/>
                <w:szCs w:val="23"/>
                <w:color w:val="auto"/>
              </w:rPr>
            </w:pPr>
          </w:p>
        </w:tc>
        <w:tc>
          <w:tcPr>
            <w:tcW w:w="20" w:type="dxa"/>
            <w:vAlign w:val="bottom"/>
            <w:shd w:val="clear" w:color="auto" w:fill="457157"/>
          </w:tcPr>
          <w:p>
            <w:pPr>
              <w:spacing w:after="0"/>
              <w:rPr>
                <w:sz w:val="23"/>
                <w:szCs w:val="23"/>
                <w:color w:val="auto"/>
              </w:rPr>
            </w:pPr>
          </w:p>
        </w:tc>
        <w:tc>
          <w:tcPr>
            <w:tcW w:w="120" w:type="dxa"/>
            <w:vAlign w:val="bottom"/>
            <w:shd w:val="clear" w:color="auto" w:fill="457157"/>
          </w:tcPr>
          <w:p>
            <w:pPr>
              <w:spacing w:after="0"/>
              <w:rPr>
                <w:sz w:val="23"/>
                <w:szCs w:val="23"/>
                <w:color w:val="auto"/>
              </w:rPr>
            </w:pPr>
          </w:p>
        </w:tc>
        <w:tc>
          <w:tcPr>
            <w:tcW w:w="240" w:type="dxa"/>
            <w:vAlign w:val="bottom"/>
            <w:shd w:val="clear" w:color="auto" w:fill="457157"/>
          </w:tcPr>
          <w:p>
            <w:pPr>
              <w:spacing w:after="0"/>
              <w:rPr>
                <w:sz w:val="23"/>
                <w:szCs w:val="23"/>
                <w:color w:val="auto"/>
              </w:rPr>
            </w:pPr>
          </w:p>
        </w:tc>
        <w:tc>
          <w:tcPr>
            <w:tcW w:w="520" w:type="dxa"/>
            <w:vAlign w:val="bottom"/>
            <w:shd w:val="clear" w:color="auto" w:fill="457157"/>
          </w:tcPr>
          <w:p>
            <w:pPr>
              <w:spacing w:after="0"/>
              <w:rPr>
                <w:sz w:val="23"/>
                <w:szCs w:val="23"/>
                <w:color w:val="auto"/>
              </w:rPr>
            </w:pPr>
          </w:p>
        </w:tc>
        <w:tc>
          <w:tcPr>
            <w:tcW w:w="100" w:type="dxa"/>
            <w:vAlign w:val="bottom"/>
            <w:shd w:val="clear" w:color="auto" w:fill="457157"/>
          </w:tcPr>
          <w:p>
            <w:pP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83"/>
        </w:trPr>
        <w:tc>
          <w:tcPr>
            <w:tcW w:w="820" w:type="dxa"/>
            <w:vAlign w:val="bottom"/>
          </w:tcPr>
          <w:p>
            <w:pPr>
              <w:spacing w:after="0"/>
              <w:rPr>
                <w:sz w:val="7"/>
                <w:szCs w:val="7"/>
                <w:color w:val="auto"/>
              </w:rPr>
            </w:pPr>
          </w:p>
        </w:tc>
        <w:tc>
          <w:tcPr>
            <w:tcW w:w="100" w:type="dxa"/>
            <w:vAlign w:val="bottom"/>
            <w:shd w:val="clear" w:color="auto" w:fill="457157"/>
          </w:tcPr>
          <w:p>
            <w:pPr>
              <w:spacing w:after="0"/>
              <w:rPr>
                <w:sz w:val="7"/>
                <w:szCs w:val="7"/>
                <w:color w:val="auto"/>
              </w:rPr>
            </w:pPr>
          </w:p>
        </w:tc>
        <w:tc>
          <w:tcPr>
            <w:tcW w:w="1580" w:type="dxa"/>
            <w:vAlign w:val="bottom"/>
            <w:shd w:val="clear" w:color="auto" w:fill="457157"/>
          </w:tcPr>
          <w:p>
            <w:pPr>
              <w:spacing w:after="0"/>
              <w:rPr>
                <w:sz w:val="7"/>
                <w:szCs w:val="7"/>
                <w:color w:val="auto"/>
              </w:rPr>
            </w:pPr>
          </w:p>
        </w:tc>
        <w:tc>
          <w:tcPr>
            <w:tcW w:w="200" w:type="dxa"/>
            <w:vAlign w:val="bottom"/>
            <w:shd w:val="clear" w:color="auto" w:fill="457157"/>
          </w:tcPr>
          <w:p>
            <w:pPr>
              <w:spacing w:after="0"/>
              <w:rPr>
                <w:sz w:val="7"/>
                <w:szCs w:val="7"/>
                <w:color w:val="auto"/>
              </w:rPr>
            </w:pPr>
          </w:p>
        </w:tc>
        <w:tc>
          <w:tcPr>
            <w:tcW w:w="780" w:type="dxa"/>
            <w:vAlign w:val="bottom"/>
            <w:tcBorders>
              <w:right w:val="single" w:sz="8" w:color="457157"/>
            </w:tcBorders>
            <w:shd w:val="clear" w:color="auto" w:fill="457157"/>
          </w:tcPr>
          <w:p>
            <w:pPr>
              <w:spacing w:after="0"/>
              <w:rPr>
                <w:sz w:val="7"/>
                <w:szCs w:val="7"/>
                <w:color w:val="auto"/>
              </w:rPr>
            </w:pPr>
          </w:p>
        </w:tc>
        <w:tc>
          <w:tcPr>
            <w:tcW w:w="80" w:type="dxa"/>
            <w:vAlign w:val="bottom"/>
            <w:shd w:val="clear" w:color="auto" w:fill="457157"/>
          </w:tcPr>
          <w:p>
            <w:pPr>
              <w:spacing w:after="0"/>
              <w:rPr>
                <w:sz w:val="7"/>
                <w:szCs w:val="7"/>
                <w:color w:val="auto"/>
              </w:rPr>
            </w:pPr>
          </w:p>
        </w:tc>
        <w:tc>
          <w:tcPr>
            <w:tcW w:w="700" w:type="dxa"/>
            <w:vAlign w:val="bottom"/>
            <w:shd w:val="clear" w:color="auto" w:fill="457157"/>
          </w:tcPr>
          <w:p>
            <w:pPr>
              <w:spacing w:after="0"/>
              <w:rPr>
                <w:sz w:val="7"/>
                <w:szCs w:val="7"/>
                <w:color w:val="auto"/>
              </w:rPr>
            </w:pPr>
          </w:p>
        </w:tc>
        <w:tc>
          <w:tcPr>
            <w:tcW w:w="20" w:type="dxa"/>
            <w:vAlign w:val="bottom"/>
            <w:shd w:val="clear" w:color="auto" w:fill="457157"/>
          </w:tcPr>
          <w:p>
            <w:pPr>
              <w:spacing w:after="0"/>
              <w:rPr>
                <w:sz w:val="7"/>
                <w:szCs w:val="7"/>
                <w:color w:val="auto"/>
              </w:rPr>
            </w:pPr>
          </w:p>
        </w:tc>
        <w:tc>
          <w:tcPr>
            <w:tcW w:w="140" w:type="dxa"/>
            <w:vAlign w:val="bottom"/>
            <w:shd w:val="clear" w:color="auto" w:fill="457157"/>
          </w:tcPr>
          <w:p>
            <w:pPr>
              <w:spacing w:after="0"/>
              <w:rPr>
                <w:sz w:val="7"/>
                <w:szCs w:val="7"/>
                <w:color w:val="auto"/>
              </w:rPr>
            </w:pPr>
          </w:p>
        </w:tc>
        <w:tc>
          <w:tcPr>
            <w:tcW w:w="760" w:type="dxa"/>
            <w:vAlign w:val="bottom"/>
            <w:tcBorders>
              <w:right w:val="single" w:sz="8" w:color="457157"/>
            </w:tcBorders>
            <w:shd w:val="clear" w:color="auto" w:fill="457157"/>
          </w:tcPr>
          <w:p>
            <w:pPr>
              <w:spacing w:after="0"/>
              <w:rPr>
                <w:sz w:val="7"/>
                <w:szCs w:val="7"/>
                <w:color w:val="auto"/>
              </w:rPr>
            </w:pPr>
          </w:p>
        </w:tc>
        <w:tc>
          <w:tcPr>
            <w:tcW w:w="140" w:type="dxa"/>
            <w:vAlign w:val="bottom"/>
            <w:shd w:val="clear" w:color="auto" w:fill="457157"/>
          </w:tcPr>
          <w:p>
            <w:pPr>
              <w:spacing w:after="0"/>
              <w:rPr>
                <w:sz w:val="7"/>
                <w:szCs w:val="7"/>
                <w:color w:val="auto"/>
              </w:rPr>
            </w:pPr>
          </w:p>
        </w:tc>
        <w:tc>
          <w:tcPr>
            <w:tcW w:w="560" w:type="dxa"/>
            <w:vAlign w:val="bottom"/>
            <w:shd w:val="clear" w:color="auto" w:fill="457157"/>
          </w:tcPr>
          <w:p>
            <w:pPr>
              <w:spacing w:after="0"/>
              <w:rPr>
                <w:sz w:val="7"/>
                <w:szCs w:val="7"/>
                <w:color w:val="auto"/>
              </w:rPr>
            </w:pPr>
          </w:p>
        </w:tc>
        <w:tc>
          <w:tcPr>
            <w:tcW w:w="120" w:type="dxa"/>
            <w:vAlign w:val="bottom"/>
            <w:shd w:val="clear" w:color="auto" w:fill="457157"/>
          </w:tcPr>
          <w:p>
            <w:pPr>
              <w:spacing w:after="0"/>
              <w:rPr>
                <w:sz w:val="7"/>
                <w:szCs w:val="7"/>
                <w:color w:val="auto"/>
              </w:rPr>
            </w:pPr>
          </w:p>
        </w:tc>
        <w:tc>
          <w:tcPr>
            <w:tcW w:w="100" w:type="dxa"/>
            <w:vAlign w:val="bottom"/>
            <w:shd w:val="clear" w:color="auto" w:fill="457157"/>
          </w:tcPr>
          <w:p>
            <w:pPr>
              <w:spacing w:after="0"/>
              <w:rPr>
                <w:sz w:val="7"/>
                <w:szCs w:val="7"/>
                <w:color w:val="auto"/>
              </w:rPr>
            </w:pPr>
          </w:p>
        </w:tc>
        <w:tc>
          <w:tcPr>
            <w:tcW w:w="800" w:type="dxa"/>
            <w:vAlign w:val="bottom"/>
            <w:tcBorders>
              <w:right w:val="single" w:sz="8" w:color="457157"/>
            </w:tcBorders>
            <w:shd w:val="clear" w:color="auto" w:fill="457157"/>
          </w:tcPr>
          <w:p>
            <w:pPr>
              <w:spacing w:after="0"/>
              <w:rPr>
                <w:sz w:val="7"/>
                <w:szCs w:val="7"/>
                <w:color w:val="auto"/>
              </w:rPr>
            </w:pPr>
          </w:p>
        </w:tc>
        <w:tc>
          <w:tcPr>
            <w:tcW w:w="120" w:type="dxa"/>
            <w:vAlign w:val="bottom"/>
            <w:shd w:val="clear" w:color="auto" w:fill="457157"/>
          </w:tcPr>
          <w:p>
            <w:pPr>
              <w:spacing w:after="0"/>
              <w:rPr>
                <w:sz w:val="7"/>
                <w:szCs w:val="7"/>
                <w:color w:val="auto"/>
              </w:rPr>
            </w:pPr>
          </w:p>
        </w:tc>
        <w:tc>
          <w:tcPr>
            <w:tcW w:w="700" w:type="dxa"/>
            <w:vAlign w:val="bottom"/>
            <w:shd w:val="clear" w:color="auto" w:fill="457157"/>
          </w:tcPr>
          <w:p>
            <w:pPr>
              <w:spacing w:after="0"/>
              <w:rPr>
                <w:sz w:val="7"/>
                <w:szCs w:val="7"/>
                <w:color w:val="auto"/>
              </w:rPr>
            </w:pPr>
          </w:p>
        </w:tc>
        <w:tc>
          <w:tcPr>
            <w:tcW w:w="80" w:type="dxa"/>
            <w:vAlign w:val="bottom"/>
            <w:shd w:val="clear" w:color="auto" w:fill="457157"/>
          </w:tcPr>
          <w:p>
            <w:pPr>
              <w:spacing w:after="0"/>
              <w:rPr>
                <w:sz w:val="7"/>
                <w:szCs w:val="7"/>
                <w:color w:val="auto"/>
              </w:rPr>
            </w:pPr>
          </w:p>
        </w:tc>
        <w:tc>
          <w:tcPr>
            <w:tcW w:w="140" w:type="dxa"/>
            <w:vAlign w:val="bottom"/>
            <w:shd w:val="clear" w:color="auto" w:fill="457157"/>
          </w:tcPr>
          <w:p>
            <w:pPr>
              <w:spacing w:after="0"/>
              <w:rPr>
                <w:sz w:val="7"/>
                <w:szCs w:val="7"/>
                <w:color w:val="auto"/>
              </w:rPr>
            </w:pPr>
          </w:p>
        </w:tc>
        <w:tc>
          <w:tcPr>
            <w:tcW w:w="780" w:type="dxa"/>
            <w:vAlign w:val="bottom"/>
            <w:tcBorders>
              <w:right w:val="single" w:sz="8" w:color="457157"/>
            </w:tcBorders>
            <w:shd w:val="clear" w:color="auto" w:fill="457157"/>
          </w:tcPr>
          <w:p>
            <w:pPr>
              <w:spacing w:after="0"/>
              <w:rPr>
                <w:sz w:val="7"/>
                <w:szCs w:val="7"/>
                <w:color w:val="auto"/>
              </w:rPr>
            </w:pPr>
          </w:p>
        </w:tc>
        <w:tc>
          <w:tcPr>
            <w:tcW w:w="80" w:type="dxa"/>
            <w:vAlign w:val="bottom"/>
            <w:shd w:val="clear" w:color="auto" w:fill="457157"/>
          </w:tcPr>
          <w:p>
            <w:pPr>
              <w:spacing w:after="0"/>
              <w:rPr>
                <w:sz w:val="7"/>
                <w:szCs w:val="7"/>
                <w:color w:val="auto"/>
              </w:rPr>
            </w:pPr>
          </w:p>
        </w:tc>
        <w:tc>
          <w:tcPr>
            <w:tcW w:w="700" w:type="dxa"/>
            <w:vAlign w:val="bottom"/>
            <w:shd w:val="clear" w:color="auto" w:fill="457157"/>
          </w:tcPr>
          <w:p>
            <w:pPr>
              <w:spacing w:after="0"/>
              <w:rPr>
                <w:sz w:val="7"/>
                <w:szCs w:val="7"/>
                <w:color w:val="auto"/>
              </w:rPr>
            </w:pPr>
          </w:p>
        </w:tc>
        <w:tc>
          <w:tcPr>
            <w:tcW w:w="20" w:type="dxa"/>
            <w:vAlign w:val="bottom"/>
            <w:shd w:val="clear" w:color="auto" w:fill="457157"/>
          </w:tcPr>
          <w:p>
            <w:pPr>
              <w:spacing w:after="0"/>
              <w:rPr>
                <w:sz w:val="7"/>
                <w:szCs w:val="7"/>
                <w:color w:val="auto"/>
              </w:rPr>
            </w:pPr>
          </w:p>
        </w:tc>
        <w:tc>
          <w:tcPr>
            <w:tcW w:w="120" w:type="dxa"/>
            <w:vAlign w:val="bottom"/>
            <w:shd w:val="clear" w:color="auto" w:fill="457157"/>
          </w:tcPr>
          <w:p>
            <w:pPr>
              <w:spacing w:after="0"/>
              <w:rPr>
                <w:sz w:val="7"/>
                <w:szCs w:val="7"/>
                <w:color w:val="auto"/>
              </w:rPr>
            </w:pPr>
          </w:p>
        </w:tc>
        <w:tc>
          <w:tcPr>
            <w:tcW w:w="240" w:type="dxa"/>
            <w:vAlign w:val="bottom"/>
            <w:shd w:val="clear" w:color="auto" w:fill="457157"/>
          </w:tcPr>
          <w:p>
            <w:pPr>
              <w:spacing w:after="0"/>
              <w:rPr>
                <w:sz w:val="7"/>
                <w:szCs w:val="7"/>
                <w:color w:val="auto"/>
              </w:rPr>
            </w:pPr>
          </w:p>
        </w:tc>
        <w:tc>
          <w:tcPr>
            <w:tcW w:w="520" w:type="dxa"/>
            <w:vAlign w:val="bottom"/>
            <w:shd w:val="clear" w:color="auto" w:fill="457157"/>
          </w:tcPr>
          <w:p>
            <w:pPr>
              <w:spacing w:after="0"/>
              <w:rPr>
                <w:sz w:val="7"/>
                <w:szCs w:val="7"/>
                <w:color w:val="auto"/>
              </w:rPr>
            </w:pPr>
          </w:p>
        </w:tc>
        <w:tc>
          <w:tcPr>
            <w:tcW w:w="100" w:type="dxa"/>
            <w:vAlign w:val="bottom"/>
            <w:shd w:val="clear" w:color="auto" w:fill="457157"/>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820" w:type="dxa"/>
            <w:vAlign w:val="bottom"/>
          </w:tcPr>
          <w:p>
            <w:pPr>
              <w:spacing w:after="0"/>
              <w:rPr>
                <w:sz w:val="22"/>
                <w:szCs w:val="22"/>
                <w:color w:val="auto"/>
              </w:rPr>
            </w:pPr>
          </w:p>
        </w:tc>
        <w:tc>
          <w:tcPr>
            <w:tcW w:w="100" w:type="dxa"/>
            <w:vAlign w:val="bottom"/>
          </w:tcPr>
          <w:p>
            <w:pPr>
              <w:ind w:left="60"/>
              <w:spacing w:after="0"/>
              <w:rPr>
                <w:sz w:val="20"/>
                <w:szCs w:val="20"/>
                <w:color w:val="auto"/>
              </w:rPr>
            </w:pPr>
            <w:r>
              <w:rPr>
                <w:rFonts w:ascii="Arial" w:cs="Arial" w:eastAsia="Arial" w:hAnsi="Arial"/>
                <w:sz w:val="16"/>
                <w:szCs w:val="16"/>
                <w:b w:val="1"/>
                <w:bCs w:val="1"/>
                <w:color w:val="404040"/>
              </w:rPr>
              <w:t>​</w:t>
            </w:r>
          </w:p>
        </w:tc>
        <w:tc>
          <w:tcPr>
            <w:tcW w:w="1580" w:type="dxa"/>
            <w:vAlign w:val="bottom"/>
          </w:tcPr>
          <w:p>
            <w:pPr>
              <w:spacing w:after="0"/>
              <w:rPr>
                <w:sz w:val="20"/>
                <w:szCs w:val="20"/>
                <w:color w:val="auto"/>
              </w:rPr>
            </w:pPr>
            <w:r>
              <w:rPr>
                <w:rFonts w:ascii="Arial" w:cs="Arial" w:eastAsia="Arial" w:hAnsi="Arial"/>
                <w:sz w:val="16"/>
                <w:szCs w:val="16"/>
                <w:b w:val="1"/>
                <w:bCs w:val="1"/>
                <w:color w:val="404040"/>
              </w:rPr>
              <w:t>Executive</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shd w:val="clear" w:color="auto" w:fill="F2F2F2"/>
          </w:tcPr>
          <w:p>
            <w:pPr>
              <w:jc w:val="right"/>
              <w:spacing w:after="0"/>
              <w:rPr>
                <w:sz w:val="20"/>
                <w:szCs w:val="20"/>
                <w:color w:val="auto"/>
              </w:rPr>
            </w:pPr>
            <w:r>
              <w:rPr>
                <w:rFonts w:ascii="Arial" w:cs="Arial" w:eastAsia="Arial" w:hAnsi="Arial"/>
                <w:sz w:val="16"/>
                <w:szCs w:val="16"/>
                <w:b w:val="1"/>
                <w:bCs w:val="1"/>
                <w:color w:val="404040"/>
              </w:rPr>
              <w:t>​​</w:t>
            </w:r>
          </w:p>
        </w:tc>
        <w:tc>
          <w:tcPr>
            <w:tcW w:w="760" w:type="dxa"/>
            <w:vAlign w:val="bottom"/>
            <w:tcBorders>
              <w:right w:val="single" w:sz="8" w:color="F2F2F2"/>
            </w:tcBorders>
            <w:shd w:val="clear" w:color="auto" w:fill="F2F2F2"/>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shd w:val="clear" w:color="auto" w:fill="F2F2F2"/>
          </w:tcPr>
          <w:p>
            <w:pPr>
              <w:jc w:val="right"/>
              <w:spacing w:after="0"/>
              <w:rPr>
                <w:sz w:val="20"/>
                <w:szCs w:val="20"/>
                <w:color w:val="auto"/>
              </w:rPr>
            </w:pPr>
            <w:r>
              <w:rPr>
                <w:rFonts w:ascii="Arial" w:cs="Arial" w:eastAsia="Arial" w:hAnsi="Arial"/>
                <w:sz w:val="16"/>
                <w:szCs w:val="16"/>
                <w:b w:val="1"/>
                <w:bCs w:val="1"/>
                <w:color w:val="404040"/>
              </w:rPr>
              <w:t>​​</w:t>
            </w:r>
          </w:p>
        </w:tc>
        <w:tc>
          <w:tcPr>
            <w:tcW w:w="800" w:type="dxa"/>
            <w:vAlign w:val="bottom"/>
            <w:tcBorders>
              <w:right w:val="single" w:sz="8" w:color="F2F2F2"/>
            </w:tcBorders>
            <w:shd w:val="clear" w:color="auto" w:fill="F2F2F2"/>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shd w:val="clear" w:color="auto" w:fill="F2F2F2"/>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Borders>
              <w:right w:val="single" w:sz="8" w:color="F2F2F2"/>
            </w:tcBorders>
            <w:shd w:val="clear" w:color="auto" w:fill="F2F2F2"/>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shd w:val="clear" w:color="auto" w:fill="F2F2F2"/>
          </w:tcPr>
          <w:p>
            <w:pPr>
              <w:jc w:val="right"/>
              <w:spacing w:after="0"/>
              <w:rPr>
                <w:sz w:val="20"/>
                <w:szCs w:val="20"/>
                <w:color w:val="auto"/>
              </w:rPr>
            </w:pPr>
            <w:r>
              <w:rPr>
                <w:rFonts w:ascii="Arial" w:cs="Arial" w:eastAsia="Arial" w:hAnsi="Arial"/>
                <w:sz w:val="16"/>
                <w:szCs w:val="16"/>
                <w:b w:val="1"/>
                <w:bCs w:val="1"/>
                <w:color w:val="404040"/>
              </w:rPr>
              <w:t>​​</w:t>
            </w:r>
          </w:p>
        </w:tc>
        <w:tc>
          <w:tcPr>
            <w:tcW w:w="240" w:type="dxa"/>
            <w:vAlign w:val="bottom"/>
            <w:shd w:val="clear" w:color="auto" w:fill="F2F2F2"/>
          </w:tcPr>
          <w:p>
            <w:pPr>
              <w:spacing w:after="0"/>
              <w:rPr>
                <w:sz w:val="22"/>
                <w:szCs w:val="22"/>
                <w:color w:val="auto"/>
              </w:rPr>
            </w:pPr>
          </w:p>
        </w:tc>
        <w:tc>
          <w:tcPr>
            <w:tcW w:w="520" w:type="dxa"/>
            <w:vAlign w:val="bottom"/>
            <w:shd w:val="clear" w:color="auto" w:fill="F2F2F2"/>
          </w:tcPr>
          <w:p>
            <w:pPr>
              <w:spacing w:after="0"/>
              <w:rPr>
                <w:sz w:val="22"/>
                <w:szCs w:val="22"/>
                <w:color w:val="auto"/>
              </w:rPr>
            </w:pPr>
          </w:p>
        </w:tc>
        <w:tc>
          <w:tcPr>
            <w:tcW w:w="100" w:type="dxa"/>
            <w:vAlign w:val="bottom"/>
            <w:shd w:val="clear" w:color="auto" w:fill="F2F2F2"/>
          </w:tcPr>
          <w:p>
            <w:pPr>
              <w:ind w:left="60"/>
              <w:spacing w:after="0"/>
              <w:rPr>
                <w:sz w:val="20"/>
                <w:szCs w:val="20"/>
                <w:color w:val="auto"/>
              </w:rPr>
            </w:pPr>
            <w:r>
              <w:rPr>
                <w:rFonts w:ascii="Arial" w:cs="Arial" w:eastAsia="Arial" w:hAnsi="Arial"/>
                <w:sz w:val="16"/>
                <w:szCs w:val="16"/>
                <w:b w:val="1"/>
                <w:bCs w:val="1"/>
                <w:color w:val="404040"/>
              </w:rPr>
              <w:t>​</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00" w:type="dxa"/>
            <w:vAlign w:val="bottom"/>
            <w:tcBorders>
              <w:bottom w:val="single" w:sz="8" w:color="457157"/>
            </w:tcBorders>
          </w:tcPr>
          <w:p>
            <w:pPr>
              <w:spacing w:after="0"/>
              <w:rPr>
                <w:sz w:val="14"/>
                <w:szCs w:val="14"/>
                <w:color w:val="auto"/>
              </w:rPr>
            </w:pPr>
          </w:p>
        </w:tc>
        <w:tc>
          <w:tcPr>
            <w:tcW w:w="1580" w:type="dxa"/>
            <w:vAlign w:val="bottom"/>
            <w:tcBorders>
              <w:bottom w:val="single" w:sz="8" w:color="457157"/>
            </w:tcBorders>
          </w:tcPr>
          <w:p>
            <w:pPr>
              <w:spacing w:after="0" w:line="162" w:lineRule="exact"/>
              <w:rPr>
                <w:sz w:val="20"/>
                <w:szCs w:val="20"/>
                <w:color w:val="auto"/>
              </w:rPr>
            </w:pPr>
            <w:r>
              <w:rPr>
                <w:rFonts w:ascii="Arial" w:cs="Arial" w:eastAsia="Arial" w:hAnsi="Arial"/>
                <w:sz w:val="16"/>
                <w:szCs w:val="16"/>
                <w:b w:val="1"/>
                <w:bCs w:val="1"/>
                <w:color w:val="404040"/>
              </w:rPr>
              <w:t>Leadership</w:t>
            </w:r>
          </w:p>
        </w:tc>
        <w:tc>
          <w:tcPr>
            <w:tcW w:w="200" w:type="dxa"/>
            <w:vAlign w:val="bottom"/>
            <w:tcBorders>
              <w:bottom w:val="single" w:sz="8" w:color="457157"/>
            </w:tcBorders>
          </w:tcPr>
          <w:p>
            <w:pPr>
              <w:spacing w:after="0"/>
              <w:rPr>
                <w:sz w:val="14"/>
                <w:szCs w:val="14"/>
                <w:color w:val="auto"/>
              </w:rPr>
            </w:pPr>
          </w:p>
        </w:tc>
        <w:tc>
          <w:tcPr>
            <w:tcW w:w="780" w:type="dxa"/>
            <w:vAlign w:val="bottom"/>
            <w:tcBorders>
              <w:bottom w:val="single" w:sz="8" w:color="457157"/>
            </w:tcBorders>
          </w:tcPr>
          <w:p>
            <w:pPr>
              <w:spacing w:after="0"/>
              <w:rPr>
                <w:sz w:val="14"/>
                <w:szCs w:val="14"/>
                <w:color w:val="auto"/>
              </w:rPr>
            </w:pPr>
          </w:p>
        </w:tc>
        <w:tc>
          <w:tcPr>
            <w:tcW w:w="80" w:type="dxa"/>
            <w:vAlign w:val="bottom"/>
            <w:tcBorders>
              <w:bottom w:val="single" w:sz="8" w:color="457157"/>
            </w:tcBorders>
          </w:tcPr>
          <w:p>
            <w:pPr>
              <w:spacing w:after="0"/>
              <w:rPr>
                <w:sz w:val="14"/>
                <w:szCs w:val="14"/>
                <w:color w:val="auto"/>
              </w:rPr>
            </w:pPr>
          </w:p>
        </w:tc>
        <w:tc>
          <w:tcPr>
            <w:tcW w:w="700" w:type="dxa"/>
            <w:vAlign w:val="bottom"/>
            <w:tcBorders>
              <w:bottom w:val="single" w:sz="8" w:color="457157"/>
            </w:tcBorders>
          </w:tcPr>
          <w:p>
            <w:pPr>
              <w:spacing w:after="0"/>
              <w:rPr>
                <w:sz w:val="14"/>
                <w:szCs w:val="14"/>
                <w:color w:val="auto"/>
              </w:rPr>
            </w:pPr>
          </w:p>
        </w:tc>
        <w:tc>
          <w:tcPr>
            <w:tcW w:w="20" w:type="dxa"/>
            <w:vAlign w:val="bottom"/>
            <w:tcBorders>
              <w:bottom w:val="single" w:sz="8" w:color="457157"/>
            </w:tcBorders>
          </w:tcPr>
          <w:p>
            <w:pPr>
              <w:spacing w:after="0"/>
              <w:rPr>
                <w:sz w:val="14"/>
                <w:szCs w:val="14"/>
                <w:color w:val="auto"/>
              </w:rPr>
            </w:pPr>
          </w:p>
        </w:tc>
        <w:tc>
          <w:tcPr>
            <w:tcW w:w="140" w:type="dxa"/>
            <w:vAlign w:val="bottom"/>
            <w:tcBorders>
              <w:bottom w:val="single" w:sz="8" w:color="457157"/>
            </w:tcBorders>
            <w:shd w:val="clear" w:color="auto" w:fill="F2F2F2"/>
          </w:tcPr>
          <w:p>
            <w:pPr>
              <w:spacing w:after="0"/>
              <w:rPr>
                <w:sz w:val="14"/>
                <w:szCs w:val="14"/>
                <w:color w:val="auto"/>
              </w:rPr>
            </w:pPr>
          </w:p>
        </w:tc>
        <w:tc>
          <w:tcPr>
            <w:tcW w:w="760" w:type="dxa"/>
            <w:vAlign w:val="bottom"/>
            <w:tcBorders>
              <w:bottom w:val="single" w:sz="8" w:color="457157"/>
              <w:right w:val="single" w:sz="8" w:color="F2F2F2"/>
            </w:tcBorders>
            <w:shd w:val="clear" w:color="auto" w:fill="F2F2F2"/>
          </w:tcPr>
          <w:p>
            <w:pPr>
              <w:spacing w:after="0"/>
              <w:rPr>
                <w:sz w:val="14"/>
                <w:szCs w:val="14"/>
                <w:color w:val="auto"/>
              </w:rPr>
            </w:pPr>
          </w:p>
        </w:tc>
        <w:tc>
          <w:tcPr>
            <w:tcW w:w="140" w:type="dxa"/>
            <w:vAlign w:val="bottom"/>
            <w:tcBorders>
              <w:bottom w:val="single" w:sz="8" w:color="457157"/>
            </w:tcBorders>
          </w:tcPr>
          <w:p>
            <w:pPr>
              <w:spacing w:after="0"/>
              <w:rPr>
                <w:sz w:val="14"/>
                <w:szCs w:val="14"/>
                <w:color w:val="auto"/>
              </w:rPr>
            </w:pPr>
          </w:p>
        </w:tc>
        <w:tc>
          <w:tcPr>
            <w:tcW w:w="560" w:type="dxa"/>
            <w:vAlign w:val="bottom"/>
            <w:tcBorders>
              <w:bottom w:val="single" w:sz="8" w:color="457157"/>
            </w:tcBorders>
          </w:tcPr>
          <w:p>
            <w:pPr>
              <w:spacing w:after="0"/>
              <w:rPr>
                <w:sz w:val="14"/>
                <w:szCs w:val="14"/>
                <w:color w:val="auto"/>
              </w:rPr>
            </w:pPr>
          </w:p>
        </w:tc>
        <w:tc>
          <w:tcPr>
            <w:tcW w:w="120" w:type="dxa"/>
            <w:vAlign w:val="bottom"/>
            <w:tcBorders>
              <w:bottom w:val="single" w:sz="8" w:color="457157"/>
            </w:tcBorders>
          </w:tcPr>
          <w:p>
            <w:pPr>
              <w:spacing w:after="0"/>
              <w:rPr>
                <w:sz w:val="14"/>
                <w:szCs w:val="14"/>
                <w:color w:val="auto"/>
              </w:rPr>
            </w:pPr>
          </w:p>
        </w:tc>
        <w:tc>
          <w:tcPr>
            <w:tcW w:w="100" w:type="dxa"/>
            <w:vAlign w:val="bottom"/>
            <w:tcBorders>
              <w:bottom w:val="single" w:sz="8" w:color="457157"/>
            </w:tcBorders>
            <w:shd w:val="clear" w:color="auto" w:fill="F2F2F2"/>
          </w:tcPr>
          <w:p>
            <w:pPr>
              <w:spacing w:after="0"/>
              <w:rPr>
                <w:sz w:val="14"/>
                <w:szCs w:val="14"/>
                <w:color w:val="auto"/>
              </w:rPr>
            </w:pPr>
          </w:p>
        </w:tc>
        <w:tc>
          <w:tcPr>
            <w:tcW w:w="800" w:type="dxa"/>
            <w:vAlign w:val="bottom"/>
            <w:tcBorders>
              <w:bottom w:val="single" w:sz="8" w:color="457157"/>
              <w:right w:val="single" w:sz="8" w:color="F2F2F2"/>
            </w:tcBorders>
            <w:shd w:val="clear" w:color="auto" w:fill="F2F2F2"/>
          </w:tcPr>
          <w:p>
            <w:pPr>
              <w:spacing w:after="0"/>
              <w:rPr>
                <w:sz w:val="14"/>
                <w:szCs w:val="14"/>
                <w:color w:val="auto"/>
              </w:rPr>
            </w:pPr>
          </w:p>
        </w:tc>
        <w:tc>
          <w:tcPr>
            <w:tcW w:w="120" w:type="dxa"/>
            <w:vAlign w:val="bottom"/>
            <w:tcBorders>
              <w:bottom w:val="single" w:sz="8" w:color="457157"/>
            </w:tcBorders>
          </w:tcPr>
          <w:p>
            <w:pPr>
              <w:spacing w:after="0"/>
              <w:rPr>
                <w:sz w:val="14"/>
                <w:szCs w:val="14"/>
                <w:color w:val="auto"/>
              </w:rPr>
            </w:pPr>
          </w:p>
        </w:tc>
        <w:tc>
          <w:tcPr>
            <w:tcW w:w="700" w:type="dxa"/>
            <w:vAlign w:val="bottom"/>
            <w:tcBorders>
              <w:bottom w:val="single" w:sz="8" w:color="457157"/>
            </w:tcBorders>
          </w:tcPr>
          <w:p>
            <w:pPr>
              <w:spacing w:after="0"/>
              <w:rPr>
                <w:sz w:val="14"/>
                <w:szCs w:val="14"/>
                <w:color w:val="auto"/>
              </w:rPr>
            </w:pPr>
          </w:p>
        </w:tc>
        <w:tc>
          <w:tcPr>
            <w:tcW w:w="80" w:type="dxa"/>
            <w:vAlign w:val="bottom"/>
            <w:tcBorders>
              <w:bottom w:val="single" w:sz="8" w:color="457157"/>
            </w:tcBorders>
          </w:tcPr>
          <w:p>
            <w:pPr>
              <w:spacing w:after="0"/>
              <w:rPr>
                <w:sz w:val="14"/>
                <w:szCs w:val="14"/>
                <w:color w:val="auto"/>
              </w:rPr>
            </w:pPr>
          </w:p>
        </w:tc>
        <w:tc>
          <w:tcPr>
            <w:tcW w:w="140" w:type="dxa"/>
            <w:vAlign w:val="bottom"/>
            <w:tcBorders>
              <w:bottom w:val="single" w:sz="8" w:color="457157"/>
            </w:tcBorders>
            <w:shd w:val="clear" w:color="auto" w:fill="F2F2F2"/>
          </w:tcPr>
          <w:p>
            <w:pPr>
              <w:spacing w:after="0"/>
              <w:rPr>
                <w:sz w:val="14"/>
                <w:szCs w:val="14"/>
                <w:color w:val="auto"/>
              </w:rPr>
            </w:pPr>
          </w:p>
        </w:tc>
        <w:tc>
          <w:tcPr>
            <w:tcW w:w="780" w:type="dxa"/>
            <w:vAlign w:val="bottom"/>
            <w:tcBorders>
              <w:bottom w:val="single" w:sz="8" w:color="457157"/>
              <w:right w:val="single" w:sz="8" w:color="F2F2F2"/>
            </w:tcBorders>
            <w:shd w:val="clear" w:color="auto" w:fill="F2F2F2"/>
          </w:tcPr>
          <w:p>
            <w:pPr>
              <w:spacing w:after="0"/>
              <w:rPr>
                <w:sz w:val="14"/>
                <w:szCs w:val="14"/>
                <w:color w:val="auto"/>
              </w:rPr>
            </w:pPr>
          </w:p>
        </w:tc>
        <w:tc>
          <w:tcPr>
            <w:tcW w:w="80" w:type="dxa"/>
            <w:vAlign w:val="bottom"/>
            <w:tcBorders>
              <w:bottom w:val="single" w:sz="8" w:color="457157"/>
            </w:tcBorders>
          </w:tcPr>
          <w:p>
            <w:pPr>
              <w:spacing w:after="0"/>
              <w:rPr>
                <w:sz w:val="14"/>
                <w:szCs w:val="14"/>
                <w:color w:val="auto"/>
              </w:rPr>
            </w:pPr>
          </w:p>
        </w:tc>
        <w:tc>
          <w:tcPr>
            <w:tcW w:w="700" w:type="dxa"/>
            <w:vAlign w:val="bottom"/>
            <w:tcBorders>
              <w:bottom w:val="single" w:sz="8" w:color="457157"/>
            </w:tcBorders>
          </w:tcPr>
          <w:p>
            <w:pPr>
              <w:spacing w:after="0"/>
              <w:rPr>
                <w:sz w:val="14"/>
                <w:szCs w:val="14"/>
                <w:color w:val="auto"/>
              </w:rPr>
            </w:pPr>
          </w:p>
        </w:tc>
        <w:tc>
          <w:tcPr>
            <w:tcW w:w="20" w:type="dxa"/>
            <w:vAlign w:val="bottom"/>
            <w:tcBorders>
              <w:bottom w:val="single" w:sz="8" w:color="457157"/>
            </w:tcBorders>
          </w:tcPr>
          <w:p>
            <w:pPr>
              <w:spacing w:after="0"/>
              <w:rPr>
                <w:sz w:val="14"/>
                <w:szCs w:val="14"/>
                <w:color w:val="auto"/>
              </w:rPr>
            </w:pPr>
          </w:p>
        </w:tc>
        <w:tc>
          <w:tcPr>
            <w:tcW w:w="120" w:type="dxa"/>
            <w:vAlign w:val="bottom"/>
            <w:tcBorders>
              <w:bottom w:val="single" w:sz="8" w:color="457157"/>
            </w:tcBorders>
            <w:shd w:val="clear" w:color="auto" w:fill="F2F2F2"/>
          </w:tcPr>
          <w:p>
            <w:pPr>
              <w:spacing w:after="0"/>
              <w:rPr>
                <w:sz w:val="14"/>
                <w:szCs w:val="14"/>
                <w:color w:val="auto"/>
              </w:rPr>
            </w:pPr>
          </w:p>
        </w:tc>
        <w:tc>
          <w:tcPr>
            <w:tcW w:w="240" w:type="dxa"/>
            <w:vAlign w:val="bottom"/>
            <w:tcBorders>
              <w:bottom w:val="single" w:sz="8" w:color="457157"/>
            </w:tcBorders>
            <w:shd w:val="clear" w:color="auto" w:fill="F2F2F2"/>
          </w:tcPr>
          <w:p>
            <w:pPr>
              <w:spacing w:after="0"/>
              <w:rPr>
                <w:sz w:val="14"/>
                <w:szCs w:val="14"/>
                <w:color w:val="auto"/>
              </w:rPr>
            </w:pPr>
          </w:p>
        </w:tc>
        <w:tc>
          <w:tcPr>
            <w:tcW w:w="520" w:type="dxa"/>
            <w:vAlign w:val="bottom"/>
            <w:tcBorders>
              <w:bottom w:val="single" w:sz="8" w:color="457157"/>
            </w:tcBorders>
            <w:shd w:val="clear" w:color="auto" w:fill="F2F2F2"/>
          </w:tcPr>
          <w:p>
            <w:pPr>
              <w:spacing w:after="0"/>
              <w:rPr>
                <w:sz w:val="14"/>
                <w:szCs w:val="14"/>
                <w:color w:val="auto"/>
              </w:rPr>
            </w:pPr>
          </w:p>
        </w:tc>
        <w:tc>
          <w:tcPr>
            <w:tcW w:w="100" w:type="dxa"/>
            <w:vAlign w:val="bottom"/>
            <w:tcBorders>
              <w:bottom w:val="single" w:sz="8" w:color="457157"/>
            </w:tcBorders>
            <w:shd w:val="clear" w:color="auto" w:fill="F2F2F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Arial" w:cs="Arial" w:eastAsia="Arial" w:hAnsi="Arial"/>
                <w:sz w:val="16"/>
                <w:szCs w:val="16"/>
                <w:b w:val="1"/>
                <w:bCs w:val="1"/>
                <w:color w:val="404040"/>
              </w:rPr>
              <w:t>Public Company</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6"/>
                <w:szCs w:val="16"/>
                <w:b w:val="1"/>
                <w:bCs w:val="1"/>
                <w:color w:val="404040"/>
              </w:rPr>
              <w:t>​Board and</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jc w:val="center"/>
              <w:spacing w:after="0"/>
              <w:rPr>
                <w:sz w:val="20"/>
                <w:szCs w:val="20"/>
                <w:color w:val="auto"/>
              </w:rPr>
            </w:pPr>
            <w:r>
              <w:rPr>
                <w:rFonts w:ascii="Arial" w:cs="Arial" w:eastAsia="Arial" w:hAnsi="Arial"/>
                <w:sz w:val="16"/>
                <w:szCs w:val="16"/>
                <w:b w:val="1"/>
                <w:bCs w:val="1"/>
                <w:color w:val="404040"/>
              </w:rPr>
              <w:t>​</w:t>
            </w:r>
          </w:p>
        </w:tc>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8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ind w:left="60"/>
              <w:spacing w:after="0"/>
              <w:rPr>
                <w:sz w:val="20"/>
                <w:szCs w:val="20"/>
                <w:color w:val="auto"/>
              </w:rPr>
            </w:pPr>
            <w:r>
              <w:rPr>
                <w:rFonts w:ascii="Arial" w:cs="Arial" w:eastAsia="Arial" w:hAnsi="Arial"/>
                <w:sz w:val="16"/>
                <w:szCs w:val="16"/>
                <w:b w:val="1"/>
                <w:bCs w:val="1"/>
                <w:color w:val="404040"/>
              </w:rPr>
              <w:t>​</w:t>
            </w:r>
          </w:p>
        </w:tc>
        <w:tc>
          <w:tcPr>
            <w:tcW w:w="0" w:type="dxa"/>
            <w:vAlign w:val="bottom"/>
          </w:tcPr>
          <w:p>
            <w:pPr>
              <w:spacing w:after="0"/>
              <w:rPr>
                <w:sz w:val="1"/>
                <w:szCs w:val="1"/>
                <w:color w:val="auto"/>
              </w:rPr>
            </w:pPr>
          </w:p>
        </w:tc>
      </w:tr>
      <w:tr>
        <w:trPr>
          <w:trHeight w:val="223"/>
        </w:trPr>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20"/>
                <w:szCs w:val="20"/>
                <w:color w:val="auto"/>
              </w:rPr>
            </w:pPr>
            <w:r>
              <w:rPr>
                <w:rFonts w:ascii="Arial" w:cs="Arial" w:eastAsia="Arial" w:hAnsi="Arial"/>
                <w:sz w:val="16"/>
                <w:szCs w:val="16"/>
                <w:b w:val="1"/>
                <w:bCs w:val="1"/>
                <w:color w:val="404040"/>
              </w:rPr>
              <w:t>Governance</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820" w:type="dxa"/>
            <w:vAlign w:val="bottom"/>
          </w:tcPr>
          <w:p>
            <w:pPr>
              <w:spacing w:after="0"/>
              <w:rPr>
                <w:sz w:val="4"/>
                <w:szCs w:val="4"/>
                <w:color w:val="auto"/>
              </w:rPr>
            </w:pPr>
          </w:p>
        </w:tc>
        <w:tc>
          <w:tcPr>
            <w:tcW w:w="100" w:type="dxa"/>
            <w:vAlign w:val="bottom"/>
            <w:tcBorders>
              <w:bottom w:val="single" w:sz="8" w:color="457157"/>
            </w:tcBorders>
          </w:tcPr>
          <w:p>
            <w:pPr>
              <w:spacing w:after="0"/>
              <w:rPr>
                <w:sz w:val="4"/>
                <w:szCs w:val="4"/>
                <w:color w:val="auto"/>
              </w:rPr>
            </w:pPr>
          </w:p>
        </w:tc>
        <w:tc>
          <w:tcPr>
            <w:tcW w:w="1780" w:type="dxa"/>
            <w:vAlign w:val="bottom"/>
            <w:tcBorders>
              <w:bottom w:val="single" w:sz="8" w:color="457157"/>
            </w:tcBorders>
            <w:gridSpan w:val="2"/>
          </w:tcPr>
          <w:p>
            <w:pPr>
              <w:spacing w:after="0"/>
              <w:rPr>
                <w:sz w:val="4"/>
                <w:szCs w:val="4"/>
                <w:color w:val="auto"/>
              </w:rPr>
            </w:pPr>
          </w:p>
        </w:tc>
        <w:tc>
          <w:tcPr>
            <w:tcW w:w="78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700" w:type="dxa"/>
            <w:vAlign w:val="bottom"/>
            <w:tcBorders>
              <w:bottom w:val="single" w:sz="8" w:color="457157"/>
            </w:tcBorders>
          </w:tcPr>
          <w:p>
            <w:pPr>
              <w:spacing w:after="0"/>
              <w:rPr>
                <w:sz w:val="4"/>
                <w:szCs w:val="4"/>
                <w:color w:val="auto"/>
              </w:rPr>
            </w:pPr>
          </w:p>
        </w:tc>
        <w:tc>
          <w:tcPr>
            <w:tcW w:w="20" w:type="dxa"/>
            <w:vAlign w:val="bottom"/>
            <w:tcBorders>
              <w:bottom w:val="single" w:sz="8" w:color="457157"/>
            </w:tcBorders>
          </w:tcPr>
          <w:p>
            <w:pPr>
              <w:spacing w:after="0"/>
              <w:rPr>
                <w:sz w:val="4"/>
                <w:szCs w:val="4"/>
                <w:color w:val="auto"/>
              </w:rPr>
            </w:pPr>
          </w:p>
        </w:tc>
        <w:tc>
          <w:tcPr>
            <w:tcW w:w="140" w:type="dxa"/>
            <w:vAlign w:val="bottom"/>
            <w:tcBorders>
              <w:bottom w:val="single" w:sz="8" w:color="457157"/>
            </w:tcBorders>
          </w:tcPr>
          <w:p>
            <w:pPr>
              <w:spacing w:after="0"/>
              <w:rPr>
                <w:sz w:val="4"/>
                <w:szCs w:val="4"/>
                <w:color w:val="auto"/>
              </w:rPr>
            </w:pPr>
          </w:p>
        </w:tc>
        <w:tc>
          <w:tcPr>
            <w:tcW w:w="760" w:type="dxa"/>
            <w:vAlign w:val="bottom"/>
            <w:tcBorders>
              <w:bottom w:val="single" w:sz="8" w:color="457157"/>
            </w:tcBorders>
          </w:tcPr>
          <w:p>
            <w:pPr>
              <w:spacing w:after="0"/>
              <w:rPr>
                <w:sz w:val="4"/>
                <w:szCs w:val="4"/>
                <w:color w:val="auto"/>
              </w:rPr>
            </w:pPr>
          </w:p>
        </w:tc>
        <w:tc>
          <w:tcPr>
            <w:tcW w:w="140" w:type="dxa"/>
            <w:vAlign w:val="bottom"/>
            <w:tcBorders>
              <w:bottom w:val="single" w:sz="8" w:color="457157"/>
            </w:tcBorders>
          </w:tcPr>
          <w:p>
            <w:pPr>
              <w:spacing w:after="0"/>
              <w:rPr>
                <w:sz w:val="4"/>
                <w:szCs w:val="4"/>
                <w:color w:val="auto"/>
              </w:rPr>
            </w:pPr>
          </w:p>
        </w:tc>
        <w:tc>
          <w:tcPr>
            <w:tcW w:w="560" w:type="dxa"/>
            <w:vAlign w:val="bottom"/>
            <w:tcBorders>
              <w:bottom w:val="single" w:sz="8" w:color="457157"/>
            </w:tcBorders>
          </w:tcPr>
          <w:p>
            <w:pPr>
              <w:spacing w:after="0"/>
              <w:rPr>
                <w:sz w:val="4"/>
                <w:szCs w:val="4"/>
                <w:color w:val="auto"/>
              </w:rPr>
            </w:pPr>
          </w:p>
        </w:tc>
        <w:tc>
          <w:tcPr>
            <w:tcW w:w="120" w:type="dxa"/>
            <w:vAlign w:val="bottom"/>
            <w:tcBorders>
              <w:bottom w:val="single" w:sz="8" w:color="457157"/>
            </w:tcBorders>
          </w:tcPr>
          <w:p>
            <w:pPr>
              <w:spacing w:after="0"/>
              <w:rPr>
                <w:sz w:val="4"/>
                <w:szCs w:val="4"/>
                <w:color w:val="auto"/>
              </w:rPr>
            </w:pPr>
          </w:p>
        </w:tc>
        <w:tc>
          <w:tcPr>
            <w:tcW w:w="100" w:type="dxa"/>
            <w:vAlign w:val="bottom"/>
            <w:tcBorders>
              <w:bottom w:val="single" w:sz="8" w:color="457157"/>
            </w:tcBorders>
          </w:tcPr>
          <w:p>
            <w:pPr>
              <w:spacing w:after="0"/>
              <w:rPr>
                <w:sz w:val="4"/>
                <w:szCs w:val="4"/>
                <w:color w:val="auto"/>
              </w:rPr>
            </w:pPr>
          </w:p>
        </w:tc>
        <w:tc>
          <w:tcPr>
            <w:tcW w:w="800" w:type="dxa"/>
            <w:vAlign w:val="bottom"/>
            <w:tcBorders>
              <w:bottom w:val="single" w:sz="8" w:color="457157"/>
            </w:tcBorders>
          </w:tcPr>
          <w:p>
            <w:pPr>
              <w:spacing w:after="0"/>
              <w:rPr>
                <w:sz w:val="4"/>
                <w:szCs w:val="4"/>
                <w:color w:val="auto"/>
              </w:rPr>
            </w:pPr>
          </w:p>
        </w:tc>
        <w:tc>
          <w:tcPr>
            <w:tcW w:w="120" w:type="dxa"/>
            <w:vAlign w:val="bottom"/>
            <w:tcBorders>
              <w:bottom w:val="single" w:sz="8" w:color="457157"/>
            </w:tcBorders>
          </w:tcPr>
          <w:p>
            <w:pPr>
              <w:spacing w:after="0"/>
              <w:rPr>
                <w:sz w:val="4"/>
                <w:szCs w:val="4"/>
                <w:color w:val="auto"/>
              </w:rPr>
            </w:pPr>
          </w:p>
        </w:tc>
        <w:tc>
          <w:tcPr>
            <w:tcW w:w="70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140" w:type="dxa"/>
            <w:vAlign w:val="bottom"/>
            <w:tcBorders>
              <w:bottom w:val="single" w:sz="8" w:color="457157"/>
            </w:tcBorders>
          </w:tcPr>
          <w:p>
            <w:pPr>
              <w:spacing w:after="0"/>
              <w:rPr>
                <w:sz w:val="4"/>
                <w:szCs w:val="4"/>
                <w:color w:val="auto"/>
              </w:rPr>
            </w:pPr>
          </w:p>
        </w:tc>
        <w:tc>
          <w:tcPr>
            <w:tcW w:w="78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700" w:type="dxa"/>
            <w:vAlign w:val="bottom"/>
            <w:tcBorders>
              <w:bottom w:val="single" w:sz="8" w:color="457157"/>
            </w:tcBorders>
          </w:tcPr>
          <w:p>
            <w:pPr>
              <w:spacing w:after="0"/>
              <w:rPr>
                <w:sz w:val="4"/>
                <w:szCs w:val="4"/>
                <w:color w:val="auto"/>
              </w:rPr>
            </w:pPr>
          </w:p>
        </w:tc>
        <w:tc>
          <w:tcPr>
            <w:tcW w:w="20" w:type="dxa"/>
            <w:vAlign w:val="bottom"/>
            <w:tcBorders>
              <w:bottom w:val="single" w:sz="8" w:color="457157"/>
            </w:tcBorders>
          </w:tcPr>
          <w:p>
            <w:pPr>
              <w:spacing w:after="0"/>
              <w:rPr>
                <w:sz w:val="4"/>
                <w:szCs w:val="4"/>
                <w:color w:val="auto"/>
              </w:rPr>
            </w:pPr>
          </w:p>
        </w:tc>
        <w:tc>
          <w:tcPr>
            <w:tcW w:w="120" w:type="dxa"/>
            <w:vAlign w:val="bottom"/>
            <w:tcBorders>
              <w:bottom w:val="single" w:sz="8" w:color="457157"/>
            </w:tcBorders>
          </w:tcPr>
          <w:p>
            <w:pPr>
              <w:spacing w:after="0"/>
              <w:rPr>
                <w:sz w:val="4"/>
                <w:szCs w:val="4"/>
                <w:color w:val="auto"/>
              </w:rPr>
            </w:pPr>
          </w:p>
        </w:tc>
        <w:tc>
          <w:tcPr>
            <w:tcW w:w="240" w:type="dxa"/>
            <w:vAlign w:val="bottom"/>
            <w:tcBorders>
              <w:bottom w:val="single" w:sz="8" w:color="457157"/>
            </w:tcBorders>
          </w:tcPr>
          <w:p>
            <w:pPr>
              <w:spacing w:after="0"/>
              <w:rPr>
                <w:sz w:val="4"/>
                <w:szCs w:val="4"/>
                <w:color w:val="auto"/>
              </w:rPr>
            </w:pPr>
          </w:p>
        </w:tc>
        <w:tc>
          <w:tcPr>
            <w:tcW w:w="520" w:type="dxa"/>
            <w:vAlign w:val="bottom"/>
            <w:tcBorders>
              <w:bottom w:val="single" w:sz="8" w:color="457157"/>
            </w:tcBorders>
          </w:tcPr>
          <w:p>
            <w:pPr>
              <w:spacing w:after="0"/>
              <w:rPr>
                <w:sz w:val="4"/>
                <w:szCs w:val="4"/>
                <w:color w:val="auto"/>
              </w:rPr>
            </w:pPr>
          </w:p>
        </w:tc>
        <w:tc>
          <w:tcPr>
            <w:tcW w:w="100" w:type="dxa"/>
            <w:vAlign w:val="bottom"/>
            <w:tcBorders>
              <w:bottom w:val="single" w:sz="8" w:color="457157"/>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820" w:type="dxa"/>
            <w:vAlign w:val="bottom"/>
          </w:tcPr>
          <w:p>
            <w:pPr>
              <w:spacing w:after="0"/>
              <w:rPr>
                <w:sz w:val="24"/>
                <w:szCs w:val="24"/>
                <w:color w:val="auto"/>
              </w:rPr>
            </w:pPr>
          </w:p>
        </w:tc>
        <w:tc>
          <w:tcPr>
            <w:tcW w:w="1880" w:type="dxa"/>
            <w:vAlign w:val="bottom"/>
            <w:gridSpan w:val="3"/>
          </w:tcPr>
          <w:p>
            <w:pPr>
              <w:ind w:left="60"/>
              <w:spacing w:after="0"/>
              <w:rPr>
                <w:sz w:val="20"/>
                <w:szCs w:val="20"/>
                <w:color w:val="auto"/>
              </w:rPr>
            </w:pPr>
            <w:r>
              <w:rPr>
                <w:rFonts w:ascii="Arial" w:cs="Arial" w:eastAsia="Arial" w:hAnsi="Arial"/>
                <w:sz w:val="16"/>
                <w:szCs w:val="16"/>
                <w:b w:val="1"/>
                <w:bCs w:val="1"/>
                <w:color w:val="404040"/>
              </w:rPr>
              <w:t>​Strategic Planning ​​</w:t>
            </w:r>
          </w:p>
        </w:tc>
        <w:tc>
          <w:tcPr>
            <w:tcW w:w="780" w:type="dxa"/>
            <w:vAlign w:val="bottom"/>
            <w:tcBorders>
              <w:right w:val="single" w:sz="8" w:color="F2F2F2"/>
            </w:tcBorders>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60" w:type="dxa"/>
            <w:vAlign w:val="bottom"/>
            <w:tcBorders>
              <w:right w:val="single" w:sz="8" w:color="F2F2F2"/>
            </w:tcBorders>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800" w:type="dxa"/>
            <w:vAlign w:val="bottom"/>
            <w:tcBorders>
              <w:right w:val="single" w:sz="8" w:color="F2F2F2"/>
            </w:tcBorders>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Borders>
              <w:right w:val="single" w:sz="8" w:color="F2F2F2"/>
            </w:tcBorders>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shd w:val="clear" w:color="auto" w:fill="F2F2F2"/>
          </w:tcPr>
          <w:p>
            <w:pPr>
              <w:ind w:left="60"/>
              <w:spacing w:after="0"/>
              <w:rPr>
                <w:sz w:val="20"/>
                <w:szCs w:val="20"/>
                <w:color w:val="auto"/>
              </w:rPr>
            </w:pPr>
            <w:r>
              <w:rPr>
                <w:rFonts w:ascii="Arial" w:cs="Arial" w:eastAsia="Arial" w:hAnsi="Arial"/>
                <w:sz w:val="16"/>
                <w:szCs w:val="16"/>
                <w:b w:val="1"/>
                <w:bCs w:val="1"/>
                <w:color w:val="404040"/>
              </w:rPr>
              <w:t>​</w:t>
            </w:r>
          </w:p>
        </w:tc>
        <w:tc>
          <w:tcPr>
            <w:tcW w:w="0" w:type="dxa"/>
            <w:vAlign w:val="bottom"/>
          </w:tcPr>
          <w:p>
            <w:pPr>
              <w:spacing w:after="0"/>
              <w:rPr>
                <w:sz w:val="1"/>
                <w:szCs w:val="1"/>
                <w:color w:val="auto"/>
              </w:rPr>
            </w:pPr>
          </w:p>
        </w:tc>
      </w:tr>
      <w:tr>
        <w:trPr>
          <w:trHeight w:val="61"/>
        </w:trPr>
        <w:tc>
          <w:tcPr>
            <w:tcW w:w="820" w:type="dxa"/>
            <w:vAlign w:val="bottom"/>
          </w:tcPr>
          <w:p>
            <w:pPr>
              <w:spacing w:after="0"/>
              <w:rPr>
                <w:sz w:val="5"/>
                <w:szCs w:val="5"/>
                <w:color w:val="auto"/>
              </w:rPr>
            </w:pPr>
          </w:p>
        </w:tc>
        <w:tc>
          <w:tcPr>
            <w:tcW w:w="100" w:type="dxa"/>
            <w:vAlign w:val="bottom"/>
            <w:tcBorders>
              <w:bottom w:val="single" w:sz="8" w:color="457157"/>
            </w:tcBorders>
          </w:tcPr>
          <w:p>
            <w:pPr>
              <w:spacing w:after="0"/>
              <w:rPr>
                <w:sz w:val="5"/>
                <w:szCs w:val="5"/>
                <w:color w:val="auto"/>
              </w:rPr>
            </w:pPr>
          </w:p>
        </w:tc>
        <w:tc>
          <w:tcPr>
            <w:tcW w:w="1580" w:type="dxa"/>
            <w:vAlign w:val="bottom"/>
            <w:tcBorders>
              <w:bottom w:val="single" w:sz="8" w:color="457157"/>
            </w:tcBorders>
          </w:tcPr>
          <w:p>
            <w:pPr>
              <w:spacing w:after="0"/>
              <w:rPr>
                <w:sz w:val="5"/>
                <w:szCs w:val="5"/>
                <w:color w:val="auto"/>
              </w:rPr>
            </w:pPr>
          </w:p>
        </w:tc>
        <w:tc>
          <w:tcPr>
            <w:tcW w:w="200" w:type="dxa"/>
            <w:vAlign w:val="bottom"/>
            <w:tcBorders>
              <w:bottom w:val="single" w:sz="8" w:color="457157"/>
            </w:tcBorders>
          </w:tcPr>
          <w:p>
            <w:pPr>
              <w:spacing w:after="0"/>
              <w:rPr>
                <w:sz w:val="5"/>
                <w:szCs w:val="5"/>
                <w:color w:val="auto"/>
              </w:rPr>
            </w:pPr>
          </w:p>
        </w:tc>
        <w:tc>
          <w:tcPr>
            <w:tcW w:w="780" w:type="dxa"/>
            <w:vAlign w:val="bottom"/>
            <w:tcBorders>
              <w:bottom w:val="single" w:sz="8" w:color="457157"/>
              <w:right w:val="single" w:sz="8" w:color="F2F2F2"/>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700" w:type="dxa"/>
            <w:vAlign w:val="bottom"/>
            <w:tcBorders>
              <w:bottom w:val="single" w:sz="8" w:color="457157"/>
            </w:tcBorders>
          </w:tcPr>
          <w:p>
            <w:pPr>
              <w:spacing w:after="0"/>
              <w:rPr>
                <w:sz w:val="5"/>
                <w:szCs w:val="5"/>
                <w:color w:val="auto"/>
              </w:rPr>
            </w:pPr>
          </w:p>
        </w:tc>
        <w:tc>
          <w:tcPr>
            <w:tcW w:w="20" w:type="dxa"/>
            <w:vAlign w:val="bottom"/>
            <w:tcBorders>
              <w:bottom w:val="single" w:sz="8" w:color="457157"/>
            </w:tcBorders>
          </w:tcPr>
          <w:p>
            <w:pPr>
              <w:spacing w:after="0"/>
              <w:rPr>
                <w:sz w:val="5"/>
                <w:szCs w:val="5"/>
                <w:color w:val="auto"/>
              </w:rPr>
            </w:pPr>
          </w:p>
        </w:tc>
        <w:tc>
          <w:tcPr>
            <w:tcW w:w="140" w:type="dxa"/>
            <w:vAlign w:val="bottom"/>
            <w:tcBorders>
              <w:bottom w:val="single" w:sz="8" w:color="457157"/>
            </w:tcBorders>
          </w:tcPr>
          <w:p>
            <w:pPr>
              <w:spacing w:after="0"/>
              <w:rPr>
                <w:sz w:val="5"/>
                <w:szCs w:val="5"/>
                <w:color w:val="auto"/>
              </w:rPr>
            </w:pPr>
          </w:p>
        </w:tc>
        <w:tc>
          <w:tcPr>
            <w:tcW w:w="760" w:type="dxa"/>
            <w:vAlign w:val="bottom"/>
            <w:tcBorders>
              <w:bottom w:val="single" w:sz="8" w:color="457157"/>
              <w:right w:val="single" w:sz="8" w:color="F2F2F2"/>
            </w:tcBorders>
          </w:tcPr>
          <w:p>
            <w:pPr>
              <w:spacing w:after="0"/>
              <w:rPr>
                <w:sz w:val="5"/>
                <w:szCs w:val="5"/>
                <w:color w:val="auto"/>
              </w:rPr>
            </w:pPr>
          </w:p>
        </w:tc>
        <w:tc>
          <w:tcPr>
            <w:tcW w:w="140" w:type="dxa"/>
            <w:vAlign w:val="bottom"/>
            <w:tcBorders>
              <w:bottom w:val="single" w:sz="8" w:color="457157"/>
            </w:tcBorders>
          </w:tcPr>
          <w:p>
            <w:pPr>
              <w:spacing w:after="0"/>
              <w:rPr>
                <w:sz w:val="5"/>
                <w:szCs w:val="5"/>
                <w:color w:val="auto"/>
              </w:rPr>
            </w:pPr>
          </w:p>
        </w:tc>
        <w:tc>
          <w:tcPr>
            <w:tcW w:w="560" w:type="dxa"/>
            <w:vAlign w:val="bottom"/>
            <w:tcBorders>
              <w:bottom w:val="single" w:sz="8" w:color="457157"/>
            </w:tcBorders>
          </w:tcPr>
          <w:p>
            <w:pPr>
              <w:spacing w:after="0"/>
              <w:rPr>
                <w:sz w:val="5"/>
                <w:szCs w:val="5"/>
                <w:color w:val="auto"/>
              </w:rPr>
            </w:pPr>
          </w:p>
        </w:tc>
        <w:tc>
          <w:tcPr>
            <w:tcW w:w="120" w:type="dxa"/>
            <w:vAlign w:val="bottom"/>
            <w:tcBorders>
              <w:bottom w:val="single" w:sz="8" w:color="457157"/>
            </w:tcBorders>
          </w:tcPr>
          <w:p>
            <w:pPr>
              <w:spacing w:after="0"/>
              <w:rPr>
                <w:sz w:val="5"/>
                <w:szCs w:val="5"/>
                <w:color w:val="auto"/>
              </w:rPr>
            </w:pPr>
          </w:p>
        </w:tc>
        <w:tc>
          <w:tcPr>
            <w:tcW w:w="100" w:type="dxa"/>
            <w:vAlign w:val="bottom"/>
            <w:tcBorders>
              <w:bottom w:val="single" w:sz="8" w:color="457157"/>
            </w:tcBorders>
          </w:tcPr>
          <w:p>
            <w:pPr>
              <w:spacing w:after="0"/>
              <w:rPr>
                <w:sz w:val="5"/>
                <w:szCs w:val="5"/>
                <w:color w:val="auto"/>
              </w:rPr>
            </w:pPr>
          </w:p>
        </w:tc>
        <w:tc>
          <w:tcPr>
            <w:tcW w:w="800" w:type="dxa"/>
            <w:vAlign w:val="bottom"/>
            <w:tcBorders>
              <w:bottom w:val="single" w:sz="8" w:color="457157"/>
              <w:right w:val="single" w:sz="8" w:color="F2F2F2"/>
            </w:tcBorders>
          </w:tcPr>
          <w:p>
            <w:pPr>
              <w:spacing w:after="0"/>
              <w:rPr>
                <w:sz w:val="5"/>
                <w:szCs w:val="5"/>
                <w:color w:val="auto"/>
              </w:rPr>
            </w:pPr>
          </w:p>
        </w:tc>
        <w:tc>
          <w:tcPr>
            <w:tcW w:w="120" w:type="dxa"/>
            <w:vAlign w:val="bottom"/>
            <w:tcBorders>
              <w:bottom w:val="single" w:sz="8" w:color="457157"/>
            </w:tcBorders>
          </w:tcPr>
          <w:p>
            <w:pPr>
              <w:spacing w:after="0"/>
              <w:rPr>
                <w:sz w:val="5"/>
                <w:szCs w:val="5"/>
                <w:color w:val="auto"/>
              </w:rPr>
            </w:pPr>
          </w:p>
        </w:tc>
        <w:tc>
          <w:tcPr>
            <w:tcW w:w="700" w:type="dxa"/>
            <w:vAlign w:val="bottom"/>
            <w:tcBorders>
              <w:bottom w:val="single" w:sz="8" w:color="457157"/>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140" w:type="dxa"/>
            <w:vAlign w:val="bottom"/>
            <w:tcBorders>
              <w:bottom w:val="single" w:sz="8" w:color="457157"/>
            </w:tcBorders>
          </w:tcPr>
          <w:p>
            <w:pPr>
              <w:spacing w:after="0"/>
              <w:rPr>
                <w:sz w:val="5"/>
                <w:szCs w:val="5"/>
                <w:color w:val="auto"/>
              </w:rPr>
            </w:pPr>
          </w:p>
        </w:tc>
        <w:tc>
          <w:tcPr>
            <w:tcW w:w="780" w:type="dxa"/>
            <w:vAlign w:val="bottom"/>
            <w:tcBorders>
              <w:bottom w:val="single" w:sz="8" w:color="457157"/>
              <w:right w:val="single" w:sz="8" w:color="F2F2F2"/>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700" w:type="dxa"/>
            <w:vAlign w:val="bottom"/>
            <w:tcBorders>
              <w:bottom w:val="single" w:sz="8" w:color="457157"/>
            </w:tcBorders>
          </w:tcPr>
          <w:p>
            <w:pPr>
              <w:spacing w:after="0"/>
              <w:rPr>
                <w:sz w:val="5"/>
                <w:szCs w:val="5"/>
                <w:color w:val="auto"/>
              </w:rPr>
            </w:pPr>
          </w:p>
        </w:tc>
        <w:tc>
          <w:tcPr>
            <w:tcW w:w="20" w:type="dxa"/>
            <w:vAlign w:val="bottom"/>
            <w:tcBorders>
              <w:bottom w:val="single" w:sz="8" w:color="457157"/>
            </w:tcBorders>
          </w:tcPr>
          <w:p>
            <w:pPr>
              <w:spacing w:after="0"/>
              <w:rPr>
                <w:sz w:val="5"/>
                <w:szCs w:val="5"/>
                <w:color w:val="auto"/>
              </w:rPr>
            </w:pPr>
          </w:p>
        </w:tc>
        <w:tc>
          <w:tcPr>
            <w:tcW w:w="120" w:type="dxa"/>
            <w:vAlign w:val="bottom"/>
            <w:tcBorders>
              <w:bottom w:val="single" w:sz="8" w:color="457157"/>
            </w:tcBorders>
          </w:tcPr>
          <w:p>
            <w:pPr>
              <w:spacing w:after="0"/>
              <w:rPr>
                <w:sz w:val="5"/>
                <w:szCs w:val="5"/>
                <w:color w:val="auto"/>
              </w:rPr>
            </w:pPr>
          </w:p>
        </w:tc>
        <w:tc>
          <w:tcPr>
            <w:tcW w:w="240" w:type="dxa"/>
            <w:vAlign w:val="bottom"/>
            <w:tcBorders>
              <w:bottom w:val="single" w:sz="8" w:color="457157"/>
            </w:tcBorders>
          </w:tcPr>
          <w:p>
            <w:pPr>
              <w:spacing w:after="0"/>
              <w:rPr>
                <w:sz w:val="5"/>
                <w:szCs w:val="5"/>
                <w:color w:val="auto"/>
              </w:rPr>
            </w:pPr>
          </w:p>
        </w:tc>
        <w:tc>
          <w:tcPr>
            <w:tcW w:w="520" w:type="dxa"/>
            <w:vAlign w:val="bottom"/>
            <w:tcBorders>
              <w:bottom w:val="single" w:sz="8" w:color="457157"/>
            </w:tcBorders>
          </w:tcPr>
          <w:p>
            <w:pPr>
              <w:spacing w:after="0"/>
              <w:rPr>
                <w:sz w:val="5"/>
                <w:szCs w:val="5"/>
                <w:color w:val="auto"/>
              </w:rPr>
            </w:pPr>
          </w:p>
        </w:tc>
        <w:tc>
          <w:tcPr>
            <w:tcW w:w="100" w:type="dxa"/>
            <w:vAlign w:val="bottom"/>
            <w:tcBorders>
              <w:bottom w:val="single" w:sz="8" w:color="457157"/>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6"/>
                <w:szCs w:val="16"/>
                <w:b w:val="1"/>
                <w:bCs w:val="1"/>
                <w:color w:val="404040"/>
              </w:rPr>
              <w:t>Operational</w:t>
            </w:r>
          </w:p>
        </w:tc>
        <w:tc>
          <w:tcPr>
            <w:tcW w:w="200" w:type="dxa"/>
            <w:vAlign w:val="bottom"/>
          </w:tcPr>
          <w:p>
            <w:pPr>
              <w:spacing w:after="0"/>
              <w:rPr>
                <w:sz w:val="17"/>
                <w:szCs w:val="17"/>
                <w:color w:val="auto"/>
              </w:rPr>
            </w:pPr>
          </w:p>
        </w:tc>
        <w:tc>
          <w:tcPr>
            <w:tcW w:w="780" w:type="dxa"/>
            <w:vAlign w:val="bottom"/>
            <w:tcBorders>
              <w:right w:val="single" w:sz="8" w:color="F2F2F2"/>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right w:val="single" w:sz="8" w:color="F2F2F2"/>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right w:val="single" w:sz="8" w:color="F2F2F2"/>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right w:val="single" w:sz="8" w:color="F2F2F2"/>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820" w:type="dxa"/>
            <w:vAlign w:val="bottom"/>
          </w:tcPr>
          <w:p>
            <w:pPr>
              <w:spacing w:after="0"/>
              <w:rPr>
                <w:sz w:val="24"/>
                <w:szCs w:val="24"/>
                <w:color w:val="auto"/>
              </w:rPr>
            </w:pPr>
          </w:p>
        </w:tc>
        <w:tc>
          <w:tcPr>
            <w:tcW w:w="1680" w:type="dxa"/>
            <w:vAlign w:val="bottom"/>
            <w:tcBorders>
              <w:bottom w:val="single" w:sz="8" w:color="457157"/>
            </w:tcBorders>
            <w:gridSpan w:val="2"/>
          </w:tcPr>
          <w:p>
            <w:pPr>
              <w:ind w:left="60"/>
              <w:spacing w:after="0" w:line="310" w:lineRule="exact"/>
              <w:rPr>
                <w:sz w:val="20"/>
                <w:szCs w:val="20"/>
                <w:color w:val="auto"/>
              </w:rPr>
            </w:pPr>
            <w:r>
              <w:rPr>
                <w:rFonts w:ascii="Arial" w:cs="Arial" w:eastAsia="Arial" w:hAnsi="Arial"/>
                <w:sz w:val="32"/>
                <w:szCs w:val="32"/>
                <w:b w:val="1"/>
                <w:bCs w:val="1"/>
                <w:color w:val="404040"/>
                <w:vertAlign w:val="superscript"/>
              </w:rPr>
              <w:t>​</w:t>
            </w:r>
            <w:r>
              <w:rPr>
                <w:rFonts w:ascii="Arial" w:cs="Arial" w:eastAsia="Arial" w:hAnsi="Arial"/>
                <w:sz w:val="16"/>
                <w:szCs w:val="16"/>
                <w:b w:val="1"/>
                <w:bCs w:val="1"/>
                <w:color w:val="404040"/>
              </w:rPr>
              <w:t>Excellence</w:t>
            </w:r>
          </w:p>
        </w:tc>
        <w:tc>
          <w:tcPr>
            <w:tcW w:w="20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Borders>
              <w:bottom w:val="single" w:sz="8" w:color="457157"/>
              <w:right w:val="single" w:sz="8" w:color="F2F2F2"/>
            </w:tcBorders>
          </w:tcPr>
          <w:p>
            <w:pPr>
              <w:spacing w:after="0"/>
              <w:rPr>
                <w:sz w:val="24"/>
                <w:szCs w:val="24"/>
                <w:color w:val="auto"/>
              </w:rPr>
            </w:pPr>
          </w:p>
        </w:tc>
        <w:tc>
          <w:tcPr>
            <w:tcW w:w="8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Borders>
              <w:bottom w:val="single" w:sz="8" w:color="457157"/>
            </w:tcBorders>
          </w:tcPr>
          <w:p>
            <w:pPr>
              <w:spacing w:after="0"/>
              <w:rPr>
                <w:sz w:val="24"/>
                <w:szCs w:val="24"/>
                <w:color w:val="auto"/>
              </w:rPr>
            </w:pPr>
          </w:p>
        </w:tc>
        <w:tc>
          <w:tcPr>
            <w:tcW w:w="2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760" w:type="dxa"/>
            <w:vAlign w:val="bottom"/>
            <w:tcBorders>
              <w:bottom w:val="single" w:sz="8" w:color="457157"/>
              <w:right w:val="single" w:sz="8" w:color="F2F2F2"/>
            </w:tcBorders>
          </w:tcPr>
          <w:p>
            <w:pPr>
              <w:spacing w:after="0"/>
              <w:rPr>
                <w:sz w:val="24"/>
                <w:szCs w:val="24"/>
                <w:color w:val="auto"/>
              </w:rPr>
            </w:pPr>
          </w:p>
        </w:tc>
        <w:tc>
          <w:tcPr>
            <w:tcW w:w="14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56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spacing w:after="0"/>
              <w:rPr>
                <w:sz w:val="24"/>
                <w:szCs w:val="24"/>
                <w:color w:val="auto"/>
              </w:rPr>
            </w:pPr>
          </w:p>
        </w:tc>
        <w:tc>
          <w:tcPr>
            <w:tcW w:w="10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800" w:type="dxa"/>
            <w:vAlign w:val="bottom"/>
            <w:tcBorders>
              <w:bottom w:val="single" w:sz="8" w:color="457157"/>
              <w:right w:val="single" w:sz="8" w:color="F2F2F2"/>
            </w:tcBorders>
          </w:tcPr>
          <w:p>
            <w:pPr>
              <w:spacing w:after="0"/>
              <w:rPr>
                <w:sz w:val="24"/>
                <w:szCs w:val="24"/>
                <w:color w:val="auto"/>
              </w:rPr>
            </w:pP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Borders>
              <w:bottom w:val="single" w:sz="8" w:color="457157"/>
            </w:tcBorders>
          </w:tcPr>
          <w:p>
            <w:pPr>
              <w:spacing w:after="0"/>
              <w:rPr>
                <w:sz w:val="24"/>
                <w:szCs w:val="24"/>
                <w:color w:val="auto"/>
              </w:rPr>
            </w:pPr>
          </w:p>
        </w:tc>
        <w:tc>
          <w:tcPr>
            <w:tcW w:w="8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Borders>
              <w:bottom w:val="single" w:sz="8" w:color="457157"/>
              <w:right w:val="single" w:sz="8" w:color="F2F2F2"/>
            </w:tcBorders>
          </w:tcPr>
          <w:p>
            <w:pPr>
              <w:spacing w:after="0"/>
              <w:rPr>
                <w:sz w:val="24"/>
                <w:szCs w:val="24"/>
                <w:color w:val="auto"/>
              </w:rPr>
            </w:pPr>
          </w:p>
        </w:tc>
        <w:tc>
          <w:tcPr>
            <w:tcW w:w="8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Borders>
              <w:bottom w:val="single" w:sz="8" w:color="457157"/>
            </w:tcBorders>
          </w:tcPr>
          <w:p>
            <w:pPr>
              <w:spacing w:after="0"/>
              <w:rPr>
                <w:sz w:val="24"/>
                <w:szCs w:val="24"/>
                <w:color w:val="auto"/>
              </w:rPr>
            </w:pPr>
          </w:p>
        </w:tc>
        <w:tc>
          <w:tcPr>
            <w:tcW w:w="2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240" w:type="dxa"/>
            <w:vAlign w:val="bottom"/>
            <w:tcBorders>
              <w:bottom w:val="single" w:sz="8" w:color="457157"/>
            </w:tcBorders>
          </w:tcPr>
          <w:p>
            <w:pPr>
              <w:spacing w:after="0"/>
              <w:rPr>
                <w:sz w:val="24"/>
                <w:szCs w:val="24"/>
                <w:color w:val="auto"/>
              </w:rPr>
            </w:pPr>
          </w:p>
        </w:tc>
        <w:tc>
          <w:tcPr>
            <w:tcW w:w="520" w:type="dxa"/>
            <w:vAlign w:val="bottom"/>
            <w:tcBorders>
              <w:bottom w:val="single" w:sz="8" w:color="457157"/>
            </w:tcBorders>
          </w:tcPr>
          <w:p>
            <w:pPr>
              <w:spacing w:after="0"/>
              <w:rPr>
                <w:sz w:val="24"/>
                <w:szCs w:val="24"/>
                <w:color w:val="auto"/>
              </w:rPr>
            </w:pPr>
          </w:p>
        </w:tc>
        <w:tc>
          <w:tcPr>
            <w:tcW w:w="100" w:type="dxa"/>
            <w:vAlign w:val="bottom"/>
            <w:tcBorders>
              <w:bottom w:val="single" w:sz="8" w:color="457157"/>
            </w:tcBorders>
            <w:shd w:val="clear" w:color="auto" w:fill="F2F2F2"/>
          </w:tcPr>
          <w:p>
            <w:pPr>
              <w:ind w:left="60"/>
              <w:spacing w:after="0"/>
              <w:rPr>
                <w:sz w:val="20"/>
                <w:szCs w:val="20"/>
                <w:color w:val="auto"/>
              </w:rPr>
            </w:pPr>
            <w:r>
              <w:rPr>
                <w:rFonts w:ascii="Arial" w:cs="Arial" w:eastAsia="Arial" w:hAnsi="Arial"/>
                <w:sz w:val="16"/>
                <w:szCs w:val="16"/>
                <w:b w:val="1"/>
                <w:bCs w:val="1"/>
                <w:color w:val="404040"/>
              </w:rPr>
              <w:t>​</w:t>
            </w:r>
          </w:p>
        </w:tc>
        <w:tc>
          <w:tcPr>
            <w:tcW w:w="0" w:type="dxa"/>
            <w:vAlign w:val="bottom"/>
          </w:tcPr>
          <w:p>
            <w:pPr>
              <w:spacing w:after="0"/>
              <w:rPr>
                <w:sz w:val="1"/>
                <w:szCs w:val="1"/>
                <w:color w:val="auto"/>
              </w:rPr>
            </w:pPr>
          </w:p>
        </w:tc>
      </w:tr>
      <w:tr>
        <w:trPr>
          <w:trHeight w:val="182"/>
        </w:trPr>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line="182" w:lineRule="exact"/>
              <w:rPr>
                <w:sz w:val="20"/>
                <w:szCs w:val="20"/>
                <w:color w:val="auto"/>
              </w:rPr>
            </w:pPr>
            <w:r>
              <w:rPr>
                <w:rFonts w:ascii="Arial" w:cs="Arial" w:eastAsia="Arial" w:hAnsi="Arial"/>
                <w:sz w:val="16"/>
                <w:szCs w:val="16"/>
                <w:b w:val="1"/>
                <w:bCs w:val="1"/>
                <w:color w:val="404040"/>
              </w:rPr>
              <w:t>Financial</w:t>
            </w:r>
          </w:p>
        </w:tc>
        <w:tc>
          <w:tcPr>
            <w:tcW w:w="200" w:type="dxa"/>
            <w:vAlign w:val="bottom"/>
          </w:tcPr>
          <w:p>
            <w:pPr>
              <w:spacing w:after="0"/>
              <w:rPr>
                <w:sz w:val="15"/>
                <w:szCs w:val="15"/>
                <w:color w:val="auto"/>
              </w:rPr>
            </w:pPr>
          </w:p>
        </w:tc>
        <w:tc>
          <w:tcPr>
            <w:tcW w:w="780" w:type="dxa"/>
            <w:vAlign w:val="bottom"/>
            <w:tcBorders>
              <w:right w:val="single" w:sz="8" w:color="F2F2F2"/>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right w:val="single" w:sz="8" w:color="F2F2F2"/>
            </w:tcBorders>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right w:val="single" w:sz="8" w:color="F2F2F2"/>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right w:val="single" w:sz="8" w:color="F2F2F2"/>
            </w:tcBorders>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shd w:val="clear" w:color="auto" w:fill="F2F2F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20" w:type="dxa"/>
            <w:vAlign w:val="bottom"/>
          </w:tcPr>
          <w:p>
            <w:pPr>
              <w:spacing w:after="0"/>
              <w:rPr>
                <w:sz w:val="17"/>
                <w:szCs w:val="17"/>
                <w:color w:val="auto"/>
              </w:rPr>
            </w:pPr>
          </w:p>
        </w:tc>
        <w:tc>
          <w:tcPr>
            <w:tcW w:w="1680" w:type="dxa"/>
            <w:vAlign w:val="bottom"/>
            <w:gridSpan w:val="2"/>
          </w:tcPr>
          <w:p>
            <w:pPr>
              <w:ind w:left="60"/>
              <w:spacing w:after="0"/>
              <w:rPr>
                <w:sz w:val="20"/>
                <w:szCs w:val="20"/>
                <w:color w:val="auto"/>
              </w:rPr>
            </w:pPr>
            <w:r>
              <w:rPr>
                <w:rFonts w:ascii="Arial" w:cs="Arial" w:eastAsia="Arial" w:hAnsi="Arial"/>
                <w:sz w:val="16"/>
                <w:szCs w:val="16"/>
                <w:b w:val="1"/>
                <w:bCs w:val="1"/>
                <w:color w:val="404040"/>
              </w:rPr>
              <w:t>​Expertise and</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Borders>
              <w:right w:val="single" w:sz="8" w:color="F2F2F2"/>
            </w:tcBorders>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60" w:type="dxa"/>
            <w:vAlign w:val="bottom"/>
            <w:tcBorders>
              <w:right w:val="single" w:sz="8" w:color="F2F2F2"/>
            </w:tcBorders>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800" w:type="dxa"/>
            <w:vAlign w:val="bottom"/>
            <w:tcBorders>
              <w:right w:val="single" w:sz="8" w:color="F2F2F2"/>
            </w:tcBorders>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Borders>
              <w:right w:val="single" w:sz="8" w:color="F2F2F2"/>
            </w:tcBorders>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240" w:type="dxa"/>
            <w:vAlign w:val="bottom"/>
          </w:tcPr>
          <w:p>
            <w:pPr>
              <w:spacing w:after="0"/>
              <w:rPr>
                <w:sz w:val="17"/>
                <w:szCs w:val="17"/>
                <w:color w:val="auto"/>
              </w:rPr>
            </w:pPr>
          </w:p>
        </w:tc>
        <w:tc>
          <w:tcPr>
            <w:tcW w:w="520" w:type="dxa"/>
            <w:vAlign w:val="bottom"/>
          </w:tcPr>
          <w:p>
            <w:pPr>
              <w:jc w:val="center"/>
              <w:ind w:right="199"/>
              <w:spacing w:after="0"/>
              <w:rPr>
                <w:sz w:val="20"/>
                <w:szCs w:val="20"/>
                <w:color w:val="auto"/>
              </w:rPr>
            </w:pPr>
            <w:r>
              <w:rPr>
                <w:rFonts w:ascii="Arial" w:cs="Arial" w:eastAsia="Arial" w:hAnsi="Arial"/>
                <w:sz w:val="16"/>
                <w:szCs w:val="16"/>
                <w:b w:val="1"/>
                <w:bCs w:val="1"/>
                <w:color w:val="404040"/>
              </w:rPr>
              <w:t>​</w:t>
            </w:r>
          </w:p>
        </w:tc>
        <w:tc>
          <w:tcPr>
            <w:tcW w:w="100" w:type="dxa"/>
            <w:vAlign w:val="bottom"/>
            <w:shd w:val="clear" w:color="auto" w:fill="F2F2F2"/>
          </w:tcPr>
          <w:p>
            <w:pPr>
              <w:ind w:left="60"/>
              <w:spacing w:after="0"/>
              <w:rPr>
                <w:sz w:val="20"/>
                <w:szCs w:val="20"/>
                <w:color w:val="auto"/>
              </w:rPr>
            </w:pPr>
            <w:r>
              <w:rPr>
                <w:rFonts w:ascii="Arial" w:cs="Arial" w:eastAsia="Arial" w:hAnsi="Arial"/>
                <w:sz w:val="16"/>
                <w:szCs w:val="16"/>
                <w:b w:val="1"/>
                <w:bCs w:val="1"/>
                <w:color w:val="404040"/>
              </w:rPr>
              <w:t>​</w:t>
            </w: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100" w:type="dxa"/>
            <w:vAlign w:val="bottom"/>
            <w:tcBorders>
              <w:bottom w:val="single" w:sz="8" w:color="457157"/>
            </w:tcBorders>
          </w:tcPr>
          <w:p>
            <w:pPr>
              <w:spacing w:after="0"/>
              <w:rPr>
                <w:sz w:val="18"/>
                <w:szCs w:val="18"/>
                <w:color w:val="auto"/>
              </w:rPr>
            </w:pPr>
          </w:p>
        </w:tc>
        <w:tc>
          <w:tcPr>
            <w:tcW w:w="1580" w:type="dxa"/>
            <w:vAlign w:val="bottom"/>
            <w:tcBorders>
              <w:bottom w:val="single" w:sz="8" w:color="457157"/>
            </w:tcBorders>
          </w:tcPr>
          <w:p>
            <w:pPr>
              <w:spacing w:after="0"/>
              <w:rPr>
                <w:sz w:val="20"/>
                <w:szCs w:val="20"/>
                <w:color w:val="auto"/>
              </w:rPr>
            </w:pPr>
            <w:r>
              <w:rPr>
                <w:rFonts w:ascii="Arial" w:cs="Arial" w:eastAsia="Arial" w:hAnsi="Arial"/>
                <w:sz w:val="16"/>
                <w:szCs w:val="16"/>
                <w:b w:val="1"/>
                <w:bCs w:val="1"/>
                <w:color w:val="404040"/>
              </w:rPr>
              <w:t>Capital Allocation</w:t>
            </w:r>
          </w:p>
        </w:tc>
        <w:tc>
          <w:tcPr>
            <w:tcW w:w="200" w:type="dxa"/>
            <w:vAlign w:val="bottom"/>
            <w:tcBorders>
              <w:bottom w:val="single" w:sz="8" w:color="457157"/>
            </w:tcBorders>
          </w:tcPr>
          <w:p>
            <w:pPr>
              <w:spacing w:after="0"/>
              <w:rPr>
                <w:sz w:val="18"/>
                <w:szCs w:val="18"/>
                <w:color w:val="auto"/>
              </w:rPr>
            </w:pPr>
          </w:p>
        </w:tc>
        <w:tc>
          <w:tcPr>
            <w:tcW w:w="780" w:type="dxa"/>
            <w:vAlign w:val="bottom"/>
            <w:tcBorders>
              <w:bottom w:val="single" w:sz="8" w:color="457157"/>
              <w:right w:val="single" w:sz="8" w:color="F2F2F2"/>
            </w:tcBorders>
          </w:tcPr>
          <w:p>
            <w:pPr>
              <w:spacing w:after="0"/>
              <w:rPr>
                <w:sz w:val="18"/>
                <w:szCs w:val="18"/>
                <w:color w:val="auto"/>
              </w:rPr>
            </w:pPr>
          </w:p>
        </w:tc>
        <w:tc>
          <w:tcPr>
            <w:tcW w:w="80" w:type="dxa"/>
            <w:vAlign w:val="bottom"/>
            <w:tcBorders>
              <w:bottom w:val="single" w:sz="8" w:color="457157"/>
            </w:tcBorders>
          </w:tcPr>
          <w:p>
            <w:pPr>
              <w:spacing w:after="0"/>
              <w:rPr>
                <w:sz w:val="18"/>
                <w:szCs w:val="18"/>
                <w:color w:val="auto"/>
              </w:rPr>
            </w:pPr>
          </w:p>
        </w:tc>
        <w:tc>
          <w:tcPr>
            <w:tcW w:w="700" w:type="dxa"/>
            <w:vAlign w:val="bottom"/>
            <w:tcBorders>
              <w:bottom w:val="single" w:sz="8" w:color="457157"/>
            </w:tcBorders>
          </w:tcPr>
          <w:p>
            <w:pPr>
              <w:spacing w:after="0"/>
              <w:rPr>
                <w:sz w:val="18"/>
                <w:szCs w:val="18"/>
                <w:color w:val="auto"/>
              </w:rPr>
            </w:pPr>
          </w:p>
        </w:tc>
        <w:tc>
          <w:tcPr>
            <w:tcW w:w="20" w:type="dxa"/>
            <w:vAlign w:val="bottom"/>
            <w:tcBorders>
              <w:bottom w:val="single" w:sz="8" w:color="457157"/>
            </w:tcBorders>
          </w:tcPr>
          <w:p>
            <w:pPr>
              <w:spacing w:after="0"/>
              <w:rPr>
                <w:sz w:val="18"/>
                <w:szCs w:val="18"/>
                <w:color w:val="auto"/>
              </w:rPr>
            </w:pPr>
          </w:p>
        </w:tc>
        <w:tc>
          <w:tcPr>
            <w:tcW w:w="140" w:type="dxa"/>
            <w:vAlign w:val="bottom"/>
            <w:tcBorders>
              <w:bottom w:val="single" w:sz="8" w:color="457157"/>
            </w:tcBorders>
          </w:tcPr>
          <w:p>
            <w:pPr>
              <w:spacing w:after="0"/>
              <w:rPr>
                <w:sz w:val="18"/>
                <w:szCs w:val="18"/>
                <w:color w:val="auto"/>
              </w:rPr>
            </w:pPr>
          </w:p>
        </w:tc>
        <w:tc>
          <w:tcPr>
            <w:tcW w:w="760" w:type="dxa"/>
            <w:vAlign w:val="bottom"/>
            <w:tcBorders>
              <w:bottom w:val="single" w:sz="8" w:color="457157"/>
              <w:right w:val="single" w:sz="8" w:color="F2F2F2"/>
            </w:tcBorders>
          </w:tcPr>
          <w:p>
            <w:pPr>
              <w:spacing w:after="0"/>
              <w:rPr>
                <w:sz w:val="18"/>
                <w:szCs w:val="18"/>
                <w:color w:val="auto"/>
              </w:rPr>
            </w:pPr>
          </w:p>
        </w:tc>
        <w:tc>
          <w:tcPr>
            <w:tcW w:w="140" w:type="dxa"/>
            <w:vAlign w:val="bottom"/>
            <w:tcBorders>
              <w:bottom w:val="single" w:sz="8" w:color="457157"/>
            </w:tcBorders>
          </w:tcPr>
          <w:p>
            <w:pPr>
              <w:spacing w:after="0"/>
              <w:rPr>
                <w:sz w:val="18"/>
                <w:szCs w:val="18"/>
                <w:color w:val="auto"/>
              </w:rPr>
            </w:pPr>
          </w:p>
        </w:tc>
        <w:tc>
          <w:tcPr>
            <w:tcW w:w="560" w:type="dxa"/>
            <w:vAlign w:val="bottom"/>
            <w:tcBorders>
              <w:bottom w:val="single" w:sz="8" w:color="457157"/>
            </w:tcBorders>
          </w:tcPr>
          <w:p>
            <w:pPr>
              <w:spacing w:after="0"/>
              <w:rPr>
                <w:sz w:val="18"/>
                <w:szCs w:val="18"/>
                <w:color w:val="auto"/>
              </w:rPr>
            </w:pPr>
          </w:p>
        </w:tc>
        <w:tc>
          <w:tcPr>
            <w:tcW w:w="120" w:type="dxa"/>
            <w:vAlign w:val="bottom"/>
            <w:tcBorders>
              <w:bottom w:val="single" w:sz="8" w:color="457157"/>
            </w:tcBorders>
          </w:tcPr>
          <w:p>
            <w:pPr>
              <w:spacing w:after="0"/>
              <w:rPr>
                <w:sz w:val="18"/>
                <w:szCs w:val="18"/>
                <w:color w:val="auto"/>
              </w:rPr>
            </w:pPr>
          </w:p>
        </w:tc>
        <w:tc>
          <w:tcPr>
            <w:tcW w:w="100" w:type="dxa"/>
            <w:vAlign w:val="bottom"/>
            <w:tcBorders>
              <w:bottom w:val="single" w:sz="8" w:color="457157"/>
            </w:tcBorders>
          </w:tcPr>
          <w:p>
            <w:pPr>
              <w:spacing w:after="0"/>
              <w:rPr>
                <w:sz w:val="18"/>
                <w:szCs w:val="18"/>
                <w:color w:val="auto"/>
              </w:rPr>
            </w:pPr>
          </w:p>
        </w:tc>
        <w:tc>
          <w:tcPr>
            <w:tcW w:w="800" w:type="dxa"/>
            <w:vAlign w:val="bottom"/>
            <w:tcBorders>
              <w:bottom w:val="single" w:sz="8" w:color="457157"/>
              <w:right w:val="single" w:sz="8" w:color="F2F2F2"/>
            </w:tcBorders>
          </w:tcPr>
          <w:p>
            <w:pPr>
              <w:spacing w:after="0"/>
              <w:rPr>
                <w:sz w:val="18"/>
                <w:szCs w:val="18"/>
                <w:color w:val="auto"/>
              </w:rPr>
            </w:pPr>
          </w:p>
        </w:tc>
        <w:tc>
          <w:tcPr>
            <w:tcW w:w="120" w:type="dxa"/>
            <w:vAlign w:val="bottom"/>
            <w:tcBorders>
              <w:bottom w:val="single" w:sz="8" w:color="457157"/>
            </w:tcBorders>
          </w:tcPr>
          <w:p>
            <w:pPr>
              <w:spacing w:after="0"/>
              <w:rPr>
                <w:sz w:val="18"/>
                <w:szCs w:val="18"/>
                <w:color w:val="auto"/>
              </w:rPr>
            </w:pPr>
          </w:p>
        </w:tc>
        <w:tc>
          <w:tcPr>
            <w:tcW w:w="700" w:type="dxa"/>
            <w:vAlign w:val="bottom"/>
            <w:tcBorders>
              <w:bottom w:val="single" w:sz="8" w:color="457157"/>
            </w:tcBorders>
          </w:tcPr>
          <w:p>
            <w:pPr>
              <w:spacing w:after="0"/>
              <w:rPr>
                <w:sz w:val="18"/>
                <w:szCs w:val="18"/>
                <w:color w:val="auto"/>
              </w:rPr>
            </w:pPr>
          </w:p>
        </w:tc>
        <w:tc>
          <w:tcPr>
            <w:tcW w:w="80" w:type="dxa"/>
            <w:vAlign w:val="bottom"/>
            <w:tcBorders>
              <w:bottom w:val="single" w:sz="8" w:color="457157"/>
            </w:tcBorders>
          </w:tcPr>
          <w:p>
            <w:pPr>
              <w:spacing w:after="0"/>
              <w:rPr>
                <w:sz w:val="18"/>
                <w:szCs w:val="18"/>
                <w:color w:val="auto"/>
              </w:rPr>
            </w:pPr>
          </w:p>
        </w:tc>
        <w:tc>
          <w:tcPr>
            <w:tcW w:w="140" w:type="dxa"/>
            <w:vAlign w:val="bottom"/>
            <w:tcBorders>
              <w:bottom w:val="single" w:sz="8" w:color="457157"/>
            </w:tcBorders>
          </w:tcPr>
          <w:p>
            <w:pPr>
              <w:spacing w:after="0"/>
              <w:rPr>
                <w:sz w:val="18"/>
                <w:szCs w:val="18"/>
                <w:color w:val="auto"/>
              </w:rPr>
            </w:pPr>
          </w:p>
        </w:tc>
        <w:tc>
          <w:tcPr>
            <w:tcW w:w="780" w:type="dxa"/>
            <w:vAlign w:val="bottom"/>
            <w:tcBorders>
              <w:bottom w:val="single" w:sz="8" w:color="457157"/>
              <w:right w:val="single" w:sz="8" w:color="F2F2F2"/>
            </w:tcBorders>
          </w:tcPr>
          <w:p>
            <w:pPr>
              <w:spacing w:after="0"/>
              <w:rPr>
                <w:sz w:val="18"/>
                <w:szCs w:val="18"/>
                <w:color w:val="auto"/>
              </w:rPr>
            </w:pPr>
          </w:p>
        </w:tc>
        <w:tc>
          <w:tcPr>
            <w:tcW w:w="80" w:type="dxa"/>
            <w:vAlign w:val="bottom"/>
            <w:tcBorders>
              <w:bottom w:val="single" w:sz="8" w:color="457157"/>
            </w:tcBorders>
          </w:tcPr>
          <w:p>
            <w:pPr>
              <w:spacing w:after="0"/>
              <w:rPr>
                <w:sz w:val="18"/>
                <w:szCs w:val="18"/>
                <w:color w:val="auto"/>
              </w:rPr>
            </w:pPr>
          </w:p>
        </w:tc>
        <w:tc>
          <w:tcPr>
            <w:tcW w:w="700" w:type="dxa"/>
            <w:vAlign w:val="bottom"/>
            <w:tcBorders>
              <w:bottom w:val="single" w:sz="8" w:color="457157"/>
            </w:tcBorders>
          </w:tcPr>
          <w:p>
            <w:pPr>
              <w:spacing w:after="0"/>
              <w:rPr>
                <w:sz w:val="18"/>
                <w:szCs w:val="18"/>
                <w:color w:val="auto"/>
              </w:rPr>
            </w:pPr>
          </w:p>
        </w:tc>
        <w:tc>
          <w:tcPr>
            <w:tcW w:w="20" w:type="dxa"/>
            <w:vAlign w:val="bottom"/>
            <w:tcBorders>
              <w:bottom w:val="single" w:sz="8" w:color="457157"/>
            </w:tcBorders>
          </w:tcPr>
          <w:p>
            <w:pPr>
              <w:spacing w:after="0"/>
              <w:rPr>
                <w:sz w:val="18"/>
                <w:szCs w:val="18"/>
                <w:color w:val="auto"/>
              </w:rPr>
            </w:pPr>
          </w:p>
        </w:tc>
        <w:tc>
          <w:tcPr>
            <w:tcW w:w="120" w:type="dxa"/>
            <w:vAlign w:val="bottom"/>
            <w:tcBorders>
              <w:bottom w:val="single" w:sz="8" w:color="457157"/>
            </w:tcBorders>
          </w:tcPr>
          <w:p>
            <w:pPr>
              <w:spacing w:after="0"/>
              <w:rPr>
                <w:sz w:val="18"/>
                <w:szCs w:val="18"/>
                <w:color w:val="auto"/>
              </w:rPr>
            </w:pPr>
          </w:p>
        </w:tc>
        <w:tc>
          <w:tcPr>
            <w:tcW w:w="240" w:type="dxa"/>
            <w:vAlign w:val="bottom"/>
            <w:tcBorders>
              <w:bottom w:val="single" w:sz="8" w:color="457157"/>
            </w:tcBorders>
          </w:tcPr>
          <w:p>
            <w:pPr>
              <w:spacing w:after="0"/>
              <w:rPr>
                <w:sz w:val="18"/>
                <w:szCs w:val="18"/>
                <w:color w:val="auto"/>
              </w:rPr>
            </w:pPr>
          </w:p>
        </w:tc>
        <w:tc>
          <w:tcPr>
            <w:tcW w:w="520" w:type="dxa"/>
            <w:vAlign w:val="bottom"/>
            <w:tcBorders>
              <w:bottom w:val="single" w:sz="8" w:color="457157"/>
            </w:tcBorders>
          </w:tcPr>
          <w:p>
            <w:pPr>
              <w:spacing w:after="0"/>
              <w:rPr>
                <w:sz w:val="18"/>
                <w:szCs w:val="18"/>
                <w:color w:val="auto"/>
              </w:rPr>
            </w:pPr>
          </w:p>
        </w:tc>
        <w:tc>
          <w:tcPr>
            <w:tcW w:w="100" w:type="dxa"/>
            <w:vAlign w:val="bottom"/>
            <w:tcBorders>
              <w:bottom w:val="single" w:sz="8" w:color="457157"/>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20"/>
                <w:szCs w:val="20"/>
                <w:color w:val="auto"/>
              </w:rPr>
            </w:pPr>
            <w:r>
              <w:rPr>
                <w:rFonts w:ascii="Arial" w:cs="Arial" w:eastAsia="Arial" w:hAnsi="Arial"/>
                <w:sz w:val="16"/>
                <w:szCs w:val="16"/>
                <w:b w:val="1"/>
                <w:bCs w:val="1"/>
                <w:color w:val="404040"/>
              </w:rPr>
              <w:t>Human Capital</w:t>
            </w:r>
          </w:p>
        </w:tc>
        <w:tc>
          <w:tcPr>
            <w:tcW w:w="200" w:type="dxa"/>
            <w:vAlign w:val="bottom"/>
          </w:tcPr>
          <w:p>
            <w:pPr>
              <w:spacing w:after="0"/>
              <w:rPr>
                <w:sz w:val="17"/>
                <w:szCs w:val="17"/>
                <w:color w:val="auto"/>
              </w:rPr>
            </w:pPr>
          </w:p>
        </w:tc>
        <w:tc>
          <w:tcPr>
            <w:tcW w:w="780" w:type="dxa"/>
            <w:vAlign w:val="bottom"/>
            <w:tcBorders>
              <w:right w:val="single" w:sz="8" w:color="F2F2F2"/>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right w:val="single" w:sz="8" w:color="F2F2F2"/>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right w:val="single" w:sz="8" w:color="F2F2F2"/>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right w:val="single" w:sz="8" w:color="F2F2F2"/>
            </w:tcBorders>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820" w:type="dxa"/>
            <w:vAlign w:val="bottom"/>
          </w:tcPr>
          <w:p>
            <w:pPr>
              <w:spacing w:after="0"/>
              <w:rPr>
                <w:sz w:val="24"/>
                <w:szCs w:val="24"/>
                <w:color w:val="auto"/>
              </w:rPr>
            </w:pPr>
          </w:p>
        </w:tc>
        <w:tc>
          <w:tcPr>
            <w:tcW w:w="1680" w:type="dxa"/>
            <w:vAlign w:val="bottom"/>
            <w:tcBorders>
              <w:bottom w:val="single" w:sz="8" w:color="457157"/>
            </w:tcBorders>
            <w:gridSpan w:val="2"/>
          </w:tcPr>
          <w:p>
            <w:pPr>
              <w:ind w:left="60"/>
              <w:spacing w:after="0" w:line="310" w:lineRule="exact"/>
              <w:rPr>
                <w:sz w:val="20"/>
                <w:szCs w:val="20"/>
                <w:color w:val="auto"/>
              </w:rPr>
            </w:pPr>
            <w:r>
              <w:rPr>
                <w:rFonts w:ascii="Arial" w:cs="Arial" w:eastAsia="Arial" w:hAnsi="Arial"/>
                <w:sz w:val="32"/>
                <w:szCs w:val="32"/>
                <w:b w:val="1"/>
                <w:bCs w:val="1"/>
                <w:color w:val="404040"/>
                <w:vertAlign w:val="superscript"/>
              </w:rPr>
              <w:t>​</w:t>
            </w:r>
            <w:r>
              <w:rPr>
                <w:rFonts w:ascii="Arial" w:cs="Arial" w:eastAsia="Arial" w:hAnsi="Arial"/>
                <w:sz w:val="16"/>
                <w:szCs w:val="16"/>
                <w:b w:val="1"/>
                <w:bCs w:val="1"/>
                <w:color w:val="404040"/>
              </w:rPr>
              <w:t>Management</w:t>
            </w:r>
          </w:p>
        </w:tc>
        <w:tc>
          <w:tcPr>
            <w:tcW w:w="20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Borders>
              <w:bottom w:val="single" w:sz="8" w:color="457157"/>
              <w:right w:val="single" w:sz="8" w:color="F2F2F2"/>
            </w:tcBorders>
          </w:tcPr>
          <w:p>
            <w:pPr>
              <w:spacing w:after="0"/>
              <w:rPr>
                <w:sz w:val="24"/>
                <w:szCs w:val="24"/>
                <w:color w:val="auto"/>
              </w:rPr>
            </w:pPr>
          </w:p>
        </w:tc>
        <w:tc>
          <w:tcPr>
            <w:tcW w:w="8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Borders>
              <w:bottom w:val="single" w:sz="8" w:color="457157"/>
            </w:tcBorders>
          </w:tcPr>
          <w:p>
            <w:pPr>
              <w:spacing w:after="0"/>
              <w:rPr>
                <w:sz w:val="24"/>
                <w:szCs w:val="24"/>
                <w:color w:val="auto"/>
              </w:rPr>
            </w:pPr>
          </w:p>
        </w:tc>
        <w:tc>
          <w:tcPr>
            <w:tcW w:w="2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760" w:type="dxa"/>
            <w:vAlign w:val="bottom"/>
            <w:tcBorders>
              <w:bottom w:val="single" w:sz="8" w:color="457157"/>
              <w:right w:val="single" w:sz="8" w:color="F2F2F2"/>
            </w:tcBorders>
          </w:tcPr>
          <w:p>
            <w:pPr>
              <w:spacing w:after="0"/>
              <w:rPr>
                <w:sz w:val="24"/>
                <w:szCs w:val="24"/>
                <w:color w:val="auto"/>
              </w:rPr>
            </w:pPr>
          </w:p>
        </w:tc>
        <w:tc>
          <w:tcPr>
            <w:tcW w:w="14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56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spacing w:after="0"/>
              <w:rPr>
                <w:sz w:val="24"/>
                <w:szCs w:val="24"/>
                <w:color w:val="auto"/>
              </w:rPr>
            </w:pPr>
          </w:p>
        </w:tc>
        <w:tc>
          <w:tcPr>
            <w:tcW w:w="10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800" w:type="dxa"/>
            <w:vAlign w:val="bottom"/>
            <w:tcBorders>
              <w:bottom w:val="single" w:sz="8" w:color="457157"/>
              <w:right w:val="single" w:sz="8" w:color="F2F2F2"/>
            </w:tcBorders>
          </w:tcPr>
          <w:p>
            <w:pPr>
              <w:spacing w:after="0"/>
              <w:rPr>
                <w:sz w:val="24"/>
                <w:szCs w:val="24"/>
                <w:color w:val="auto"/>
              </w:rPr>
            </w:pP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Borders>
              <w:bottom w:val="single" w:sz="8" w:color="457157"/>
            </w:tcBorders>
          </w:tcPr>
          <w:p>
            <w:pPr>
              <w:spacing w:after="0"/>
              <w:rPr>
                <w:sz w:val="24"/>
                <w:szCs w:val="24"/>
                <w:color w:val="auto"/>
              </w:rPr>
            </w:pPr>
          </w:p>
        </w:tc>
        <w:tc>
          <w:tcPr>
            <w:tcW w:w="80" w:type="dxa"/>
            <w:vAlign w:val="bottom"/>
            <w:tcBorders>
              <w:bottom w:val="single" w:sz="8" w:color="457157"/>
            </w:tcBorders>
          </w:tcPr>
          <w:p>
            <w:pPr>
              <w:spacing w:after="0"/>
              <w:rPr>
                <w:sz w:val="24"/>
                <w:szCs w:val="24"/>
                <w:color w:val="auto"/>
              </w:rPr>
            </w:pPr>
          </w:p>
        </w:tc>
        <w:tc>
          <w:tcPr>
            <w:tcW w:w="14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Borders>
              <w:bottom w:val="single" w:sz="8" w:color="457157"/>
              <w:right w:val="single" w:sz="8" w:color="F2F2F2"/>
            </w:tcBorders>
          </w:tcPr>
          <w:p>
            <w:pPr>
              <w:spacing w:after="0"/>
              <w:rPr>
                <w:sz w:val="24"/>
                <w:szCs w:val="24"/>
                <w:color w:val="auto"/>
              </w:rPr>
            </w:pPr>
          </w:p>
        </w:tc>
        <w:tc>
          <w:tcPr>
            <w:tcW w:w="8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Borders>
              <w:bottom w:val="single" w:sz="8" w:color="457157"/>
            </w:tcBorders>
          </w:tcPr>
          <w:p>
            <w:pPr>
              <w:jc w:val="center"/>
              <w:spacing w:after="0"/>
              <w:rPr>
                <w:sz w:val="20"/>
                <w:szCs w:val="20"/>
                <w:color w:val="auto"/>
              </w:rPr>
            </w:pPr>
            <w:r>
              <w:rPr>
                <w:rFonts w:ascii="Arial" w:cs="Arial" w:eastAsia="Arial" w:hAnsi="Arial"/>
                <w:sz w:val="16"/>
                <w:szCs w:val="16"/>
                <w:b w:val="1"/>
                <w:bCs w:val="1"/>
                <w:color w:val="404040"/>
              </w:rPr>
              <w:t>​</w:t>
            </w:r>
          </w:p>
        </w:tc>
        <w:tc>
          <w:tcPr>
            <w:tcW w:w="2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jc w:val="right"/>
              <w:spacing w:after="0"/>
              <w:rPr>
                <w:sz w:val="20"/>
                <w:szCs w:val="20"/>
                <w:color w:val="auto"/>
              </w:rPr>
            </w:pPr>
            <w:r>
              <w:rPr>
                <w:rFonts w:ascii="Arial" w:cs="Arial" w:eastAsia="Arial" w:hAnsi="Arial"/>
                <w:sz w:val="16"/>
                <w:szCs w:val="16"/>
                <w:b w:val="1"/>
                <w:bCs w:val="1"/>
                <w:color w:val="404040"/>
              </w:rPr>
              <w:t>​​</w:t>
            </w:r>
          </w:p>
        </w:tc>
        <w:tc>
          <w:tcPr>
            <w:tcW w:w="240" w:type="dxa"/>
            <w:vAlign w:val="bottom"/>
            <w:tcBorders>
              <w:bottom w:val="single" w:sz="8" w:color="457157"/>
            </w:tcBorders>
          </w:tcPr>
          <w:p>
            <w:pPr>
              <w:spacing w:after="0"/>
              <w:rPr>
                <w:sz w:val="24"/>
                <w:szCs w:val="24"/>
                <w:color w:val="auto"/>
              </w:rPr>
            </w:pPr>
          </w:p>
        </w:tc>
        <w:tc>
          <w:tcPr>
            <w:tcW w:w="520" w:type="dxa"/>
            <w:vAlign w:val="bottom"/>
            <w:tcBorders>
              <w:bottom w:val="single" w:sz="8" w:color="457157"/>
            </w:tcBorders>
          </w:tcPr>
          <w:p>
            <w:pPr>
              <w:spacing w:after="0"/>
              <w:rPr>
                <w:sz w:val="24"/>
                <w:szCs w:val="24"/>
                <w:color w:val="auto"/>
              </w:rPr>
            </w:pPr>
          </w:p>
        </w:tc>
        <w:tc>
          <w:tcPr>
            <w:tcW w:w="100" w:type="dxa"/>
            <w:vAlign w:val="bottom"/>
            <w:tcBorders>
              <w:bottom w:val="single" w:sz="8" w:color="457157"/>
            </w:tcBorders>
            <w:shd w:val="clear" w:color="auto" w:fill="F2F2F2"/>
          </w:tcPr>
          <w:p>
            <w:pPr>
              <w:ind w:left="60"/>
              <w:spacing w:after="0"/>
              <w:rPr>
                <w:sz w:val="20"/>
                <w:szCs w:val="20"/>
                <w:color w:val="auto"/>
              </w:rPr>
            </w:pPr>
            <w:r>
              <w:rPr>
                <w:rFonts w:ascii="Arial" w:cs="Arial" w:eastAsia="Arial" w:hAnsi="Arial"/>
                <w:sz w:val="16"/>
                <w:szCs w:val="16"/>
                <w:b w:val="1"/>
                <w:bCs w:val="1"/>
                <w:color w:val="404040"/>
              </w:rPr>
              <w:t>​</w:t>
            </w:r>
          </w:p>
        </w:tc>
        <w:tc>
          <w:tcPr>
            <w:tcW w:w="0" w:type="dxa"/>
            <w:vAlign w:val="bottom"/>
          </w:tcPr>
          <w:p>
            <w:pPr>
              <w:spacing w:after="0"/>
              <w:rPr>
                <w:sz w:val="1"/>
                <w:szCs w:val="1"/>
                <w:color w:val="auto"/>
              </w:rPr>
            </w:pPr>
          </w:p>
        </w:tc>
      </w:tr>
      <w:tr>
        <w:trPr>
          <w:trHeight w:val="236"/>
        </w:trPr>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r>
              <w:rPr>
                <w:rFonts w:ascii="Arial" w:cs="Arial" w:eastAsia="Arial" w:hAnsi="Arial"/>
                <w:sz w:val="16"/>
                <w:szCs w:val="16"/>
                <w:b w:val="1"/>
                <w:bCs w:val="1"/>
                <w:color w:val="404040"/>
              </w:rPr>
              <w:t>Sustainability/</w:t>
            </w:r>
          </w:p>
        </w:tc>
        <w:tc>
          <w:tcPr>
            <w:tcW w:w="200" w:type="dxa"/>
            <w:vAlign w:val="bottom"/>
          </w:tcPr>
          <w:p>
            <w:pPr>
              <w:spacing w:after="0"/>
              <w:rPr>
                <w:sz w:val="20"/>
                <w:szCs w:val="20"/>
                <w:color w:val="auto"/>
              </w:rPr>
            </w:pPr>
          </w:p>
        </w:tc>
        <w:tc>
          <w:tcPr>
            <w:tcW w:w="780" w:type="dxa"/>
            <w:vAlign w:val="bottom"/>
            <w:tcBorders>
              <w:right w:val="single" w:sz="8" w:color="F2F2F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Borders>
              <w:right w:val="single" w:sz="8" w:color="F2F2F2"/>
            </w:tcBorders>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right w:val="single" w:sz="8" w:color="F2F2F2"/>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right w:val="single" w:sz="8" w:color="F2F2F2"/>
            </w:tcBorders>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shd w:val="clear" w:color="auto" w:fill="F2F2F2"/>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6"/>
                <w:szCs w:val="16"/>
                <w:b w:val="1"/>
                <w:bCs w:val="1"/>
                <w:color w:val="404040"/>
              </w:rPr>
              <w:t>​Environmental/</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Borders>
              <w:right w:val="single" w:sz="8" w:color="F2F2F2"/>
            </w:tcBorders>
          </w:tcPr>
          <w:p>
            <w:pPr>
              <w:jc w:val="center"/>
              <w:ind w:right="15"/>
              <w:spacing w:after="0"/>
              <w:rPr>
                <w:sz w:val="20"/>
                <w:szCs w:val="20"/>
                <w:color w:val="auto"/>
              </w:rPr>
            </w:pPr>
            <w:r>
              <w:rPr>
                <w:rFonts w:ascii="Arial" w:cs="Arial" w:eastAsia="Arial" w:hAnsi="Arial"/>
                <w:sz w:val="16"/>
                <w:szCs w:val="16"/>
                <w:b w:val="1"/>
                <w:bCs w:val="1"/>
                <w:color w:val="404040"/>
              </w:rPr>
              <w:t>​</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60" w:type="dxa"/>
            <w:vAlign w:val="bottom"/>
            <w:tcBorders>
              <w:right w:val="single" w:sz="8" w:color="F2F2F2"/>
            </w:tcBorders>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800" w:type="dxa"/>
            <w:vAlign w:val="bottom"/>
            <w:tcBorders>
              <w:right w:val="single" w:sz="8" w:color="F2F2F2"/>
            </w:tcBorders>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Borders>
              <w:right w:val="single" w:sz="8" w:color="F2F2F2"/>
            </w:tcBorders>
          </w:tcPr>
          <w:p>
            <w:pPr>
              <w:jc w:val="center"/>
              <w:ind w:right="15"/>
              <w:spacing w:after="0"/>
              <w:rPr>
                <w:sz w:val="20"/>
                <w:szCs w:val="20"/>
                <w:color w:val="auto"/>
              </w:rPr>
            </w:pPr>
            <w:r>
              <w:rPr>
                <w:rFonts w:ascii="Arial" w:cs="Arial" w:eastAsia="Arial" w:hAnsi="Arial"/>
                <w:sz w:val="16"/>
                <w:szCs w:val="16"/>
                <w:b w:val="1"/>
                <w:bCs w:val="1"/>
                <w:color w:val="404040"/>
              </w:rPr>
              <w:t>​</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shd w:val="clear" w:color="auto" w:fill="F2F2F2"/>
          </w:tcPr>
          <w:p>
            <w:pPr>
              <w:ind w:left="60"/>
              <w:spacing w:after="0"/>
              <w:rPr>
                <w:sz w:val="20"/>
                <w:szCs w:val="20"/>
                <w:color w:val="auto"/>
              </w:rPr>
            </w:pPr>
            <w:r>
              <w:rPr>
                <w:rFonts w:ascii="Arial" w:cs="Arial" w:eastAsia="Arial" w:hAnsi="Arial"/>
                <w:sz w:val="16"/>
                <w:szCs w:val="16"/>
                <w:b w:val="1"/>
                <w:bCs w:val="1"/>
                <w:color w:val="404040"/>
              </w:rPr>
              <w:t>​</w:t>
            </w:r>
          </w:p>
        </w:tc>
        <w:tc>
          <w:tcPr>
            <w:tcW w:w="0" w:type="dxa"/>
            <w:vAlign w:val="bottom"/>
          </w:tcPr>
          <w:p>
            <w:pPr>
              <w:spacing w:after="0"/>
              <w:rPr>
                <w:sz w:val="1"/>
                <w:szCs w:val="1"/>
                <w:color w:val="auto"/>
              </w:rPr>
            </w:pPr>
          </w:p>
        </w:tc>
      </w:tr>
      <w:tr>
        <w:trPr>
          <w:trHeight w:val="271"/>
        </w:trPr>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0"/>
                <w:szCs w:val="20"/>
                <w:color w:val="auto"/>
              </w:rPr>
            </w:pPr>
            <w:r>
              <w:rPr>
                <w:rFonts w:ascii="Arial" w:cs="Arial" w:eastAsia="Arial" w:hAnsi="Arial"/>
                <w:sz w:val="16"/>
                <w:szCs w:val="16"/>
                <w:b w:val="1"/>
                <w:bCs w:val="1"/>
                <w:color w:val="404040"/>
              </w:rPr>
              <w:t>Renewable Energy</w:t>
            </w:r>
          </w:p>
        </w:tc>
        <w:tc>
          <w:tcPr>
            <w:tcW w:w="200" w:type="dxa"/>
            <w:vAlign w:val="bottom"/>
          </w:tcPr>
          <w:p>
            <w:pPr>
              <w:spacing w:after="0"/>
              <w:rPr>
                <w:sz w:val="23"/>
                <w:szCs w:val="23"/>
                <w:color w:val="auto"/>
              </w:rPr>
            </w:pPr>
          </w:p>
        </w:tc>
        <w:tc>
          <w:tcPr>
            <w:tcW w:w="780" w:type="dxa"/>
            <w:vAlign w:val="bottom"/>
            <w:tcBorders>
              <w:right w:val="single" w:sz="8" w:color="F2F2F2"/>
            </w:tcBorders>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Borders>
              <w:right w:val="single" w:sz="8" w:color="F2F2F2"/>
            </w:tcBorders>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Borders>
              <w:right w:val="single" w:sz="8" w:color="F2F2F2"/>
            </w:tcBorders>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Borders>
              <w:right w:val="single" w:sz="8" w:color="F2F2F2"/>
            </w:tcBorders>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Borders>
              <w:bottom w:val="single" w:sz="8" w:color="F2F2F2"/>
            </w:tcBorders>
            <w:shd w:val="clear" w:color="auto" w:fill="F2F2F2"/>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820" w:type="dxa"/>
            <w:vAlign w:val="bottom"/>
          </w:tcPr>
          <w:p>
            <w:pPr>
              <w:spacing w:after="0"/>
              <w:rPr>
                <w:sz w:val="16"/>
                <w:szCs w:val="16"/>
                <w:color w:val="auto"/>
              </w:rPr>
            </w:pPr>
          </w:p>
        </w:tc>
        <w:tc>
          <w:tcPr>
            <w:tcW w:w="100" w:type="dxa"/>
            <w:vAlign w:val="bottom"/>
            <w:tcBorders>
              <w:top w:val="single" w:sz="8" w:color="457157"/>
            </w:tcBorders>
          </w:tcPr>
          <w:p>
            <w:pPr>
              <w:spacing w:after="0"/>
              <w:rPr>
                <w:sz w:val="16"/>
                <w:szCs w:val="16"/>
                <w:color w:val="auto"/>
              </w:rPr>
            </w:pPr>
          </w:p>
        </w:tc>
        <w:tc>
          <w:tcPr>
            <w:tcW w:w="1580" w:type="dxa"/>
            <w:vAlign w:val="bottom"/>
            <w:tcBorders>
              <w:top w:val="single" w:sz="8" w:color="457157"/>
            </w:tcBorders>
          </w:tcPr>
          <w:p>
            <w:pPr>
              <w:spacing w:after="0"/>
              <w:rPr>
                <w:sz w:val="20"/>
                <w:szCs w:val="20"/>
                <w:color w:val="auto"/>
              </w:rPr>
            </w:pPr>
            <w:r>
              <w:rPr>
                <w:rFonts w:ascii="Arial" w:cs="Arial" w:eastAsia="Arial" w:hAnsi="Arial"/>
                <w:sz w:val="16"/>
                <w:szCs w:val="16"/>
                <w:b w:val="1"/>
                <w:bCs w:val="1"/>
                <w:color w:val="404040"/>
              </w:rPr>
              <w:t>Digital /</w:t>
            </w:r>
          </w:p>
        </w:tc>
        <w:tc>
          <w:tcPr>
            <w:tcW w:w="200" w:type="dxa"/>
            <w:vAlign w:val="bottom"/>
            <w:tcBorders>
              <w:top w:val="single" w:sz="8" w:color="457157"/>
            </w:tcBorders>
          </w:tcPr>
          <w:p>
            <w:pPr>
              <w:spacing w:after="0"/>
              <w:rPr>
                <w:sz w:val="16"/>
                <w:szCs w:val="16"/>
                <w:color w:val="auto"/>
              </w:rPr>
            </w:pPr>
          </w:p>
        </w:tc>
        <w:tc>
          <w:tcPr>
            <w:tcW w:w="780" w:type="dxa"/>
            <w:vAlign w:val="bottom"/>
            <w:tcBorders>
              <w:top w:val="single" w:sz="8" w:color="457157"/>
              <w:right w:val="single" w:sz="8" w:color="F2F2F2"/>
            </w:tcBorders>
          </w:tcPr>
          <w:p>
            <w:pPr>
              <w:spacing w:after="0"/>
              <w:rPr>
                <w:sz w:val="16"/>
                <w:szCs w:val="16"/>
                <w:color w:val="auto"/>
              </w:rPr>
            </w:pPr>
          </w:p>
        </w:tc>
        <w:tc>
          <w:tcPr>
            <w:tcW w:w="80" w:type="dxa"/>
            <w:vAlign w:val="bottom"/>
            <w:tcBorders>
              <w:top w:val="single" w:sz="8" w:color="457157"/>
            </w:tcBorders>
          </w:tcPr>
          <w:p>
            <w:pPr>
              <w:spacing w:after="0"/>
              <w:rPr>
                <w:sz w:val="16"/>
                <w:szCs w:val="16"/>
                <w:color w:val="auto"/>
              </w:rPr>
            </w:pPr>
          </w:p>
        </w:tc>
        <w:tc>
          <w:tcPr>
            <w:tcW w:w="700" w:type="dxa"/>
            <w:vAlign w:val="bottom"/>
            <w:tcBorders>
              <w:top w:val="single" w:sz="8" w:color="457157"/>
            </w:tcBorders>
          </w:tcPr>
          <w:p>
            <w:pPr>
              <w:spacing w:after="0"/>
              <w:rPr>
                <w:sz w:val="16"/>
                <w:szCs w:val="16"/>
                <w:color w:val="auto"/>
              </w:rPr>
            </w:pPr>
          </w:p>
        </w:tc>
        <w:tc>
          <w:tcPr>
            <w:tcW w:w="20" w:type="dxa"/>
            <w:vAlign w:val="bottom"/>
            <w:tcBorders>
              <w:top w:val="single" w:sz="8" w:color="457157"/>
            </w:tcBorders>
          </w:tcPr>
          <w:p>
            <w:pPr>
              <w:spacing w:after="0"/>
              <w:rPr>
                <w:sz w:val="16"/>
                <w:szCs w:val="16"/>
                <w:color w:val="auto"/>
              </w:rPr>
            </w:pPr>
          </w:p>
        </w:tc>
        <w:tc>
          <w:tcPr>
            <w:tcW w:w="140" w:type="dxa"/>
            <w:vAlign w:val="bottom"/>
            <w:tcBorders>
              <w:top w:val="single" w:sz="8" w:color="457157"/>
            </w:tcBorders>
          </w:tcPr>
          <w:p>
            <w:pPr>
              <w:spacing w:after="0"/>
              <w:rPr>
                <w:sz w:val="16"/>
                <w:szCs w:val="16"/>
                <w:color w:val="auto"/>
              </w:rPr>
            </w:pPr>
          </w:p>
        </w:tc>
        <w:tc>
          <w:tcPr>
            <w:tcW w:w="760" w:type="dxa"/>
            <w:vAlign w:val="bottom"/>
            <w:tcBorders>
              <w:top w:val="single" w:sz="8" w:color="457157"/>
              <w:right w:val="single" w:sz="8" w:color="F2F2F2"/>
            </w:tcBorders>
          </w:tcPr>
          <w:p>
            <w:pPr>
              <w:spacing w:after="0"/>
              <w:rPr>
                <w:sz w:val="16"/>
                <w:szCs w:val="16"/>
                <w:color w:val="auto"/>
              </w:rPr>
            </w:pPr>
          </w:p>
        </w:tc>
        <w:tc>
          <w:tcPr>
            <w:tcW w:w="140" w:type="dxa"/>
            <w:vAlign w:val="bottom"/>
            <w:tcBorders>
              <w:top w:val="single" w:sz="8" w:color="457157"/>
            </w:tcBorders>
          </w:tcPr>
          <w:p>
            <w:pPr>
              <w:spacing w:after="0"/>
              <w:rPr>
                <w:sz w:val="16"/>
                <w:szCs w:val="16"/>
                <w:color w:val="auto"/>
              </w:rPr>
            </w:pPr>
          </w:p>
        </w:tc>
        <w:tc>
          <w:tcPr>
            <w:tcW w:w="560" w:type="dxa"/>
            <w:vAlign w:val="bottom"/>
            <w:tcBorders>
              <w:top w:val="single" w:sz="8" w:color="457157"/>
            </w:tcBorders>
          </w:tcPr>
          <w:p>
            <w:pPr>
              <w:spacing w:after="0"/>
              <w:rPr>
                <w:sz w:val="16"/>
                <w:szCs w:val="16"/>
                <w:color w:val="auto"/>
              </w:rPr>
            </w:pPr>
          </w:p>
        </w:tc>
        <w:tc>
          <w:tcPr>
            <w:tcW w:w="120" w:type="dxa"/>
            <w:vAlign w:val="bottom"/>
            <w:tcBorders>
              <w:top w:val="single" w:sz="8" w:color="457157"/>
            </w:tcBorders>
          </w:tcPr>
          <w:p>
            <w:pPr>
              <w:spacing w:after="0"/>
              <w:rPr>
                <w:sz w:val="16"/>
                <w:szCs w:val="16"/>
                <w:color w:val="auto"/>
              </w:rPr>
            </w:pPr>
          </w:p>
        </w:tc>
        <w:tc>
          <w:tcPr>
            <w:tcW w:w="100" w:type="dxa"/>
            <w:vAlign w:val="bottom"/>
            <w:tcBorders>
              <w:top w:val="single" w:sz="8" w:color="457157"/>
            </w:tcBorders>
          </w:tcPr>
          <w:p>
            <w:pPr>
              <w:spacing w:after="0"/>
              <w:rPr>
                <w:sz w:val="16"/>
                <w:szCs w:val="16"/>
                <w:color w:val="auto"/>
              </w:rPr>
            </w:pPr>
          </w:p>
        </w:tc>
        <w:tc>
          <w:tcPr>
            <w:tcW w:w="800" w:type="dxa"/>
            <w:vAlign w:val="bottom"/>
            <w:tcBorders>
              <w:top w:val="single" w:sz="8" w:color="457157"/>
              <w:right w:val="single" w:sz="8" w:color="F2F2F2"/>
            </w:tcBorders>
          </w:tcPr>
          <w:p>
            <w:pPr>
              <w:spacing w:after="0"/>
              <w:rPr>
                <w:sz w:val="16"/>
                <w:szCs w:val="16"/>
                <w:color w:val="auto"/>
              </w:rPr>
            </w:pPr>
          </w:p>
        </w:tc>
        <w:tc>
          <w:tcPr>
            <w:tcW w:w="120" w:type="dxa"/>
            <w:vAlign w:val="bottom"/>
            <w:tcBorders>
              <w:top w:val="single" w:sz="8" w:color="457157"/>
            </w:tcBorders>
          </w:tcPr>
          <w:p>
            <w:pPr>
              <w:spacing w:after="0"/>
              <w:rPr>
                <w:sz w:val="16"/>
                <w:szCs w:val="16"/>
                <w:color w:val="auto"/>
              </w:rPr>
            </w:pPr>
          </w:p>
        </w:tc>
        <w:tc>
          <w:tcPr>
            <w:tcW w:w="700" w:type="dxa"/>
            <w:vAlign w:val="bottom"/>
            <w:tcBorders>
              <w:top w:val="single" w:sz="8" w:color="457157"/>
            </w:tcBorders>
          </w:tcPr>
          <w:p>
            <w:pPr>
              <w:spacing w:after="0"/>
              <w:rPr>
                <w:sz w:val="16"/>
                <w:szCs w:val="16"/>
                <w:color w:val="auto"/>
              </w:rPr>
            </w:pPr>
          </w:p>
        </w:tc>
        <w:tc>
          <w:tcPr>
            <w:tcW w:w="80" w:type="dxa"/>
            <w:vAlign w:val="bottom"/>
            <w:tcBorders>
              <w:top w:val="single" w:sz="8" w:color="457157"/>
            </w:tcBorders>
          </w:tcPr>
          <w:p>
            <w:pPr>
              <w:spacing w:after="0"/>
              <w:rPr>
                <w:sz w:val="16"/>
                <w:szCs w:val="16"/>
                <w:color w:val="auto"/>
              </w:rPr>
            </w:pPr>
          </w:p>
        </w:tc>
        <w:tc>
          <w:tcPr>
            <w:tcW w:w="140" w:type="dxa"/>
            <w:vAlign w:val="bottom"/>
            <w:tcBorders>
              <w:top w:val="single" w:sz="8" w:color="457157"/>
            </w:tcBorders>
          </w:tcPr>
          <w:p>
            <w:pPr>
              <w:spacing w:after="0"/>
              <w:rPr>
                <w:sz w:val="16"/>
                <w:szCs w:val="16"/>
                <w:color w:val="auto"/>
              </w:rPr>
            </w:pPr>
          </w:p>
        </w:tc>
        <w:tc>
          <w:tcPr>
            <w:tcW w:w="780" w:type="dxa"/>
            <w:vAlign w:val="bottom"/>
            <w:tcBorders>
              <w:top w:val="single" w:sz="8" w:color="457157"/>
              <w:right w:val="single" w:sz="8" w:color="F2F2F2"/>
            </w:tcBorders>
          </w:tcPr>
          <w:p>
            <w:pPr>
              <w:spacing w:after="0"/>
              <w:rPr>
                <w:sz w:val="16"/>
                <w:szCs w:val="16"/>
                <w:color w:val="auto"/>
              </w:rPr>
            </w:pPr>
          </w:p>
        </w:tc>
        <w:tc>
          <w:tcPr>
            <w:tcW w:w="80" w:type="dxa"/>
            <w:vAlign w:val="bottom"/>
            <w:tcBorders>
              <w:top w:val="single" w:sz="8" w:color="457157"/>
            </w:tcBorders>
          </w:tcPr>
          <w:p>
            <w:pPr>
              <w:spacing w:after="0"/>
              <w:rPr>
                <w:sz w:val="16"/>
                <w:szCs w:val="16"/>
                <w:color w:val="auto"/>
              </w:rPr>
            </w:pPr>
          </w:p>
        </w:tc>
        <w:tc>
          <w:tcPr>
            <w:tcW w:w="700" w:type="dxa"/>
            <w:vAlign w:val="bottom"/>
            <w:tcBorders>
              <w:top w:val="single" w:sz="8" w:color="457157"/>
            </w:tcBorders>
          </w:tcPr>
          <w:p>
            <w:pPr>
              <w:spacing w:after="0"/>
              <w:rPr>
                <w:sz w:val="16"/>
                <w:szCs w:val="16"/>
                <w:color w:val="auto"/>
              </w:rPr>
            </w:pPr>
          </w:p>
        </w:tc>
        <w:tc>
          <w:tcPr>
            <w:tcW w:w="20" w:type="dxa"/>
            <w:vAlign w:val="bottom"/>
            <w:tcBorders>
              <w:top w:val="single" w:sz="8" w:color="457157"/>
            </w:tcBorders>
          </w:tcPr>
          <w:p>
            <w:pPr>
              <w:spacing w:after="0"/>
              <w:rPr>
                <w:sz w:val="16"/>
                <w:szCs w:val="16"/>
                <w:color w:val="auto"/>
              </w:rPr>
            </w:pPr>
          </w:p>
        </w:tc>
        <w:tc>
          <w:tcPr>
            <w:tcW w:w="120" w:type="dxa"/>
            <w:vAlign w:val="bottom"/>
            <w:tcBorders>
              <w:top w:val="single" w:sz="8" w:color="457157"/>
            </w:tcBorders>
          </w:tcPr>
          <w:p>
            <w:pPr>
              <w:spacing w:after="0"/>
              <w:rPr>
                <w:sz w:val="16"/>
                <w:szCs w:val="16"/>
                <w:color w:val="auto"/>
              </w:rPr>
            </w:pPr>
          </w:p>
        </w:tc>
        <w:tc>
          <w:tcPr>
            <w:tcW w:w="240" w:type="dxa"/>
            <w:vAlign w:val="bottom"/>
            <w:tcBorders>
              <w:top w:val="single" w:sz="8" w:color="457157"/>
            </w:tcBorders>
          </w:tcPr>
          <w:p>
            <w:pPr>
              <w:spacing w:after="0"/>
              <w:rPr>
                <w:sz w:val="16"/>
                <w:szCs w:val="16"/>
                <w:color w:val="auto"/>
              </w:rPr>
            </w:pPr>
          </w:p>
        </w:tc>
        <w:tc>
          <w:tcPr>
            <w:tcW w:w="520" w:type="dxa"/>
            <w:vAlign w:val="bottom"/>
            <w:tcBorders>
              <w:top w:val="single" w:sz="8" w:color="457157"/>
            </w:tcBorders>
          </w:tcPr>
          <w:p>
            <w:pPr>
              <w:spacing w:after="0"/>
              <w:rPr>
                <w:sz w:val="16"/>
                <w:szCs w:val="16"/>
                <w:color w:val="auto"/>
              </w:rPr>
            </w:pPr>
          </w:p>
        </w:tc>
        <w:tc>
          <w:tcPr>
            <w:tcW w:w="100" w:type="dxa"/>
            <w:vAlign w:val="bottom"/>
            <w:tcBorders>
              <w:top w:val="single" w:sz="8" w:color="457157"/>
            </w:tcBorders>
            <w:shd w:val="clear" w:color="auto" w:fill="F2F2F2"/>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820" w:type="dxa"/>
            <w:vAlign w:val="bottom"/>
          </w:tcPr>
          <w:p>
            <w:pPr>
              <w:spacing w:after="0"/>
              <w:rPr>
                <w:sz w:val="21"/>
                <w:szCs w:val="21"/>
                <w:color w:val="auto"/>
              </w:rPr>
            </w:pPr>
          </w:p>
        </w:tc>
        <w:tc>
          <w:tcPr>
            <w:tcW w:w="1680" w:type="dxa"/>
            <w:vAlign w:val="bottom"/>
            <w:gridSpan w:val="2"/>
          </w:tcPr>
          <w:p>
            <w:pPr>
              <w:ind w:left="60"/>
              <w:spacing w:after="0" w:line="243" w:lineRule="exact"/>
              <w:rPr>
                <w:sz w:val="20"/>
                <w:szCs w:val="20"/>
                <w:color w:val="auto"/>
              </w:rPr>
            </w:pPr>
            <w:r>
              <w:rPr>
                <w:rFonts w:ascii="Arial" w:cs="Arial" w:eastAsia="Arial" w:hAnsi="Arial"/>
                <w:sz w:val="28"/>
                <w:szCs w:val="28"/>
                <w:b w:val="1"/>
                <w:bCs w:val="1"/>
                <w:color w:val="404040"/>
                <w:vertAlign w:val="subscript"/>
              </w:rPr>
              <w:t>​</w:t>
            </w:r>
            <w:r>
              <w:rPr>
                <w:rFonts w:ascii="Arial" w:cs="Arial" w:eastAsia="Arial" w:hAnsi="Arial"/>
                <w:sz w:val="15"/>
                <w:szCs w:val="15"/>
                <w:b w:val="1"/>
                <w:bCs w:val="1"/>
                <w:color w:val="404040"/>
              </w:rPr>
              <w:t>Information</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Borders>
              <w:right w:val="single" w:sz="8" w:color="F2F2F2"/>
            </w:tcBorders>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60" w:type="dxa"/>
            <w:vAlign w:val="bottom"/>
            <w:tcBorders>
              <w:right w:val="single" w:sz="8" w:color="F2F2F2"/>
            </w:tcBorders>
          </w:tcPr>
          <w:p>
            <w:pPr>
              <w:jc w:val="center"/>
              <w:spacing w:after="0"/>
              <w:rPr>
                <w:sz w:val="20"/>
                <w:szCs w:val="20"/>
                <w:color w:val="auto"/>
              </w:rPr>
            </w:pPr>
            <w:r>
              <w:rPr>
                <w:rFonts w:ascii="Arial" w:cs="Arial" w:eastAsia="Arial" w:hAnsi="Arial"/>
                <w:sz w:val="16"/>
                <w:szCs w:val="16"/>
                <w:b w:val="1"/>
                <w:bCs w:val="1"/>
                <w:color w:val="404040"/>
              </w:rPr>
              <w: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404040"/>
              </w:rPr>
              <w:t>​</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800" w:type="dxa"/>
            <w:vAlign w:val="bottom"/>
            <w:tcBorders>
              <w:right w:val="single" w:sz="8" w:color="F2F2F2"/>
            </w:tcBorders>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Borders>
              <w:right w:val="single" w:sz="8" w:color="F2F2F2"/>
            </w:tcBorders>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shd w:val="clear" w:color="auto" w:fill="F2F2F2"/>
          </w:tcPr>
          <w:p>
            <w:pPr>
              <w:ind w:left="60"/>
              <w:spacing w:after="0"/>
              <w:rPr>
                <w:sz w:val="20"/>
                <w:szCs w:val="20"/>
                <w:color w:val="auto"/>
              </w:rPr>
            </w:pPr>
            <w:r>
              <w:rPr>
                <w:rFonts w:ascii="Arial" w:cs="Arial" w:eastAsia="Arial" w:hAnsi="Arial"/>
                <w:sz w:val="16"/>
                <w:szCs w:val="16"/>
                <w:b w:val="1"/>
                <w:bCs w:val="1"/>
                <w:color w:val="404040"/>
              </w:rPr>
              <w:t>​</w:t>
            </w: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tcPr>
          <w:p>
            <w:pPr>
              <w:spacing w:after="0" w:line="134" w:lineRule="exact"/>
              <w:rPr>
                <w:sz w:val="20"/>
                <w:szCs w:val="20"/>
                <w:color w:val="auto"/>
              </w:rPr>
            </w:pPr>
            <w:r>
              <w:rPr>
                <w:rFonts w:ascii="Arial" w:cs="Arial" w:eastAsia="Arial" w:hAnsi="Arial"/>
                <w:sz w:val="15"/>
                <w:szCs w:val="15"/>
                <w:b w:val="1"/>
                <w:bCs w:val="1"/>
                <w:color w:val="404040"/>
              </w:rPr>
              <w:t>Technology /</w:t>
            </w:r>
          </w:p>
        </w:tc>
        <w:tc>
          <w:tcPr>
            <w:tcW w:w="200" w:type="dxa"/>
            <w:vAlign w:val="bottom"/>
          </w:tcPr>
          <w:p>
            <w:pPr>
              <w:spacing w:after="0"/>
              <w:rPr>
                <w:sz w:val="11"/>
                <w:szCs w:val="11"/>
                <w:color w:val="auto"/>
              </w:rPr>
            </w:pPr>
          </w:p>
        </w:tc>
        <w:tc>
          <w:tcPr>
            <w:tcW w:w="780" w:type="dxa"/>
            <w:vAlign w:val="bottom"/>
            <w:tcBorders>
              <w:right w:val="single" w:sz="8" w:color="F2F2F2"/>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right w:val="single" w:sz="8" w:color="F2F2F2"/>
            </w:tcBorders>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right w:val="single" w:sz="8" w:color="F2F2F2"/>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right w:val="single" w:sz="8" w:color="F2F2F2"/>
            </w:tcBorders>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shd w:val="clear" w:color="auto" w:fill="F2F2F2"/>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100" w:type="dxa"/>
            <w:vAlign w:val="bottom"/>
            <w:tcBorders>
              <w:bottom w:val="single" w:sz="8" w:color="457157"/>
            </w:tcBorders>
          </w:tcPr>
          <w:p>
            <w:pPr>
              <w:spacing w:after="0"/>
              <w:rPr>
                <w:sz w:val="18"/>
                <w:szCs w:val="18"/>
                <w:color w:val="auto"/>
              </w:rPr>
            </w:pPr>
          </w:p>
        </w:tc>
        <w:tc>
          <w:tcPr>
            <w:tcW w:w="1580" w:type="dxa"/>
            <w:vAlign w:val="bottom"/>
            <w:tcBorders>
              <w:bottom w:val="single" w:sz="8" w:color="457157"/>
            </w:tcBorders>
          </w:tcPr>
          <w:p>
            <w:pPr>
              <w:spacing w:after="0"/>
              <w:rPr>
                <w:sz w:val="20"/>
                <w:szCs w:val="20"/>
                <w:color w:val="auto"/>
              </w:rPr>
            </w:pPr>
            <w:r>
              <w:rPr>
                <w:rFonts w:ascii="Arial" w:cs="Arial" w:eastAsia="Arial" w:hAnsi="Arial"/>
                <w:sz w:val="16"/>
                <w:szCs w:val="16"/>
                <w:b w:val="1"/>
                <w:bCs w:val="1"/>
                <w:color w:val="404040"/>
              </w:rPr>
              <w:t>Cybersecurity</w:t>
            </w:r>
          </w:p>
        </w:tc>
        <w:tc>
          <w:tcPr>
            <w:tcW w:w="200" w:type="dxa"/>
            <w:vAlign w:val="bottom"/>
            <w:tcBorders>
              <w:bottom w:val="single" w:sz="8" w:color="457157"/>
            </w:tcBorders>
          </w:tcPr>
          <w:p>
            <w:pPr>
              <w:spacing w:after="0"/>
              <w:rPr>
                <w:sz w:val="18"/>
                <w:szCs w:val="18"/>
                <w:color w:val="auto"/>
              </w:rPr>
            </w:pPr>
          </w:p>
        </w:tc>
        <w:tc>
          <w:tcPr>
            <w:tcW w:w="780" w:type="dxa"/>
            <w:vAlign w:val="bottom"/>
            <w:tcBorders>
              <w:bottom w:val="single" w:sz="8" w:color="457157"/>
              <w:right w:val="single" w:sz="8" w:color="F2F2F2"/>
            </w:tcBorders>
          </w:tcPr>
          <w:p>
            <w:pPr>
              <w:spacing w:after="0"/>
              <w:rPr>
                <w:sz w:val="18"/>
                <w:szCs w:val="18"/>
                <w:color w:val="auto"/>
              </w:rPr>
            </w:pPr>
          </w:p>
        </w:tc>
        <w:tc>
          <w:tcPr>
            <w:tcW w:w="80" w:type="dxa"/>
            <w:vAlign w:val="bottom"/>
            <w:tcBorders>
              <w:bottom w:val="single" w:sz="8" w:color="457157"/>
            </w:tcBorders>
          </w:tcPr>
          <w:p>
            <w:pPr>
              <w:spacing w:after="0"/>
              <w:rPr>
                <w:sz w:val="18"/>
                <w:szCs w:val="18"/>
                <w:color w:val="auto"/>
              </w:rPr>
            </w:pPr>
          </w:p>
        </w:tc>
        <w:tc>
          <w:tcPr>
            <w:tcW w:w="700" w:type="dxa"/>
            <w:vAlign w:val="bottom"/>
            <w:tcBorders>
              <w:bottom w:val="single" w:sz="8" w:color="457157"/>
            </w:tcBorders>
          </w:tcPr>
          <w:p>
            <w:pPr>
              <w:spacing w:after="0"/>
              <w:rPr>
                <w:sz w:val="18"/>
                <w:szCs w:val="18"/>
                <w:color w:val="auto"/>
              </w:rPr>
            </w:pPr>
          </w:p>
        </w:tc>
        <w:tc>
          <w:tcPr>
            <w:tcW w:w="20" w:type="dxa"/>
            <w:vAlign w:val="bottom"/>
            <w:tcBorders>
              <w:bottom w:val="single" w:sz="8" w:color="457157"/>
            </w:tcBorders>
          </w:tcPr>
          <w:p>
            <w:pPr>
              <w:spacing w:after="0"/>
              <w:rPr>
                <w:sz w:val="18"/>
                <w:szCs w:val="18"/>
                <w:color w:val="auto"/>
              </w:rPr>
            </w:pPr>
          </w:p>
        </w:tc>
        <w:tc>
          <w:tcPr>
            <w:tcW w:w="140" w:type="dxa"/>
            <w:vAlign w:val="bottom"/>
            <w:tcBorders>
              <w:bottom w:val="single" w:sz="8" w:color="457157"/>
            </w:tcBorders>
          </w:tcPr>
          <w:p>
            <w:pPr>
              <w:spacing w:after="0"/>
              <w:rPr>
                <w:sz w:val="18"/>
                <w:szCs w:val="18"/>
                <w:color w:val="auto"/>
              </w:rPr>
            </w:pPr>
          </w:p>
        </w:tc>
        <w:tc>
          <w:tcPr>
            <w:tcW w:w="760" w:type="dxa"/>
            <w:vAlign w:val="bottom"/>
            <w:tcBorders>
              <w:bottom w:val="single" w:sz="8" w:color="457157"/>
              <w:right w:val="single" w:sz="8" w:color="F2F2F2"/>
            </w:tcBorders>
          </w:tcPr>
          <w:p>
            <w:pPr>
              <w:spacing w:after="0"/>
              <w:rPr>
                <w:sz w:val="18"/>
                <w:szCs w:val="18"/>
                <w:color w:val="auto"/>
              </w:rPr>
            </w:pPr>
          </w:p>
        </w:tc>
        <w:tc>
          <w:tcPr>
            <w:tcW w:w="140" w:type="dxa"/>
            <w:vAlign w:val="bottom"/>
            <w:tcBorders>
              <w:bottom w:val="single" w:sz="8" w:color="457157"/>
            </w:tcBorders>
          </w:tcPr>
          <w:p>
            <w:pPr>
              <w:spacing w:after="0"/>
              <w:rPr>
                <w:sz w:val="18"/>
                <w:szCs w:val="18"/>
                <w:color w:val="auto"/>
              </w:rPr>
            </w:pPr>
          </w:p>
        </w:tc>
        <w:tc>
          <w:tcPr>
            <w:tcW w:w="560" w:type="dxa"/>
            <w:vAlign w:val="bottom"/>
            <w:tcBorders>
              <w:bottom w:val="single" w:sz="8" w:color="457157"/>
            </w:tcBorders>
          </w:tcPr>
          <w:p>
            <w:pPr>
              <w:spacing w:after="0"/>
              <w:rPr>
                <w:sz w:val="18"/>
                <w:szCs w:val="18"/>
                <w:color w:val="auto"/>
              </w:rPr>
            </w:pPr>
          </w:p>
        </w:tc>
        <w:tc>
          <w:tcPr>
            <w:tcW w:w="120" w:type="dxa"/>
            <w:vAlign w:val="bottom"/>
            <w:tcBorders>
              <w:bottom w:val="single" w:sz="8" w:color="457157"/>
            </w:tcBorders>
          </w:tcPr>
          <w:p>
            <w:pPr>
              <w:spacing w:after="0"/>
              <w:rPr>
                <w:sz w:val="18"/>
                <w:szCs w:val="18"/>
                <w:color w:val="auto"/>
              </w:rPr>
            </w:pPr>
          </w:p>
        </w:tc>
        <w:tc>
          <w:tcPr>
            <w:tcW w:w="100" w:type="dxa"/>
            <w:vAlign w:val="bottom"/>
            <w:tcBorders>
              <w:bottom w:val="single" w:sz="8" w:color="457157"/>
            </w:tcBorders>
          </w:tcPr>
          <w:p>
            <w:pPr>
              <w:spacing w:after="0"/>
              <w:rPr>
                <w:sz w:val="18"/>
                <w:szCs w:val="18"/>
                <w:color w:val="auto"/>
              </w:rPr>
            </w:pPr>
          </w:p>
        </w:tc>
        <w:tc>
          <w:tcPr>
            <w:tcW w:w="800" w:type="dxa"/>
            <w:vAlign w:val="bottom"/>
            <w:tcBorders>
              <w:bottom w:val="single" w:sz="8" w:color="457157"/>
              <w:right w:val="single" w:sz="8" w:color="F2F2F2"/>
            </w:tcBorders>
          </w:tcPr>
          <w:p>
            <w:pPr>
              <w:spacing w:after="0"/>
              <w:rPr>
                <w:sz w:val="18"/>
                <w:szCs w:val="18"/>
                <w:color w:val="auto"/>
              </w:rPr>
            </w:pPr>
          </w:p>
        </w:tc>
        <w:tc>
          <w:tcPr>
            <w:tcW w:w="120" w:type="dxa"/>
            <w:vAlign w:val="bottom"/>
            <w:tcBorders>
              <w:bottom w:val="single" w:sz="8" w:color="457157"/>
            </w:tcBorders>
          </w:tcPr>
          <w:p>
            <w:pPr>
              <w:spacing w:after="0"/>
              <w:rPr>
                <w:sz w:val="18"/>
                <w:szCs w:val="18"/>
                <w:color w:val="auto"/>
              </w:rPr>
            </w:pPr>
          </w:p>
        </w:tc>
        <w:tc>
          <w:tcPr>
            <w:tcW w:w="700" w:type="dxa"/>
            <w:vAlign w:val="bottom"/>
            <w:tcBorders>
              <w:bottom w:val="single" w:sz="8" w:color="457157"/>
            </w:tcBorders>
          </w:tcPr>
          <w:p>
            <w:pPr>
              <w:spacing w:after="0"/>
              <w:rPr>
                <w:sz w:val="18"/>
                <w:szCs w:val="18"/>
                <w:color w:val="auto"/>
              </w:rPr>
            </w:pPr>
          </w:p>
        </w:tc>
        <w:tc>
          <w:tcPr>
            <w:tcW w:w="80" w:type="dxa"/>
            <w:vAlign w:val="bottom"/>
            <w:tcBorders>
              <w:bottom w:val="single" w:sz="8" w:color="457157"/>
            </w:tcBorders>
          </w:tcPr>
          <w:p>
            <w:pPr>
              <w:spacing w:after="0"/>
              <w:rPr>
                <w:sz w:val="18"/>
                <w:szCs w:val="18"/>
                <w:color w:val="auto"/>
              </w:rPr>
            </w:pPr>
          </w:p>
        </w:tc>
        <w:tc>
          <w:tcPr>
            <w:tcW w:w="140" w:type="dxa"/>
            <w:vAlign w:val="bottom"/>
            <w:tcBorders>
              <w:bottom w:val="single" w:sz="8" w:color="457157"/>
            </w:tcBorders>
          </w:tcPr>
          <w:p>
            <w:pPr>
              <w:spacing w:after="0"/>
              <w:rPr>
                <w:sz w:val="18"/>
                <w:szCs w:val="18"/>
                <w:color w:val="auto"/>
              </w:rPr>
            </w:pPr>
          </w:p>
        </w:tc>
        <w:tc>
          <w:tcPr>
            <w:tcW w:w="780" w:type="dxa"/>
            <w:vAlign w:val="bottom"/>
            <w:tcBorders>
              <w:bottom w:val="single" w:sz="8" w:color="457157"/>
              <w:right w:val="single" w:sz="8" w:color="F2F2F2"/>
            </w:tcBorders>
          </w:tcPr>
          <w:p>
            <w:pPr>
              <w:spacing w:after="0"/>
              <w:rPr>
                <w:sz w:val="18"/>
                <w:szCs w:val="18"/>
                <w:color w:val="auto"/>
              </w:rPr>
            </w:pPr>
          </w:p>
        </w:tc>
        <w:tc>
          <w:tcPr>
            <w:tcW w:w="80" w:type="dxa"/>
            <w:vAlign w:val="bottom"/>
            <w:tcBorders>
              <w:bottom w:val="single" w:sz="8" w:color="457157"/>
            </w:tcBorders>
          </w:tcPr>
          <w:p>
            <w:pPr>
              <w:spacing w:after="0"/>
              <w:rPr>
                <w:sz w:val="18"/>
                <w:szCs w:val="18"/>
                <w:color w:val="auto"/>
              </w:rPr>
            </w:pPr>
          </w:p>
        </w:tc>
        <w:tc>
          <w:tcPr>
            <w:tcW w:w="700" w:type="dxa"/>
            <w:vAlign w:val="bottom"/>
            <w:tcBorders>
              <w:bottom w:val="single" w:sz="8" w:color="457157"/>
            </w:tcBorders>
          </w:tcPr>
          <w:p>
            <w:pPr>
              <w:spacing w:after="0"/>
              <w:rPr>
                <w:sz w:val="18"/>
                <w:szCs w:val="18"/>
                <w:color w:val="auto"/>
              </w:rPr>
            </w:pPr>
          </w:p>
        </w:tc>
        <w:tc>
          <w:tcPr>
            <w:tcW w:w="20" w:type="dxa"/>
            <w:vAlign w:val="bottom"/>
            <w:tcBorders>
              <w:bottom w:val="single" w:sz="8" w:color="457157"/>
            </w:tcBorders>
          </w:tcPr>
          <w:p>
            <w:pPr>
              <w:spacing w:after="0"/>
              <w:rPr>
                <w:sz w:val="18"/>
                <w:szCs w:val="18"/>
                <w:color w:val="auto"/>
              </w:rPr>
            </w:pPr>
          </w:p>
        </w:tc>
        <w:tc>
          <w:tcPr>
            <w:tcW w:w="120" w:type="dxa"/>
            <w:vAlign w:val="bottom"/>
            <w:tcBorders>
              <w:bottom w:val="single" w:sz="8" w:color="457157"/>
            </w:tcBorders>
          </w:tcPr>
          <w:p>
            <w:pPr>
              <w:spacing w:after="0"/>
              <w:rPr>
                <w:sz w:val="18"/>
                <w:szCs w:val="18"/>
                <w:color w:val="auto"/>
              </w:rPr>
            </w:pPr>
          </w:p>
        </w:tc>
        <w:tc>
          <w:tcPr>
            <w:tcW w:w="240" w:type="dxa"/>
            <w:vAlign w:val="bottom"/>
            <w:tcBorders>
              <w:bottom w:val="single" w:sz="8" w:color="457157"/>
            </w:tcBorders>
          </w:tcPr>
          <w:p>
            <w:pPr>
              <w:spacing w:after="0"/>
              <w:rPr>
                <w:sz w:val="18"/>
                <w:szCs w:val="18"/>
                <w:color w:val="auto"/>
              </w:rPr>
            </w:pPr>
          </w:p>
        </w:tc>
        <w:tc>
          <w:tcPr>
            <w:tcW w:w="520" w:type="dxa"/>
            <w:vAlign w:val="bottom"/>
            <w:tcBorders>
              <w:bottom w:val="single" w:sz="8" w:color="457157"/>
            </w:tcBorders>
          </w:tcPr>
          <w:p>
            <w:pPr>
              <w:spacing w:after="0"/>
              <w:rPr>
                <w:sz w:val="18"/>
                <w:szCs w:val="18"/>
                <w:color w:val="auto"/>
              </w:rPr>
            </w:pPr>
          </w:p>
        </w:tc>
        <w:tc>
          <w:tcPr>
            <w:tcW w:w="100" w:type="dxa"/>
            <w:vAlign w:val="bottom"/>
            <w:tcBorders>
              <w:bottom w:val="single" w:sz="8" w:color="457157"/>
            </w:tcBorders>
            <w:shd w:val="clear" w:color="auto" w:fill="F2F2F2"/>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20" w:type="dxa"/>
            <w:vAlign w:val="bottom"/>
          </w:tcPr>
          <w:p>
            <w:pPr>
              <w:spacing w:after="0"/>
              <w:rPr>
                <w:sz w:val="24"/>
                <w:szCs w:val="24"/>
                <w:color w:val="auto"/>
              </w:rPr>
            </w:pPr>
          </w:p>
        </w:tc>
        <w:tc>
          <w:tcPr>
            <w:tcW w:w="1680" w:type="dxa"/>
            <w:vAlign w:val="bottom"/>
            <w:gridSpan w:val="2"/>
          </w:tcPr>
          <w:p>
            <w:pPr>
              <w:ind w:left="60"/>
              <w:spacing w:after="0"/>
              <w:rPr>
                <w:sz w:val="20"/>
                <w:szCs w:val="20"/>
                <w:color w:val="auto"/>
              </w:rPr>
            </w:pPr>
            <w:r>
              <w:rPr>
                <w:rFonts w:ascii="Arial" w:cs="Arial" w:eastAsia="Arial" w:hAnsi="Arial"/>
                <w:sz w:val="16"/>
                <w:szCs w:val="16"/>
                <w:b w:val="1"/>
                <w:bCs w:val="1"/>
                <w:color w:val="404040"/>
              </w:rPr>
              <w:t>​Risk Management</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Borders>
              <w:right w:val="single" w:sz="8" w:color="F2F2F2"/>
            </w:tcBorders>
          </w:tcPr>
          <w:p>
            <w:pPr>
              <w:jc w:val="center"/>
              <w:ind w:right="15"/>
              <w:spacing w:after="0"/>
              <w:rPr>
                <w:sz w:val="20"/>
                <w:szCs w:val="20"/>
                <w:color w:val="auto"/>
              </w:rPr>
            </w:pPr>
            <w:r>
              <w:rPr>
                <w:rFonts w:ascii="Arial" w:cs="Arial" w:eastAsia="Arial" w:hAnsi="Arial"/>
                <w:sz w:val="16"/>
                <w:szCs w:val="16"/>
                <w:b w:val="1"/>
                <w:bCs w:val="1"/>
                <w:color w:val="404040"/>
              </w:rPr>
              <w:t>​</w:t>
            </w:r>
          </w:p>
        </w:tc>
        <w:tc>
          <w:tcPr>
            <w:tcW w:w="8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60" w:type="dxa"/>
            <w:vAlign w:val="bottom"/>
            <w:tcBorders>
              <w:right w:val="single" w:sz="8" w:color="F2F2F2"/>
            </w:tcBorders>
          </w:tcPr>
          <w:p>
            <w:pPr>
              <w:jc w:val="center"/>
              <w:spacing w:after="0"/>
              <w:rPr>
                <w:sz w:val="20"/>
                <w:szCs w:val="20"/>
                <w:color w:val="auto"/>
              </w:rPr>
            </w:pPr>
            <w:r>
              <w:rPr>
                <w:rFonts w:ascii="Arial" w:cs="Arial" w:eastAsia="Arial" w:hAnsi="Arial"/>
                <w:sz w:val="16"/>
                <w:szCs w:val="16"/>
                <w:b w:val="1"/>
                <w:bCs w:val="1"/>
                <w:color w:val="404040"/>
              </w:rPr>
              <w: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800" w:type="dxa"/>
            <w:vAlign w:val="bottom"/>
            <w:tcBorders>
              <w:right w:val="single" w:sz="8" w:color="F2F2F2"/>
            </w:tcBorders>
          </w:tcPr>
          <w:p>
            <w:pPr>
              <w:ind w:left="360"/>
              <w:spacing w:after="0"/>
              <w:rPr>
                <w:sz w:val="20"/>
                <w:szCs w:val="20"/>
                <w:color w:val="auto"/>
              </w:rPr>
            </w:pPr>
            <w:r>
              <w:rPr>
                <w:rFonts w:ascii="Arial" w:cs="Arial" w:eastAsia="Arial" w:hAnsi="Arial"/>
                <w:sz w:val="16"/>
                <w:szCs w:val="16"/>
                <w:b w:val="1"/>
                <w:bCs w:val="1"/>
                <w:color w:val="404040"/>
              </w:rPr>
              <w:t>​</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80" w:type="dxa"/>
            <w:vAlign w:val="bottom"/>
            <w:tcBorders>
              <w:right w:val="single" w:sz="8" w:color="F2F2F2"/>
            </w:tcBorders>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404040"/>
              </w:rPr>
              <w:t>​​</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shd w:val="clear" w:color="auto" w:fill="F2F2F2"/>
          </w:tcPr>
          <w:p>
            <w:pPr>
              <w:ind w:left="60"/>
              <w:spacing w:after="0"/>
              <w:rPr>
                <w:sz w:val="20"/>
                <w:szCs w:val="20"/>
                <w:color w:val="auto"/>
              </w:rPr>
            </w:pPr>
            <w:r>
              <w:rPr>
                <w:rFonts w:ascii="Arial" w:cs="Arial" w:eastAsia="Arial" w:hAnsi="Arial"/>
                <w:sz w:val="16"/>
                <w:szCs w:val="16"/>
                <w:b w:val="1"/>
                <w:bCs w:val="1"/>
                <w:color w:val="404040"/>
              </w:rPr>
              <w:t>​</w:t>
            </w:r>
          </w:p>
        </w:tc>
        <w:tc>
          <w:tcPr>
            <w:tcW w:w="0" w:type="dxa"/>
            <w:vAlign w:val="bottom"/>
          </w:tcPr>
          <w:p>
            <w:pPr>
              <w:spacing w:after="0"/>
              <w:rPr>
                <w:sz w:val="1"/>
                <w:szCs w:val="1"/>
                <w:color w:val="auto"/>
              </w:rPr>
            </w:pPr>
          </w:p>
        </w:tc>
      </w:tr>
      <w:tr>
        <w:trPr>
          <w:trHeight w:val="62"/>
        </w:trPr>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Borders>
              <w:right w:val="single" w:sz="8" w:color="F2F2F2"/>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Borders>
              <w:right w:val="single" w:sz="8" w:color="F2F2F2"/>
            </w:tcBorders>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Borders>
              <w:right w:val="single" w:sz="8" w:color="F2F2F2"/>
            </w:tcBorders>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Borders>
              <w:right w:val="single" w:sz="8" w:color="F2F2F2"/>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820" w:type="dxa"/>
            <w:vAlign w:val="bottom"/>
          </w:tcPr>
          <w:p>
            <w:pPr>
              <w:spacing w:after="0"/>
              <w:rPr>
                <w:sz w:val="23"/>
                <w:szCs w:val="23"/>
                <w:color w:val="auto"/>
              </w:rPr>
            </w:pPr>
          </w:p>
        </w:tc>
        <w:tc>
          <w:tcPr>
            <w:tcW w:w="100" w:type="dxa"/>
            <w:vAlign w:val="bottom"/>
            <w:shd w:val="clear" w:color="auto" w:fill="457157"/>
          </w:tcPr>
          <w:p>
            <w:pPr>
              <w:spacing w:after="0"/>
              <w:rPr>
                <w:sz w:val="20"/>
                <w:szCs w:val="20"/>
                <w:color w:val="auto"/>
              </w:rPr>
            </w:pPr>
            <w:r>
              <w:rPr>
                <w:rFonts w:ascii="Arial" w:cs="Arial" w:eastAsia="Arial" w:hAnsi="Arial"/>
                <w:sz w:val="14"/>
                <w:szCs w:val="14"/>
                <w:b w:val="1"/>
                <w:bCs w:val="1"/>
                <w:color w:val="FFFFFF"/>
              </w:rPr>
              <w:t>​</w:t>
            </w:r>
          </w:p>
        </w:tc>
        <w:tc>
          <w:tcPr>
            <w:tcW w:w="1580" w:type="dxa"/>
            <w:vAlign w:val="bottom"/>
            <w:shd w:val="clear" w:color="auto" w:fill="457157"/>
          </w:tcPr>
          <w:p>
            <w:pPr>
              <w:spacing w:after="0"/>
              <w:rPr>
                <w:sz w:val="20"/>
                <w:szCs w:val="20"/>
                <w:color w:val="auto"/>
              </w:rPr>
            </w:pPr>
            <w:r>
              <w:rPr>
                <w:rFonts w:ascii="Arial" w:cs="Arial" w:eastAsia="Arial" w:hAnsi="Arial"/>
                <w:sz w:val="14"/>
                <w:szCs w:val="14"/>
                <w:b w:val="1"/>
                <w:bCs w:val="1"/>
                <w:color w:val="FFFFFF"/>
              </w:rPr>
              <w:t>DEMOGRAPHICS</w:t>
            </w:r>
            <w:r>
              <w:rPr>
                <w:rFonts w:ascii="Arial" w:cs="Arial" w:eastAsia="Arial" w:hAnsi="Arial"/>
                <w:sz w:val="16"/>
                <w:szCs w:val="16"/>
                <w:color w:val="000000"/>
              </w:rPr>
              <w:t>​</w:t>
            </w:r>
          </w:p>
        </w:tc>
        <w:tc>
          <w:tcPr>
            <w:tcW w:w="200" w:type="dxa"/>
            <w:vAlign w:val="bottom"/>
            <w:shd w:val="clear" w:color="auto" w:fill="457157"/>
          </w:tcPr>
          <w:p>
            <w:pPr>
              <w:spacing w:after="0"/>
              <w:rPr>
                <w:sz w:val="23"/>
                <w:szCs w:val="23"/>
                <w:color w:val="auto"/>
              </w:rPr>
            </w:pPr>
          </w:p>
        </w:tc>
        <w:tc>
          <w:tcPr>
            <w:tcW w:w="780" w:type="dxa"/>
            <w:vAlign w:val="bottom"/>
            <w:tcBorders>
              <w:right w:val="single" w:sz="8" w:color="457157"/>
            </w:tcBorders>
            <w:shd w:val="clear" w:color="auto" w:fill="457157"/>
          </w:tcPr>
          <w:p>
            <w:pPr>
              <w:spacing w:after="0"/>
              <w:rPr>
                <w:sz w:val="23"/>
                <w:szCs w:val="23"/>
                <w:color w:val="auto"/>
              </w:rPr>
            </w:pPr>
          </w:p>
        </w:tc>
        <w:tc>
          <w:tcPr>
            <w:tcW w:w="80" w:type="dxa"/>
            <w:vAlign w:val="bottom"/>
            <w:shd w:val="clear" w:color="auto" w:fill="457157"/>
          </w:tcPr>
          <w:p>
            <w:pPr>
              <w:spacing w:after="0"/>
              <w:rPr>
                <w:sz w:val="23"/>
                <w:szCs w:val="23"/>
                <w:color w:val="auto"/>
              </w:rPr>
            </w:pPr>
          </w:p>
        </w:tc>
        <w:tc>
          <w:tcPr>
            <w:tcW w:w="700" w:type="dxa"/>
            <w:vAlign w:val="bottom"/>
            <w:shd w:val="clear" w:color="auto" w:fill="457157"/>
          </w:tcPr>
          <w:p>
            <w:pPr>
              <w:spacing w:after="0"/>
              <w:rPr>
                <w:sz w:val="23"/>
                <w:szCs w:val="23"/>
                <w:color w:val="auto"/>
              </w:rPr>
            </w:pPr>
          </w:p>
        </w:tc>
        <w:tc>
          <w:tcPr>
            <w:tcW w:w="20" w:type="dxa"/>
            <w:vAlign w:val="bottom"/>
            <w:shd w:val="clear" w:color="auto" w:fill="457157"/>
          </w:tcPr>
          <w:p>
            <w:pPr>
              <w:spacing w:after="0"/>
              <w:rPr>
                <w:sz w:val="23"/>
                <w:szCs w:val="23"/>
                <w:color w:val="auto"/>
              </w:rPr>
            </w:pPr>
          </w:p>
        </w:tc>
        <w:tc>
          <w:tcPr>
            <w:tcW w:w="140" w:type="dxa"/>
            <w:vAlign w:val="bottom"/>
            <w:shd w:val="clear" w:color="auto" w:fill="457157"/>
          </w:tcPr>
          <w:p>
            <w:pPr>
              <w:spacing w:after="0"/>
              <w:rPr>
                <w:sz w:val="23"/>
                <w:szCs w:val="23"/>
                <w:color w:val="auto"/>
              </w:rPr>
            </w:pPr>
          </w:p>
        </w:tc>
        <w:tc>
          <w:tcPr>
            <w:tcW w:w="760" w:type="dxa"/>
            <w:vAlign w:val="bottom"/>
            <w:tcBorders>
              <w:right w:val="single" w:sz="8" w:color="457157"/>
            </w:tcBorders>
            <w:shd w:val="clear" w:color="auto" w:fill="457157"/>
          </w:tcPr>
          <w:p>
            <w:pPr>
              <w:spacing w:after="0"/>
              <w:rPr>
                <w:sz w:val="23"/>
                <w:szCs w:val="23"/>
                <w:color w:val="auto"/>
              </w:rPr>
            </w:pPr>
          </w:p>
        </w:tc>
        <w:tc>
          <w:tcPr>
            <w:tcW w:w="140" w:type="dxa"/>
            <w:vAlign w:val="bottom"/>
            <w:shd w:val="clear" w:color="auto" w:fill="457157"/>
          </w:tcPr>
          <w:p>
            <w:pPr>
              <w:spacing w:after="0"/>
              <w:rPr>
                <w:sz w:val="23"/>
                <w:szCs w:val="23"/>
                <w:color w:val="auto"/>
              </w:rPr>
            </w:pPr>
          </w:p>
        </w:tc>
        <w:tc>
          <w:tcPr>
            <w:tcW w:w="560" w:type="dxa"/>
            <w:vAlign w:val="bottom"/>
            <w:shd w:val="clear" w:color="auto" w:fill="457157"/>
          </w:tcPr>
          <w:p>
            <w:pPr>
              <w:spacing w:after="0"/>
              <w:rPr>
                <w:sz w:val="23"/>
                <w:szCs w:val="23"/>
                <w:color w:val="auto"/>
              </w:rPr>
            </w:pPr>
          </w:p>
        </w:tc>
        <w:tc>
          <w:tcPr>
            <w:tcW w:w="120" w:type="dxa"/>
            <w:vAlign w:val="bottom"/>
            <w:shd w:val="clear" w:color="auto" w:fill="457157"/>
          </w:tcPr>
          <w:p>
            <w:pPr>
              <w:spacing w:after="0"/>
              <w:rPr>
                <w:sz w:val="23"/>
                <w:szCs w:val="23"/>
                <w:color w:val="auto"/>
              </w:rPr>
            </w:pPr>
          </w:p>
        </w:tc>
        <w:tc>
          <w:tcPr>
            <w:tcW w:w="100" w:type="dxa"/>
            <w:vAlign w:val="bottom"/>
            <w:shd w:val="clear" w:color="auto" w:fill="457157"/>
          </w:tcPr>
          <w:p>
            <w:pPr>
              <w:spacing w:after="0"/>
              <w:rPr>
                <w:sz w:val="23"/>
                <w:szCs w:val="23"/>
                <w:color w:val="auto"/>
              </w:rPr>
            </w:pPr>
          </w:p>
        </w:tc>
        <w:tc>
          <w:tcPr>
            <w:tcW w:w="800" w:type="dxa"/>
            <w:vAlign w:val="bottom"/>
            <w:tcBorders>
              <w:right w:val="single" w:sz="8" w:color="457157"/>
            </w:tcBorders>
            <w:shd w:val="clear" w:color="auto" w:fill="457157"/>
          </w:tcPr>
          <w:p>
            <w:pPr>
              <w:spacing w:after="0"/>
              <w:rPr>
                <w:sz w:val="23"/>
                <w:szCs w:val="23"/>
                <w:color w:val="auto"/>
              </w:rPr>
            </w:pPr>
          </w:p>
        </w:tc>
        <w:tc>
          <w:tcPr>
            <w:tcW w:w="120" w:type="dxa"/>
            <w:vAlign w:val="bottom"/>
            <w:shd w:val="clear" w:color="auto" w:fill="457157"/>
          </w:tcPr>
          <w:p>
            <w:pPr>
              <w:spacing w:after="0"/>
              <w:rPr>
                <w:sz w:val="23"/>
                <w:szCs w:val="23"/>
                <w:color w:val="auto"/>
              </w:rPr>
            </w:pPr>
          </w:p>
        </w:tc>
        <w:tc>
          <w:tcPr>
            <w:tcW w:w="700" w:type="dxa"/>
            <w:vAlign w:val="bottom"/>
            <w:shd w:val="clear" w:color="auto" w:fill="457157"/>
          </w:tcPr>
          <w:p>
            <w:pPr>
              <w:spacing w:after="0"/>
              <w:rPr>
                <w:sz w:val="23"/>
                <w:szCs w:val="23"/>
                <w:color w:val="auto"/>
              </w:rPr>
            </w:pPr>
          </w:p>
        </w:tc>
        <w:tc>
          <w:tcPr>
            <w:tcW w:w="80" w:type="dxa"/>
            <w:vAlign w:val="bottom"/>
            <w:shd w:val="clear" w:color="auto" w:fill="457157"/>
          </w:tcPr>
          <w:p>
            <w:pPr>
              <w:spacing w:after="0"/>
              <w:rPr>
                <w:sz w:val="23"/>
                <w:szCs w:val="23"/>
                <w:color w:val="auto"/>
              </w:rPr>
            </w:pPr>
          </w:p>
        </w:tc>
        <w:tc>
          <w:tcPr>
            <w:tcW w:w="140" w:type="dxa"/>
            <w:vAlign w:val="bottom"/>
            <w:shd w:val="clear" w:color="auto" w:fill="457157"/>
          </w:tcPr>
          <w:p>
            <w:pPr>
              <w:spacing w:after="0"/>
              <w:rPr>
                <w:sz w:val="23"/>
                <w:szCs w:val="23"/>
                <w:color w:val="auto"/>
              </w:rPr>
            </w:pPr>
          </w:p>
        </w:tc>
        <w:tc>
          <w:tcPr>
            <w:tcW w:w="780" w:type="dxa"/>
            <w:vAlign w:val="bottom"/>
            <w:tcBorders>
              <w:right w:val="single" w:sz="8" w:color="457157"/>
            </w:tcBorders>
            <w:shd w:val="clear" w:color="auto" w:fill="457157"/>
          </w:tcPr>
          <w:p>
            <w:pPr>
              <w:spacing w:after="0"/>
              <w:rPr>
                <w:sz w:val="23"/>
                <w:szCs w:val="23"/>
                <w:color w:val="auto"/>
              </w:rPr>
            </w:pPr>
          </w:p>
        </w:tc>
        <w:tc>
          <w:tcPr>
            <w:tcW w:w="80" w:type="dxa"/>
            <w:vAlign w:val="bottom"/>
            <w:shd w:val="clear" w:color="auto" w:fill="457157"/>
          </w:tcPr>
          <w:p>
            <w:pPr>
              <w:spacing w:after="0"/>
              <w:rPr>
                <w:sz w:val="23"/>
                <w:szCs w:val="23"/>
                <w:color w:val="auto"/>
              </w:rPr>
            </w:pPr>
          </w:p>
        </w:tc>
        <w:tc>
          <w:tcPr>
            <w:tcW w:w="700" w:type="dxa"/>
            <w:vAlign w:val="bottom"/>
            <w:shd w:val="clear" w:color="auto" w:fill="457157"/>
          </w:tcPr>
          <w:p>
            <w:pPr>
              <w:spacing w:after="0"/>
              <w:rPr>
                <w:sz w:val="23"/>
                <w:szCs w:val="23"/>
                <w:color w:val="auto"/>
              </w:rPr>
            </w:pPr>
          </w:p>
        </w:tc>
        <w:tc>
          <w:tcPr>
            <w:tcW w:w="20" w:type="dxa"/>
            <w:vAlign w:val="bottom"/>
            <w:shd w:val="clear" w:color="auto" w:fill="457157"/>
          </w:tcPr>
          <w:p>
            <w:pPr>
              <w:spacing w:after="0"/>
              <w:rPr>
                <w:sz w:val="23"/>
                <w:szCs w:val="23"/>
                <w:color w:val="auto"/>
              </w:rPr>
            </w:pPr>
          </w:p>
        </w:tc>
        <w:tc>
          <w:tcPr>
            <w:tcW w:w="120" w:type="dxa"/>
            <w:vAlign w:val="bottom"/>
            <w:shd w:val="clear" w:color="auto" w:fill="457157"/>
          </w:tcPr>
          <w:p>
            <w:pPr>
              <w:spacing w:after="0"/>
              <w:rPr>
                <w:sz w:val="23"/>
                <w:szCs w:val="23"/>
                <w:color w:val="auto"/>
              </w:rPr>
            </w:pPr>
          </w:p>
        </w:tc>
        <w:tc>
          <w:tcPr>
            <w:tcW w:w="240" w:type="dxa"/>
            <w:vAlign w:val="bottom"/>
            <w:shd w:val="clear" w:color="auto" w:fill="457157"/>
          </w:tcPr>
          <w:p>
            <w:pPr>
              <w:spacing w:after="0"/>
              <w:rPr>
                <w:sz w:val="23"/>
                <w:szCs w:val="23"/>
                <w:color w:val="auto"/>
              </w:rPr>
            </w:pPr>
          </w:p>
        </w:tc>
        <w:tc>
          <w:tcPr>
            <w:tcW w:w="520" w:type="dxa"/>
            <w:vAlign w:val="bottom"/>
            <w:shd w:val="clear" w:color="auto" w:fill="457157"/>
          </w:tcPr>
          <w:p>
            <w:pPr>
              <w:spacing w:after="0"/>
              <w:rPr>
                <w:sz w:val="23"/>
                <w:szCs w:val="23"/>
                <w:color w:val="auto"/>
              </w:rPr>
            </w:pPr>
          </w:p>
        </w:tc>
        <w:tc>
          <w:tcPr>
            <w:tcW w:w="100" w:type="dxa"/>
            <w:vAlign w:val="bottom"/>
            <w:shd w:val="clear" w:color="auto" w:fill="457157"/>
          </w:tcPr>
          <w:p>
            <w:pP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70"/>
        </w:trPr>
        <w:tc>
          <w:tcPr>
            <w:tcW w:w="820" w:type="dxa"/>
            <w:vAlign w:val="bottom"/>
          </w:tcPr>
          <w:p>
            <w:pPr>
              <w:spacing w:after="0"/>
              <w:rPr>
                <w:sz w:val="6"/>
                <w:szCs w:val="6"/>
                <w:color w:val="auto"/>
              </w:rPr>
            </w:pPr>
          </w:p>
        </w:tc>
        <w:tc>
          <w:tcPr>
            <w:tcW w:w="100" w:type="dxa"/>
            <w:vAlign w:val="bottom"/>
            <w:shd w:val="clear" w:color="auto" w:fill="457157"/>
          </w:tcPr>
          <w:p>
            <w:pPr>
              <w:spacing w:after="0"/>
              <w:rPr>
                <w:sz w:val="6"/>
                <w:szCs w:val="6"/>
                <w:color w:val="auto"/>
              </w:rPr>
            </w:pPr>
          </w:p>
        </w:tc>
        <w:tc>
          <w:tcPr>
            <w:tcW w:w="1580" w:type="dxa"/>
            <w:vAlign w:val="bottom"/>
            <w:shd w:val="clear" w:color="auto" w:fill="457157"/>
          </w:tcPr>
          <w:p>
            <w:pPr>
              <w:spacing w:after="0"/>
              <w:rPr>
                <w:sz w:val="6"/>
                <w:szCs w:val="6"/>
                <w:color w:val="auto"/>
              </w:rPr>
            </w:pPr>
          </w:p>
        </w:tc>
        <w:tc>
          <w:tcPr>
            <w:tcW w:w="200" w:type="dxa"/>
            <w:vAlign w:val="bottom"/>
            <w:shd w:val="clear" w:color="auto" w:fill="457157"/>
          </w:tcPr>
          <w:p>
            <w:pPr>
              <w:spacing w:after="0"/>
              <w:rPr>
                <w:sz w:val="6"/>
                <w:szCs w:val="6"/>
                <w:color w:val="auto"/>
              </w:rPr>
            </w:pPr>
          </w:p>
        </w:tc>
        <w:tc>
          <w:tcPr>
            <w:tcW w:w="780" w:type="dxa"/>
            <w:vAlign w:val="bottom"/>
            <w:tcBorders>
              <w:right w:val="single" w:sz="8" w:color="457157"/>
            </w:tcBorders>
            <w:shd w:val="clear" w:color="auto" w:fill="457157"/>
          </w:tcPr>
          <w:p>
            <w:pPr>
              <w:spacing w:after="0"/>
              <w:rPr>
                <w:sz w:val="6"/>
                <w:szCs w:val="6"/>
                <w:color w:val="auto"/>
              </w:rPr>
            </w:pPr>
          </w:p>
        </w:tc>
        <w:tc>
          <w:tcPr>
            <w:tcW w:w="80" w:type="dxa"/>
            <w:vAlign w:val="bottom"/>
            <w:shd w:val="clear" w:color="auto" w:fill="457157"/>
          </w:tcPr>
          <w:p>
            <w:pPr>
              <w:spacing w:after="0"/>
              <w:rPr>
                <w:sz w:val="6"/>
                <w:szCs w:val="6"/>
                <w:color w:val="auto"/>
              </w:rPr>
            </w:pPr>
          </w:p>
        </w:tc>
        <w:tc>
          <w:tcPr>
            <w:tcW w:w="700" w:type="dxa"/>
            <w:vAlign w:val="bottom"/>
            <w:shd w:val="clear" w:color="auto" w:fill="457157"/>
          </w:tcPr>
          <w:p>
            <w:pPr>
              <w:spacing w:after="0"/>
              <w:rPr>
                <w:sz w:val="6"/>
                <w:szCs w:val="6"/>
                <w:color w:val="auto"/>
              </w:rPr>
            </w:pPr>
          </w:p>
        </w:tc>
        <w:tc>
          <w:tcPr>
            <w:tcW w:w="20" w:type="dxa"/>
            <w:vAlign w:val="bottom"/>
            <w:shd w:val="clear" w:color="auto" w:fill="457157"/>
          </w:tcPr>
          <w:p>
            <w:pPr>
              <w:spacing w:after="0"/>
              <w:rPr>
                <w:sz w:val="6"/>
                <w:szCs w:val="6"/>
                <w:color w:val="auto"/>
              </w:rPr>
            </w:pPr>
          </w:p>
        </w:tc>
        <w:tc>
          <w:tcPr>
            <w:tcW w:w="140" w:type="dxa"/>
            <w:vAlign w:val="bottom"/>
            <w:shd w:val="clear" w:color="auto" w:fill="457157"/>
          </w:tcPr>
          <w:p>
            <w:pPr>
              <w:spacing w:after="0"/>
              <w:rPr>
                <w:sz w:val="6"/>
                <w:szCs w:val="6"/>
                <w:color w:val="auto"/>
              </w:rPr>
            </w:pPr>
          </w:p>
        </w:tc>
        <w:tc>
          <w:tcPr>
            <w:tcW w:w="760" w:type="dxa"/>
            <w:vAlign w:val="bottom"/>
            <w:tcBorders>
              <w:right w:val="single" w:sz="8" w:color="457157"/>
            </w:tcBorders>
            <w:shd w:val="clear" w:color="auto" w:fill="457157"/>
          </w:tcPr>
          <w:p>
            <w:pPr>
              <w:spacing w:after="0"/>
              <w:rPr>
                <w:sz w:val="6"/>
                <w:szCs w:val="6"/>
                <w:color w:val="auto"/>
              </w:rPr>
            </w:pPr>
          </w:p>
        </w:tc>
        <w:tc>
          <w:tcPr>
            <w:tcW w:w="140" w:type="dxa"/>
            <w:vAlign w:val="bottom"/>
            <w:shd w:val="clear" w:color="auto" w:fill="457157"/>
          </w:tcPr>
          <w:p>
            <w:pPr>
              <w:spacing w:after="0"/>
              <w:rPr>
                <w:sz w:val="6"/>
                <w:szCs w:val="6"/>
                <w:color w:val="auto"/>
              </w:rPr>
            </w:pPr>
          </w:p>
        </w:tc>
        <w:tc>
          <w:tcPr>
            <w:tcW w:w="560" w:type="dxa"/>
            <w:vAlign w:val="bottom"/>
            <w:shd w:val="clear" w:color="auto" w:fill="457157"/>
          </w:tcPr>
          <w:p>
            <w:pPr>
              <w:spacing w:after="0"/>
              <w:rPr>
                <w:sz w:val="6"/>
                <w:szCs w:val="6"/>
                <w:color w:val="auto"/>
              </w:rPr>
            </w:pPr>
          </w:p>
        </w:tc>
        <w:tc>
          <w:tcPr>
            <w:tcW w:w="120" w:type="dxa"/>
            <w:vAlign w:val="bottom"/>
            <w:shd w:val="clear" w:color="auto" w:fill="457157"/>
          </w:tcPr>
          <w:p>
            <w:pPr>
              <w:spacing w:after="0"/>
              <w:rPr>
                <w:sz w:val="6"/>
                <w:szCs w:val="6"/>
                <w:color w:val="auto"/>
              </w:rPr>
            </w:pPr>
          </w:p>
        </w:tc>
        <w:tc>
          <w:tcPr>
            <w:tcW w:w="100" w:type="dxa"/>
            <w:vAlign w:val="bottom"/>
            <w:shd w:val="clear" w:color="auto" w:fill="457157"/>
          </w:tcPr>
          <w:p>
            <w:pPr>
              <w:spacing w:after="0"/>
              <w:rPr>
                <w:sz w:val="6"/>
                <w:szCs w:val="6"/>
                <w:color w:val="auto"/>
              </w:rPr>
            </w:pPr>
          </w:p>
        </w:tc>
        <w:tc>
          <w:tcPr>
            <w:tcW w:w="800" w:type="dxa"/>
            <w:vAlign w:val="bottom"/>
            <w:tcBorders>
              <w:right w:val="single" w:sz="8" w:color="457157"/>
            </w:tcBorders>
            <w:shd w:val="clear" w:color="auto" w:fill="457157"/>
          </w:tcPr>
          <w:p>
            <w:pPr>
              <w:spacing w:after="0"/>
              <w:rPr>
                <w:sz w:val="6"/>
                <w:szCs w:val="6"/>
                <w:color w:val="auto"/>
              </w:rPr>
            </w:pPr>
          </w:p>
        </w:tc>
        <w:tc>
          <w:tcPr>
            <w:tcW w:w="120" w:type="dxa"/>
            <w:vAlign w:val="bottom"/>
            <w:shd w:val="clear" w:color="auto" w:fill="457157"/>
          </w:tcPr>
          <w:p>
            <w:pPr>
              <w:spacing w:after="0"/>
              <w:rPr>
                <w:sz w:val="6"/>
                <w:szCs w:val="6"/>
                <w:color w:val="auto"/>
              </w:rPr>
            </w:pPr>
          </w:p>
        </w:tc>
        <w:tc>
          <w:tcPr>
            <w:tcW w:w="700" w:type="dxa"/>
            <w:vAlign w:val="bottom"/>
            <w:shd w:val="clear" w:color="auto" w:fill="457157"/>
          </w:tcPr>
          <w:p>
            <w:pPr>
              <w:spacing w:after="0"/>
              <w:rPr>
                <w:sz w:val="6"/>
                <w:szCs w:val="6"/>
                <w:color w:val="auto"/>
              </w:rPr>
            </w:pPr>
          </w:p>
        </w:tc>
        <w:tc>
          <w:tcPr>
            <w:tcW w:w="80" w:type="dxa"/>
            <w:vAlign w:val="bottom"/>
            <w:shd w:val="clear" w:color="auto" w:fill="457157"/>
          </w:tcPr>
          <w:p>
            <w:pPr>
              <w:spacing w:after="0"/>
              <w:rPr>
                <w:sz w:val="6"/>
                <w:szCs w:val="6"/>
                <w:color w:val="auto"/>
              </w:rPr>
            </w:pPr>
          </w:p>
        </w:tc>
        <w:tc>
          <w:tcPr>
            <w:tcW w:w="140" w:type="dxa"/>
            <w:vAlign w:val="bottom"/>
            <w:shd w:val="clear" w:color="auto" w:fill="457157"/>
          </w:tcPr>
          <w:p>
            <w:pPr>
              <w:spacing w:after="0"/>
              <w:rPr>
                <w:sz w:val="6"/>
                <w:szCs w:val="6"/>
                <w:color w:val="auto"/>
              </w:rPr>
            </w:pPr>
          </w:p>
        </w:tc>
        <w:tc>
          <w:tcPr>
            <w:tcW w:w="780" w:type="dxa"/>
            <w:vAlign w:val="bottom"/>
            <w:tcBorders>
              <w:right w:val="single" w:sz="8" w:color="457157"/>
            </w:tcBorders>
            <w:shd w:val="clear" w:color="auto" w:fill="457157"/>
          </w:tcPr>
          <w:p>
            <w:pPr>
              <w:spacing w:after="0"/>
              <w:rPr>
                <w:sz w:val="6"/>
                <w:szCs w:val="6"/>
                <w:color w:val="auto"/>
              </w:rPr>
            </w:pPr>
          </w:p>
        </w:tc>
        <w:tc>
          <w:tcPr>
            <w:tcW w:w="80" w:type="dxa"/>
            <w:vAlign w:val="bottom"/>
            <w:shd w:val="clear" w:color="auto" w:fill="457157"/>
          </w:tcPr>
          <w:p>
            <w:pPr>
              <w:spacing w:after="0"/>
              <w:rPr>
                <w:sz w:val="6"/>
                <w:szCs w:val="6"/>
                <w:color w:val="auto"/>
              </w:rPr>
            </w:pPr>
          </w:p>
        </w:tc>
        <w:tc>
          <w:tcPr>
            <w:tcW w:w="700" w:type="dxa"/>
            <w:vAlign w:val="bottom"/>
            <w:shd w:val="clear" w:color="auto" w:fill="457157"/>
          </w:tcPr>
          <w:p>
            <w:pPr>
              <w:spacing w:after="0"/>
              <w:rPr>
                <w:sz w:val="6"/>
                <w:szCs w:val="6"/>
                <w:color w:val="auto"/>
              </w:rPr>
            </w:pPr>
          </w:p>
        </w:tc>
        <w:tc>
          <w:tcPr>
            <w:tcW w:w="20" w:type="dxa"/>
            <w:vAlign w:val="bottom"/>
            <w:shd w:val="clear" w:color="auto" w:fill="457157"/>
          </w:tcPr>
          <w:p>
            <w:pPr>
              <w:spacing w:after="0"/>
              <w:rPr>
                <w:sz w:val="6"/>
                <w:szCs w:val="6"/>
                <w:color w:val="auto"/>
              </w:rPr>
            </w:pPr>
          </w:p>
        </w:tc>
        <w:tc>
          <w:tcPr>
            <w:tcW w:w="120" w:type="dxa"/>
            <w:vAlign w:val="bottom"/>
            <w:shd w:val="clear" w:color="auto" w:fill="457157"/>
          </w:tcPr>
          <w:p>
            <w:pPr>
              <w:spacing w:after="0"/>
              <w:rPr>
                <w:sz w:val="6"/>
                <w:szCs w:val="6"/>
                <w:color w:val="auto"/>
              </w:rPr>
            </w:pPr>
          </w:p>
        </w:tc>
        <w:tc>
          <w:tcPr>
            <w:tcW w:w="760" w:type="dxa"/>
            <w:vAlign w:val="bottom"/>
            <w:gridSpan w:val="2"/>
            <w:shd w:val="clear" w:color="auto" w:fill="457157"/>
          </w:tcPr>
          <w:p>
            <w:pPr>
              <w:spacing w:after="0"/>
              <w:rPr>
                <w:sz w:val="6"/>
                <w:szCs w:val="6"/>
                <w:color w:val="auto"/>
              </w:rPr>
            </w:pPr>
          </w:p>
        </w:tc>
        <w:tc>
          <w:tcPr>
            <w:tcW w:w="100" w:type="dxa"/>
            <w:vAlign w:val="bottom"/>
            <w:shd w:val="clear" w:color="auto" w:fill="457157"/>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820" w:type="dxa"/>
            <w:vAlign w:val="bottom"/>
          </w:tcPr>
          <w:p>
            <w:pPr>
              <w:spacing w:after="0"/>
              <w:rPr>
                <w:sz w:val="21"/>
                <w:szCs w:val="21"/>
                <w:color w:val="auto"/>
              </w:rPr>
            </w:pPr>
          </w:p>
        </w:tc>
        <w:tc>
          <w:tcPr>
            <w:tcW w:w="1680" w:type="dxa"/>
            <w:vAlign w:val="bottom"/>
            <w:gridSpan w:val="2"/>
          </w:tcPr>
          <w:p>
            <w:pPr>
              <w:ind w:left="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404040"/>
              </w:rPr>
              <w:t>Gender</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ind w:left="140"/>
              <w:spacing w:after="0"/>
              <w:rPr>
                <w:sz w:val="20"/>
                <w:szCs w:val="20"/>
                <w:color w:val="auto"/>
              </w:rPr>
            </w:pPr>
            <w:r>
              <w:rPr>
                <w:rFonts w:ascii="Arial" w:cs="Arial" w:eastAsia="Arial" w:hAnsi="Arial"/>
                <w:sz w:val="16"/>
                <w:szCs w:val="16"/>
                <w:color w:val="auto"/>
              </w:rPr>
              <w:t>Male</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center"/>
              <w:spacing w:after="0"/>
              <w:rPr>
                <w:sz w:val="20"/>
                <w:szCs w:val="20"/>
                <w:color w:val="auto"/>
              </w:rPr>
            </w:pPr>
            <w:r>
              <w:rPr>
                <w:rFonts w:ascii="Arial" w:cs="Arial" w:eastAsia="Arial" w:hAnsi="Arial"/>
                <w:sz w:val="16"/>
                <w:szCs w:val="16"/>
                <w:color w:val="auto"/>
              </w:rPr>
              <w:t>Male</w:t>
            </w:r>
          </w:p>
        </w:tc>
        <w:tc>
          <w:tcPr>
            <w:tcW w:w="20" w:type="dxa"/>
            <w:vAlign w:val="bottom"/>
          </w:tcPr>
          <w:p>
            <w:pPr>
              <w:spacing w:after="0"/>
              <w:rPr>
                <w:sz w:val="21"/>
                <w:szCs w:val="21"/>
                <w:color w:val="auto"/>
              </w:rPr>
            </w:pPr>
          </w:p>
        </w:tc>
        <w:tc>
          <w:tcPr>
            <w:tcW w:w="1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6"/>
                <w:szCs w:val="16"/>
                <w:color w:val="auto"/>
              </w:rPr>
              <w:t>Male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rPr>
              <w:t>Male</w:t>
            </w:r>
          </w:p>
        </w:tc>
        <w:tc>
          <w:tcPr>
            <w:tcW w:w="120" w:type="dxa"/>
            <w:vAlign w:val="bottom"/>
          </w:tcPr>
          <w:p>
            <w:pPr>
              <w:spacing w:after="0"/>
              <w:rPr>
                <w:sz w:val="21"/>
                <w:szCs w:val="21"/>
                <w:color w:val="auto"/>
              </w:rPr>
            </w:pPr>
          </w:p>
        </w:tc>
        <w:tc>
          <w:tcPr>
            <w:tcW w:w="10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16"/>
                <w:szCs w:val="16"/>
                <w:color w:val="auto"/>
              </w:rPr>
              <w:t>Female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center"/>
              <w:spacing w:after="0"/>
              <w:rPr>
                <w:sz w:val="20"/>
                <w:szCs w:val="20"/>
                <w:color w:val="auto"/>
              </w:rPr>
            </w:pPr>
            <w:r>
              <w:rPr>
                <w:rFonts w:ascii="Arial" w:cs="Arial" w:eastAsia="Arial" w:hAnsi="Arial"/>
                <w:sz w:val="16"/>
                <w:szCs w:val="16"/>
                <w:color w:val="auto"/>
              </w:rPr>
              <w:t>Female</w:t>
            </w:r>
          </w:p>
        </w:tc>
        <w:tc>
          <w:tcPr>
            <w:tcW w:w="80" w:type="dxa"/>
            <w:vAlign w:val="bottom"/>
          </w:tcPr>
          <w:p>
            <w:pPr>
              <w:spacing w:after="0"/>
              <w:rPr>
                <w:sz w:val="21"/>
                <w:szCs w:val="21"/>
                <w:color w:val="auto"/>
              </w:rPr>
            </w:pPr>
          </w:p>
        </w:tc>
        <w:tc>
          <w:tcPr>
            <w:tcW w:w="14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right w:val="single" w:sz="8" w:color="F2F2F2"/>
            </w:tcBorders>
            <w:shd w:val="clear" w:color="auto" w:fill="F2F2F2"/>
          </w:tcPr>
          <w:p>
            <w:pPr>
              <w:ind w:left="120"/>
              <w:spacing w:after="0"/>
              <w:rPr>
                <w:sz w:val="20"/>
                <w:szCs w:val="20"/>
                <w:color w:val="auto"/>
              </w:rPr>
            </w:pPr>
            <w:r>
              <w:rPr>
                <w:rFonts w:ascii="Arial" w:cs="Arial" w:eastAsia="Arial" w:hAnsi="Arial"/>
                <w:sz w:val="16"/>
                <w:szCs w:val="16"/>
                <w:color w:val="auto"/>
              </w:rPr>
              <w:t>Male</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center"/>
              <w:spacing w:after="0"/>
              <w:rPr>
                <w:sz w:val="20"/>
                <w:szCs w:val="20"/>
                <w:color w:val="auto"/>
              </w:rPr>
            </w:pPr>
            <w:r>
              <w:rPr>
                <w:rFonts w:ascii="Arial" w:cs="Arial" w:eastAsia="Arial" w:hAnsi="Arial"/>
                <w:sz w:val="16"/>
                <w:szCs w:val="16"/>
                <w:color w:val="auto"/>
              </w:rPr>
              <w:t>Male</w:t>
            </w:r>
          </w:p>
        </w:tc>
        <w:tc>
          <w:tcPr>
            <w:tcW w:w="20" w:type="dxa"/>
            <w:vAlign w:val="bottom"/>
          </w:tcPr>
          <w:p>
            <w:pPr>
              <w:spacing w:after="0"/>
              <w:rPr>
                <w:sz w:val="21"/>
                <w:szCs w:val="21"/>
                <w:color w:val="auto"/>
              </w:rPr>
            </w:pPr>
          </w:p>
        </w:tc>
        <w:tc>
          <w:tcPr>
            <w:tcW w:w="120" w:type="dxa"/>
            <w:vAlign w:val="bottom"/>
            <w:shd w:val="clear" w:color="auto" w:fill="F2F2F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F2F2F2"/>
          </w:tcPr>
          <w:p>
            <w:pPr>
              <w:jc w:val="center"/>
              <w:ind w:right="19"/>
              <w:spacing w:after="0"/>
              <w:rPr>
                <w:sz w:val="20"/>
                <w:szCs w:val="20"/>
                <w:color w:val="auto"/>
              </w:rPr>
            </w:pPr>
            <w:r>
              <w:rPr>
                <w:rFonts w:ascii="Arial" w:cs="Arial" w:eastAsia="Arial" w:hAnsi="Arial"/>
                <w:sz w:val="16"/>
                <w:szCs w:val="16"/>
                <w:color w:val="auto"/>
              </w:rPr>
              <w:t>Female</w:t>
            </w:r>
          </w:p>
        </w:tc>
        <w:tc>
          <w:tcPr>
            <w:tcW w:w="100" w:type="dxa"/>
            <w:vAlign w:val="bottom"/>
            <w:shd w:val="clear" w:color="auto" w:fill="F2F2F2"/>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62"/>
        </w:trPr>
        <w:tc>
          <w:tcPr>
            <w:tcW w:w="820" w:type="dxa"/>
            <w:vAlign w:val="bottom"/>
          </w:tcPr>
          <w:p>
            <w:pPr>
              <w:spacing w:after="0"/>
              <w:rPr>
                <w:sz w:val="5"/>
                <w:szCs w:val="5"/>
                <w:color w:val="auto"/>
              </w:rPr>
            </w:pPr>
          </w:p>
        </w:tc>
        <w:tc>
          <w:tcPr>
            <w:tcW w:w="100" w:type="dxa"/>
            <w:vAlign w:val="bottom"/>
            <w:tcBorders>
              <w:bottom w:val="single" w:sz="8" w:color="457157"/>
            </w:tcBorders>
          </w:tcPr>
          <w:p>
            <w:pPr>
              <w:spacing w:after="0"/>
              <w:rPr>
                <w:sz w:val="5"/>
                <w:szCs w:val="5"/>
                <w:color w:val="auto"/>
              </w:rPr>
            </w:pPr>
          </w:p>
        </w:tc>
        <w:tc>
          <w:tcPr>
            <w:tcW w:w="1580" w:type="dxa"/>
            <w:vAlign w:val="bottom"/>
            <w:tcBorders>
              <w:bottom w:val="single" w:sz="8" w:color="457157"/>
            </w:tcBorders>
          </w:tcPr>
          <w:p>
            <w:pPr>
              <w:spacing w:after="0"/>
              <w:rPr>
                <w:sz w:val="5"/>
                <w:szCs w:val="5"/>
                <w:color w:val="auto"/>
              </w:rPr>
            </w:pPr>
          </w:p>
        </w:tc>
        <w:tc>
          <w:tcPr>
            <w:tcW w:w="200" w:type="dxa"/>
            <w:vAlign w:val="bottom"/>
            <w:tcBorders>
              <w:bottom w:val="single" w:sz="8" w:color="457157"/>
            </w:tcBorders>
          </w:tcPr>
          <w:p>
            <w:pPr>
              <w:spacing w:after="0"/>
              <w:rPr>
                <w:sz w:val="5"/>
                <w:szCs w:val="5"/>
                <w:color w:val="auto"/>
              </w:rPr>
            </w:pPr>
          </w:p>
        </w:tc>
        <w:tc>
          <w:tcPr>
            <w:tcW w:w="780" w:type="dxa"/>
            <w:vAlign w:val="bottom"/>
            <w:tcBorders>
              <w:bottom w:val="single" w:sz="8" w:color="457157"/>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700" w:type="dxa"/>
            <w:vAlign w:val="bottom"/>
            <w:tcBorders>
              <w:bottom w:val="single" w:sz="8" w:color="457157"/>
            </w:tcBorders>
          </w:tcPr>
          <w:p>
            <w:pPr>
              <w:spacing w:after="0"/>
              <w:rPr>
                <w:sz w:val="5"/>
                <w:szCs w:val="5"/>
                <w:color w:val="auto"/>
              </w:rPr>
            </w:pPr>
          </w:p>
        </w:tc>
        <w:tc>
          <w:tcPr>
            <w:tcW w:w="20" w:type="dxa"/>
            <w:vAlign w:val="bottom"/>
            <w:tcBorders>
              <w:bottom w:val="single" w:sz="8" w:color="457157"/>
            </w:tcBorders>
          </w:tcPr>
          <w:p>
            <w:pPr>
              <w:spacing w:after="0"/>
              <w:rPr>
                <w:sz w:val="5"/>
                <w:szCs w:val="5"/>
                <w:color w:val="auto"/>
              </w:rPr>
            </w:pPr>
          </w:p>
        </w:tc>
        <w:tc>
          <w:tcPr>
            <w:tcW w:w="140" w:type="dxa"/>
            <w:vAlign w:val="bottom"/>
            <w:tcBorders>
              <w:bottom w:val="single" w:sz="8" w:color="457157"/>
            </w:tcBorders>
            <w:shd w:val="clear" w:color="auto" w:fill="F2F2F2"/>
          </w:tcPr>
          <w:p>
            <w:pPr>
              <w:spacing w:after="0"/>
              <w:rPr>
                <w:sz w:val="5"/>
                <w:szCs w:val="5"/>
                <w:color w:val="auto"/>
              </w:rPr>
            </w:pPr>
          </w:p>
        </w:tc>
        <w:tc>
          <w:tcPr>
            <w:tcW w:w="760" w:type="dxa"/>
            <w:vAlign w:val="bottom"/>
            <w:tcBorders>
              <w:bottom w:val="single" w:sz="8" w:color="457157"/>
              <w:right w:val="single" w:sz="8" w:color="F2F2F2"/>
            </w:tcBorders>
            <w:shd w:val="clear" w:color="auto" w:fill="F2F2F2"/>
          </w:tcPr>
          <w:p>
            <w:pPr>
              <w:spacing w:after="0"/>
              <w:rPr>
                <w:sz w:val="5"/>
                <w:szCs w:val="5"/>
                <w:color w:val="auto"/>
              </w:rPr>
            </w:pPr>
          </w:p>
        </w:tc>
        <w:tc>
          <w:tcPr>
            <w:tcW w:w="820" w:type="dxa"/>
            <w:vAlign w:val="bottom"/>
            <w:tcBorders>
              <w:bottom w:val="single" w:sz="8" w:color="457157"/>
            </w:tcBorders>
            <w:gridSpan w:val="3"/>
          </w:tcPr>
          <w:p>
            <w:pPr>
              <w:spacing w:after="0"/>
              <w:rPr>
                <w:sz w:val="5"/>
                <w:szCs w:val="5"/>
                <w:color w:val="auto"/>
              </w:rPr>
            </w:pPr>
          </w:p>
        </w:tc>
        <w:tc>
          <w:tcPr>
            <w:tcW w:w="100" w:type="dxa"/>
            <w:vAlign w:val="bottom"/>
            <w:tcBorders>
              <w:bottom w:val="single" w:sz="8" w:color="457157"/>
            </w:tcBorders>
            <w:shd w:val="clear" w:color="auto" w:fill="F2F2F2"/>
          </w:tcPr>
          <w:p>
            <w:pPr>
              <w:spacing w:after="0"/>
              <w:rPr>
                <w:sz w:val="5"/>
                <w:szCs w:val="5"/>
                <w:color w:val="auto"/>
              </w:rPr>
            </w:pPr>
          </w:p>
        </w:tc>
        <w:tc>
          <w:tcPr>
            <w:tcW w:w="800" w:type="dxa"/>
            <w:vAlign w:val="bottom"/>
            <w:tcBorders>
              <w:bottom w:val="single" w:sz="8" w:color="457157"/>
              <w:right w:val="single" w:sz="8" w:color="F2F2F2"/>
            </w:tcBorders>
            <w:shd w:val="clear" w:color="auto" w:fill="F2F2F2"/>
          </w:tcPr>
          <w:p>
            <w:pPr>
              <w:spacing w:after="0"/>
              <w:rPr>
                <w:sz w:val="5"/>
                <w:szCs w:val="5"/>
                <w:color w:val="auto"/>
              </w:rPr>
            </w:pPr>
          </w:p>
        </w:tc>
        <w:tc>
          <w:tcPr>
            <w:tcW w:w="120" w:type="dxa"/>
            <w:vAlign w:val="bottom"/>
            <w:tcBorders>
              <w:bottom w:val="single" w:sz="8" w:color="457157"/>
            </w:tcBorders>
          </w:tcPr>
          <w:p>
            <w:pPr>
              <w:spacing w:after="0"/>
              <w:rPr>
                <w:sz w:val="5"/>
                <w:szCs w:val="5"/>
                <w:color w:val="auto"/>
              </w:rPr>
            </w:pPr>
          </w:p>
        </w:tc>
        <w:tc>
          <w:tcPr>
            <w:tcW w:w="700" w:type="dxa"/>
            <w:vAlign w:val="bottom"/>
            <w:tcBorders>
              <w:bottom w:val="single" w:sz="8" w:color="457157"/>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140" w:type="dxa"/>
            <w:vAlign w:val="bottom"/>
            <w:tcBorders>
              <w:bottom w:val="single" w:sz="8" w:color="457157"/>
            </w:tcBorders>
            <w:shd w:val="clear" w:color="auto" w:fill="F2F2F2"/>
          </w:tcPr>
          <w:p>
            <w:pPr>
              <w:spacing w:after="0"/>
              <w:rPr>
                <w:sz w:val="5"/>
                <w:szCs w:val="5"/>
                <w:color w:val="auto"/>
              </w:rPr>
            </w:pPr>
          </w:p>
        </w:tc>
        <w:tc>
          <w:tcPr>
            <w:tcW w:w="780" w:type="dxa"/>
            <w:vAlign w:val="bottom"/>
            <w:tcBorders>
              <w:bottom w:val="single" w:sz="8" w:color="457157"/>
              <w:right w:val="single" w:sz="8" w:color="F2F2F2"/>
            </w:tcBorders>
            <w:shd w:val="clear" w:color="auto" w:fill="F2F2F2"/>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700" w:type="dxa"/>
            <w:vAlign w:val="bottom"/>
            <w:tcBorders>
              <w:bottom w:val="single" w:sz="8" w:color="457157"/>
            </w:tcBorders>
          </w:tcPr>
          <w:p>
            <w:pPr>
              <w:spacing w:after="0"/>
              <w:rPr>
                <w:sz w:val="5"/>
                <w:szCs w:val="5"/>
                <w:color w:val="auto"/>
              </w:rPr>
            </w:pPr>
          </w:p>
        </w:tc>
        <w:tc>
          <w:tcPr>
            <w:tcW w:w="20" w:type="dxa"/>
            <w:vAlign w:val="bottom"/>
            <w:tcBorders>
              <w:bottom w:val="single" w:sz="8" w:color="457157"/>
            </w:tcBorders>
          </w:tcPr>
          <w:p>
            <w:pPr>
              <w:spacing w:after="0"/>
              <w:rPr>
                <w:sz w:val="5"/>
                <w:szCs w:val="5"/>
                <w:color w:val="auto"/>
              </w:rPr>
            </w:pPr>
          </w:p>
        </w:tc>
        <w:tc>
          <w:tcPr>
            <w:tcW w:w="120" w:type="dxa"/>
            <w:vAlign w:val="bottom"/>
            <w:tcBorders>
              <w:bottom w:val="single" w:sz="8" w:color="457157"/>
            </w:tcBorders>
            <w:shd w:val="clear" w:color="auto" w:fill="F2F2F2"/>
          </w:tcPr>
          <w:p>
            <w:pPr>
              <w:spacing w:after="0"/>
              <w:rPr>
                <w:sz w:val="5"/>
                <w:szCs w:val="5"/>
                <w:color w:val="auto"/>
              </w:rPr>
            </w:pPr>
          </w:p>
        </w:tc>
        <w:tc>
          <w:tcPr>
            <w:tcW w:w="760" w:type="dxa"/>
            <w:vAlign w:val="bottom"/>
            <w:tcBorders>
              <w:bottom w:val="single" w:sz="8" w:color="457157"/>
            </w:tcBorders>
            <w:gridSpan w:val="2"/>
            <w:shd w:val="clear" w:color="auto" w:fill="F2F2F2"/>
          </w:tcPr>
          <w:p>
            <w:pPr>
              <w:spacing w:after="0"/>
              <w:rPr>
                <w:sz w:val="5"/>
                <w:szCs w:val="5"/>
                <w:color w:val="auto"/>
              </w:rPr>
            </w:pPr>
          </w:p>
        </w:tc>
        <w:tc>
          <w:tcPr>
            <w:tcW w:w="100" w:type="dxa"/>
            <w:vAlign w:val="bottom"/>
            <w:tcBorders>
              <w:bottom w:val="single" w:sz="8" w:color="457157"/>
            </w:tcBorders>
            <w:shd w:val="clear" w:color="auto" w:fill="F2F2F2"/>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820" w:type="dxa"/>
            <w:vAlign w:val="bottom"/>
          </w:tcPr>
          <w:p>
            <w:pPr>
              <w:spacing w:after="0"/>
              <w:rPr>
                <w:sz w:val="20"/>
                <w:szCs w:val="20"/>
                <w:color w:val="auto"/>
              </w:rPr>
            </w:pPr>
          </w:p>
        </w:tc>
        <w:tc>
          <w:tcPr>
            <w:tcW w:w="1680" w:type="dxa"/>
            <w:vAlign w:val="bottom"/>
            <w:gridSpan w:val="2"/>
          </w:tcPr>
          <w:p>
            <w:pPr>
              <w:ind w:left="60"/>
              <w:spacing w:after="0" w:line="236" w:lineRule="exact"/>
              <w:rPr>
                <w:sz w:val="20"/>
                <w:szCs w:val="20"/>
                <w:color w:val="auto"/>
              </w:rPr>
            </w:pPr>
            <w:r>
              <w:rPr>
                <w:rFonts w:ascii="Arial" w:cs="Arial" w:eastAsia="Arial" w:hAnsi="Arial"/>
                <w:sz w:val="27"/>
                <w:szCs w:val="27"/>
                <w:color w:val="000000"/>
                <w:vertAlign w:val="superscript"/>
              </w:rPr>
              <w:t>​</w:t>
            </w:r>
            <w:r>
              <w:rPr>
                <w:rFonts w:ascii="Arial" w:cs="Arial" w:eastAsia="Arial" w:hAnsi="Arial"/>
                <w:sz w:val="14"/>
                <w:szCs w:val="14"/>
                <w:b w:val="1"/>
                <w:bCs w:val="1"/>
                <w:color w:val="404040"/>
              </w:rPr>
              <w:t>Race/Ethnicity</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center"/>
              <w:ind w:right="15"/>
              <w:spacing w:after="0"/>
              <w:rPr>
                <w:sz w:val="20"/>
                <w:szCs w:val="20"/>
                <w:color w:val="auto"/>
              </w:rPr>
            </w:pPr>
            <w:r>
              <w:rPr>
                <w:rFonts w:ascii="Arial" w:cs="Arial" w:eastAsia="Arial" w:hAnsi="Arial"/>
                <w:sz w:val="16"/>
                <w:szCs w:val="16"/>
                <w:color w:val="auto"/>
              </w:rPr>
              <w:t>White/​</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center"/>
              <w:spacing w:after="0"/>
              <w:rPr>
                <w:sz w:val="20"/>
                <w:szCs w:val="20"/>
                <w:color w:val="auto"/>
              </w:rPr>
            </w:pPr>
            <w:r>
              <w:rPr>
                <w:rFonts w:ascii="Arial" w:cs="Arial" w:eastAsia="Arial" w:hAnsi="Arial"/>
                <w:sz w:val="16"/>
                <w:szCs w:val="16"/>
                <w:color w:val="auto"/>
              </w:rPr>
              <w:t>Black/​</w:t>
            </w: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center"/>
              <w:spacing w:after="0"/>
              <w:rPr>
                <w:sz w:val="20"/>
                <w:szCs w:val="20"/>
                <w:color w:val="auto"/>
              </w:rPr>
            </w:pPr>
            <w:r>
              <w:rPr>
                <w:rFonts w:ascii="Arial" w:cs="Arial" w:eastAsia="Arial" w:hAnsi="Arial"/>
                <w:sz w:val="16"/>
                <w:szCs w:val="16"/>
                <w:color w:val="auto"/>
              </w:rPr>
              <w:t>White/​</w:t>
            </w:r>
          </w:p>
        </w:tc>
        <w:tc>
          <w:tcPr>
            <w:tcW w:w="820" w:type="dxa"/>
            <w:vAlign w:val="bottom"/>
            <w:gridSpan w:val="3"/>
          </w:tcPr>
          <w:p>
            <w:pPr>
              <w:spacing w:after="0" w:line="236"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4"/>
                <w:szCs w:val="14"/>
                <w:color w:val="auto"/>
              </w:rPr>
              <w:t>Hispanic</w:t>
            </w: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ind w:left="80"/>
              <w:spacing w:after="0"/>
              <w:rPr>
                <w:sz w:val="20"/>
                <w:szCs w:val="20"/>
                <w:color w:val="auto"/>
              </w:rPr>
            </w:pPr>
            <w:r>
              <w:rPr>
                <w:rFonts w:ascii="Arial" w:cs="Arial" w:eastAsia="Arial" w:hAnsi="Arial"/>
                <w:sz w:val="16"/>
                <w:szCs w:val="16"/>
                <w:color w:val="auto"/>
              </w:rPr>
              <w:t>White/</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ind w:left="80"/>
              <w:spacing w:after="0"/>
              <w:rPr>
                <w:sz w:val="20"/>
                <w:szCs w:val="20"/>
                <w:color w:val="auto"/>
              </w:rPr>
            </w:pPr>
            <w:r>
              <w:rPr>
                <w:rFonts w:ascii="Arial" w:cs="Arial" w:eastAsia="Arial" w:hAnsi="Arial"/>
                <w:sz w:val="16"/>
                <w:szCs w:val="16"/>
                <w:color w:val="auto"/>
              </w:rPr>
              <w:t>White/​</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center"/>
              <w:ind w:right="15"/>
              <w:spacing w:after="0"/>
              <w:rPr>
                <w:sz w:val="20"/>
                <w:szCs w:val="20"/>
                <w:color w:val="auto"/>
              </w:rPr>
            </w:pPr>
            <w:r>
              <w:rPr>
                <w:rFonts w:ascii="Arial" w:cs="Arial" w:eastAsia="Arial" w:hAnsi="Arial"/>
                <w:sz w:val="16"/>
                <w:szCs w:val="16"/>
                <w:color w:val="auto"/>
              </w:rPr>
              <w:t>White/​</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center"/>
              <w:spacing w:after="0"/>
              <w:rPr>
                <w:sz w:val="20"/>
                <w:szCs w:val="20"/>
                <w:color w:val="auto"/>
              </w:rPr>
            </w:pPr>
            <w:r>
              <w:rPr>
                <w:rFonts w:ascii="Arial" w:cs="Arial" w:eastAsia="Arial" w:hAnsi="Arial"/>
                <w:sz w:val="16"/>
                <w:szCs w:val="16"/>
                <w:color w:val="auto"/>
              </w:rPr>
              <w:t>Black/​</w:t>
            </w:r>
          </w:p>
        </w:tc>
        <w:tc>
          <w:tcPr>
            <w:tcW w:w="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center"/>
              <w:spacing w:after="0"/>
              <w:rPr>
                <w:sz w:val="20"/>
                <w:szCs w:val="20"/>
                <w:color w:val="auto"/>
              </w:rPr>
            </w:pPr>
            <w:r>
              <w:rPr>
                <w:rFonts w:ascii="Arial" w:cs="Arial" w:eastAsia="Arial" w:hAnsi="Arial"/>
                <w:sz w:val="16"/>
                <w:szCs w:val="16"/>
                <w:color w:val="auto"/>
              </w:rPr>
              <w:t>White/​</w:t>
            </w:r>
          </w:p>
        </w:tc>
        <w:tc>
          <w:tcPr>
            <w:tcW w:w="100" w:type="dxa"/>
            <w:vAlign w:val="bottom"/>
          </w:tcPr>
          <w:p>
            <w:pPr>
              <w:ind w:lef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color w:val="auto"/>
              </w:rPr>
              <w:t>Caucasian</w:t>
            </w: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African</w:t>
            </w:r>
          </w:p>
        </w:tc>
        <w:tc>
          <w:tcPr>
            <w:tcW w:w="2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color w:val="auto"/>
              </w:rPr>
              <w:t>Caucasian</w:t>
            </w: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6"/>
                <w:szCs w:val="16"/>
                <w:color w:val="auto"/>
              </w:rPr>
              <w:t>Caucasian</w:t>
            </w:r>
          </w:p>
        </w:tc>
        <w:tc>
          <w:tcPr>
            <w:tcW w:w="900" w:type="dxa"/>
            <w:vAlign w:val="bottom"/>
            <w:gridSpan w:val="3"/>
          </w:tcPr>
          <w:p>
            <w:pPr>
              <w:jc w:val="center"/>
              <w:spacing w:after="0"/>
              <w:rPr>
                <w:sz w:val="20"/>
                <w:szCs w:val="20"/>
                <w:color w:val="auto"/>
              </w:rPr>
            </w:pPr>
            <w:r>
              <w:rPr>
                <w:rFonts w:ascii="Arial" w:cs="Arial" w:eastAsia="Arial" w:hAnsi="Arial"/>
                <w:sz w:val="16"/>
                <w:szCs w:val="16"/>
                <w:color w:val="auto"/>
              </w:rPr>
              <w:t>Caucasian</w:t>
            </w:r>
          </w:p>
        </w:tc>
        <w:tc>
          <w:tcPr>
            <w:tcW w:w="920" w:type="dxa"/>
            <w:vAlign w:val="bottom"/>
            <w:gridSpan w:val="2"/>
          </w:tcPr>
          <w:p>
            <w:pPr>
              <w:ind w:left="40"/>
              <w:spacing w:after="0"/>
              <w:rPr>
                <w:sz w:val="20"/>
                <w:szCs w:val="20"/>
                <w:color w:val="auto"/>
              </w:rPr>
            </w:pPr>
            <w:r>
              <w:rPr>
                <w:rFonts w:ascii="Arial" w:cs="Arial" w:eastAsia="Arial" w:hAnsi="Arial"/>
                <w:sz w:val="16"/>
                <w:szCs w:val="16"/>
                <w:color w:val="auto"/>
              </w:rPr>
              <w:t>Caucasian</w:t>
            </w:r>
          </w:p>
        </w:tc>
        <w:tc>
          <w:tcPr>
            <w:tcW w:w="8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Arial" w:cs="Arial" w:eastAsia="Arial" w:hAnsi="Arial"/>
                <w:sz w:val="16"/>
                <w:szCs w:val="16"/>
                <w:color w:val="auto"/>
              </w:rPr>
              <w:t>African</w:t>
            </w:r>
          </w:p>
        </w:tc>
        <w:tc>
          <w:tcPr>
            <w:tcW w:w="20" w:type="dxa"/>
            <w:vAlign w:val="bottom"/>
          </w:tcPr>
          <w:p>
            <w:pPr>
              <w:spacing w:after="0"/>
              <w:rPr>
                <w:sz w:val="16"/>
                <w:szCs w:val="16"/>
                <w:color w:val="auto"/>
              </w:rPr>
            </w:pPr>
          </w:p>
        </w:tc>
        <w:tc>
          <w:tcPr>
            <w:tcW w:w="880" w:type="dxa"/>
            <w:vAlign w:val="bottom"/>
            <w:gridSpan w:val="3"/>
          </w:tcPr>
          <w:p>
            <w:pPr>
              <w:jc w:val="center"/>
              <w:spacing w:after="0"/>
              <w:rPr>
                <w:sz w:val="20"/>
                <w:szCs w:val="20"/>
                <w:color w:val="auto"/>
              </w:rPr>
            </w:pPr>
            <w:r>
              <w:rPr>
                <w:rFonts w:ascii="Arial" w:cs="Arial" w:eastAsia="Arial" w:hAnsi="Arial"/>
                <w:sz w:val="16"/>
                <w:szCs w:val="16"/>
                <w:color w:val="auto"/>
              </w:rPr>
              <w:t>Caucasian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color w:val="auto"/>
              </w:rPr>
              <w:t>American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color w:val="auto"/>
              </w:rPr>
              <w:t>American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6"/>
        </w:trPr>
        <w:tc>
          <w:tcPr>
            <w:tcW w:w="820" w:type="dxa"/>
            <w:vAlign w:val="bottom"/>
          </w:tcPr>
          <w:p>
            <w:pPr>
              <w:spacing w:after="0"/>
              <w:rPr>
                <w:sz w:val="8"/>
                <w:szCs w:val="8"/>
                <w:color w:val="auto"/>
              </w:rPr>
            </w:pPr>
          </w:p>
        </w:tc>
        <w:tc>
          <w:tcPr>
            <w:tcW w:w="100" w:type="dxa"/>
            <w:vAlign w:val="bottom"/>
            <w:tcBorders>
              <w:bottom w:val="single" w:sz="8" w:color="457157"/>
            </w:tcBorders>
          </w:tcPr>
          <w:p>
            <w:pPr>
              <w:spacing w:after="0"/>
              <w:rPr>
                <w:sz w:val="8"/>
                <w:szCs w:val="8"/>
                <w:color w:val="auto"/>
              </w:rPr>
            </w:pPr>
          </w:p>
        </w:tc>
        <w:tc>
          <w:tcPr>
            <w:tcW w:w="1580" w:type="dxa"/>
            <w:vAlign w:val="bottom"/>
            <w:tcBorders>
              <w:bottom w:val="single" w:sz="8" w:color="457157"/>
            </w:tcBorders>
          </w:tcPr>
          <w:p>
            <w:pPr>
              <w:spacing w:after="0"/>
              <w:rPr>
                <w:sz w:val="8"/>
                <w:szCs w:val="8"/>
                <w:color w:val="auto"/>
              </w:rPr>
            </w:pPr>
          </w:p>
        </w:tc>
        <w:tc>
          <w:tcPr>
            <w:tcW w:w="200" w:type="dxa"/>
            <w:vAlign w:val="bottom"/>
            <w:tcBorders>
              <w:bottom w:val="single" w:sz="8" w:color="457157"/>
            </w:tcBorders>
          </w:tcPr>
          <w:p>
            <w:pPr>
              <w:spacing w:after="0"/>
              <w:rPr>
                <w:sz w:val="8"/>
                <w:szCs w:val="8"/>
                <w:color w:val="auto"/>
              </w:rPr>
            </w:pPr>
          </w:p>
        </w:tc>
        <w:tc>
          <w:tcPr>
            <w:tcW w:w="780" w:type="dxa"/>
            <w:vAlign w:val="bottom"/>
            <w:tcBorders>
              <w:bottom w:val="single" w:sz="8" w:color="457157"/>
            </w:tcBorders>
          </w:tcPr>
          <w:p>
            <w:pPr>
              <w:spacing w:after="0"/>
              <w:rPr>
                <w:sz w:val="8"/>
                <w:szCs w:val="8"/>
                <w:color w:val="auto"/>
              </w:rPr>
            </w:pPr>
          </w:p>
        </w:tc>
        <w:tc>
          <w:tcPr>
            <w:tcW w:w="80" w:type="dxa"/>
            <w:vAlign w:val="bottom"/>
            <w:tcBorders>
              <w:bottom w:val="single" w:sz="8" w:color="457157"/>
            </w:tcBorders>
          </w:tcPr>
          <w:p>
            <w:pPr>
              <w:spacing w:after="0"/>
              <w:rPr>
                <w:sz w:val="8"/>
                <w:szCs w:val="8"/>
                <w:color w:val="auto"/>
              </w:rPr>
            </w:pPr>
          </w:p>
        </w:tc>
        <w:tc>
          <w:tcPr>
            <w:tcW w:w="700" w:type="dxa"/>
            <w:vAlign w:val="bottom"/>
            <w:tcBorders>
              <w:bottom w:val="single" w:sz="8" w:color="457157"/>
            </w:tcBorders>
          </w:tcPr>
          <w:p>
            <w:pPr>
              <w:spacing w:after="0"/>
              <w:rPr>
                <w:sz w:val="8"/>
                <w:szCs w:val="8"/>
                <w:color w:val="auto"/>
              </w:rPr>
            </w:pPr>
          </w:p>
        </w:tc>
        <w:tc>
          <w:tcPr>
            <w:tcW w:w="20" w:type="dxa"/>
            <w:vAlign w:val="bottom"/>
            <w:tcBorders>
              <w:bottom w:val="single" w:sz="8" w:color="457157"/>
            </w:tcBorders>
          </w:tcPr>
          <w:p>
            <w:pPr>
              <w:spacing w:after="0"/>
              <w:rPr>
                <w:sz w:val="8"/>
                <w:szCs w:val="8"/>
                <w:color w:val="auto"/>
              </w:rPr>
            </w:pPr>
          </w:p>
        </w:tc>
        <w:tc>
          <w:tcPr>
            <w:tcW w:w="140" w:type="dxa"/>
            <w:vAlign w:val="bottom"/>
            <w:tcBorders>
              <w:bottom w:val="single" w:sz="8" w:color="457157"/>
            </w:tcBorders>
          </w:tcPr>
          <w:p>
            <w:pPr>
              <w:spacing w:after="0"/>
              <w:rPr>
                <w:sz w:val="8"/>
                <w:szCs w:val="8"/>
                <w:color w:val="auto"/>
              </w:rPr>
            </w:pPr>
          </w:p>
        </w:tc>
        <w:tc>
          <w:tcPr>
            <w:tcW w:w="760" w:type="dxa"/>
            <w:vAlign w:val="bottom"/>
            <w:tcBorders>
              <w:bottom w:val="single" w:sz="8" w:color="457157"/>
            </w:tcBorders>
          </w:tcPr>
          <w:p>
            <w:pPr>
              <w:spacing w:after="0"/>
              <w:rPr>
                <w:sz w:val="8"/>
                <w:szCs w:val="8"/>
                <w:color w:val="auto"/>
              </w:rPr>
            </w:pPr>
          </w:p>
        </w:tc>
        <w:tc>
          <w:tcPr>
            <w:tcW w:w="140" w:type="dxa"/>
            <w:vAlign w:val="bottom"/>
            <w:tcBorders>
              <w:bottom w:val="single" w:sz="8" w:color="457157"/>
            </w:tcBorders>
          </w:tcPr>
          <w:p>
            <w:pPr>
              <w:spacing w:after="0"/>
              <w:rPr>
                <w:sz w:val="8"/>
                <w:szCs w:val="8"/>
                <w:color w:val="auto"/>
              </w:rPr>
            </w:pPr>
          </w:p>
        </w:tc>
        <w:tc>
          <w:tcPr>
            <w:tcW w:w="560" w:type="dxa"/>
            <w:vAlign w:val="bottom"/>
            <w:tcBorders>
              <w:bottom w:val="single" w:sz="8" w:color="457157"/>
            </w:tcBorders>
          </w:tcPr>
          <w:p>
            <w:pPr>
              <w:spacing w:after="0"/>
              <w:rPr>
                <w:sz w:val="8"/>
                <w:szCs w:val="8"/>
                <w:color w:val="auto"/>
              </w:rPr>
            </w:pPr>
          </w:p>
        </w:tc>
        <w:tc>
          <w:tcPr>
            <w:tcW w:w="120" w:type="dxa"/>
            <w:vAlign w:val="bottom"/>
            <w:tcBorders>
              <w:bottom w:val="single" w:sz="8" w:color="457157"/>
            </w:tcBorders>
          </w:tcPr>
          <w:p>
            <w:pPr>
              <w:spacing w:after="0"/>
              <w:rPr>
                <w:sz w:val="8"/>
                <w:szCs w:val="8"/>
                <w:color w:val="auto"/>
              </w:rPr>
            </w:pPr>
          </w:p>
        </w:tc>
        <w:tc>
          <w:tcPr>
            <w:tcW w:w="100" w:type="dxa"/>
            <w:vAlign w:val="bottom"/>
            <w:tcBorders>
              <w:bottom w:val="single" w:sz="8" w:color="457157"/>
            </w:tcBorders>
          </w:tcPr>
          <w:p>
            <w:pPr>
              <w:spacing w:after="0"/>
              <w:rPr>
                <w:sz w:val="8"/>
                <w:szCs w:val="8"/>
                <w:color w:val="auto"/>
              </w:rPr>
            </w:pPr>
          </w:p>
        </w:tc>
        <w:tc>
          <w:tcPr>
            <w:tcW w:w="800" w:type="dxa"/>
            <w:vAlign w:val="bottom"/>
            <w:tcBorders>
              <w:bottom w:val="single" w:sz="8" w:color="457157"/>
            </w:tcBorders>
          </w:tcPr>
          <w:p>
            <w:pPr>
              <w:spacing w:after="0"/>
              <w:rPr>
                <w:sz w:val="8"/>
                <w:szCs w:val="8"/>
                <w:color w:val="auto"/>
              </w:rPr>
            </w:pPr>
          </w:p>
        </w:tc>
        <w:tc>
          <w:tcPr>
            <w:tcW w:w="120" w:type="dxa"/>
            <w:vAlign w:val="bottom"/>
            <w:tcBorders>
              <w:bottom w:val="single" w:sz="8" w:color="457157"/>
            </w:tcBorders>
          </w:tcPr>
          <w:p>
            <w:pPr>
              <w:spacing w:after="0"/>
              <w:rPr>
                <w:sz w:val="8"/>
                <w:szCs w:val="8"/>
                <w:color w:val="auto"/>
              </w:rPr>
            </w:pPr>
          </w:p>
        </w:tc>
        <w:tc>
          <w:tcPr>
            <w:tcW w:w="700" w:type="dxa"/>
            <w:vAlign w:val="bottom"/>
            <w:tcBorders>
              <w:bottom w:val="single" w:sz="8" w:color="457157"/>
            </w:tcBorders>
          </w:tcPr>
          <w:p>
            <w:pPr>
              <w:spacing w:after="0"/>
              <w:rPr>
                <w:sz w:val="8"/>
                <w:szCs w:val="8"/>
                <w:color w:val="auto"/>
              </w:rPr>
            </w:pPr>
          </w:p>
        </w:tc>
        <w:tc>
          <w:tcPr>
            <w:tcW w:w="80" w:type="dxa"/>
            <w:vAlign w:val="bottom"/>
            <w:tcBorders>
              <w:bottom w:val="single" w:sz="8" w:color="457157"/>
            </w:tcBorders>
          </w:tcPr>
          <w:p>
            <w:pPr>
              <w:spacing w:after="0"/>
              <w:rPr>
                <w:sz w:val="8"/>
                <w:szCs w:val="8"/>
                <w:color w:val="auto"/>
              </w:rPr>
            </w:pPr>
          </w:p>
        </w:tc>
        <w:tc>
          <w:tcPr>
            <w:tcW w:w="140" w:type="dxa"/>
            <w:vAlign w:val="bottom"/>
            <w:tcBorders>
              <w:bottom w:val="single" w:sz="8" w:color="457157"/>
            </w:tcBorders>
          </w:tcPr>
          <w:p>
            <w:pPr>
              <w:spacing w:after="0"/>
              <w:rPr>
                <w:sz w:val="8"/>
                <w:szCs w:val="8"/>
                <w:color w:val="auto"/>
              </w:rPr>
            </w:pPr>
          </w:p>
        </w:tc>
        <w:tc>
          <w:tcPr>
            <w:tcW w:w="780" w:type="dxa"/>
            <w:vAlign w:val="bottom"/>
            <w:tcBorders>
              <w:bottom w:val="single" w:sz="8" w:color="457157"/>
            </w:tcBorders>
          </w:tcPr>
          <w:p>
            <w:pPr>
              <w:spacing w:after="0"/>
              <w:rPr>
                <w:sz w:val="8"/>
                <w:szCs w:val="8"/>
                <w:color w:val="auto"/>
              </w:rPr>
            </w:pPr>
          </w:p>
        </w:tc>
        <w:tc>
          <w:tcPr>
            <w:tcW w:w="80" w:type="dxa"/>
            <w:vAlign w:val="bottom"/>
            <w:tcBorders>
              <w:bottom w:val="single" w:sz="8" w:color="457157"/>
            </w:tcBorders>
          </w:tcPr>
          <w:p>
            <w:pPr>
              <w:spacing w:after="0"/>
              <w:rPr>
                <w:sz w:val="8"/>
                <w:szCs w:val="8"/>
                <w:color w:val="auto"/>
              </w:rPr>
            </w:pPr>
          </w:p>
        </w:tc>
        <w:tc>
          <w:tcPr>
            <w:tcW w:w="700" w:type="dxa"/>
            <w:vAlign w:val="bottom"/>
            <w:tcBorders>
              <w:bottom w:val="single" w:sz="8" w:color="457157"/>
            </w:tcBorders>
          </w:tcPr>
          <w:p>
            <w:pPr>
              <w:spacing w:after="0"/>
              <w:rPr>
                <w:sz w:val="8"/>
                <w:szCs w:val="8"/>
                <w:color w:val="auto"/>
              </w:rPr>
            </w:pPr>
          </w:p>
        </w:tc>
        <w:tc>
          <w:tcPr>
            <w:tcW w:w="20" w:type="dxa"/>
            <w:vAlign w:val="bottom"/>
            <w:tcBorders>
              <w:bottom w:val="single" w:sz="8" w:color="457157"/>
            </w:tcBorders>
          </w:tcPr>
          <w:p>
            <w:pPr>
              <w:spacing w:after="0"/>
              <w:rPr>
                <w:sz w:val="8"/>
                <w:szCs w:val="8"/>
                <w:color w:val="auto"/>
              </w:rPr>
            </w:pPr>
          </w:p>
        </w:tc>
        <w:tc>
          <w:tcPr>
            <w:tcW w:w="120" w:type="dxa"/>
            <w:vAlign w:val="bottom"/>
            <w:tcBorders>
              <w:bottom w:val="single" w:sz="8" w:color="457157"/>
            </w:tcBorders>
          </w:tcPr>
          <w:p>
            <w:pPr>
              <w:spacing w:after="0"/>
              <w:rPr>
                <w:sz w:val="8"/>
                <w:szCs w:val="8"/>
                <w:color w:val="auto"/>
              </w:rPr>
            </w:pPr>
          </w:p>
        </w:tc>
        <w:tc>
          <w:tcPr>
            <w:tcW w:w="240" w:type="dxa"/>
            <w:vAlign w:val="bottom"/>
            <w:tcBorders>
              <w:bottom w:val="single" w:sz="8" w:color="457157"/>
            </w:tcBorders>
          </w:tcPr>
          <w:p>
            <w:pPr>
              <w:spacing w:after="0"/>
              <w:rPr>
                <w:sz w:val="8"/>
                <w:szCs w:val="8"/>
                <w:color w:val="auto"/>
              </w:rPr>
            </w:pPr>
          </w:p>
        </w:tc>
        <w:tc>
          <w:tcPr>
            <w:tcW w:w="520" w:type="dxa"/>
            <w:vAlign w:val="bottom"/>
            <w:tcBorders>
              <w:bottom w:val="single" w:sz="8" w:color="457157"/>
            </w:tcBorders>
          </w:tcPr>
          <w:p>
            <w:pPr>
              <w:spacing w:after="0"/>
              <w:rPr>
                <w:sz w:val="8"/>
                <w:szCs w:val="8"/>
                <w:color w:val="auto"/>
              </w:rPr>
            </w:pPr>
          </w:p>
        </w:tc>
        <w:tc>
          <w:tcPr>
            <w:tcW w:w="100" w:type="dxa"/>
            <w:vAlign w:val="bottom"/>
            <w:tcBorders>
              <w:bottom w:val="single" w:sz="8" w:color="457157"/>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-5262880</wp:posOffset>
            </wp:positionV>
            <wp:extent cx="5040630" cy="52546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040630" cy="5254625"/>
                    </a:xfrm>
                    <a:prstGeom prst="rect">
                      <a:avLst/>
                    </a:prstGeom>
                    <a:noFill/>
                  </pic:spPr>
                </pic:pic>
              </a:graphicData>
            </a:graphic>
          </wp:anchor>
        </w:drawing>
      </w:r>
    </w:p>
    <w:p>
      <w:pPr>
        <w:sectPr>
          <w:pgSz w:w="11900" w:h="16838" w:orient="portrait"/>
          <w:cols w:equalWidth="0" w:num="1">
            <w:col w:w="10500"/>
          </w:cols>
          <w:pgMar w:left="580" w:top="97" w:right="819" w:bottom="1440" w:gutter="0" w:footer="0" w:header="0"/>
        </w:sectPr>
      </w:pPr>
    </w:p>
    <w:p>
      <w:pPr>
        <w:spacing w:after="0" w:line="184" w:lineRule="exact"/>
        <w:rPr>
          <w:sz w:val="20"/>
          <w:szCs w:val="20"/>
          <w:color w:val="auto"/>
        </w:rPr>
      </w:pPr>
    </w:p>
    <w:p>
      <w:pPr>
        <w:jc w:val="both"/>
        <w:ind w:left="1180"/>
        <w:spacing w:after="0" w:line="254" w:lineRule="auto"/>
        <w:rPr>
          <w:sz w:val="20"/>
          <w:szCs w:val="20"/>
          <w:color w:val="auto"/>
        </w:rPr>
      </w:pPr>
      <w:r>
        <w:rPr>
          <w:rFonts w:ascii="Arial" w:cs="Arial" w:eastAsia="Arial" w:hAnsi="Arial"/>
          <w:sz w:val="18"/>
          <w:szCs w:val="18"/>
          <w:color w:val="auto"/>
        </w:rPr>
        <w:t>Each director nominee’s identification of the top four categories of skill and expertise through which they contribute to the Board. This is not an indication that any director nominee does not possess any particular category of skill or expertise, but rather, a targeted reflection of the key areas through which each director nominee supports the effectiveness of the Board and furthers the long-term success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-1230630</wp:posOffset>
            </wp:positionV>
            <wp:extent cx="102870" cy="939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2870" cy="93980"/>
                    </a:xfrm>
                    <a:prstGeom prst="rect">
                      <a:avLst/>
                    </a:prstGeom>
                    <a:noFill/>
                  </pic:spPr>
                </pic:pic>
              </a:graphicData>
            </a:graphic>
          </wp:anchor>
        </w:drawing>
        <w:drawing>
          <wp:anchor simplePos="0" relativeHeight="251657728" behindDoc="1" locked="0" layoutInCell="0" allowOverlap="1">
            <wp:simplePos x="0" y="0"/>
            <wp:positionH relativeFrom="column">
              <wp:posOffset>3465830</wp:posOffset>
            </wp:positionH>
            <wp:positionV relativeFrom="paragraph">
              <wp:posOffset>-1230630</wp:posOffset>
            </wp:positionV>
            <wp:extent cx="77470" cy="857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5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both"/>
        <w:ind w:right="620"/>
        <w:spacing w:after="0" w:line="265" w:lineRule="auto"/>
        <w:rPr>
          <w:sz w:val="20"/>
          <w:szCs w:val="20"/>
          <w:color w:val="auto"/>
        </w:rPr>
      </w:pPr>
      <w:r>
        <w:rPr>
          <w:rFonts w:ascii="Arial" w:cs="Arial" w:eastAsia="Arial" w:hAnsi="Arial"/>
          <w:sz w:val="18"/>
          <w:szCs w:val="18"/>
          <w:color w:val="auto"/>
        </w:rPr>
        <w:t>Each director nominee’s identification of additional categories of skill and expertise in which they have substantial experience and in-depth knowledge</w:t>
      </w:r>
    </w:p>
    <w:p>
      <w:pPr>
        <w:spacing w:after="0" w:line="1512" w:lineRule="exact"/>
        <w:rPr>
          <w:sz w:val="20"/>
          <w:szCs w:val="20"/>
          <w:color w:val="auto"/>
        </w:rPr>
      </w:pPr>
    </w:p>
    <w:p>
      <w:pPr>
        <w:sectPr>
          <w:pgSz w:w="11900" w:h="16838" w:orient="portrait"/>
          <w:cols w:equalWidth="0" w:num="2">
            <w:col w:w="5240" w:space="580"/>
            <w:col w:w="4680"/>
          </w:cols>
          <w:pgMar w:left="580" w:top="97"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10500"/>
          </w:cols>
          <w:pgMar w:left="580" w:top="97" w:right="819"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260" w:type="dxa"/>
            <w:vAlign w:val="bottom"/>
            <w:gridSpan w:val="2"/>
            <w:shd w:val="clear" w:color="auto" w:fill="457157"/>
          </w:tcPr>
          <w:p>
            <w:pPr>
              <w:spacing w:after="0"/>
              <w:rPr>
                <w:sz w:val="20"/>
                <w:szCs w:val="20"/>
                <w:color w:val="auto"/>
              </w:rPr>
            </w:pPr>
            <w:r>
              <w:rPr>
                <w:rFonts w:ascii="Arial" w:cs="Arial" w:eastAsia="Arial" w:hAnsi="Arial"/>
                <w:sz w:val="20"/>
                <w:szCs w:val="20"/>
                <w:b w:val="1"/>
                <w:bCs w:val="1"/>
                <w:color w:val="auto"/>
              </w:rPr>
              <w:t>ELECTION OF DIRECTORS</w:t>
            </w:r>
            <w:r>
              <w:rPr>
                <w:rFonts w:ascii="Arial" w:cs="Arial" w:eastAsia="Arial" w:hAnsi="Arial"/>
                <w:sz w:val="17"/>
                <w:szCs w:val="17"/>
                <w:color w:val="auto"/>
              </w:rPr>
              <w:t>​</w:t>
            </w:r>
          </w:p>
        </w:tc>
        <w:tc>
          <w:tcPr>
            <w:tcW w:w="120" w:type="dxa"/>
            <w:vAlign w:val="bottom"/>
            <w:shd w:val="clear" w:color="auto" w:fill="457157"/>
          </w:tcPr>
          <w:p>
            <w:pPr>
              <w:spacing w:after="0"/>
              <w:rPr>
                <w:sz w:val="19"/>
                <w:szCs w:val="19"/>
                <w:color w:val="auto"/>
              </w:rPr>
            </w:pPr>
          </w:p>
        </w:tc>
        <w:tc>
          <w:tcPr>
            <w:tcW w:w="60" w:type="dxa"/>
            <w:vAlign w:val="bottom"/>
            <w:shd w:val="clear" w:color="auto" w:fill="457157"/>
          </w:tcPr>
          <w:p>
            <w:pPr>
              <w:spacing w:after="0"/>
              <w:rPr>
                <w:sz w:val="19"/>
                <w:szCs w:val="19"/>
                <w:color w:val="auto"/>
              </w:rPr>
            </w:pPr>
          </w:p>
        </w:tc>
        <w:tc>
          <w:tcPr>
            <w:tcW w:w="380" w:type="dxa"/>
            <w:vAlign w:val="bottom"/>
            <w:shd w:val="clear" w:color="auto" w:fill="457157"/>
          </w:tcPr>
          <w:p>
            <w:pPr>
              <w:spacing w:after="0"/>
              <w:rPr>
                <w:sz w:val="19"/>
                <w:szCs w:val="19"/>
                <w:color w:val="auto"/>
              </w:rPr>
            </w:pPr>
          </w:p>
        </w:tc>
        <w:tc>
          <w:tcPr>
            <w:tcW w:w="260" w:type="dxa"/>
            <w:vAlign w:val="bottom"/>
            <w:shd w:val="clear" w:color="auto" w:fill="457157"/>
          </w:tcPr>
          <w:p>
            <w:pPr>
              <w:spacing w:after="0"/>
              <w:rPr>
                <w:sz w:val="19"/>
                <w:szCs w:val="19"/>
                <w:color w:val="auto"/>
              </w:rPr>
            </w:pPr>
          </w:p>
        </w:tc>
        <w:tc>
          <w:tcPr>
            <w:tcW w:w="420" w:type="dxa"/>
            <w:vAlign w:val="bottom"/>
            <w:shd w:val="clear" w:color="auto" w:fill="457157"/>
          </w:tcPr>
          <w:p>
            <w:pPr>
              <w:spacing w:after="0"/>
              <w:rPr>
                <w:sz w:val="19"/>
                <w:szCs w:val="19"/>
                <w:color w:val="auto"/>
              </w:rPr>
            </w:pPr>
          </w:p>
        </w:tc>
        <w:tc>
          <w:tcPr>
            <w:tcW w:w="80" w:type="dxa"/>
            <w:vAlign w:val="bottom"/>
            <w:shd w:val="clear" w:color="auto" w:fill="457157"/>
          </w:tcPr>
          <w:p>
            <w:pPr>
              <w:spacing w:after="0"/>
              <w:rPr>
                <w:sz w:val="19"/>
                <w:szCs w:val="19"/>
                <w:color w:val="auto"/>
              </w:rPr>
            </w:pPr>
          </w:p>
        </w:tc>
        <w:tc>
          <w:tcPr>
            <w:tcW w:w="220" w:type="dxa"/>
            <w:vAlign w:val="bottom"/>
            <w:shd w:val="clear" w:color="auto" w:fill="457157"/>
          </w:tcPr>
          <w:p>
            <w:pPr>
              <w:spacing w:after="0"/>
              <w:rPr>
                <w:sz w:val="19"/>
                <w:szCs w:val="19"/>
                <w:color w:val="auto"/>
              </w:rPr>
            </w:pPr>
          </w:p>
        </w:tc>
        <w:tc>
          <w:tcPr>
            <w:tcW w:w="200" w:type="dxa"/>
            <w:vAlign w:val="bottom"/>
            <w:shd w:val="clear" w:color="auto" w:fill="457157"/>
          </w:tcPr>
          <w:p>
            <w:pPr>
              <w:spacing w:after="0"/>
              <w:rPr>
                <w:sz w:val="19"/>
                <w:szCs w:val="19"/>
                <w:color w:val="auto"/>
              </w:rPr>
            </w:pPr>
          </w:p>
        </w:tc>
        <w:tc>
          <w:tcPr>
            <w:tcW w:w="320" w:type="dxa"/>
            <w:vAlign w:val="bottom"/>
            <w:shd w:val="clear" w:color="auto" w:fill="457157"/>
          </w:tcPr>
          <w:p>
            <w:pPr>
              <w:spacing w:after="0"/>
              <w:rPr>
                <w:sz w:val="19"/>
                <w:szCs w:val="19"/>
                <w:color w:val="auto"/>
              </w:rPr>
            </w:pPr>
          </w:p>
        </w:tc>
        <w:tc>
          <w:tcPr>
            <w:tcW w:w="300" w:type="dxa"/>
            <w:vAlign w:val="bottom"/>
            <w:shd w:val="clear" w:color="auto" w:fill="457157"/>
          </w:tcPr>
          <w:p>
            <w:pPr>
              <w:spacing w:after="0"/>
              <w:rPr>
                <w:sz w:val="19"/>
                <w:szCs w:val="19"/>
                <w:color w:val="auto"/>
              </w:rPr>
            </w:pPr>
          </w:p>
        </w:tc>
        <w:tc>
          <w:tcPr>
            <w:tcW w:w="540" w:type="dxa"/>
            <w:vAlign w:val="bottom"/>
            <w:shd w:val="clear" w:color="auto" w:fill="457157"/>
          </w:tcPr>
          <w:p>
            <w:pPr>
              <w:spacing w:after="0"/>
              <w:rPr>
                <w:sz w:val="19"/>
                <w:szCs w:val="19"/>
                <w:color w:val="auto"/>
              </w:rPr>
            </w:pPr>
          </w:p>
        </w:tc>
        <w:tc>
          <w:tcPr>
            <w:tcW w:w="100" w:type="dxa"/>
            <w:vAlign w:val="bottom"/>
            <w:shd w:val="clear" w:color="auto" w:fill="457157"/>
          </w:tcPr>
          <w:p>
            <w:pPr>
              <w:spacing w:after="0"/>
              <w:rPr>
                <w:sz w:val="19"/>
                <w:szCs w:val="19"/>
                <w:color w:val="auto"/>
              </w:rPr>
            </w:pPr>
          </w:p>
        </w:tc>
        <w:tc>
          <w:tcPr>
            <w:tcW w:w="60" w:type="dxa"/>
            <w:vAlign w:val="bottom"/>
            <w:shd w:val="clear" w:color="auto" w:fill="457157"/>
          </w:tcPr>
          <w:p>
            <w:pPr>
              <w:spacing w:after="0"/>
              <w:rPr>
                <w:sz w:val="19"/>
                <w:szCs w:val="19"/>
                <w:color w:val="auto"/>
              </w:rPr>
            </w:pPr>
          </w:p>
        </w:tc>
        <w:tc>
          <w:tcPr>
            <w:tcW w:w="120" w:type="dxa"/>
            <w:vAlign w:val="bottom"/>
            <w:shd w:val="clear" w:color="auto" w:fill="457157"/>
          </w:tcPr>
          <w:p>
            <w:pPr>
              <w:spacing w:after="0"/>
              <w:rPr>
                <w:sz w:val="19"/>
                <w:szCs w:val="19"/>
                <w:color w:val="auto"/>
              </w:rPr>
            </w:pPr>
          </w:p>
        </w:tc>
        <w:tc>
          <w:tcPr>
            <w:tcW w:w="580" w:type="dxa"/>
            <w:vAlign w:val="bottom"/>
            <w:tcBorders>
              <w:right w:val="single" w:sz="8" w:color="457157"/>
            </w:tcBorders>
            <w:shd w:val="clear" w:color="auto" w:fill="457157"/>
          </w:tcPr>
          <w:p>
            <w:pPr>
              <w:spacing w:after="0"/>
              <w:rPr>
                <w:sz w:val="19"/>
                <w:szCs w:val="19"/>
                <w:color w:val="auto"/>
              </w:rPr>
            </w:pPr>
          </w:p>
        </w:tc>
        <w:tc>
          <w:tcPr>
            <w:tcW w:w="280" w:type="dxa"/>
            <w:vAlign w:val="bottom"/>
            <w:shd w:val="clear" w:color="auto" w:fill="457157"/>
          </w:tcPr>
          <w:p>
            <w:pPr>
              <w:spacing w:after="0"/>
              <w:rPr>
                <w:sz w:val="19"/>
                <w:szCs w:val="19"/>
                <w:color w:val="auto"/>
              </w:rPr>
            </w:pPr>
          </w:p>
        </w:tc>
        <w:tc>
          <w:tcPr>
            <w:tcW w:w="140" w:type="dxa"/>
            <w:vAlign w:val="bottom"/>
            <w:shd w:val="clear" w:color="auto" w:fill="457157"/>
          </w:tcPr>
          <w:p>
            <w:pPr>
              <w:spacing w:after="0"/>
              <w:rPr>
                <w:sz w:val="19"/>
                <w:szCs w:val="19"/>
                <w:color w:val="auto"/>
              </w:rPr>
            </w:pPr>
          </w:p>
        </w:tc>
        <w:tc>
          <w:tcPr>
            <w:tcW w:w="160" w:type="dxa"/>
            <w:vAlign w:val="bottom"/>
            <w:shd w:val="clear" w:color="auto" w:fill="457157"/>
          </w:tcPr>
          <w:p>
            <w:pPr>
              <w:spacing w:after="0"/>
              <w:rPr>
                <w:sz w:val="19"/>
                <w:szCs w:val="19"/>
                <w:color w:val="auto"/>
              </w:rPr>
            </w:pPr>
          </w:p>
        </w:tc>
        <w:tc>
          <w:tcPr>
            <w:tcW w:w="320" w:type="dxa"/>
            <w:vAlign w:val="bottom"/>
            <w:shd w:val="clear" w:color="auto" w:fill="457157"/>
          </w:tcPr>
          <w:p>
            <w:pPr>
              <w:spacing w:after="0"/>
              <w:rPr>
                <w:sz w:val="19"/>
                <w:szCs w:val="19"/>
                <w:color w:val="auto"/>
              </w:rPr>
            </w:pPr>
          </w:p>
        </w:tc>
        <w:tc>
          <w:tcPr>
            <w:tcW w:w="120" w:type="dxa"/>
            <w:vAlign w:val="bottom"/>
            <w:shd w:val="clear" w:color="auto" w:fill="457157"/>
          </w:tcPr>
          <w:p>
            <w:pPr>
              <w:spacing w:after="0"/>
              <w:rPr>
                <w:sz w:val="19"/>
                <w:szCs w:val="19"/>
                <w:color w:val="auto"/>
              </w:rPr>
            </w:pPr>
          </w:p>
        </w:tc>
        <w:tc>
          <w:tcPr>
            <w:tcW w:w="140" w:type="dxa"/>
            <w:vAlign w:val="bottom"/>
            <w:shd w:val="clear" w:color="auto" w:fill="457157"/>
          </w:tcPr>
          <w:p>
            <w:pPr>
              <w:spacing w:after="0"/>
              <w:rPr>
                <w:sz w:val="19"/>
                <w:szCs w:val="19"/>
                <w:color w:val="auto"/>
              </w:rPr>
            </w:pPr>
          </w:p>
        </w:tc>
        <w:tc>
          <w:tcPr>
            <w:tcW w:w="280" w:type="dxa"/>
            <w:vAlign w:val="bottom"/>
            <w:shd w:val="clear" w:color="auto" w:fill="457157"/>
          </w:tcPr>
          <w:p>
            <w:pPr>
              <w:spacing w:after="0"/>
              <w:rPr>
                <w:sz w:val="19"/>
                <w:szCs w:val="19"/>
                <w:color w:val="auto"/>
              </w:rPr>
            </w:pPr>
          </w:p>
        </w:tc>
        <w:tc>
          <w:tcPr>
            <w:tcW w:w="600" w:type="dxa"/>
            <w:vAlign w:val="bottom"/>
            <w:shd w:val="clear" w:color="auto" w:fill="457157"/>
          </w:tcPr>
          <w:p>
            <w:pPr>
              <w:spacing w:after="0"/>
              <w:rPr>
                <w:sz w:val="19"/>
                <w:szCs w:val="19"/>
                <w:color w:val="auto"/>
              </w:rPr>
            </w:pPr>
          </w:p>
        </w:tc>
        <w:tc>
          <w:tcPr>
            <w:tcW w:w="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20"/>
                <w:szCs w:val="20"/>
                <w:color w:val="auto"/>
              </w:rPr>
            </w:pPr>
            <w:r>
              <w:rPr>
                <w:rFonts w:ascii="Arial" w:cs="Arial" w:eastAsia="Arial" w:hAnsi="Arial"/>
                <w:sz w:val="16"/>
                <w:szCs w:val="16"/>
                <w:b w:val="1"/>
                <w:bCs w:val="1"/>
                <w:color w:val="auto"/>
              </w:rPr>
              <w:t>​</w:t>
            </w:r>
          </w:p>
        </w:tc>
        <w:tc>
          <w:tcPr>
            <w:tcW w:w="3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80" w:type="dxa"/>
            <w:vAlign w:val="bottom"/>
            <w:gridSpan w:val="7"/>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gridSpan w:val="4"/>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364"/>
        </w:trPr>
        <w:tc>
          <w:tcPr>
            <w:tcW w:w="140" w:type="dxa"/>
            <w:vAlign w:val="bottom"/>
          </w:tcPr>
          <w:p>
            <w:pPr>
              <w:ind w:left="40"/>
              <w:spacing w:after="0"/>
              <w:rPr>
                <w:sz w:val="20"/>
                <w:szCs w:val="20"/>
                <w:color w:val="auto"/>
              </w:rPr>
            </w:pPr>
            <w:r>
              <w:rPr>
                <w:rFonts w:ascii="Arial" w:cs="Arial" w:eastAsia="Arial" w:hAnsi="Arial"/>
                <w:sz w:val="14"/>
                <w:szCs w:val="14"/>
                <w:color w:val="457157"/>
              </w:rPr>
              <w:t>​</w:t>
            </w:r>
          </w:p>
        </w:tc>
        <w:tc>
          <w:tcPr>
            <w:tcW w:w="3120" w:type="dxa"/>
            <w:vAlign w:val="bottom"/>
          </w:tcPr>
          <w:p>
            <w:pPr>
              <w:ind w:left="500"/>
              <w:spacing w:after="0"/>
              <w:rPr>
                <w:sz w:val="20"/>
                <w:szCs w:val="20"/>
                <w:color w:val="auto"/>
              </w:rPr>
            </w:pPr>
            <w:r>
              <w:rPr>
                <w:rFonts w:ascii="Arial" w:cs="Arial" w:eastAsia="Arial" w:hAnsi="Arial"/>
                <w:sz w:val="28"/>
                <w:szCs w:val="28"/>
                <w:color w:val="457157"/>
                <w:vertAlign w:val="subscript"/>
              </w:rPr>
              <w:t>​​</w:t>
            </w:r>
            <w:r>
              <w:rPr>
                <w:rFonts w:ascii="Arial" w:cs="Arial" w:eastAsia="Arial" w:hAnsi="Arial"/>
                <w:sz w:val="16"/>
                <w:szCs w:val="16"/>
                <w:b w:val="1"/>
                <w:bCs w:val="1"/>
                <w:color w:val="457157"/>
              </w:rPr>
              <w:t>Executive</w:t>
            </w:r>
          </w:p>
        </w:tc>
        <w:tc>
          <w:tcPr>
            <w:tcW w:w="180" w:type="dxa"/>
            <w:vAlign w:val="bottom"/>
            <w:gridSpan w:val="2"/>
          </w:tcPr>
          <w:p>
            <w:pPr>
              <w:ind w:left="100"/>
              <w:spacing w:after="0"/>
              <w:rPr>
                <w:sz w:val="20"/>
                <w:szCs w:val="20"/>
                <w:color w:val="auto"/>
              </w:rPr>
            </w:pPr>
            <w:r>
              <w:rPr>
                <w:rFonts w:ascii="Arial" w:cs="Arial" w:eastAsia="Arial" w:hAnsi="Arial"/>
                <w:sz w:val="14"/>
                <w:szCs w:val="14"/>
                <w:color w:val="457157"/>
              </w:rPr>
              <w:t>​</w:t>
            </w:r>
          </w:p>
        </w:tc>
        <w:tc>
          <w:tcPr>
            <w:tcW w:w="380" w:type="dxa"/>
            <w:vAlign w:val="bottom"/>
            <w:shd w:val="clear" w:color="auto" w:fill="457157"/>
          </w:tcPr>
          <w:p>
            <w:pPr>
              <w:ind w:left="20"/>
              <w:spacing w:after="0"/>
              <w:rPr>
                <w:sz w:val="20"/>
                <w:szCs w:val="20"/>
                <w:color w:val="auto"/>
              </w:rPr>
            </w:pPr>
            <w:r>
              <w:rPr>
                <w:rFonts w:ascii="Arial" w:cs="Arial" w:eastAsia="Arial" w:hAnsi="Arial"/>
                <w:sz w:val="14"/>
                <w:szCs w:val="14"/>
                <w:color w:val="457157"/>
              </w:rPr>
              <w:t>​</w:t>
            </w:r>
          </w:p>
        </w:tc>
        <w:tc>
          <w:tcPr>
            <w:tcW w:w="260" w:type="dxa"/>
            <w:vAlign w:val="bottom"/>
            <w:shd w:val="clear" w:color="auto" w:fill="457157"/>
          </w:tcPr>
          <w:p>
            <w:pPr>
              <w:ind w:left="240"/>
              <w:spacing w:after="0"/>
              <w:rPr>
                <w:sz w:val="20"/>
                <w:szCs w:val="20"/>
                <w:color w:val="auto"/>
              </w:rPr>
            </w:pPr>
            <w:r>
              <w:rPr>
                <w:rFonts w:ascii="Arial" w:cs="Arial" w:eastAsia="Arial" w:hAnsi="Arial"/>
                <w:sz w:val="1"/>
                <w:szCs w:val="1"/>
                <w:color w:val="457157"/>
                <w:w w:val="4294942296"/>
              </w:rPr>
              <w:t>​</w:t>
            </w:r>
          </w:p>
        </w:tc>
        <w:tc>
          <w:tcPr>
            <w:tcW w:w="2080" w:type="dxa"/>
            <w:vAlign w:val="bottom"/>
            <w:gridSpan w:val="7"/>
          </w:tcPr>
          <w:p>
            <w:pPr>
              <w:jc w:val="right"/>
              <w:spacing w:after="0"/>
              <w:rPr>
                <w:sz w:val="20"/>
                <w:szCs w:val="20"/>
                <w:color w:val="auto"/>
              </w:rPr>
            </w:pPr>
            <w:r>
              <w:rPr>
                <w:rFonts w:ascii="Arial" w:cs="Arial" w:eastAsia="Arial" w:hAnsi="Arial"/>
                <w:sz w:val="28"/>
                <w:szCs w:val="28"/>
                <w:color w:val="457157"/>
                <w:vertAlign w:val="subscript"/>
              </w:rPr>
              <w:t>​</w:t>
            </w:r>
            <w:r>
              <w:rPr>
                <w:rFonts w:ascii="Arial" w:cs="Arial" w:eastAsia="Arial" w:hAnsi="Arial"/>
                <w:sz w:val="16"/>
                <w:szCs w:val="16"/>
                <w:b w:val="1"/>
                <w:bCs w:val="1"/>
                <w:color w:val="457157"/>
              </w:rPr>
              <w:t>Public Company Board</w:t>
            </w:r>
          </w:p>
        </w:tc>
        <w:tc>
          <w:tcPr>
            <w:tcW w:w="160" w:type="dxa"/>
            <w:vAlign w:val="bottom"/>
            <w:gridSpan w:val="2"/>
          </w:tcPr>
          <w:p>
            <w:pPr>
              <w:ind w:left="80"/>
              <w:spacing w:after="0"/>
              <w:rPr>
                <w:sz w:val="20"/>
                <w:szCs w:val="20"/>
                <w:color w:val="auto"/>
              </w:rPr>
            </w:pPr>
            <w:r>
              <w:rPr>
                <w:rFonts w:ascii="Arial" w:cs="Arial" w:eastAsia="Arial" w:hAnsi="Arial"/>
                <w:sz w:val="14"/>
                <w:szCs w:val="14"/>
                <w:color w:val="457157"/>
              </w:rPr>
              <w:t>​</w:t>
            </w:r>
          </w:p>
        </w:tc>
        <w:tc>
          <w:tcPr>
            <w:tcW w:w="120" w:type="dxa"/>
            <w:vAlign w:val="bottom"/>
            <w:shd w:val="clear" w:color="auto" w:fill="457157"/>
          </w:tcPr>
          <w:p>
            <w:pPr>
              <w:ind w:left="20"/>
              <w:spacing w:after="0"/>
              <w:rPr>
                <w:sz w:val="20"/>
                <w:szCs w:val="20"/>
                <w:color w:val="auto"/>
              </w:rPr>
            </w:pPr>
            <w:r>
              <w:rPr>
                <w:rFonts w:ascii="Arial" w:cs="Arial" w:eastAsia="Arial" w:hAnsi="Arial"/>
                <w:sz w:val="14"/>
                <w:szCs w:val="14"/>
                <w:color w:val="457157"/>
              </w:rPr>
              <w:t>​</w:t>
            </w:r>
          </w:p>
        </w:tc>
        <w:tc>
          <w:tcPr>
            <w:tcW w:w="580" w:type="dxa"/>
            <w:vAlign w:val="bottom"/>
            <w:tcBorders>
              <w:right w:val="single" w:sz="8" w:color="E5E5E5"/>
            </w:tcBorders>
            <w:shd w:val="clear" w:color="auto" w:fill="457157"/>
          </w:tcPr>
          <w:p>
            <w:pPr>
              <w:ind w:left="500"/>
              <w:spacing w:after="0"/>
              <w:rPr>
                <w:sz w:val="20"/>
                <w:szCs w:val="20"/>
                <w:color w:val="auto"/>
              </w:rPr>
            </w:pPr>
            <w:r>
              <w:rPr>
                <w:rFonts w:ascii="Arial" w:cs="Arial" w:eastAsia="Arial" w:hAnsi="Arial"/>
                <w:sz w:val="14"/>
                <w:szCs w:val="14"/>
                <w:color w:val="457157"/>
              </w:rPr>
              <w:t>​</w:t>
            </w:r>
          </w:p>
        </w:tc>
        <w:tc>
          <w:tcPr>
            <w:tcW w:w="900" w:type="dxa"/>
            <w:vAlign w:val="bottom"/>
            <w:gridSpan w:val="4"/>
            <w:shd w:val="clear" w:color="auto" w:fill="E5E5E5"/>
          </w:tcPr>
          <w:p>
            <w:pPr>
              <w:spacing w:after="0"/>
              <w:rPr>
                <w:sz w:val="20"/>
                <w:szCs w:val="20"/>
                <w:color w:val="auto"/>
              </w:rPr>
            </w:pPr>
            <w:r>
              <w:rPr>
                <w:rFonts w:ascii="Arial" w:cs="Arial" w:eastAsia="Arial" w:hAnsi="Arial"/>
                <w:sz w:val="28"/>
                <w:szCs w:val="28"/>
                <w:color w:val="457157"/>
                <w:vertAlign w:val="subscript"/>
              </w:rPr>
              <w:t>​</w:t>
            </w:r>
            <w:r>
              <w:rPr>
                <w:rFonts w:ascii="Arial" w:cs="Arial" w:eastAsia="Arial" w:hAnsi="Arial"/>
                <w:sz w:val="16"/>
                <w:szCs w:val="16"/>
                <w:b w:val="1"/>
                <w:bCs w:val="1"/>
                <w:color w:val="457157"/>
              </w:rPr>
              <w:t>Strategic</w:t>
            </w:r>
          </w:p>
        </w:tc>
        <w:tc>
          <w:tcPr>
            <w:tcW w:w="120" w:type="dxa"/>
            <w:vAlign w:val="bottom"/>
            <w:shd w:val="clear" w:color="auto" w:fill="E5E5E5"/>
          </w:tcPr>
          <w:p>
            <w:pPr>
              <w:spacing w:after="0"/>
              <w:rPr>
                <w:sz w:val="24"/>
                <w:szCs w:val="24"/>
                <w:color w:val="auto"/>
              </w:rPr>
            </w:pPr>
          </w:p>
        </w:tc>
        <w:tc>
          <w:tcPr>
            <w:tcW w:w="140" w:type="dxa"/>
            <w:vAlign w:val="bottom"/>
            <w:shd w:val="clear" w:color="auto" w:fill="E5E5E5"/>
          </w:tcPr>
          <w:p>
            <w:pPr>
              <w:spacing w:after="0"/>
              <w:rPr>
                <w:sz w:val="24"/>
                <w:szCs w:val="24"/>
                <w:color w:val="auto"/>
              </w:rPr>
            </w:pPr>
          </w:p>
        </w:tc>
        <w:tc>
          <w:tcPr>
            <w:tcW w:w="280" w:type="dxa"/>
            <w:vAlign w:val="bottom"/>
            <w:shd w:val="clear" w:color="auto" w:fill="E5E5E5"/>
          </w:tcPr>
          <w:p>
            <w:pPr>
              <w:spacing w:after="0"/>
              <w:rPr>
                <w:sz w:val="24"/>
                <w:szCs w:val="24"/>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4"/>
                <w:szCs w:val="14"/>
                <w:color w:val="457157"/>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3120" w:type="dxa"/>
            <w:vAlign w:val="bottom"/>
          </w:tcPr>
          <w:p>
            <w:pPr>
              <w:ind w:left="580"/>
              <w:spacing w:after="0"/>
              <w:rPr>
                <w:sz w:val="20"/>
                <w:szCs w:val="20"/>
                <w:color w:val="auto"/>
              </w:rPr>
            </w:pPr>
            <w:r>
              <w:rPr>
                <w:rFonts w:ascii="Arial" w:cs="Arial" w:eastAsia="Arial" w:hAnsi="Arial"/>
                <w:sz w:val="16"/>
                <w:szCs w:val="16"/>
                <w:b w:val="1"/>
                <w:bCs w:val="1"/>
                <w:color w:val="457157"/>
              </w:rPr>
              <w:t>Leadership</w:t>
            </w:r>
            <w:r>
              <w:rPr>
                <w:rFonts w:ascii="Arial" w:cs="Arial" w:eastAsia="Arial" w:hAnsi="Arial"/>
                <w:sz w:val="14"/>
                <w:szCs w:val="14"/>
                <w:color w:val="000000"/>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Borders>
              <w:bottom w:val="single" w:sz="8" w:color="457157"/>
            </w:tcBorders>
            <w:shd w:val="clear" w:color="auto" w:fill="457157"/>
          </w:tcPr>
          <w:p>
            <w:pPr>
              <w:spacing w:after="0"/>
              <w:rPr>
                <w:sz w:val="21"/>
                <w:szCs w:val="21"/>
                <w:color w:val="auto"/>
              </w:rPr>
            </w:pPr>
          </w:p>
        </w:tc>
        <w:tc>
          <w:tcPr>
            <w:tcW w:w="260" w:type="dxa"/>
            <w:vAlign w:val="bottom"/>
            <w:tcBorders>
              <w:bottom w:val="single" w:sz="8" w:color="457157"/>
            </w:tcBorders>
            <w:shd w:val="clear" w:color="auto" w:fill="457157"/>
          </w:tcPr>
          <w:p>
            <w:pPr>
              <w:spacing w:after="0"/>
              <w:rPr>
                <w:sz w:val="21"/>
                <w:szCs w:val="21"/>
                <w:color w:val="auto"/>
              </w:rPr>
            </w:pPr>
          </w:p>
        </w:tc>
        <w:tc>
          <w:tcPr>
            <w:tcW w:w="1540" w:type="dxa"/>
            <w:vAlign w:val="bottom"/>
            <w:gridSpan w:val="6"/>
          </w:tcPr>
          <w:p>
            <w:pPr>
              <w:ind w:left="80"/>
              <w:spacing w:after="0"/>
              <w:rPr>
                <w:sz w:val="20"/>
                <w:szCs w:val="20"/>
                <w:color w:val="auto"/>
              </w:rPr>
            </w:pPr>
            <w:r>
              <w:rPr>
                <w:rFonts w:ascii="Arial" w:cs="Arial" w:eastAsia="Arial" w:hAnsi="Arial"/>
                <w:sz w:val="16"/>
                <w:szCs w:val="16"/>
                <w:b w:val="1"/>
                <w:bCs w:val="1"/>
                <w:color w:val="457157"/>
              </w:rPr>
              <w:t>and Governance</w:t>
            </w:r>
            <w:r>
              <w:rPr>
                <w:rFonts w:ascii="Arial" w:cs="Arial" w:eastAsia="Arial" w:hAnsi="Arial"/>
                <w:sz w:val="14"/>
                <w:szCs w:val="14"/>
                <w:color w:val="000000"/>
              </w:rPr>
              <w:t>​</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Borders>
              <w:bottom w:val="single" w:sz="8" w:color="457157"/>
            </w:tcBorders>
            <w:shd w:val="clear" w:color="auto" w:fill="457157"/>
          </w:tcPr>
          <w:p>
            <w:pPr>
              <w:spacing w:after="0"/>
              <w:rPr>
                <w:sz w:val="21"/>
                <w:szCs w:val="21"/>
                <w:color w:val="auto"/>
              </w:rPr>
            </w:pPr>
          </w:p>
        </w:tc>
        <w:tc>
          <w:tcPr>
            <w:tcW w:w="580" w:type="dxa"/>
            <w:vAlign w:val="bottom"/>
            <w:tcBorders>
              <w:bottom w:val="single" w:sz="8" w:color="457157"/>
              <w:right w:val="single" w:sz="8" w:color="E5E5E5"/>
            </w:tcBorders>
            <w:shd w:val="clear" w:color="auto" w:fill="457157"/>
          </w:tcPr>
          <w:p>
            <w:pPr>
              <w:spacing w:after="0"/>
              <w:rPr>
                <w:sz w:val="21"/>
                <w:szCs w:val="21"/>
                <w:color w:val="auto"/>
              </w:rPr>
            </w:pPr>
          </w:p>
        </w:tc>
        <w:tc>
          <w:tcPr>
            <w:tcW w:w="900" w:type="dxa"/>
            <w:vAlign w:val="bottom"/>
            <w:tcBorders>
              <w:bottom w:val="single" w:sz="8" w:color="E5E5E5"/>
            </w:tcBorders>
            <w:gridSpan w:val="4"/>
            <w:shd w:val="clear" w:color="auto" w:fill="E5E5E5"/>
          </w:tcPr>
          <w:p>
            <w:pPr>
              <w:ind w:left="20"/>
              <w:spacing w:after="0"/>
              <w:rPr>
                <w:sz w:val="20"/>
                <w:szCs w:val="20"/>
                <w:color w:val="auto"/>
              </w:rPr>
            </w:pPr>
            <w:r>
              <w:rPr>
                <w:rFonts w:ascii="Arial" w:cs="Arial" w:eastAsia="Arial" w:hAnsi="Arial"/>
                <w:sz w:val="16"/>
                <w:szCs w:val="16"/>
                <w:b w:val="1"/>
                <w:bCs w:val="1"/>
                <w:color w:val="457157"/>
              </w:rPr>
              <w:t>Planning</w:t>
            </w:r>
            <w:r>
              <w:rPr>
                <w:rFonts w:ascii="Arial" w:cs="Arial" w:eastAsia="Arial" w:hAnsi="Arial"/>
                <w:sz w:val="14"/>
                <w:szCs w:val="14"/>
                <w:color w:val="000000"/>
              </w:rPr>
              <w:t>​</w:t>
            </w:r>
          </w:p>
        </w:tc>
        <w:tc>
          <w:tcPr>
            <w:tcW w:w="120" w:type="dxa"/>
            <w:vAlign w:val="bottom"/>
            <w:tcBorders>
              <w:bottom w:val="single" w:sz="8" w:color="E5E5E5"/>
            </w:tcBorders>
            <w:shd w:val="clear" w:color="auto" w:fill="E5E5E5"/>
          </w:tcPr>
          <w:p>
            <w:pPr>
              <w:spacing w:after="0"/>
              <w:rPr>
                <w:sz w:val="21"/>
                <w:szCs w:val="21"/>
                <w:color w:val="auto"/>
              </w:rPr>
            </w:pPr>
          </w:p>
        </w:tc>
        <w:tc>
          <w:tcPr>
            <w:tcW w:w="140" w:type="dxa"/>
            <w:vAlign w:val="bottom"/>
            <w:tcBorders>
              <w:bottom w:val="single" w:sz="8" w:color="E5E5E5"/>
            </w:tcBorders>
            <w:shd w:val="clear" w:color="auto" w:fill="E5E5E5"/>
          </w:tcPr>
          <w:p>
            <w:pPr>
              <w:spacing w:after="0"/>
              <w:rPr>
                <w:sz w:val="21"/>
                <w:szCs w:val="21"/>
                <w:color w:val="auto"/>
              </w:rPr>
            </w:pPr>
          </w:p>
        </w:tc>
        <w:tc>
          <w:tcPr>
            <w:tcW w:w="280" w:type="dxa"/>
            <w:vAlign w:val="bottom"/>
            <w:tcBorders>
              <w:bottom w:val="single" w:sz="8" w:color="E5E5E5"/>
            </w:tcBorders>
            <w:shd w:val="clear" w:color="auto" w:fill="E5E5E5"/>
          </w:tcPr>
          <w:p>
            <w:pPr>
              <w:spacing w:after="0"/>
              <w:rPr>
                <w:sz w:val="21"/>
                <w:szCs w:val="21"/>
                <w:color w:val="auto"/>
              </w:rPr>
            </w:pPr>
          </w:p>
        </w:tc>
        <w:tc>
          <w:tcPr>
            <w:tcW w:w="600" w:type="dxa"/>
            <w:vAlign w:val="bottom"/>
            <w:tcBorders>
              <w:bottom w:val="single" w:sz="8" w:color="E5E5E5"/>
            </w:tcBorders>
            <w:shd w:val="clear" w:color="auto" w:fill="E5E5E5"/>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40" w:type="dxa"/>
            <w:vAlign w:val="bottom"/>
            <w:shd w:val="clear" w:color="auto" w:fill="F2F2F2"/>
          </w:tcPr>
          <w:p>
            <w:pPr>
              <w:spacing w:after="0"/>
              <w:rPr>
                <w:sz w:val="20"/>
                <w:szCs w:val="20"/>
                <w:color w:val="auto"/>
              </w:rPr>
            </w:pPr>
            <w:r>
              <w:rPr>
                <w:rFonts w:ascii="Arial" w:cs="Arial" w:eastAsia="Arial" w:hAnsi="Arial"/>
                <w:sz w:val="14"/>
                <w:szCs w:val="14"/>
                <w:color w:val="auto"/>
              </w:rPr>
              <w:t>​</w:t>
            </w: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Directors   who   hold   or   have   held</w:t>
            </w:r>
          </w:p>
        </w:tc>
        <w:tc>
          <w:tcPr>
            <w:tcW w:w="120" w:type="dxa"/>
            <w:vAlign w:val="bottom"/>
            <w:shd w:val="clear" w:color="auto" w:fill="F2F2F2"/>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2720" w:type="dxa"/>
            <w:vAlign w:val="bottom"/>
            <w:gridSpan w:val="9"/>
            <w:shd w:val="clear" w:color="auto" w:fill="F6F8F7"/>
          </w:tcPr>
          <w:p>
            <w:pPr>
              <w:jc w:val="right"/>
              <w:ind w:right="28"/>
              <w:spacing w:after="0" w:line="27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Directors with a history of service</w:t>
            </w:r>
          </w:p>
        </w:tc>
        <w:tc>
          <w:tcPr>
            <w:tcW w:w="100" w:type="dxa"/>
            <w:vAlign w:val="bottom"/>
            <w:shd w:val="clear" w:color="auto" w:fill="F6F8F7"/>
          </w:tcPr>
          <w:p>
            <w:pPr>
              <w:ind w:lef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20" w:type="dxa"/>
            <w:vAlign w:val="bottom"/>
            <w:shd w:val="clear" w:color="auto" w:fill="F2F2F2"/>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Directors</w:t>
            </w:r>
          </w:p>
        </w:tc>
        <w:tc>
          <w:tcPr>
            <w:tcW w:w="140" w:type="dxa"/>
            <w:vAlign w:val="bottom"/>
            <w:shd w:val="clear" w:color="auto" w:fill="F2F2F2"/>
          </w:tcPr>
          <w:p>
            <w:pPr>
              <w:spacing w:after="0"/>
              <w:rPr>
                <w:sz w:val="23"/>
                <w:szCs w:val="23"/>
                <w:color w:val="auto"/>
              </w:rPr>
            </w:pPr>
          </w:p>
        </w:tc>
        <w:tc>
          <w:tcPr>
            <w:tcW w:w="48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with</w:t>
            </w:r>
          </w:p>
        </w:tc>
        <w:tc>
          <w:tcPr>
            <w:tcW w:w="120" w:type="dxa"/>
            <w:vAlign w:val="bottom"/>
            <w:shd w:val="clear" w:color="auto" w:fill="F2F2F2"/>
          </w:tcPr>
          <w:p>
            <w:pPr>
              <w:spacing w:after="0"/>
              <w:rPr>
                <w:sz w:val="23"/>
                <w:szCs w:val="23"/>
                <w:color w:val="auto"/>
              </w:rPr>
            </w:pPr>
          </w:p>
        </w:tc>
        <w:tc>
          <w:tcPr>
            <w:tcW w:w="1020" w:type="dxa"/>
            <w:vAlign w:val="bottom"/>
            <w:gridSpan w:val="3"/>
            <w:shd w:val="clear" w:color="auto" w:fill="F2F2F2"/>
          </w:tcPr>
          <w:p>
            <w:pPr>
              <w:jc w:val="right"/>
              <w:spacing w:after="0" w:line="274" w:lineRule="exact"/>
              <w:rPr>
                <w:sz w:val="20"/>
                <w:szCs w:val="20"/>
                <w:color w:val="auto"/>
              </w:rPr>
            </w:pPr>
            <w:r>
              <w:rPr>
                <w:rFonts w:ascii="Arial" w:cs="Arial" w:eastAsia="Arial" w:hAnsi="Arial"/>
                <w:sz w:val="14"/>
                <w:szCs w:val="14"/>
                <w:color w:val="auto"/>
              </w:rPr>
              <w:t xml:space="preserve">experience  </w:t>
            </w:r>
            <w:r>
              <w:rPr>
                <w:rFonts w:ascii="Arial" w:cs="Arial" w:eastAsia="Arial" w:hAnsi="Arial"/>
                <w:sz w:val="28"/>
                <w:szCs w:val="28"/>
                <w:color w:val="auto"/>
                <w:vertAlign w:val="superscript"/>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significant executive leadership positions</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2720" w:type="dxa"/>
            <w:vAlign w:val="bottom"/>
            <w:gridSpan w:val="9"/>
            <w:shd w:val="clear" w:color="auto" w:fill="F6F8F7"/>
          </w:tcPr>
          <w:p>
            <w:pPr>
              <w:ind w:left="180"/>
              <w:spacing w:after="0"/>
              <w:rPr>
                <w:sz w:val="20"/>
                <w:szCs w:val="20"/>
                <w:color w:val="auto"/>
              </w:rPr>
            </w:pPr>
            <w:r>
              <w:rPr>
                <w:rFonts w:ascii="Arial" w:cs="Arial" w:eastAsia="Arial" w:hAnsi="Arial"/>
                <w:sz w:val="14"/>
                <w:szCs w:val="14"/>
                <w:color w:val="auto"/>
              </w:rPr>
              <w:t>on  other  public  company  boards</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86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developing</w:t>
            </w:r>
          </w:p>
        </w:tc>
        <w:tc>
          <w:tcPr>
            <w:tcW w:w="140" w:type="dxa"/>
            <w:vAlign w:val="bottom"/>
            <w:shd w:val="clear" w:color="auto" w:fill="F2F2F2"/>
          </w:tcPr>
          <w:p>
            <w:pPr>
              <w:spacing w:after="0"/>
              <w:rPr>
                <w:sz w:val="15"/>
                <w:szCs w:val="15"/>
                <w:color w:val="auto"/>
              </w:rPr>
            </w:pPr>
          </w:p>
        </w:tc>
        <w:tc>
          <w:tcPr>
            <w:tcW w:w="48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and</w:t>
            </w:r>
          </w:p>
        </w:tc>
        <w:tc>
          <w:tcPr>
            <w:tcW w:w="540" w:type="dxa"/>
            <w:vAlign w:val="bottom"/>
            <w:gridSpan w:val="3"/>
            <w:shd w:val="clear" w:color="auto" w:fill="F2F2F2"/>
          </w:tcPr>
          <w:p>
            <w:pPr>
              <w:spacing w:after="0"/>
              <w:rPr>
                <w:sz w:val="20"/>
                <w:szCs w:val="20"/>
                <w:color w:val="auto"/>
              </w:rPr>
            </w:pPr>
            <w:r>
              <w:rPr>
                <w:rFonts w:ascii="Arial" w:cs="Arial" w:eastAsia="Arial" w:hAnsi="Arial"/>
                <w:sz w:val="14"/>
                <w:szCs w:val="14"/>
                <w:color w:val="auto"/>
              </w:rPr>
              <w:t>driving</w:t>
            </w:r>
          </w:p>
        </w:tc>
        <w:tc>
          <w:tcPr>
            <w:tcW w:w="60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the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with  large  organizations  provide  unique</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2720" w:type="dxa"/>
            <w:vAlign w:val="bottom"/>
            <w:gridSpan w:val="9"/>
            <w:shd w:val="clear" w:color="auto" w:fill="F6F8F7"/>
          </w:tcPr>
          <w:p>
            <w:pPr>
              <w:ind w:left="180"/>
              <w:spacing w:after="0"/>
              <w:rPr>
                <w:sz w:val="20"/>
                <w:szCs w:val="20"/>
                <w:color w:val="auto"/>
              </w:rPr>
            </w:pPr>
            <w:r>
              <w:rPr>
                <w:rFonts w:ascii="Arial" w:cs="Arial" w:eastAsia="Arial" w:hAnsi="Arial"/>
                <w:sz w:val="14"/>
                <w:szCs w:val="14"/>
                <w:color w:val="auto"/>
              </w:rPr>
              <w:t>help our Board function effectively</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2620" w:type="dxa"/>
            <w:vAlign w:val="bottom"/>
            <w:gridSpan w:val="9"/>
            <w:shd w:val="clear" w:color="auto" w:fill="F2F2F2"/>
          </w:tcPr>
          <w:p>
            <w:pPr>
              <w:ind w:left="60"/>
              <w:spacing w:after="0"/>
              <w:rPr>
                <w:sz w:val="20"/>
                <w:szCs w:val="20"/>
                <w:color w:val="auto"/>
              </w:rPr>
            </w:pPr>
            <w:r>
              <w:rPr>
                <w:rFonts w:ascii="Arial" w:cs="Arial" w:eastAsia="Arial" w:hAnsi="Arial"/>
                <w:sz w:val="14"/>
                <w:szCs w:val="14"/>
                <w:color w:val="auto"/>
              </w:rPr>
              <w:t>strategic direction and growth of</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F2F2F2"/>
          </w:tcPr>
          <w:p>
            <w:pPr>
              <w:spacing w:after="0"/>
              <w:rPr>
                <w:sz w:val="14"/>
                <w:szCs w:val="14"/>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insights. These individuals have valuable</w:t>
            </w:r>
          </w:p>
        </w:tc>
        <w:tc>
          <w:tcPr>
            <w:tcW w:w="120" w:type="dxa"/>
            <w:vAlign w:val="bottom"/>
            <w:shd w:val="clear" w:color="auto" w:fill="F2F2F2"/>
          </w:tcPr>
          <w:p>
            <w:pPr>
              <w:spacing w:after="0"/>
              <w:rPr>
                <w:sz w:val="14"/>
                <w:szCs w:val="14"/>
                <w:color w:val="auto"/>
              </w:rPr>
            </w:pPr>
          </w:p>
        </w:tc>
        <w:tc>
          <w:tcPr>
            <w:tcW w:w="60" w:type="dxa"/>
            <w:vAlign w:val="bottom"/>
          </w:tcPr>
          <w:p>
            <w:pPr>
              <w:spacing w:after="0"/>
              <w:rPr>
                <w:sz w:val="14"/>
                <w:szCs w:val="14"/>
                <w:color w:val="auto"/>
              </w:rPr>
            </w:pPr>
          </w:p>
        </w:tc>
        <w:tc>
          <w:tcPr>
            <w:tcW w:w="2720" w:type="dxa"/>
            <w:vAlign w:val="bottom"/>
            <w:gridSpan w:val="9"/>
            <w:shd w:val="clear" w:color="auto" w:fill="F6F8F7"/>
          </w:tcPr>
          <w:p>
            <w:pPr>
              <w:ind w:left="180"/>
              <w:spacing w:after="0"/>
              <w:rPr>
                <w:sz w:val="20"/>
                <w:szCs w:val="20"/>
                <w:color w:val="auto"/>
              </w:rPr>
            </w:pPr>
            <w:r>
              <w:rPr>
                <w:rFonts w:ascii="Arial" w:cs="Arial" w:eastAsia="Arial" w:hAnsi="Arial"/>
                <w:sz w:val="14"/>
                <w:szCs w:val="14"/>
                <w:color w:val="auto"/>
              </w:rPr>
              <w:t>by   drawing   on   knowledge   of</w:t>
            </w:r>
          </w:p>
        </w:tc>
        <w:tc>
          <w:tcPr>
            <w:tcW w:w="100" w:type="dxa"/>
            <w:vAlign w:val="bottom"/>
            <w:shd w:val="clear" w:color="auto" w:fill="F6F8F7"/>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58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large</w:t>
            </w:r>
          </w:p>
        </w:tc>
        <w:tc>
          <w:tcPr>
            <w:tcW w:w="1020" w:type="dxa"/>
            <w:vAlign w:val="bottom"/>
            <w:gridSpan w:val="5"/>
            <w:shd w:val="clear" w:color="auto" w:fill="F2F2F2"/>
          </w:tcPr>
          <w:p>
            <w:pPr>
              <w:jc w:val="right"/>
              <w:spacing w:after="0"/>
              <w:rPr>
                <w:sz w:val="20"/>
                <w:szCs w:val="20"/>
                <w:color w:val="auto"/>
              </w:rPr>
            </w:pPr>
            <w:r>
              <w:rPr>
                <w:rFonts w:ascii="Arial" w:cs="Arial" w:eastAsia="Arial" w:hAnsi="Arial"/>
                <w:sz w:val="14"/>
                <w:szCs w:val="14"/>
                <w:color w:val="auto"/>
              </w:rPr>
              <w:t>organizations</w:t>
            </w:r>
          </w:p>
        </w:tc>
        <w:tc>
          <w:tcPr>
            <w:tcW w:w="140" w:type="dxa"/>
            <w:vAlign w:val="bottom"/>
            <w:shd w:val="clear" w:color="auto" w:fill="F2F2F2"/>
          </w:tcPr>
          <w:p>
            <w:pPr>
              <w:spacing w:after="0"/>
              <w:rPr>
                <w:sz w:val="14"/>
                <w:szCs w:val="14"/>
                <w:color w:val="auto"/>
              </w:rPr>
            </w:pPr>
          </w:p>
        </w:tc>
        <w:tc>
          <w:tcPr>
            <w:tcW w:w="880" w:type="dxa"/>
            <w:vAlign w:val="bottom"/>
            <w:gridSpan w:val="2"/>
            <w:shd w:val="clear" w:color="auto" w:fill="F2F2F2"/>
          </w:tcPr>
          <w:p>
            <w:pPr>
              <w:jc w:val="right"/>
              <w:ind w:right="168"/>
              <w:spacing w:after="0"/>
              <w:rPr>
                <w:sz w:val="20"/>
                <w:szCs w:val="20"/>
                <w:color w:val="auto"/>
              </w:rPr>
            </w:pPr>
            <w:r>
              <w:rPr>
                <w:rFonts w:ascii="Arial" w:cs="Arial" w:eastAsia="Arial" w:hAnsi="Arial"/>
                <w:sz w:val="14"/>
                <w:szCs w:val="14"/>
                <w:color w:val="auto"/>
              </w:rPr>
              <w:t>provide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experience developing talent and solving</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2720" w:type="dxa"/>
            <w:vAlign w:val="bottom"/>
            <w:gridSpan w:val="9"/>
            <w:shd w:val="clear" w:color="auto" w:fill="F6F8F7"/>
          </w:tcPr>
          <w:p>
            <w:pPr>
              <w:ind w:left="180"/>
              <w:spacing w:after="0"/>
              <w:rPr>
                <w:sz w:val="20"/>
                <w:szCs w:val="20"/>
                <w:color w:val="auto"/>
              </w:rPr>
            </w:pPr>
            <w:r>
              <w:rPr>
                <w:rFonts w:ascii="Arial" w:cs="Arial" w:eastAsia="Arial" w:hAnsi="Arial"/>
                <w:sz w:val="14"/>
                <w:szCs w:val="14"/>
                <w:color w:val="auto"/>
              </w:rPr>
              <w:t>governance best practices. These</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86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valuable</w:t>
            </w:r>
          </w:p>
        </w:tc>
        <w:tc>
          <w:tcPr>
            <w:tcW w:w="740" w:type="dxa"/>
            <w:vAlign w:val="bottom"/>
            <w:gridSpan w:val="4"/>
            <w:shd w:val="clear" w:color="auto" w:fill="F2F2F2"/>
          </w:tcPr>
          <w:p>
            <w:pPr>
              <w:ind w:left="40"/>
              <w:spacing w:after="0"/>
              <w:rPr>
                <w:sz w:val="20"/>
                <w:szCs w:val="20"/>
                <w:color w:val="auto"/>
              </w:rPr>
            </w:pPr>
            <w:r>
              <w:rPr>
                <w:rFonts w:ascii="Arial" w:cs="Arial" w:eastAsia="Arial" w:hAnsi="Arial"/>
                <w:sz w:val="14"/>
                <w:szCs w:val="14"/>
                <w:color w:val="auto"/>
              </w:rPr>
              <w:t>guidance</w:t>
            </w:r>
          </w:p>
        </w:tc>
        <w:tc>
          <w:tcPr>
            <w:tcW w:w="140" w:type="dxa"/>
            <w:vAlign w:val="bottom"/>
            <w:shd w:val="clear" w:color="auto" w:fill="F2F2F2"/>
          </w:tcPr>
          <w:p>
            <w:pPr>
              <w:spacing w:after="0"/>
              <w:rPr>
                <w:sz w:val="15"/>
                <w:szCs w:val="15"/>
                <w:color w:val="auto"/>
              </w:rPr>
            </w:pPr>
          </w:p>
        </w:tc>
        <w:tc>
          <w:tcPr>
            <w:tcW w:w="280" w:type="dxa"/>
            <w:vAlign w:val="bottom"/>
            <w:shd w:val="clear" w:color="auto" w:fill="F2F2F2"/>
          </w:tcPr>
          <w:p>
            <w:pPr>
              <w:ind w:left="40"/>
              <w:spacing w:after="0"/>
              <w:rPr>
                <w:sz w:val="20"/>
                <w:szCs w:val="20"/>
                <w:color w:val="auto"/>
              </w:rPr>
            </w:pPr>
            <w:r>
              <w:rPr>
                <w:rFonts w:ascii="Arial" w:cs="Arial" w:eastAsia="Arial" w:hAnsi="Arial"/>
                <w:sz w:val="14"/>
                <w:szCs w:val="14"/>
                <w:color w:val="auto"/>
              </w:rPr>
              <w:t>to</w:t>
            </w:r>
          </w:p>
        </w:tc>
        <w:tc>
          <w:tcPr>
            <w:tcW w:w="60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the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problems in large, complex organizations</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3"/>
            <w:shd w:val="clear" w:color="auto" w:fill="F6F8F7"/>
          </w:tcPr>
          <w:p>
            <w:pPr>
              <w:ind w:left="180"/>
              <w:spacing w:after="0"/>
              <w:rPr>
                <w:sz w:val="20"/>
                <w:szCs w:val="20"/>
                <w:color w:val="auto"/>
              </w:rPr>
            </w:pPr>
            <w:r>
              <w:rPr>
                <w:rFonts w:ascii="Arial" w:cs="Arial" w:eastAsia="Arial" w:hAnsi="Arial"/>
                <w:sz w:val="14"/>
                <w:szCs w:val="14"/>
                <w:color w:val="auto"/>
              </w:rPr>
              <w:t>individuals</w:t>
            </w:r>
          </w:p>
        </w:tc>
        <w:tc>
          <w:tcPr>
            <w:tcW w:w="80" w:type="dxa"/>
            <w:vAlign w:val="bottom"/>
            <w:shd w:val="clear" w:color="auto" w:fill="F6F8F7"/>
          </w:tcPr>
          <w:p>
            <w:pPr>
              <w:spacing w:after="0"/>
              <w:rPr>
                <w:sz w:val="15"/>
                <w:szCs w:val="15"/>
                <w:color w:val="auto"/>
              </w:rPr>
            </w:pPr>
          </w:p>
        </w:tc>
        <w:tc>
          <w:tcPr>
            <w:tcW w:w="420" w:type="dxa"/>
            <w:vAlign w:val="bottom"/>
            <w:gridSpan w:val="2"/>
            <w:shd w:val="clear" w:color="auto" w:fill="F6F8F7"/>
          </w:tcPr>
          <w:p>
            <w:pPr>
              <w:jc w:val="right"/>
              <w:spacing w:after="0"/>
              <w:rPr>
                <w:sz w:val="20"/>
                <w:szCs w:val="20"/>
                <w:color w:val="auto"/>
              </w:rPr>
            </w:pPr>
            <w:r>
              <w:rPr>
                <w:rFonts w:ascii="Arial" w:cs="Arial" w:eastAsia="Arial" w:hAnsi="Arial"/>
                <w:sz w:val="14"/>
                <w:szCs w:val="14"/>
                <w:color w:val="auto"/>
              </w:rPr>
              <w:t>bring</w:t>
            </w:r>
          </w:p>
        </w:tc>
        <w:tc>
          <w:tcPr>
            <w:tcW w:w="320" w:type="dxa"/>
            <w:vAlign w:val="bottom"/>
            <w:shd w:val="clear" w:color="auto" w:fill="F6F8F7"/>
          </w:tcPr>
          <w:p>
            <w:pPr>
              <w:ind w:left="160"/>
              <w:spacing w:after="0"/>
              <w:rPr>
                <w:sz w:val="20"/>
                <w:szCs w:val="20"/>
                <w:color w:val="auto"/>
              </w:rPr>
            </w:pPr>
            <w:r>
              <w:rPr>
                <w:rFonts w:ascii="Arial" w:cs="Arial" w:eastAsia="Arial" w:hAnsi="Arial"/>
                <w:sz w:val="14"/>
                <w:szCs w:val="14"/>
                <w:color w:val="auto"/>
              </w:rPr>
              <w:t>a</w:t>
            </w:r>
          </w:p>
        </w:tc>
        <w:tc>
          <w:tcPr>
            <w:tcW w:w="840" w:type="dxa"/>
            <w:vAlign w:val="bottom"/>
            <w:gridSpan w:val="2"/>
            <w:shd w:val="clear" w:color="auto" w:fill="F6F8F7"/>
          </w:tcPr>
          <w:p>
            <w:pPr>
              <w:jc w:val="right"/>
              <w:ind w:right="28"/>
              <w:spacing w:after="0"/>
              <w:rPr>
                <w:sz w:val="20"/>
                <w:szCs w:val="20"/>
                <w:color w:val="auto"/>
              </w:rPr>
            </w:pPr>
            <w:r>
              <w:rPr>
                <w:rFonts w:ascii="Arial" w:cs="Arial" w:eastAsia="Arial" w:hAnsi="Arial"/>
                <w:sz w:val="14"/>
                <w:szCs w:val="14"/>
                <w:color w:val="auto"/>
              </w:rPr>
              <w:t>practical</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86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Company’s</w:t>
            </w:r>
          </w:p>
        </w:tc>
        <w:tc>
          <w:tcPr>
            <w:tcW w:w="140" w:type="dxa"/>
            <w:vAlign w:val="bottom"/>
            <w:shd w:val="clear" w:color="auto" w:fill="F2F2F2"/>
          </w:tcPr>
          <w:p>
            <w:pPr>
              <w:spacing w:after="0"/>
              <w:rPr>
                <w:sz w:val="15"/>
                <w:szCs w:val="15"/>
                <w:color w:val="auto"/>
              </w:rPr>
            </w:pPr>
          </w:p>
        </w:tc>
        <w:tc>
          <w:tcPr>
            <w:tcW w:w="48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senior</w:t>
            </w:r>
          </w:p>
        </w:tc>
        <w:tc>
          <w:tcPr>
            <w:tcW w:w="120" w:type="dxa"/>
            <w:vAlign w:val="bottom"/>
            <w:shd w:val="clear" w:color="auto" w:fill="F2F2F2"/>
          </w:tcPr>
          <w:p>
            <w:pPr>
              <w:spacing w:after="0"/>
              <w:rPr>
                <w:sz w:val="15"/>
                <w:szCs w:val="15"/>
                <w:color w:val="auto"/>
              </w:rPr>
            </w:pPr>
          </w:p>
        </w:tc>
        <w:tc>
          <w:tcPr>
            <w:tcW w:w="1020" w:type="dxa"/>
            <w:vAlign w:val="bottom"/>
            <w:gridSpan w:val="3"/>
            <w:shd w:val="clear" w:color="auto" w:fill="F2F2F2"/>
          </w:tcPr>
          <w:p>
            <w:pPr>
              <w:jc w:val="right"/>
              <w:ind w:right="168"/>
              <w:spacing w:after="0"/>
              <w:rPr>
                <w:sz w:val="20"/>
                <w:szCs w:val="20"/>
                <w:color w:val="auto"/>
              </w:rPr>
            </w:pPr>
            <w:r>
              <w:rPr>
                <w:rFonts w:ascii="Arial" w:cs="Arial" w:eastAsia="Arial" w:hAnsi="Arial"/>
                <w:sz w:val="14"/>
                <w:szCs w:val="14"/>
                <w:color w:val="auto"/>
              </w:rPr>
              <w:t>leadership</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and can capably and confidently advise</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gridSpan w:val="5"/>
            <w:shd w:val="clear" w:color="auto" w:fill="F6F8F7"/>
          </w:tcPr>
          <w:p>
            <w:pPr>
              <w:ind w:left="180"/>
              <w:spacing w:after="0"/>
              <w:rPr>
                <w:sz w:val="20"/>
                <w:szCs w:val="20"/>
                <w:color w:val="auto"/>
              </w:rPr>
            </w:pPr>
            <w:r>
              <w:rPr>
                <w:rFonts w:ascii="Arial" w:cs="Arial" w:eastAsia="Arial" w:hAnsi="Arial"/>
                <w:sz w:val="14"/>
                <w:szCs w:val="14"/>
                <w:color w:val="auto"/>
              </w:rPr>
              <w:t>understanding</w:t>
            </w:r>
          </w:p>
        </w:tc>
        <w:tc>
          <w:tcPr>
            <w:tcW w:w="200" w:type="dxa"/>
            <w:vAlign w:val="bottom"/>
            <w:shd w:val="clear" w:color="auto" w:fill="F6F8F7"/>
          </w:tcPr>
          <w:p>
            <w:pPr>
              <w:jc w:val="right"/>
              <w:spacing w:after="0"/>
              <w:rPr>
                <w:sz w:val="20"/>
                <w:szCs w:val="20"/>
                <w:color w:val="auto"/>
              </w:rPr>
            </w:pPr>
            <w:r>
              <w:rPr>
                <w:rFonts w:ascii="Arial" w:cs="Arial" w:eastAsia="Arial" w:hAnsi="Arial"/>
                <w:sz w:val="14"/>
                <w:szCs w:val="14"/>
                <w:color w:val="auto"/>
              </w:rPr>
              <w:t>of</w:t>
            </w:r>
          </w:p>
        </w:tc>
        <w:tc>
          <w:tcPr>
            <w:tcW w:w="1160" w:type="dxa"/>
            <w:vAlign w:val="bottom"/>
            <w:gridSpan w:val="3"/>
            <w:shd w:val="clear" w:color="auto" w:fill="F6F8F7"/>
          </w:tcPr>
          <w:p>
            <w:pPr>
              <w:jc w:val="right"/>
              <w:ind w:right="28"/>
              <w:spacing w:after="0"/>
              <w:rPr>
                <w:sz w:val="20"/>
                <w:szCs w:val="20"/>
                <w:color w:val="auto"/>
              </w:rPr>
            </w:pPr>
            <w:r>
              <w:rPr>
                <w:rFonts w:ascii="Arial" w:cs="Arial" w:eastAsia="Arial" w:hAnsi="Arial"/>
                <w:sz w:val="14"/>
                <w:szCs w:val="14"/>
                <w:color w:val="auto"/>
              </w:rPr>
              <w:t>organizations</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58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team.</w:t>
            </w:r>
          </w:p>
        </w:tc>
        <w:tc>
          <w:tcPr>
            <w:tcW w:w="580" w:type="dxa"/>
            <w:vAlign w:val="bottom"/>
            <w:gridSpan w:val="3"/>
            <w:shd w:val="clear" w:color="auto" w:fill="F2F2F2"/>
          </w:tcPr>
          <w:p>
            <w:pPr>
              <w:spacing w:after="0"/>
              <w:rPr>
                <w:sz w:val="20"/>
                <w:szCs w:val="20"/>
                <w:color w:val="auto"/>
              </w:rPr>
            </w:pPr>
            <w:r>
              <w:rPr>
                <w:rFonts w:ascii="Arial" w:cs="Arial" w:eastAsia="Arial" w:hAnsi="Arial"/>
                <w:sz w:val="14"/>
                <w:szCs w:val="14"/>
                <w:color w:val="auto"/>
              </w:rPr>
              <w:t>These</w:t>
            </w:r>
          </w:p>
        </w:tc>
        <w:tc>
          <w:tcPr>
            <w:tcW w:w="860" w:type="dxa"/>
            <w:vAlign w:val="bottom"/>
            <w:gridSpan w:val="4"/>
            <w:shd w:val="clear" w:color="auto" w:fill="F2F2F2"/>
          </w:tcPr>
          <w:p>
            <w:pPr>
              <w:spacing w:after="0"/>
              <w:rPr>
                <w:sz w:val="20"/>
                <w:szCs w:val="20"/>
                <w:color w:val="auto"/>
              </w:rPr>
            </w:pPr>
            <w:r>
              <w:rPr>
                <w:rFonts w:ascii="Arial" w:cs="Arial" w:eastAsia="Arial" w:hAnsi="Arial"/>
                <w:sz w:val="14"/>
                <w:szCs w:val="14"/>
                <w:color w:val="auto"/>
              </w:rPr>
              <w:t>individuals</w:t>
            </w:r>
          </w:p>
        </w:tc>
        <w:tc>
          <w:tcPr>
            <w:tcW w:w="60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have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the Company’s senior leadership team on</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2720" w:type="dxa"/>
            <w:vAlign w:val="bottom"/>
            <w:gridSpan w:val="9"/>
            <w:shd w:val="clear" w:color="auto" w:fill="F6F8F7"/>
          </w:tcPr>
          <w:p>
            <w:pPr>
              <w:ind w:left="180"/>
              <w:spacing w:after="0"/>
              <w:rPr>
                <w:sz w:val="20"/>
                <w:szCs w:val="20"/>
                <w:color w:val="auto"/>
              </w:rPr>
            </w:pPr>
            <w:r>
              <w:rPr>
                <w:rFonts w:ascii="Arial" w:cs="Arial" w:eastAsia="Arial" w:hAnsi="Arial"/>
                <w:sz w:val="14"/>
                <w:szCs w:val="14"/>
                <w:color w:val="auto"/>
              </w:rPr>
              <w:t>and processes and the importance</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86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expertise</w:t>
            </w:r>
          </w:p>
        </w:tc>
        <w:tc>
          <w:tcPr>
            <w:tcW w:w="140" w:type="dxa"/>
            <w:vAlign w:val="bottom"/>
            <w:shd w:val="clear" w:color="auto" w:fill="F2F2F2"/>
          </w:tcPr>
          <w:p>
            <w:pPr>
              <w:ind w:left="20"/>
              <w:spacing w:after="0"/>
              <w:rPr>
                <w:sz w:val="20"/>
                <w:szCs w:val="20"/>
                <w:color w:val="auto"/>
              </w:rPr>
            </w:pPr>
            <w:r>
              <w:rPr>
                <w:rFonts w:ascii="Arial" w:cs="Arial" w:eastAsia="Arial" w:hAnsi="Arial"/>
                <w:sz w:val="14"/>
                <w:szCs w:val="14"/>
                <w:color w:val="auto"/>
                <w:w w:val="91"/>
              </w:rPr>
              <w:t>in</w:t>
            </w:r>
          </w:p>
        </w:tc>
        <w:tc>
          <w:tcPr>
            <w:tcW w:w="160" w:type="dxa"/>
            <w:vAlign w:val="bottom"/>
            <w:shd w:val="clear" w:color="auto" w:fill="F2F2F2"/>
          </w:tcPr>
          <w:p>
            <w:pPr>
              <w:spacing w:after="0"/>
              <w:rPr>
                <w:sz w:val="15"/>
                <w:szCs w:val="15"/>
                <w:color w:val="auto"/>
              </w:rPr>
            </w:pPr>
          </w:p>
        </w:tc>
        <w:tc>
          <w:tcPr>
            <w:tcW w:w="440" w:type="dxa"/>
            <w:vAlign w:val="bottom"/>
            <w:gridSpan w:val="2"/>
            <w:shd w:val="clear" w:color="auto" w:fill="F2F2F2"/>
          </w:tcPr>
          <w:p>
            <w:pPr>
              <w:jc w:val="right"/>
              <w:spacing w:after="0"/>
              <w:rPr>
                <w:sz w:val="20"/>
                <w:szCs w:val="20"/>
                <w:color w:val="auto"/>
              </w:rPr>
            </w:pPr>
            <w:r>
              <w:rPr>
                <w:rFonts w:ascii="Arial" w:cs="Arial" w:eastAsia="Arial" w:hAnsi="Arial"/>
                <w:sz w:val="14"/>
                <w:szCs w:val="14"/>
                <w:color w:val="auto"/>
              </w:rPr>
              <w:t>areas</w:t>
            </w:r>
          </w:p>
        </w:tc>
        <w:tc>
          <w:tcPr>
            <w:tcW w:w="140" w:type="dxa"/>
            <w:vAlign w:val="bottom"/>
            <w:shd w:val="clear" w:color="auto" w:fill="F2F2F2"/>
          </w:tcPr>
          <w:p>
            <w:pPr>
              <w:spacing w:after="0"/>
              <w:rPr>
                <w:sz w:val="15"/>
                <w:szCs w:val="15"/>
                <w:color w:val="auto"/>
              </w:rPr>
            </w:pPr>
          </w:p>
        </w:tc>
        <w:tc>
          <w:tcPr>
            <w:tcW w:w="880" w:type="dxa"/>
            <w:vAlign w:val="bottom"/>
            <w:gridSpan w:val="2"/>
            <w:shd w:val="clear" w:color="auto" w:fill="F2F2F2"/>
          </w:tcPr>
          <w:p>
            <w:pPr>
              <w:jc w:val="right"/>
              <w:ind w:right="168"/>
              <w:spacing w:after="0"/>
              <w:rPr>
                <w:sz w:val="20"/>
                <w:szCs w:val="20"/>
                <w:color w:val="auto"/>
              </w:rPr>
            </w:pPr>
            <w:r>
              <w:rPr>
                <w:rFonts w:ascii="Arial" w:cs="Arial" w:eastAsia="Arial" w:hAnsi="Arial"/>
                <w:sz w:val="14"/>
                <w:szCs w:val="14"/>
                <w:color w:val="auto"/>
              </w:rPr>
              <w:t>including</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F2F2F2"/>
          </w:tcPr>
          <w:p>
            <w:pPr>
              <w:spacing w:after="0"/>
              <w:rPr>
                <w:sz w:val="14"/>
                <w:szCs w:val="14"/>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a wide range of issues. These individuals</w:t>
            </w:r>
          </w:p>
        </w:tc>
        <w:tc>
          <w:tcPr>
            <w:tcW w:w="120" w:type="dxa"/>
            <w:vAlign w:val="bottom"/>
            <w:shd w:val="clear" w:color="auto" w:fill="F2F2F2"/>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shd w:val="clear" w:color="auto" w:fill="F6F8F7"/>
          </w:tcPr>
          <w:p>
            <w:pPr>
              <w:ind w:left="180"/>
              <w:spacing w:after="0"/>
              <w:rPr>
                <w:sz w:val="20"/>
                <w:szCs w:val="20"/>
                <w:color w:val="auto"/>
              </w:rPr>
            </w:pPr>
            <w:r>
              <w:rPr>
                <w:rFonts w:ascii="Arial" w:cs="Arial" w:eastAsia="Arial" w:hAnsi="Arial"/>
                <w:sz w:val="14"/>
                <w:szCs w:val="14"/>
                <w:color w:val="auto"/>
              </w:rPr>
              <w:t>of</w:t>
            </w:r>
          </w:p>
        </w:tc>
        <w:tc>
          <w:tcPr>
            <w:tcW w:w="1180" w:type="dxa"/>
            <w:vAlign w:val="bottom"/>
            <w:gridSpan w:val="5"/>
            <w:shd w:val="clear" w:color="auto" w:fill="F6F8F7"/>
          </w:tcPr>
          <w:p>
            <w:pPr>
              <w:jc w:val="right"/>
              <w:ind w:right="68"/>
              <w:spacing w:after="0"/>
              <w:rPr>
                <w:sz w:val="20"/>
                <w:szCs w:val="20"/>
                <w:color w:val="auto"/>
              </w:rPr>
            </w:pPr>
            <w:r>
              <w:rPr>
                <w:rFonts w:ascii="Arial" w:cs="Arial" w:eastAsia="Arial" w:hAnsi="Arial"/>
                <w:sz w:val="14"/>
                <w:szCs w:val="14"/>
                <w:color w:val="auto"/>
              </w:rPr>
              <w:t>management</w:t>
            </w:r>
          </w:p>
        </w:tc>
        <w:tc>
          <w:tcPr>
            <w:tcW w:w="1160" w:type="dxa"/>
            <w:vAlign w:val="bottom"/>
            <w:gridSpan w:val="3"/>
            <w:shd w:val="clear" w:color="auto" w:fill="F6F8F7"/>
          </w:tcPr>
          <w:p>
            <w:pPr>
              <w:jc w:val="right"/>
              <w:ind w:right="28"/>
              <w:spacing w:after="0"/>
              <w:rPr>
                <w:sz w:val="20"/>
                <w:szCs w:val="20"/>
                <w:color w:val="auto"/>
              </w:rPr>
            </w:pPr>
            <w:r>
              <w:rPr>
                <w:rFonts w:ascii="Arial" w:cs="Arial" w:eastAsia="Arial" w:hAnsi="Arial"/>
                <w:sz w:val="14"/>
                <w:szCs w:val="14"/>
                <w:color w:val="auto"/>
              </w:rPr>
              <w:t>accountability,</w:t>
            </w:r>
          </w:p>
        </w:tc>
        <w:tc>
          <w:tcPr>
            <w:tcW w:w="100" w:type="dxa"/>
            <w:vAlign w:val="bottom"/>
            <w:shd w:val="clear" w:color="auto" w:fill="F6F8F7"/>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1160" w:type="dxa"/>
            <w:vAlign w:val="bottom"/>
            <w:gridSpan w:val="4"/>
            <w:shd w:val="clear" w:color="auto" w:fill="F2F2F2"/>
          </w:tcPr>
          <w:p>
            <w:pPr>
              <w:ind w:left="60"/>
              <w:spacing w:after="0"/>
              <w:rPr>
                <w:sz w:val="20"/>
                <w:szCs w:val="20"/>
                <w:color w:val="auto"/>
              </w:rPr>
            </w:pPr>
            <w:r>
              <w:rPr>
                <w:rFonts w:ascii="Arial" w:cs="Arial" w:eastAsia="Arial" w:hAnsi="Arial"/>
                <w:sz w:val="14"/>
                <w:szCs w:val="14"/>
                <w:color w:val="auto"/>
              </w:rPr>
              <w:t>transformation,</w:t>
            </w:r>
          </w:p>
        </w:tc>
        <w:tc>
          <w:tcPr>
            <w:tcW w:w="860" w:type="dxa"/>
            <w:vAlign w:val="bottom"/>
            <w:gridSpan w:val="4"/>
            <w:shd w:val="clear" w:color="auto" w:fill="F2F2F2"/>
          </w:tcPr>
          <w:p>
            <w:pPr>
              <w:jc w:val="center"/>
              <w:spacing w:after="0"/>
              <w:rPr>
                <w:sz w:val="20"/>
                <w:szCs w:val="20"/>
                <w:color w:val="auto"/>
              </w:rPr>
            </w:pPr>
            <w:r>
              <w:rPr>
                <w:rFonts w:ascii="Arial" w:cs="Arial" w:eastAsia="Arial" w:hAnsi="Arial"/>
                <w:sz w:val="14"/>
                <w:szCs w:val="14"/>
                <w:color w:val="auto"/>
              </w:rPr>
              <w:t>innovation</w:t>
            </w:r>
          </w:p>
        </w:tc>
        <w:tc>
          <w:tcPr>
            <w:tcW w:w="60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and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often  possess  extraordinary  leadership</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4"/>
            <w:shd w:val="clear" w:color="auto" w:fill="F6F8F7"/>
          </w:tcPr>
          <w:p>
            <w:pPr>
              <w:ind w:left="180"/>
              <w:spacing w:after="0"/>
              <w:rPr>
                <w:sz w:val="20"/>
                <w:szCs w:val="20"/>
                <w:color w:val="auto"/>
              </w:rPr>
            </w:pPr>
            <w:r>
              <w:rPr>
                <w:rFonts w:ascii="Arial" w:cs="Arial" w:eastAsia="Arial" w:hAnsi="Arial"/>
                <w:sz w:val="14"/>
                <w:szCs w:val="14"/>
                <w:color w:val="auto"/>
              </w:rPr>
              <w:t>transparency,</w:t>
            </w:r>
          </w:p>
        </w:tc>
        <w:tc>
          <w:tcPr>
            <w:tcW w:w="420" w:type="dxa"/>
            <w:vAlign w:val="bottom"/>
            <w:gridSpan w:val="2"/>
            <w:shd w:val="clear" w:color="auto" w:fill="F6F8F7"/>
          </w:tcPr>
          <w:p>
            <w:pPr>
              <w:jc w:val="right"/>
              <w:spacing w:after="0"/>
              <w:rPr>
                <w:sz w:val="20"/>
                <w:szCs w:val="20"/>
                <w:color w:val="auto"/>
              </w:rPr>
            </w:pPr>
            <w:r>
              <w:rPr>
                <w:rFonts w:ascii="Arial" w:cs="Arial" w:eastAsia="Arial" w:hAnsi="Arial"/>
                <w:sz w:val="14"/>
                <w:szCs w:val="14"/>
                <w:color w:val="auto"/>
              </w:rPr>
              <w:t>and</w:t>
            </w:r>
          </w:p>
        </w:tc>
        <w:tc>
          <w:tcPr>
            <w:tcW w:w="320" w:type="dxa"/>
            <w:vAlign w:val="bottom"/>
            <w:shd w:val="clear" w:color="auto" w:fill="F6F8F7"/>
          </w:tcPr>
          <w:p>
            <w:pPr>
              <w:jc w:val="center"/>
              <w:spacing w:after="0"/>
              <w:rPr>
                <w:sz w:val="20"/>
                <w:szCs w:val="20"/>
                <w:color w:val="auto"/>
              </w:rPr>
            </w:pPr>
            <w:r>
              <w:rPr>
                <w:rFonts w:ascii="Arial" w:cs="Arial" w:eastAsia="Arial" w:hAnsi="Arial"/>
                <w:sz w:val="14"/>
                <w:szCs w:val="14"/>
                <w:color w:val="auto"/>
              </w:rPr>
              <w:t>the</w:t>
            </w:r>
          </w:p>
        </w:tc>
        <w:tc>
          <w:tcPr>
            <w:tcW w:w="840" w:type="dxa"/>
            <w:vAlign w:val="bottom"/>
            <w:gridSpan w:val="2"/>
            <w:shd w:val="clear" w:color="auto" w:fill="F6F8F7"/>
          </w:tcPr>
          <w:p>
            <w:pPr>
              <w:jc w:val="right"/>
              <w:ind w:right="28"/>
              <w:spacing w:after="0"/>
              <w:rPr>
                <w:sz w:val="20"/>
                <w:szCs w:val="20"/>
                <w:color w:val="auto"/>
              </w:rPr>
            </w:pPr>
            <w:r>
              <w:rPr>
                <w:rFonts w:ascii="Arial" w:cs="Arial" w:eastAsia="Arial" w:hAnsi="Arial"/>
                <w:sz w:val="14"/>
                <w:szCs w:val="14"/>
                <w:color w:val="auto"/>
              </w:rPr>
              <w:t>protection</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58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change</w:t>
            </w:r>
          </w:p>
        </w:tc>
        <w:tc>
          <w:tcPr>
            <w:tcW w:w="1160" w:type="dxa"/>
            <w:vAlign w:val="bottom"/>
            <w:gridSpan w:val="6"/>
            <w:shd w:val="clear" w:color="auto" w:fill="F2F2F2"/>
          </w:tcPr>
          <w:p>
            <w:pPr>
              <w:ind w:left="200"/>
              <w:spacing w:after="0"/>
              <w:rPr>
                <w:sz w:val="20"/>
                <w:szCs w:val="20"/>
                <w:color w:val="auto"/>
              </w:rPr>
            </w:pPr>
            <w:r>
              <w:rPr>
                <w:rFonts w:ascii="Arial" w:cs="Arial" w:eastAsia="Arial" w:hAnsi="Arial"/>
                <w:sz w:val="14"/>
                <w:szCs w:val="14"/>
                <w:color w:val="auto"/>
              </w:rPr>
              <w:t>management.</w:t>
            </w:r>
          </w:p>
        </w:tc>
        <w:tc>
          <w:tcPr>
            <w:tcW w:w="880" w:type="dxa"/>
            <w:vAlign w:val="bottom"/>
            <w:gridSpan w:val="2"/>
            <w:shd w:val="clear" w:color="auto" w:fill="F2F2F2"/>
          </w:tcPr>
          <w:p>
            <w:pPr>
              <w:jc w:val="right"/>
              <w:ind w:right="168"/>
              <w:spacing w:after="0"/>
              <w:rPr>
                <w:sz w:val="20"/>
                <w:szCs w:val="20"/>
                <w:color w:val="auto"/>
              </w:rPr>
            </w:pPr>
            <w:r>
              <w:rPr>
                <w:rFonts w:ascii="Arial" w:cs="Arial" w:eastAsia="Arial" w:hAnsi="Arial"/>
                <w:sz w:val="14"/>
                <w:szCs w:val="14"/>
                <w:color w:val="auto"/>
              </w:rPr>
              <w:t>These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qualities and have the ability to identify</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shd w:val="clear" w:color="auto" w:fill="F6F8F7"/>
          </w:tcPr>
          <w:p>
            <w:pPr>
              <w:ind w:left="180"/>
              <w:spacing w:after="0"/>
              <w:rPr>
                <w:sz w:val="20"/>
                <w:szCs w:val="20"/>
                <w:color w:val="auto"/>
              </w:rPr>
            </w:pPr>
            <w:r>
              <w:rPr>
                <w:rFonts w:ascii="Arial" w:cs="Arial" w:eastAsia="Arial" w:hAnsi="Arial"/>
                <w:sz w:val="14"/>
                <w:szCs w:val="14"/>
                <w:color w:val="auto"/>
              </w:rPr>
              <w:t>of</w:t>
            </w:r>
          </w:p>
        </w:tc>
        <w:tc>
          <w:tcPr>
            <w:tcW w:w="980" w:type="dxa"/>
            <w:vAlign w:val="bottom"/>
            <w:gridSpan w:val="4"/>
            <w:shd w:val="clear" w:color="auto" w:fill="F6F8F7"/>
          </w:tcPr>
          <w:p>
            <w:pPr>
              <w:ind w:left="80"/>
              <w:spacing w:after="0"/>
              <w:rPr>
                <w:sz w:val="20"/>
                <w:szCs w:val="20"/>
                <w:color w:val="auto"/>
              </w:rPr>
            </w:pPr>
            <w:r>
              <w:rPr>
                <w:rFonts w:ascii="Arial" w:cs="Arial" w:eastAsia="Arial" w:hAnsi="Arial"/>
                <w:sz w:val="14"/>
                <w:szCs w:val="14"/>
                <w:color w:val="auto"/>
              </w:rPr>
              <w:t>stockholder</w:t>
            </w:r>
          </w:p>
        </w:tc>
        <w:tc>
          <w:tcPr>
            <w:tcW w:w="820" w:type="dxa"/>
            <w:vAlign w:val="bottom"/>
            <w:gridSpan w:val="3"/>
            <w:shd w:val="clear" w:color="auto" w:fill="F6F8F7"/>
          </w:tcPr>
          <w:p>
            <w:pPr>
              <w:jc w:val="center"/>
              <w:ind w:right="8"/>
              <w:spacing w:after="0"/>
              <w:rPr>
                <w:sz w:val="20"/>
                <w:szCs w:val="20"/>
                <w:color w:val="auto"/>
              </w:rPr>
            </w:pPr>
            <w:r>
              <w:rPr>
                <w:rFonts w:ascii="Arial" w:cs="Arial" w:eastAsia="Arial" w:hAnsi="Arial"/>
                <w:sz w:val="14"/>
                <w:szCs w:val="14"/>
                <w:color w:val="auto"/>
              </w:rPr>
              <w:t>interests.</w:t>
            </w:r>
          </w:p>
        </w:tc>
        <w:tc>
          <w:tcPr>
            <w:tcW w:w="540" w:type="dxa"/>
            <w:vAlign w:val="bottom"/>
            <w:shd w:val="clear" w:color="auto" w:fill="F6F8F7"/>
          </w:tcPr>
          <w:p>
            <w:pPr>
              <w:jc w:val="right"/>
              <w:ind w:right="28"/>
              <w:spacing w:after="0"/>
              <w:rPr>
                <w:sz w:val="20"/>
                <w:szCs w:val="20"/>
                <w:color w:val="auto"/>
              </w:rPr>
            </w:pPr>
            <w:r>
              <w:rPr>
                <w:rFonts w:ascii="Arial" w:cs="Arial" w:eastAsia="Arial" w:hAnsi="Arial"/>
                <w:sz w:val="14"/>
                <w:szCs w:val="14"/>
                <w:color w:val="auto"/>
              </w:rPr>
              <w:t>These</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86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individuals</w:t>
            </w:r>
          </w:p>
        </w:tc>
        <w:tc>
          <w:tcPr>
            <w:tcW w:w="140" w:type="dxa"/>
            <w:vAlign w:val="bottom"/>
            <w:shd w:val="clear" w:color="auto" w:fill="F2F2F2"/>
          </w:tcPr>
          <w:p>
            <w:pPr>
              <w:spacing w:after="0"/>
              <w:rPr>
                <w:sz w:val="15"/>
                <w:szCs w:val="15"/>
                <w:color w:val="auto"/>
              </w:rPr>
            </w:pPr>
          </w:p>
        </w:tc>
        <w:tc>
          <w:tcPr>
            <w:tcW w:w="48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often</w:t>
            </w:r>
          </w:p>
        </w:tc>
        <w:tc>
          <w:tcPr>
            <w:tcW w:w="540" w:type="dxa"/>
            <w:vAlign w:val="bottom"/>
            <w:gridSpan w:val="3"/>
            <w:shd w:val="clear" w:color="auto" w:fill="F2F2F2"/>
          </w:tcPr>
          <w:p>
            <w:pPr>
              <w:ind w:left="80"/>
              <w:spacing w:after="0"/>
              <w:rPr>
                <w:sz w:val="20"/>
                <w:szCs w:val="20"/>
                <w:color w:val="auto"/>
              </w:rPr>
            </w:pPr>
            <w:r>
              <w:rPr>
                <w:rFonts w:ascii="Arial" w:cs="Arial" w:eastAsia="Arial" w:hAnsi="Arial"/>
                <w:sz w:val="14"/>
                <w:szCs w:val="14"/>
                <w:color w:val="auto"/>
              </w:rPr>
              <w:t>also</w:t>
            </w:r>
          </w:p>
        </w:tc>
        <w:tc>
          <w:tcPr>
            <w:tcW w:w="60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have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ind w:left="60"/>
              <w:spacing w:after="0"/>
              <w:rPr>
                <w:sz w:val="20"/>
                <w:szCs w:val="20"/>
                <w:color w:val="auto"/>
              </w:rPr>
            </w:pPr>
            <w:r>
              <w:rPr>
                <w:rFonts w:ascii="Arial" w:cs="Arial" w:eastAsia="Arial" w:hAnsi="Arial"/>
                <w:sz w:val="14"/>
                <w:szCs w:val="14"/>
                <w:color w:val="auto"/>
              </w:rPr>
              <w:t>and develop these qualities in others.</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3"/>
            <w:shd w:val="clear" w:color="auto" w:fill="F6F8F7"/>
          </w:tcPr>
          <w:p>
            <w:pPr>
              <w:ind w:left="180"/>
              <w:spacing w:after="0"/>
              <w:rPr>
                <w:sz w:val="20"/>
                <w:szCs w:val="20"/>
                <w:color w:val="auto"/>
              </w:rPr>
            </w:pPr>
            <w:r>
              <w:rPr>
                <w:rFonts w:ascii="Arial" w:cs="Arial" w:eastAsia="Arial" w:hAnsi="Arial"/>
                <w:sz w:val="14"/>
                <w:szCs w:val="14"/>
                <w:color w:val="auto"/>
              </w:rPr>
              <w:t>individuals</w:t>
            </w:r>
          </w:p>
        </w:tc>
        <w:tc>
          <w:tcPr>
            <w:tcW w:w="80" w:type="dxa"/>
            <w:vAlign w:val="bottom"/>
            <w:shd w:val="clear" w:color="auto" w:fill="F6F8F7"/>
          </w:tcPr>
          <w:p>
            <w:pPr>
              <w:spacing w:after="0"/>
              <w:rPr>
                <w:sz w:val="15"/>
                <w:szCs w:val="15"/>
                <w:color w:val="auto"/>
              </w:rPr>
            </w:pPr>
          </w:p>
        </w:tc>
        <w:tc>
          <w:tcPr>
            <w:tcW w:w="420" w:type="dxa"/>
            <w:vAlign w:val="bottom"/>
            <w:gridSpan w:val="2"/>
            <w:shd w:val="clear" w:color="auto" w:fill="F6F8F7"/>
          </w:tcPr>
          <w:p>
            <w:pPr>
              <w:jc w:val="right"/>
              <w:ind w:right="8"/>
              <w:spacing w:after="0"/>
              <w:rPr>
                <w:sz w:val="20"/>
                <w:szCs w:val="20"/>
                <w:color w:val="auto"/>
              </w:rPr>
            </w:pPr>
            <w:r>
              <w:rPr>
                <w:rFonts w:ascii="Arial" w:cs="Arial" w:eastAsia="Arial" w:hAnsi="Arial"/>
                <w:sz w:val="14"/>
                <w:szCs w:val="14"/>
                <w:color w:val="auto"/>
              </w:rPr>
              <w:t>help</w:t>
            </w:r>
          </w:p>
        </w:tc>
        <w:tc>
          <w:tcPr>
            <w:tcW w:w="620" w:type="dxa"/>
            <w:vAlign w:val="bottom"/>
            <w:gridSpan w:val="2"/>
            <w:shd w:val="clear" w:color="auto" w:fill="F6F8F7"/>
          </w:tcPr>
          <w:p>
            <w:pPr>
              <w:ind w:left="180"/>
              <w:spacing w:after="0"/>
              <w:rPr>
                <w:sz w:val="20"/>
                <w:szCs w:val="20"/>
                <w:color w:val="auto"/>
              </w:rPr>
            </w:pPr>
            <w:r>
              <w:rPr>
                <w:rFonts w:ascii="Arial" w:cs="Arial" w:eastAsia="Arial" w:hAnsi="Arial"/>
                <w:sz w:val="14"/>
                <w:szCs w:val="14"/>
                <w:color w:val="auto"/>
              </w:rPr>
              <w:t>our</w:t>
            </w:r>
          </w:p>
        </w:tc>
        <w:tc>
          <w:tcPr>
            <w:tcW w:w="540" w:type="dxa"/>
            <w:vAlign w:val="bottom"/>
            <w:shd w:val="clear" w:color="auto" w:fill="F6F8F7"/>
          </w:tcPr>
          <w:p>
            <w:pPr>
              <w:jc w:val="right"/>
              <w:ind w:right="28"/>
              <w:spacing w:after="0"/>
              <w:rPr>
                <w:sz w:val="20"/>
                <w:szCs w:val="20"/>
                <w:color w:val="auto"/>
              </w:rPr>
            </w:pPr>
            <w:r>
              <w:rPr>
                <w:rFonts w:ascii="Arial" w:cs="Arial" w:eastAsia="Arial" w:hAnsi="Arial"/>
                <w:sz w:val="14"/>
                <w:szCs w:val="14"/>
                <w:color w:val="auto"/>
              </w:rPr>
              <w:t>Board</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1000" w:type="dxa"/>
            <w:vAlign w:val="bottom"/>
            <w:gridSpan w:val="3"/>
            <w:shd w:val="clear" w:color="auto" w:fill="F2F2F2"/>
          </w:tcPr>
          <w:p>
            <w:pPr>
              <w:ind w:left="60"/>
              <w:spacing w:after="0"/>
              <w:rPr>
                <w:sz w:val="20"/>
                <w:szCs w:val="20"/>
                <w:color w:val="auto"/>
              </w:rPr>
            </w:pPr>
            <w:r>
              <w:rPr>
                <w:rFonts w:ascii="Arial" w:cs="Arial" w:eastAsia="Arial" w:hAnsi="Arial"/>
                <w:sz w:val="14"/>
                <w:szCs w:val="14"/>
                <w:color w:val="auto"/>
              </w:rPr>
              <w:t>sophisticated</w:t>
            </w:r>
          </w:p>
        </w:tc>
        <w:tc>
          <w:tcPr>
            <w:tcW w:w="160" w:type="dxa"/>
            <w:vAlign w:val="bottom"/>
            <w:shd w:val="clear" w:color="auto" w:fill="F2F2F2"/>
          </w:tcPr>
          <w:p>
            <w:pPr>
              <w:spacing w:after="0"/>
              <w:rPr>
                <w:sz w:val="15"/>
                <w:szCs w:val="15"/>
                <w:color w:val="auto"/>
              </w:rPr>
            </w:pPr>
          </w:p>
        </w:tc>
        <w:tc>
          <w:tcPr>
            <w:tcW w:w="860" w:type="dxa"/>
            <w:vAlign w:val="bottom"/>
            <w:gridSpan w:val="4"/>
            <w:shd w:val="clear" w:color="auto" w:fill="F2F2F2"/>
          </w:tcPr>
          <w:p>
            <w:pPr>
              <w:jc w:val="center"/>
              <w:spacing w:after="0"/>
              <w:rPr>
                <w:sz w:val="20"/>
                <w:szCs w:val="20"/>
                <w:color w:val="auto"/>
              </w:rPr>
            </w:pPr>
            <w:r>
              <w:rPr>
                <w:rFonts w:ascii="Arial" w:cs="Arial" w:eastAsia="Arial" w:hAnsi="Arial"/>
                <w:sz w:val="14"/>
                <w:szCs w:val="14"/>
                <w:color w:val="auto"/>
              </w:rPr>
              <w:t>experience</w:t>
            </w:r>
          </w:p>
        </w:tc>
        <w:tc>
          <w:tcPr>
            <w:tcW w:w="600" w:type="dxa"/>
            <w:vAlign w:val="bottom"/>
            <w:shd w:val="clear" w:color="auto" w:fill="F2F2F2"/>
          </w:tcPr>
          <w:p>
            <w:pPr>
              <w:jc w:val="right"/>
              <w:ind w:right="168"/>
              <w:spacing w:after="0"/>
              <w:rPr>
                <w:sz w:val="20"/>
                <w:szCs w:val="20"/>
                <w:color w:val="auto"/>
              </w:rPr>
            </w:pPr>
            <w:r>
              <w:rPr>
                <w:rFonts w:ascii="Arial" w:cs="Arial" w:eastAsia="Arial" w:hAnsi="Arial"/>
                <w:sz w:val="14"/>
                <w:szCs w:val="14"/>
                <w:color w:val="auto"/>
              </w:rPr>
              <w:t>in</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0" w:type="dxa"/>
            <w:vAlign w:val="bottom"/>
            <w:shd w:val="clear" w:color="auto" w:fill="F2F2F2"/>
          </w:tcPr>
          <w:p>
            <w:pPr>
              <w:spacing w:after="0"/>
              <w:rPr>
                <w:sz w:val="14"/>
                <w:szCs w:val="14"/>
                <w:color w:val="auto"/>
              </w:rPr>
            </w:pPr>
          </w:p>
        </w:tc>
        <w:tc>
          <w:tcPr>
            <w:tcW w:w="3120" w:type="dxa"/>
            <w:vAlign w:val="bottom"/>
            <w:shd w:val="clear" w:color="auto" w:fill="F2F2F2"/>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3"/>
            <w:shd w:val="clear" w:color="auto" w:fill="F6F8F7"/>
          </w:tcPr>
          <w:p>
            <w:pPr>
              <w:ind w:left="180"/>
              <w:spacing w:after="0"/>
              <w:rPr>
                <w:sz w:val="20"/>
                <w:szCs w:val="20"/>
                <w:color w:val="auto"/>
              </w:rPr>
            </w:pPr>
            <w:r>
              <w:rPr>
                <w:rFonts w:ascii="Arial" w:cs="Arial" w:eastAsia="Arial" w:hAnsi="Arial"/>
                <w:sz w:val="14"/>
                <w:szCs w:val="14"/>
                <w:color w:val="auto"/>
              </w:rPr>
              <w:t>structure</w:t>
            </w:r>
          </w:p>
        </w:tc>
        <w:tc>
          <w:tcPr>
            <w:tcW w:w="300" w:type="dxa"/>
            <w:vAlign w:val="bottom"/>
            <w:gridSpan w:val="2"/>
            <w:shd w:val="clear" w:color="auto" w:fill="F6F8F7"/>
          </w:tcPr>
          <w:p>
            <w:pPr>
              <w:ind w:left="20"/>
              <w:spacing w:after="0"/>
              <w:rPr>
                <w:sz w:val="20"/>
                <w:szCs w:val="20"/>
                <w:color w:val="auto"/>
              </w:rPr>
            </w:pPr>
            <w:r>
              <w:rPr>
                <w:rFonts w:ascii="Arial" w:cs="Arial" w:eastAsia="Arial" w:hAnsi="Arial"/>
                <w:sz w:val="14"/>
                <w:szCs w:val="14"/>
                <w:color w:val="auto"/>
              </w:rPr>
              <w:t>and</w:t>
            </w:r>
          </w:p>
        </w:tc>
        <w:tc>
          <w:tcPr>
            <w:tcW w:w="200" w:type="dxa"/>
            <w:vAlign w:val="bottom"/>
            <w:shd w:val="clear" w:color="auto" w:fill="F6F8F7"/>
          </w:tcPr>
          <w:p>
            <w:pPr>
              <w:spacing w:after="0"/>
              <w:rPr>
                <w:sz w:val="14"/>
                <w:szCs w:val="14"/>
                <w:color w:val="auto"/>
              </w:rPr>
            </w:pPr>
          </w:p>
        </w:tc>
        <w:tc>
          <w:tcPr>
            <w:tcW w:w="620" w:type="dxa"/>
            <w:vAlign w:val="bottom"/>
            <w:gridSpan w:val="2"/>
            <w:shd w:val="clear" w:color="auto" w:fill="F6F8F7"/>
          </w:tcPr>
          <w:p>
            <w:pPr>
              <w:ind w:left="60"/>
              <w:spacing w:after="0"/>
              <w:rPr>
                <w:sz w:val="20"/>
                <w:szCs w:val="20"/>
                <w:color w:val="auto"/>
              </w:rPr>
            </w:pPr>
            <w:r>
              <w:rPr>
                <w:rFonts w:ascii="Arial" w:cs="Arial" w:eastAsia="Arial" w:hAnsi="Arial"/>
                <w:sz w:val="14"/>
                <w:szCs w:val="14"/>
                <w:color w:val="auto"/>
              </w:rPr>
              <w:t>execute</w:t>
            </w:r>
          </w:p>
        </w:tc>
        <w:tc>
          <w:tcPr>
            <w:tcW w:w="540" w:type="dxa"/>
            <w:vAlign w:val="bottom"/>
            <w:shd w:val="clear" w:color="auto" w:fill="F6F8F7"/>
          </w:tcPr>
          <w:p>
            <w:pPr>
              <w:jc w:val="right"/>
              <w:ind w:right="28"/>
              <w:spacing w:after="0"/>
              <w:rPr>
                <w:sz w:val="20"/>
                <w:szCs w:val="20"/>
                <w:color w:val="auto"/>
              </w:rPr>
            </w:pPr>
            <w:r>
              <w:rPr>
                <w:rFonts w:ascii="Arial" w:cs="Arial" w:eastAsia="Arial" w:hAnsi="Arial"/>
                <w:sz w:val="14"/>
                <w:szCs w:val="14"/>
                <w:color w:val="auto"/>
              </w:rPr>
              <w:t>its</w:t>
            </w:r>
          </w:p>
        </w:tc>
        <w:tc>
          <w:tcPr>
            <w:tcW w:w="100" w:type="dxa"/>
            <w:vAlign w:val="bottom"/>
            <w:shd w:val="clear" w:color="auto" w:fill="F6F8F7"/>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shd w:val="clear" w:color="auto" w:fill="F2F2F2"/>
          </w:tcPr>
          <w:p>
            <w:pPr>
              <w:spacing w:after="0"/>
              <w:rPr>
                <w:sz w:val="14"/>
                <w:szCs w:val="14"/>
                <w:color w:val="auto"/>
              </w:rPr>
            </w:pPr>
          </w:p>
        </w:tc>
        <w:tc>
          <w:tcPr>
            <w:tcW w:w="580" w:type="dxa"/>
            <w:vAlign w:val="bottom"/>
            <w:tcBorders>
              <w:right w:val="single" w:sz="8" w:color="F2F2F2"/>
            </w:tcBorders>
            <w:shd w:val="clear" w:color="auto" w:fill="F2F2F2"/>
          </w:tcPr>
          <w:p>
            <w:pPr>
              <w:ind w:left="60"/>
              <w:spacing w:after="0"/>
              <w:rPr>
                <w:sz w:val="20"/>
                <w:szCs w:val="20"/>
                <w:color w:val="auto"/>
              </w:rPr>
            </w:pPr>
            <w:r>
              <w:rPr>
                <w:rFonts w:ascii="Arial" w:cs="Arial" w:eastAsia="Arial" w:hAnsi="Arial"/>
                <w:sz w:val="14"/>
                <w:szCs w:val="14"/>
                <w:color w:val="auto"/>
              </w:rPr>
              <w:t>growth</w:t>
            </w:r>
          </w:p>
        </w:tc>
        <w:tc>
          <w:tcPr>
            <w:tcW w:w="580" w:type="dxa"/>
            <w:vAlign w:val="bottom"/>
            <w:gridSpan w:val="3"/>
            <w:shd w:val="clear" w:color="auto" w:fill="F2F2F2"/>
          </w:tcPr>
          <w:p>
            <w:pPr>
              <w:ind w:left="40"/>
              <w:spacing w:after="0"/>
              <w:rPr>
                <w:sz w:val="20"/>
                <w:szCs w:val="20"/>
                <w:color w:val="auto"/>
              </w:rPr>
            </w:pPr>
            <w:r>
              <w:rPr>
                <w:rFonts w:ascii="Arial" w:cs="Arial" w:eastAsia="Arial" w:hAnsi="Arial"/>
                <w:sz w:val="14"/>
                <w:szCs w:val="14"/>
                <w:color w:val="auto"/>
              </w:rPr>
              <w:t>through</w:t>
            </w:r>
          </w:p>
        </w:tc>
        <w:tc>
          <w:tcPr>
            <w:tcW w:w="440" w:type="dxa"/>
            <w:vAlign w:val="bottom"/>
            <w:gridSpan w:val="2"/>
            <w:shd w:val="clear" w:color="auto" w:fill="F2F2F2"/>
          </w:tcPr>
          <w:p>
            <w:pPr>
              <w:jc w:val="right"/>
              <w:spacing w:after="0"/>
              <w:rPr>
                <w:sz w:val="20"/>
                <w:szCs w:val="20"/>
                <w:color w:val="auto"/>
              </w:rPr>
            </w:pPr>
            <w:r>
              <w:rPr>
                <w:rFonts w:ascii="Arial" w:cs="Arial" w:eastAsia="Arial" w:hAnsi="Arial"/>
                <w:sz w:val="14"/>
                <w:szCs w:val="14"/>
                <w:color w:val="auto"/>
              </w:rPr>
              <w:t>large</w:t>
            </w:r>
          </w:p>
        </w:tc>
        <w:tc>
          <w:tcPr>
            <w:tcW w:w="1020" w:type="dxa"/>
            <w:vAlign w:val="bottom"/>
            <w:gridSpan w:val="3"/>
            <w:shd w:val="clear" w:color="auto" w:fill="F2F2F2"/>
          </w:tcPr>
          <w:p>
            <w:pPr>
              <w:jc w:val="right"/>
              <w:ind w:right="188"/>
              <w:spacing w:after="0"/>
              <w:rPr>
                <w:sz w:val="20"/>
                <w:szCs w:val="20"/>
                <w:color w:val="auto"/>
              </w:rPr>
            </w:pPr>
            <w:r>
              <w:rPr>
                <w:rFonts w:ascii="Arial" w:cs="Arial" w:eastAsia="Arial" w:hAnsi="Arial"/>
                <w:sz w:val="14"/>
                <w:szCs w:val="14"/>
                <w:color w:val="auto"/>
              </w:rPr>
              <w:t>corporate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40" w:type="dxa"/>
            <w:vAlign w:val="bottom"/>
            <w:shd w:val="clear" w:color="auto" w:fill="F2F2F2"/>
          </w:tcPr>
          <w:p>
            <w:pPr>
              <w:spacing w:after="0"/>
              <w:rPr>
                <w:sz w:val="15"/>
                <w:szCs w:val="15"/>
                <w:color w:val="auto"/>
              </w:rPr>
            </w:pPr>
          </w:p>
        </w:tc>
        <w:tc>
          <w:tcPr>
            <w:tcW w:w="3120" w:type="dxa"/>
            <w:vAlign w:val="bottom"/>
            <w:shd w:val="clear" w:color="auto" w:fill="F2F2F2"/>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gridSpan w:val="3"/>
            <w:shd w:val="clear" w:color="auto" w:fill="F6F8F7"/>
          </w:tcPr>
          <w:p>
            <w:pPr>
              <w:ind w:left="180"/>
              <w:spacing w:after="0"/>
              <w:rPr>
                <w:sz w:val="20"/>
                <w:szCs w:val="20"/>
                <w:color w:val="auto"/>
              </w:rPr>
            </w:pPr>
            <w:r>
              <w:rPr>
                <w:rFonts w:ascii="Arial" w:cs="Arial" w:eastAsia="Arial" w:hAnsi="Arial"/>
                <w:sz w:val="14"/>
                <w:szCs w:val="14"/>
                <w:color w:val="auto"/>
              </w:rPr>
              <w:t>independent</w:t>
            </w:r>
          </w:p>
        </w:tc>
        <w:tc>
          <w:tcPr>
            <w:tcW w:w="80" w:type="dxa"/>
            <w:vAlign w:val="bottom"/>
            <w:shd w:val="clear" w:color="auto" w:fill="F6F8F7"/>
          </w:tcPr>
          <w:p>
            <w:pPr>
              <w:spacing w:after="0"/>
              <w:rPr>
                <w:sz w:val="15"/>
                <w:szCs w:val="15"/>
                <w:color w:val="auto"/>
              </w:rPr>
            </w:pPr>
          </w:p>
        </w:tc>
        <w:tc>
          <w:tcPr>
            <w:tcW w:w="220" w:type="dxa"/>
            <w:vAlign w:val="bottom"/>
            <w:shd w:val="clear" w:color="auto" w:fill="F6F8F7"/>
          </w:tcPr>
          <w:p>
            <w:pPr>
              <w:spacing w:after="0"/>
              <w:rPr>
                <w:sz w:val="15"/>
                <w:szCs w:val="15"/>
                <w:color w:val="auto"/>
              </w:rPr>
            </w:pPr>
          </w:p>
        </w:tc>
        <w:tc>
          <w:tcPr>
            <w:tcW w:w="820" w:type="dxa"/>
            <w:vAlign w:val="bottom"/>
            <w:gridSpan w:val="3"/>
            <w:shd w:val="clear" w:color="auto" w:fill="F6F8F7"/>
          </w:tcPr>
          <w:p>
            <w:pPr>
              <w:ind w:left="100"/>
              <w:spacing w:after="0"/>
              <w:rPr>
                <w:sz w:val="20"/>
                <w:szCs w:val="20"/>
                <w:color w:val="auto"/>
              </w:rPr>
            </w:pPr>
            <w:r>
              <w:rPr>
                <w:rFonts w:ascii="Arial" w:cs="Arial" w:eastAsia="Arial" w:hAnsi="Arial"/>
                <w:sz w:val="14"/>
                <w:szCs w:val="14"/>
                <w:color w:val="auto"/>
              </w:rPr>
              <w:t>oversight</w:t>
            </w:r>
          </w:p>
        </w:tc>
        <w:tc>
          <w:tcPr>
            <w:tcW w:w="540" w:type="dxa"/>
            <w:vAlign w:val="bottom"/>
            <w:shd w:val="clear" w:color="auto" w:fill="F6F8F7"/>
          </w:tcPr>
          <w:p>
            <w:pPr>
              <w:jc w:val="right"/>
              <w:ind w:right="28"/>
              <w:spacing w:after="0"/>
              <w:rPr>
                <w:sz w:val="20"/>
                <w:szCs w:val="20"/>
                <w:color w:val="auto"/>
              </w:rPr>
            </w:pPr>
            <w:r>
              <w:rPr>
                <w:rFonts w:ascii="Arial" w:cs="Arial" w:eastAsia="Arial" w:hAnsi="Arial"/>
                <w:sz w:val="14"/>
                <w:szCs w:val="14"/>
                <w:color w:val="auto"/>
              </w:rPr>
              <w:t>of</w:t>
            </w:r>
          </w:p>
        </w:tc>
        <w:tc>
          <w:tcPr>
            <w:tcW w:w="10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shd w:val="clear" w:color="auto" w:fill="F2F2F2"/>
          </w:tcPr>
          <w:p>
            <w:pPr>
              <w:spacing w:after="0"/>
              <w:rPr>
                <w:sz w:val="15"/>
                <w:szCs w:val="15"/>
                <w:color w:val="auto"/>
              </w:rPr>
            </w:pPr>
          </w:p>
        </w:tc>
        <w:tc>
          <w:tcPr>
            <w:tcW w:w="1000" w:type="dxa"/>
            <w:vAlign w:val="bottom"/>
            <w:gridSpan w:val="3"/>
            <w:shd w:val="clear" w:color="auto" w:fill="F2F2F2"/>
          </w:tcPr>
          <w:p>
            <w:pPr>
              <w:ind w:left="60"/>
              <w:spacing w:after="0"/>
              <w:rPr>
                <w:sz w:val="20"/>
                <w:szCs w:val="20"/>
                <w:color w:val="auto"/>
              </w:rPr>
            </w:pPr>
            <w:r>
              <w:rPr>
                <w:rFonts w:ascii="Arial" w:cs="Arial" w:eastAsia="Arial" w:hAnsi="Arial"/>
                <w:sz w:val="14"/>
                <w:szCs w:val="14"/>
                <w:color w:val="auto"/>
              </w:rPr>
              <w:t>transactions,</w:t>
            </w:r>
          </w:p>
        </w:tc>
        <w:tc>
          <w:tcPr>
            <w:tcW w:w="740" w:type="dxa"/>
            <w:vAlign w:val="bottom"/>
            <w:gridSpan w:val="4"/>
            <w:shd w:val="clear" w:color="auto" w:fill="F2F2F2"/>
          </w:tcPr>
          <w:p>
            <w:pPr>
              <w:ind w:left="60"/>
              <w:spacing w:after="0"/>
              <w:rPr>
                <w:sz w:val="20"/>
                <w:szCs w:val="20"/>
                <w:color w:val="auto"/>
              </w:rPr>
            </w:pPr>
            <w:r>
              <w:rPr>
                <w:rFonts w:ascii="Arial" w:cs="Arial" w:eastAsia="Arial" w:hAnsi="Arial"/>
                <w:sz w:val="14"/>
                <w:szCs w:val="14"/>
                <w:color w:val="auto"/>
              </w:rPr>
              <w:t>including</w:t>
            </w:r>
          </w:p>
        </w:tc>
        <w:tc>
          <w:tcPr>
            <w:tcW w:w="880" w:type="dxa"/>
            <w:vAlign w:val="bottom"/>
            <w:gridSpan w:val="2"/>
            <w:shd w:val="clear" w:color="auto" w:fill="F2F2F2"/>
          </w:tcPr>
          <w:p>
            <w:pPr>
              <w:jc w:val="right"/>
              <w:ind w:right="168"/>
              <w:spacing w:after="0"/>
              <w:rPr>
                <w:sz w:val="20"/>
                <w:szCs w:val="20"/>
                <w:color w:val="auto"/>
              </w:rPr>
            </w:pPr>
            <w:r>
              <w:rPr>
                <w:rFonts w:ascii="Arial" w:cs="Arial" w:eastAsia="Arial" w:hAnsi="Arial"/>
                <w:sz w:val="14"/>
                <w:szCs w:val="14"/>
                <w:color w:val="auto"/>
              </w:rPr>
              <w:t>mergers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40" w:type="dxa"/>
            <w:vAlign w:val="bottom"/>
            <w:shd w:val="clear" w:color="auto" w:fill="F2F2F2"/>
          </w:tcPr>
          <w:p>
            <w:pPr>
              <w:spacing w:after="0"/>
              <w:rPr>
                <w:sz w:val="16"/>
                <w:szCs w:val="16"/>
                <w:color w:val="auto"/>
              </w:rPr>
            </w:pPr>
          </w:p>
        </w:tc>
        <w:tc>
          <w:tcPr>
            <w:tcW w:w="312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60" w:type="dxa"/>
            <w:vAlign w:val="bottom"/>
          </w:tcPr>
          <w:p>
            <w:pPr>
              <w:spacing w:after="0"/>
              <w:rPr>
                <w:sz w:val="16"/>
                <w:szCs w:val="16"/>
                <w:color w:val="auto"/>
              </w:rPr>
            </w:pPr>
          </w:p>
        </w:tc>
        <w:tc>
          <w:tcPr>
            <w:tcW w:w="1140" w:type="dxa"/>
            <w:vAlign w:val="bottom"/>
            <w:gridSpan w:val="4"/>
            <w:shd w:val="clear" w:color="auto" w:fill="F6F8F7"/>
          </w:tcPr>
          <w:p>
            <w:pPr>
              <w:ind w:left="180"/>
              <w:spacing w:after="0"/>
              <w:rPr>
                <w:sz w:val="20"/>
                <w:szCs w:val="20"/>
                <w:color w:val="auto"/>
              </w:rPr>
            </w:pPr>
            <w:r>
              <w:rPr>
                <w:rFonts w:ascii="Arial" w:cs="Arial" w:eastAsia="Arial" w:hAnsi="Arial"/>
                <w:sz w:val="14"/>
                <w:szCs w:val="14"/>
                <w:color w:val="auto"/>
              </w:rPr>
              <w:t>management.</w:t>
            </w:r>
          </w:p>
        </w:tc>
        <w:tc>
          <w:tcPr>
            <w:tcW w:w="220" w:type="dxa"/>
            <w:vAlign w:val="bottom"/>
            <w:shd w:val="clear" w:color="auto" w:fill="F6F8F7"/>
          </w:tcPr>
          <w:p>
            <w:pPr>
              <w:spacing w:after="0"/>
              <w:rPr>
                <w:sz w:val="16"/>
                <w:szCs w:val="16"/>
                <w:color w:val="auto"/>
              </w:rPr>
            </w:pPr>
          </w:p>
        </w:tc>
        <w:tc>
          <w:tcPr>
            <w:tcW w:w="200" w:type="dxa"/>
            <w:vAlign w:val="bottom"/>
            <w:shd w:val="clear" w:color="auto" w:fill="F6F8F7"/>
          </w:tcPr>
          <w:p>
            <w:pPr>
              <w:spacing w:after="0"/>
              <w:rPr>
                <w:sz w:val="16"/>
                <w:szCs w:val="16"/>
                <w:color w:val="auto"/>
              </w:rPr>
            </w:pPr>
          </w:p>
        </w:tc>
        <w:tc>
          <w:tcPr>
            <w:tcW w:w="320" w:type="dxa"/>
            <w:vAlign w:val="bottom"/>
            <w:shd w:val="clear" w:color="auto" w:fill="F6F8F7"/>
          </w:tcPr>
          <w:p>
            <w:pPr>
              <w:spacing w:after="0"/>
              <w:rPr>
                <w:sz w:val="16"/>
                <w:szCs w:val="16"/>
                <w:color w:val="auto"/>
              </w:rPr>
            </w:pPr>
          </w:p>
        </w:tc>
        <w:tc>
          <w:tcPr>
            <w:tcW w:w="300" w:type="dxa"/>
            <w:vAlign w:val="bottom"/>
            <w:shd w:val="clear" w:color="auto" w:fill="F6F8F7"/>
          </w:tcPr>
          <w:p>
            <w:pPr>
              <w:spacing w:after="0"/>
              <w:rPr>
                <w:sz w:val="16"/>
                <w:szCs w:val="16"/>
                <w:color w:val="auto"/>
              </w:rPr>
            </w:pPr>
          </w:p>
        </w:tc>
        <w:tc>
          <w:tcPr>
            <w:tcW w:w="540" w:type="dxa"/>
            <w:vAlign w:val="bottom"/>
            <w:shd w:val="clear" w:color="auto" w:fill="F6F8F7"/>
          </w:tcPr>
          <w:p>
            <w:pPr>
              <w:spacing w:after="0"/>
              <w:rPr>
                <w:sz w:val="16"/>
                <w:szCs w:val="16"/>
                <w:color w:val="auto"/>
              </w:rPr>
            </w:pPr>
          </w:p>
        </w:tc>
        <w:tc>
          <w:tcPr>
            <w:tcW w:w="100" w:type="dxa"/>
            <w:vAlign w:val="bottom"/>
            <w:shd w:val="clear" w:color="auto" w:fill="F6F8F7"/>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1160" w:type="dxa"/>
            <w:vAlign w:val="bottom"/>
            <w:gridSpan w:val="4"/>
            <w:shd w:val="clear" w:color="auto" w:fill="F2F2F2"/>
          </w:tcPr>
          <w:p>
            <w:pPr>
              <w:ind w:left="60"/>
              <w:spacing w:after="0"/>
              <w:rPr>
                <w:sz w:val="20"/>
                <w:szCs w:val="20"/>
                <w:color w:val="auto"/>
              </w:rPr>
            </w:pPr>
            <w:r>
              <w:rPr>
                <w:rFonts w:ascii="Arial" w:cs="Arial" w:eastAsia="Arial" w:hAnsi="Arial"/>
                <w:sz w:val="14"/>
                <w:szCs w:val="14"/>
                <w:color w:val="auto"/>
              </w:rPr>
              <w:t>&amp; acquisitions.</w:t>
            </w:r>
          </w:p>
        </w:tc>
        <w:tc>
          <w:tcPr>
            <w:tcW w:w="32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140" w:type="dxa"/>
            <w:vAlign w:val="bottom"/>
            <w:shd w:val="clear" w:color="auto" w:fill="F2F2F2"/>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600" w:type="dxa"/>
            <w:vAlign w:val="bottom"/>
            <w:shd w:val="clear" w:color="auto" w:fill="F2F2F2"/>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140" w:type="dxa"/>
            <w:vAlign w:val="bottom"/>
            <w:shd w:val="clear" w:color="auto" w:fill="F2F2F2"/>
          </w:tcPr>
          <w:p>
            <w:pPr>
              <w:spacing w:after="0"/>
              <w:rPr>
                <w:sz w:val="24"/>
                <w:szCs w:val="24"/>
                <w:color w:val="auto"/>
              </w:rPr>
            </w:pPr>
          </w:p>
        </w:tc>
        <w:tc>
          <w:tcPr>
            <w:tcW w:w="312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shd w:val="clear" w:color="auto" w:fill="F6F8F7"/>
          </w:tcPr>
          <w:p>
            <w:pPr>
              <w:spacing w:after="0"/>
              <w:rPr>
                <w:sz w:val="24"/>
                <w:szCs w:val="24"/>
                <w:color w:val="auto"/>
              </w:rPr>
            </w:pPr>
          </w:p>
        </w:tc>
        <w:tc>
          <w:tcPr>
            <w:tcW w:w="260" w:type="dxa"/>
            <w:vAlign w:val="bottom"/>
            <w:shd w:val="clear" w:color="auto" w:fill="F6F8F7"/>
          </w:tcPr>
          <w:p>
            <w:pPr>
              <w:spacing w:after="0"/>
              <w:rPr>
                <w:sz w:val="24"/>
                <w:szCs w:val="24"/>
                <w:color w:val="auto"/>
              </w:rPr>
            </w:pPr>
          </w:p>
        </w:tc>
        <w:tc>
          <w:tcPr>
            <w:tcW w:w="420" w:type="dxa"/>
            <w:vAlign w:val="bottom"/>
            <w:shd w:val="clear" w:color="auto" w:fill="F6F8F7"/>
          </w:tcPr>
          <w:p>
            <w:pPr>
              <w:spacing w:after="0"/>
              <w:rPr>
                <w:sz w:val="24"/>
                <w:szCs w:val="24"/>
                <w:color w:val="auto"/>
              </w:rPr>
            </w:pPr>
          </w:p>
        </w:tc>
        <w:tc>
          <w:tcPr>
            <w:tcW w:w="80" w:type="dxa"/>
            <w:vAlign w:val="bottom"/>
            <w:shd w:val="clear" w:color="auto" w:fill="F6F8F7"/>
          </w:tcPr>
          <w:p>
            <w:pPr>
              <w:spacing w:after="0"/>
              <w:rPr>
                <w:sz w:val="24"/>
                <w:szCs w:val="24"/>
                <w:color w:val="auto"/>
              </w:rPr>
            </w:pPr>
          </w:p>
        </w:tc>
        <w:tc>
          <w:tcPr>
            <w:tcW w:w="220" w:type="dxa"/>
            <w:vAlign w:val="bottom"/>
            <w:shd w:val="clear" w:color="auto" w:fill="F6F8F7"/>
          </w:tcPr>
          <w:p>
            <w:pPr>
              <w:spacing w:after="0"/>
              <w:rPr>
                <w:sz w:val="24"/>
                <w:szCs w:val="24"/>
                <w:color w:val="auto"/>
              </w:rPr>
            </w:pPr>
          </w:p>
        </w:tc>
        <w:tc>
          <w:tcPr>
            <w:tcW w:w="200" w:type="dxa"/>
            <w:vAlign w:val="bottom"/>
            <w:shd w:val="clear" w:color="auto" w:fill="F6F8F7"/>
          </w:tcPr>
          <w:p>
            <w:pPr>
              <w:spacing w:after="0"/>
              <w:rPr>
                <w:sz w:val="24"/>
                <w:szCs w:val="24"/>
                <w:color w:val="auto"/>
              </w:rPr>
            </w:pPr>
          </w:p>
        </w:tc>
        <w:tc>
          <w:tcPr>
            <w:tcW w:w="320" w:type="dxa"/>
            <w:vAlign w:val="bottom"/>
            <w:shd w:val="clear" w:color="auto" w:fill="F6F8F7"/>
          </w:tcPr>
          <w:p>
            <w:pPr>
              <w:spacing w:after="0"/>
              <w:rPr>
                <w:sz w:val="24"/>
                <w:szCs w:val="24"/>
                <w:color w:val="auto"/>
              </w:rPr>
            </w:pPr>
          </w:p>
        </w:tc>
        <w:tc>
          <w:tcPr>
            <w:tcW w:w="300" w:type="dxa"/>
            <w:vAlign w:val="bottom"/>
            <w:shd w:val="clear" w:color="auto" w:fill="F6F8F7"/>
          </w:tcPr>
          <w:p>
            <w:pPr>
              <w:spacing w:after="0"/>
              <w:rPr>
                <w:sz w:val="24"/>
                <w:szCs w:val="24"/>
                <w:color w:val="auto"/>
              </w:rPr>
            </w:pPr>
          </w:p>
        </w:tc>
        <w:tc>
          <w:tcPr>
            <w:tcW w:w="540" w:type="dxa"/>
            <w:vAlign w:val="bottom"/>
            <w:shd w:val="clear" w:color="auto" w:fill="F6F8F7"/>
          </w:tcPr>
          <w:p>
            <w:pPr>
              <w:spacing w:after="0"/>
              <w:rPr>
                <w:sz w:val="24"/>
                <w:szCs w:val="24"/>
                <w:color w:val="auto"/>
              </w:rPr>
            </w:pPr>
          </w:p>
        </w:tc>
        <w:tc>
          <w:tcPr>
            <w:tcW w:w="100" w:type="dxa"/>
            <w:vAlign w:val="bottom"/>
            <w:shd w:val="clear" w:color="auto" w:fill="F6F8F7"/>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580" w:type="dxa"/>
            <w:vAlign w:val="bottom"/>
            <w:tcBorders>
              <w:right w:val="single" w:sz="8" w:color="F2F2F2"/>
            </w:tcBorders>
            <w:shd w:val="clear" w:color="auto" w:fill="F2F2F2"/>
          </w:tcPr>
          <w:p>
            <w:pPr>
              <w:spacing w:after="0"/>
              <w:rPr>
                <w:sz w:val="24"/>
                <w:szCs w:val="24"/>
                <w:color w:val="auto"/>
              </w:rPr>
            </w:pPr>
          </w:p>
        </w:tc>
        <w:tc>
          <w:tcPr>
            <w:tcW w:w="280" w:type="dxa"/>
            <w:vAlign w:val="bottom"/>
            <w:shd w:val="clear" w:color="auto" w:fill="F2F2F2"/>
          </w:tcPr>
          <w:p>
            <w:pPr>
              <w:spacing w:after="0"/>
              <w:rPr>
                <w:sz w:val="24"/>
                <w:szCs w:val="24"/>
                <w:color w:val="auto"/>
              </w:rPr>
            </w:pPr>
          </w:p>
        </w:tc>
        <w:tc>
          <w:tcPr>
            <w:tcW w:w="140" w:type="dxa"/>
            <w:vAlign w:val="bottom"/>
            <w:shd w:val="clear" w:color="auto" w:fill="F2F2F2"/>
          </w:tcPr>
          <w:p>
            <w:pPr>
              <w:spacing w:after="0"/>
              <w:rPr>
                <w:sz w:val="24"/>
                <w:szCs w:val="24"/>
                <w:color w:val="auto"/>
              </w:rPr>
            </w:pPr>
          </w:p>
        </w:tc>
        <w:tc>
          <w:tcPr>
            <w:tcW w:w="160" w:type="dxa"/>
            <w:vAlign w:val="bottom"/>
            <w:shd w:val="clear" w:color="auto" w:fill="F2F2F2"/>
          </w:tcPr>
          <w:p>
            <w:pPr>
              <w:spacing w:after="0"/>
              <w:rPr>
                <w:sz w:val="24"/>
                <w:szCs w:val="24"/>
                <w:color w:val="auto"/>
              </w:rPr>
            </w:pPr>
          </w:p>
        </w:tc>
        <w:tc>
          <w:tcPr>
            <w:tcW w:w="32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140" w:type="dxa"/>
            <w:vAlign w:val="bottom"/>
            <w:shd w:val="clear" w:color="auto" w:fill="F2F2F2"/>
          </w:tcPr>
          <w:p>
            <w:pPr>
              <w:spacing w:after="0"/>
              <w:rPr>
                <w:sz w:val="24"/>
                <w:szCs w:val="24"/>
                <w:color w:val="auto"/>
              </w:rPr>
            </w:pPr>
          </w:p>
        </w:tc>
        <w:tc>
          <w:tcPr>
            <w:tcW w:w="280" w:type="dxa"/>
            <w:vAlign w:val="bottom"/>
            <w:shd w:val="clear" w:color="auto" w:fill="F2F2F2"/>
          </w:tcPr>
          <w:p>
            <w:pPr>
              <w:spacing w:after="0"/>
              <w:rPr>
                <w:sz w:val="24"/>
                <w:szCs w:val="24"/>
                <w:color w:val="auto"/>
              </w:rPr>
            </w:pPr>
          </w:p>
        </w:tc>
        <w:tc>
          <w:tcPr>
            <w:tcW w:w="600" w:type="dxa"/>
            <w:vAlign w:val="bottom"/>
            <w:shd w:val="clear" w:color="auto" w:fill="F2F2F2"/>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-2322195</wp:posOffset>
            </wp:positionV>
            <wp:extent cx="4337685" cy="402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337685" cy="40259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-16510</wp:posOffset>
            </wp:positionV>
            <wp:extent cx="5760720" cy="4800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60720" cy="48006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spacing w:after="0" w:line="20" w:lineRule="exact"/>
        <w:rPr>
          <w:sz w:val="20"/>
          <w:szCs w:val="20"/>
          <w:color w:val="auto"/>
        </w:rPr>
      </w:pPr>
    </w:p>
    <w:tbl>
      <w:tblPr>
        <w:tblLayout w:type="fixed"/>
        <w:tblInd w:w="820" w:type="dxa"/>
        <w:tblCellMar>
          <w:top w:w="0" w:type="dxa"/>
          <w:left w:w="0" w:type="dxa"/>
          <w:bottom w:w="0" w:type="dxa"/>
          <w:right w:w="0" w:type="dxa"/>
        </w:tblCellMar>
      </w:tblPr>
      <w:tr>
        <w:trPr>
          <w:trHeight w:val="249"/>
        </w:trPr>
        <w:tc>
          <w:tcPr>
            <w:tcW w:w="140" w:type="dxa"/>
            <w:vAlign w:val="bottom"/>
            <w:vMerge w:val="restart"/>
          </w:tcPr>
          <w:p>
            <w:pPr>
              <w:ind w:left="40"/>
              <w:spacing w:after="0"/>
              <w:rPr>
                <w:sz w:val="20"/>
                <w:szCs w:val="20"/>
                <w:color w:val="auto"/>
              </w:rPr>
            </w:pPr>
            <w:r>
              <w:rPr>
                <w:rFonts w:ascii="Arial" w:cs="Arial" w:eastAsia="Arial" w:hAnsi="Arial"/>
                <w:sz w:val="14"/>
                <w:szCs w:val="14"/>
                <w:color w:val="457157"/>
              </w:rPr>
              <w:t>​</w:t>
            </w:r>
          </w:p>
        </w:tc>
        <w:tc>
          <w:tcPr>
            <w:tcW w:w="460" w:type="dxa"/>
            <w:vAlign w:val="bottom"/>
          </w:tcPr>
          <w:p>
            <w:pPr>
              <w:spacing w:after="0"/>
              <w:rPr>
                <w:sz w:val="21"/>
                <w:szCs w:val="21"/>
                <w:color w:val="auto"/>
              </w:rPr>
            </w:pPr>
          </w:p>
        </w:tc>
        <w:tc>
          <w:tcPr>
            <w:tcW w:w="2140" w:type="dxa"/>
            <w:vAlign w:val="bottom"/>
            <w:gridSpan w:val="2"/>
            <w:vMerge w:val="restart"/>
          </w:tcPr>
          <w:p>
            <w:pPr>
              <w:jc w:val="center"/>
              <w:ind w:right="928"/>
              <w:spacing w:after="0"/>
              <w:rPr>
                <w:sz w:val="20"/>
                <w:szCs w:val="20"/>
                <w:color w:val="auto"/>
              </w:rPr>
            </w:pPr>
            <w:r>
              <w:rPr>
                <w:rFonts w:ascii="Arial" w:cs="Arial" w:eastAsia="Arial" w:hAnsi="Arial"/>
                <w:sz w:val="28"/>
                <w:szCs w:val="28"/>
                <w:color w:val="457157"/>
                <w:vertAlign w:val="subscript"/>
              </w:rPr>
              <w:t>​​</w:t>
            </w:r>
            <w:r>
              <w:rPr>
                <w:rFonts w:ascii="Arial" w:cs="Arial" w:eastAsia="Arial" w:hAnsi="Arial"/>
                <w:sz w:val="16"/>
                <w:szCs w:val="16"/>
                <w:b w:val="1"/>
                <w:bCs w:val="1"/>
                <w:color w:val="457157"/>
              </w:rPr>
              <w:t>Operational</w:t>
            </w:r>
          </w:p>
        </w:tc>
        <w:tc>
          <w:tcPr>
            <w:tcW w:w="520" w:type="dxa"/>
            <w:vAlign w:val="bottom"/>
          </w:tcPr>
          <w:p>
            <w:pPr>
              <w:spacing w:after="0"/>
              <w:rPr>
                <w:sz w:val="21"/>
                <w:szCs w:val="21"/>
                <w:color w:val="auto"/>
              </w:rPr>
            </w:pPr>
          </w:p>
        </w:tc>
        <w:tc>
          <w:tcPr>
            <w:tcW w:w="180" w:type="dxa"/>
            <w:vAlign w:val="bottom"/>
            <w:gridSpan w:val="2"/>
            <w:vMerge w:val="restart"/>
          </w:tcPr>
          <w:p>
            <w:pPr>
              <w:ind w:left="100"/>
              <w:spacing w:after="0"/>
              <w:rPr>
                <w:sz w:val="20"/>
                <w:szCs w:val="20"/>
                <w:color w:val="auto"/>
              </w:rPr>
            </w:pPr>
            <w:r>
              <w:rPr>
                <w:rFonts w:ascii="Arial" w:cs="Arial" w:eastAsia="Arial" w:hAnsi="Arial"/>
                <w:sz w:val="14"/>
                <w:szCs w:val="14"/>
                <w:color w:val="457157"/>
              </w:rPr>
              <w:t>​</w:t>
            </w:r>
          </w:p>
        </w:tc>
        <w:tc>
          <w:tcPr>
            <w:tcW w:w="520" w:type="dxa"/>
            <w:vAlign w:val="bottom"/>
            <w:vMerge w:val="restart"/>
            <w:shd w:val="clear" w:color="auto" w:fill="457157"/>
          </w:tcPr>
          <w:p>
            <w:pPr>
              <w:ind w:left="20"/>
              <w:spacing w:after="0"/>
              <w:rPr>
                <w:sz w:val="20"/>
                <w:szCs w:val="20"/>
                <w:color w:val="auto"/>
              </w:rPr>
            </w:pPr>
            <w:r>
              <w:rPr>
                <w:rFonts w:ascii="Arial" w:cs="Arial" w:eastAsia="Arial" w:hAnsi="Arial"/>
                <w:sz w:val="14"/>
                <w:szCs w:val="14"/>
                <w:color w:val="457157"/>
              </w:rPr>
              <w:t>​</w:t>
            </w:r>
          </w:p>
        </w:tc>
        <w:tc>
          <w:tcPr>
            <w:tcW w:w="120" w:type="dxa"/>
            <w:vAlign w:val="bottom"/>
            <w:vMerge w:val="restart"/>
            <w:shd w:val="clear" w:color="auto" w:fill="457157"/>
          </w:tcPr>
          <w:p>
            <w:pPr>
              <w:ind w:left="100"/>
              <w:spacing w:after="0"/>
              <w:rPr>
                <w:sz w:val="20"/>
                <w:szCs w:val="20"/>
                <w:color w:val="auto"/>
              </w:rPr>
            </w:pPr>
            <w:r>
              <w:rPr>
                <w:rFonts w:ascii="Arial" w:cs="Arial" w:eastAsia="Arial" w:hAnsi="Arial"/>
                <w:sz w:val="1"/>
                <w:szCs w:val="1"/>
                <w:color w:val="457157"/>
                <w:w w:val="4294942296"/>
              </w:rPr>
              <w:t>​</w:t>
            </w:r>
          </w:p>
        </w:tc>
        <w:tc>
          <w:tcPr>
            <w:tcW w:w="2060" w:type="dxa"/>
            <w:vAlign w:val="bottom"/>
            <w:gridSpan w:val="8"/>
          </w:tcPr>
          <w:p>
            <w:pPr>
              <w:ind w:left="80"/>
              <w:spacing w:after="0"/>
              <w:rPr>
                <w:sz w:val="20"/>
                <w:szCs w:val="20"/>
                <w:color w:val="auto"/>
              </w:rPr>
            </w:pPr>
            <w:r>
              <w:rPr>
                <w:rFonts w:ascii="Arial" w:cs="Arial" w:eastAsia="Arial" w:hAnsi="Arial"/>
                <w:sz w:val="16"/>
                <w:szCs w:val="16"/>
                <w:b w:val="1"/>
                <w:bCs w:val="1"/>
                <w:color w:val="457157"/>
              </w:rPr>
              <w:t>Financial Expertise</w:t>
            </w:r>
          </w:p>
        </w:tc>
        <w:tc>
          <w:tcPr>
            <w:tcW w:w="180" w:type="dxa"/>
            <w:vAlign w:val="bottom"/>
            <w:gridSpan w:val="2"/>
            <w:vMerge w:val="restart"/>
          </w:tcPr>
          <w:p>
            <w:pPr>
              <w:ind w:left="100"/>
              <w:spacing w:after="0"/>
              <w:rPr>
                <w:sz w:val="20"/>
                <w:szCs w:val="20"/>
                <w:color w:val="auto"/>
              </w:rPr>
            </w:pPr>
            <w:r>
              <w:rPr>
                <w:rFonts w:ascii="Arial" w:cs="Arial" w:eastAsia="Arial" w:hAnsi="Arial"/>
                <w:sz w:val="14"/>
                <w:szCs w:val="14"/>
                <w:color w:val="457157"/>
              </w:rPr>
              <w:t>​</w:t>
            </w:r>
          </w:p>
        </w:tc>
        <w:tc>
          <w:tcPr>
            <w:tcW w:w="120" w:type="dxa"/>
            <w:vAlign w:val="bottom"/>
            <w:vMerge w:val="restart"/>
            <w:shd w:val="clear" w:color="auto" w:fill="457157"/>
          </w:tcPr>
          <w:p>
            <w:pPr>
              <w:ind w:left="20"/>
              <w:spacing w:after="0"/>
              <w:rPr>
                <w:sz w:val="20"/>
                <w:szCs w:val="20"/>
                <w:color w:val="auto"/>
              </w:rPr>
            </w:pPr>
            <w:r>
              <w:rPr>
                <w:rFonts w:ascii="Arial" w:cs="Arial" w:eastAsia="Arial" w:hAnsi="Arial"/>
                <w:sz w:val="14"/>
                <w:szCs w:val="14"/>
                <w:color w:val="457157"/>
              </w:rPr>
              <w:t>​</w:t>
            </w:r>
          </w:p>
        </w:tc>
        <w:tc>
          <w:tcPr>
            <w:tcW w:w="540" w:type="dxa"/>
            <w:vAlign w:val="bottom"/>
            <w:vMerge w:val="restart"/>
            <w:shd w:val="clear" w:color="auto" w:fill="457157"/>
          </w:tcPr>
          <w:p>
            <w:pPr>
              <w:ind w:left="500"/>
              <w:spacing w:after="0"/>
              <w:rPr>
                <w:sz w:val="20"/>
                <w:szCs w:val="20"/>
                <w:color w:val="auto"/>
              </w:rPr>
            </w:pPr>
            <w:r>
              <w:rPr>
                <w:rFonts w:ascii="Arial" w:cs="Arial" w:eastAsia="Arial" w:hAnsi="Arial"/>
                <w:sz w:val="14"/>
                <w:szCs w:val="14"/>
                <w:color w:val="457157"/>
              </w:rPr>
              <w:t>​</w:t>
            </w:r>
          </w:p>
        </w:tc>
        <w:tc>
          <w:tcPr>
            <w:tcW w:w="1420" w:type="dxa"/>
            <w:vAlign w:val="bottom"/>
            <w:gridSpan w:val="5"/>
            <w:vMerge w:val="restart"/>
          </w:tcPr>
          <w:p>
            <w:pPr>
              <w:jc w:val="center"/>
              <w:ind w:right="28"/>
              <w:spacing w:after="0"/>
              <w:rPr>
                <w:sz w:val="20"/>
                <w:szCs w:val="20"/>
                <w:color w:val="auto"/>
              </w:rPr>
            </w:pPr>
            <w:r>
              <w:rPr>
                <w:rFonts w:ascii="Arial" w:cs="Arial" w:eastAsia="Arial" w:hAnsi="Arial"/>
                <w:sz w:val="28"/>
                <w:szCs w:val="28"/>
                <w:color w:val="457157"/>
                <w:vertAlign w:val="subscript"/>
              </w:rPr>
              <w:t>​</w:t>
            </w:r>
            <w:r>
              <w:rPr>
                <w:rFonts w:ascii="Arial" w:cs="Arial" w:eastAsia="Arial" w:hAnsi="Arial"/>
                <w:sz w:val="16"/>
                <w:szCs w:val="16"/>
                <w:b w:val="1"/>
                <w:bCs w:val="1"/>
                <w:color w:val="457157"/>
              </w:rPr>
              <w:t>Human Capital</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1"/>
        </w:trPr>
        <w:tc>
          <w:tcPr>
            <w:tcW w:w="1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214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520" w:type="dxa"/>
            <w:vAlign w:val="bottom"/>
            <w:vMerge w:val="continue"/>
            <w:shd w:val="clear" w:color="auto" w:fill="457157"/>
          </w:tcPr>
          <w:p>
            <w:pPr>
              <w:spacing w:after="0"/>
              <w:rPr>
                <w:sz w:val="9"/>
                <w:szCs w:val="9"/>
                <w:color w:val="auto"/>
              </w:rPr>
            </w:pPr>
          </w:p>
        </w:tc>
        <w:tc>
          <w:tcPr>
            <w:tcW w:w="120" w:type="dxa"/>
            <w:vAlign w:val="bottom"/>
            <w:vMerge w:val="continue"/>
            <w:shd w:val="clear" w:color="auto" w:fill="457157"/>
          </w:tcPr>
          <w:p>
            <w:pPr>
              <w:spacing w:after="0"/>
              <w:rPr>
                <w:sz w:val="9"/>
                <w:szCs w:val="9"/>
                <w:color w:val="auto"/>
              </w:rPr>
            </w:pPr>
          </w:p>
        </w:tc>
        <w:tc>
          <w:tcPr>
            <w:tcW w:w="540" w:type="dxa"/>
            <w:vAlign w:val="bottom"/>
            <w:gridSpan w:val="2"/>
          </w:tcPr>
          <w:p>
            <w:pPr>
              <w:ind w:left="40"/>
              <w:spacing w:after="0" w:line="111" w:lineRule="exact"/>
              <w:rPr>
                <w:sz w:val="20"/>
                <w:szCs w:val="20"/>
                <w:color w:val="auto"/>
              </w:rPr>
            </w:pPr>
            <w:r>
              <w:rPr>
                <w:rFonts w:ascii="Arial" w:cs="Arial" w:eastAsia="Arial" w:hAnsi="Arial"/>
                <w:sz w:val="11"/>
                <w:szCs w:val="11"/>
                <w:color w:val="457157"/>
              </w:rPr>
              <w:t>​</w:t>
            </w:r>
            <w:r>
              <w:rPr>
                <w:rFonts w:ascii="Arial" w:cs="Arial" w:eastAsia="Arial" w:hAnsi="Arial"/>
                <w:sz w:val="12"/>
                <w:szCs w:val="12"/>
                <w:b w:val="1"/>
                <w:bCs w:val="1"/>
                <w:color w:val="457157"/>
              </w:rPr>
              <w:t>and</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120" w:type="dxa"/>
            <w:vAlign w:val="bottom"/>
            <w:vMerge w:val="continue"/>
            <w:shd w:val="clear" w:color="auto" w:fill="457157"/>
          </w:tcPr>
          <w:p>
            <w:pPr>
              <w:spacing w:after="0"/>
              <w:rPr>
                <w:sz w:val="9"/>
                <w:szCs w:val="9"/>
                <w:color w:val="auto"/>
              </w:rPr>
            </w:pPr>
          </w:p>
        </w:tc>
        <w:tc>
          <w:tcPr>
            <w:tcW w:w="540" w:type="dxa"/>
            <w:vAlign w:val="bottom"/>
            <w:vMerge w:val="continue"/>
            <w:shd w:val="clear" w:color="auto" w:fill="457157"/>
          </w:tcPr>
          <w:p>
            <w:pPr>
              <w:spacing w:after="0"/>
              <w:rPr>
                <w:sz w:val="9"/>
                <w:szCs w:val="9"/>
                <w:color w:val="auto"/>
              </w:rPr>
            </w:pPr>
          </w:p>
        </w:tc>
        <w:tc>
          <w:tcPr>
            <w:tcW w:w="142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40" w:type="dxa"/>
            <w:vAlign w:val="bottom"/>
            <w:gridSpan w:val="2"/>
          </w:tcPr>
          <w:p>
            <w:pPr>
              <w:ind w:left="120"/>
              <w:spacing w:after="0"/>
              <w:rPr>
                <w:sz w:val="20"/>
                <w:szCs w:val="20"/>
                <w:color w:val="auto"/>
              </w:rPr>
            </w:pPr>
            <w:r>
              <w:rPr>
                <w:rFonts w:ascii="Arial" w:cs="Arial" w:eastAsia="Arial" w:hAnsi="Arial"/>
                <w:sz w:val="16"/>
                <w:szCs w:val="16"/>
                <w:b w:val="1"/>
                <w:bCs w:val="1"/>
                <w:color w:val="457157"/>
              </w:rPr>
              <w:t>Excellence</w:t>
            </w:r>
            <w:r>
              <w:rPr>
                <w:rFonts w:ascii="Arial" w:cs="Arial" w:eastAsia="Arial" w:hAnsi="Arial"/>
                <w:sz w:val="14"/>
                <w:szCs w:val="14"/>
                <w:color w:val="000000"/>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shd w:val="clear" w:color="auto" w:fill="457157"/>
          </w:tcPr>
          <w:p>
            <w:pPr>
              <w:spacing w:after="0"/>
              <w:rPr>
                <w:sz w:val="19"/>
                <w:szCs w:val="19"/>
                <w:color w:val="auto"/>
              </w:rPr>
            </w:pPr>
          </w:p>
        </w:tc>
        <w:tc>
          <w:tcPr>
            <w:tcW w:w="120" w:type="dxa"/>
            <w:vAlign w:val="bottom"/>
            <w:shd w:val="clear" w:color="auto" w:fill="457157"/>
          </w:tcPr>
          <w:p>
            <w:pPr>
              <w:spacing w:after="0"/>
              <w:rPr>
                <w:sz w:val="19"/>
                <w:szCs w:val="19"/>
                <w:color w:val="auto"/>
              </w:rPr>
            </w:pPr>
          </w:p>
        </w:tc>
        <w:tc>
          <w:tcPr>
            <w:tcW w:w="1640" w:type="dxa"/>
            <w:vAlign w:val="bottom"/>
            <w:gridSpan w:val="7"/>
            <w:vMerge w:val="restart"/>
          </w:tcPr>
          <w:p>
            <w:pPr>
              <w:ind w:left="80"/>
              <w:spacing w:after="0"/>
              <w:rPr>
                <w:sz w:val="20"/>
                <w:szCs w:val="20"/>
                <w:color w:val="auto"/>
              </w:rPr>
            </w:pPr>
            <w:r>
              <w:rPr>
                <w:rFonts w:ascii="Arial" w:cs="Arial" w:eastAsia="Arial" w:hAnsi="Arial"/>
                <w:sz w:val="16"/>
                <w:szCs w:val="16"/>
                <w:b w:val="1"/>
                <w:bCs w:val="1"/>
                <w:color w:val="457157"/>
              </w:rPr>
              <w:t>Capital Allocation</w:t>
            </w:r>
            <w:r>
              <w:rPr>
                <w:rFonts w:ascii="Arial" w:cs="Arial" w:eastAsia="Arial" w:hAnsi="Arial"/>
                <w:sz w:val="14"/>
                <w:szCs w:val="14"/>
                <w:color w:val="000000"/>
              </w:rPr>
              <w:t>​</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shd w:val="clear" w:color="auto" w:fill="457157"/>
          </w:tcPr>
          <w:p>
            <w:pPr>
              <w:spacing w:after="0"/>
              <w:rPr>
                <w:sz w:val="19"/>
                <w:szCs w:val="19"/>
                <w:color w:val="auto"/>
              </w:rPr>
            </w:pPr>
          </w:p>
        </w:tc>
        <w:tc>
          <w:tcPr>
            <w:tcW w:w="540" w:type="dxa"/>
            <w:vAlign w:val="bottom"/>
            <w:shd w:val="clear" w:color="auto" w:fill="457157"/>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4"/>
          </w:tcPr>
          <w:p>
            <w:pPr>
              <w:jc w:val="right"/>
              <w:ind w:right="168"/>
              <w:spacing w:after="0"/>
              <w:rPr>
                <w:sz w:val="20"/>
                <w:szCs w:val="20"/>
                <w:color w:val="auto"/>
              </w:rPr>
            </w:pPr>
            <w:r>
              <w:rPr>
                <w:rFonts w:ascii="Arial" w:cs="Arial" w:eastAsia="Arial" w:hAnsi="Arial"/>
                <w:sz w:val="16"/>
                <w:szCs w:val="16"/>
                <w:b w:val="1"/>
                <w:bCs w:val="1"/>
                <w:color w:val="457157"/>
              </w:rPr>
              <w:t>Management</w:t>
            </w:r>
            <w:r>
              <w:rPr>
                <w:rFonts w:ascii="Arial" w:cs="Arial" w:eastAsia="Arial" w:hAnsi="Arial"/>
                <w:sz w:val="14"/>
                <w:szCs w:val="14"/>
                <w:color w:val="000000"/>
              </w:rPr>
              <w: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tcBorders>
              <w:bottom w:val="single" w:sz="8" w:color="457157"/>
            </w:tcBorders>
            <w:shd w:val="clear" w:color="auto" w:fill="457157"/>
          </w:tcPr>
          <w:p>
            <w:pPr>
              <w:spacing w:after="0"/>
              <w:rPr>
                <w:sz w:val="9"/>
                <w:szCs w:val="9"/>
                <w:color w:val="auto"/>
              </w:rPr>
            </w:pPr>
          </w:p>
        </w:tc>
        <w:tc>
          <w:tcPr>
            <w:tcW w:w="120" w:type="dxa"/>
            <w:vAlign w:val="bottom"/>
            <w:tcBorders>
              <w:bottom w:val="single" w:sz="8" w:color="457157"/>
            </w:tcBorders>
            <w:shd w:val="clear" w:color="auto" w:fill="457157"/>
          </w:tcPr>
          <w:p>
            <w:pPr>
              <w:spacing w:after="0"/>
              <w:rPr>
                <w:sz w:val="9"/>
                <w:szCs w:val="9"/>
                <w:color w:val="auto"/>
              </w:rPr>
            </w:pPr>
          </w:p>
        </w:tc>
        <w:tc>
          <w:tcPr>
            <w:tcW w:w="1640" w:type="dxa"/>
            <w:vAlign w:val="bottom"/>
            <w:gridSpan w:val="7"/>
            <w:vMerge w:val="continue"/>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457157"/>
            </w:tcBorders>
            <w:shd w:val="clear" w:color="auto" w:fill="457157"/>
          </w:tcPr>
          <w:p>
            <w:pPr>
              <w:spacing w:after="0"/>
              <w:rPr>
                <w:sz w:val="9"/>
                <w:szCs w:val="9"/>
                <w:color w:val="auto"/>
              </w:rPr>
            </w:pPr>
          </w:p>
        </w:tc>
        <w:tc>
          <w:tcPr>
            <w:tcW w:w="540" w:type="dxa"/>
            <w:vAlign w:val="bottom"/>
            <w:tcBorders>
              <w:bottom w:val="single" w:sz="8" w:color="457157"/>
            </w:tcBorders>
            <w:shd w:val="clear" w:color="auto" w:fill="457157"/>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40" w:type="dxa"/>
            <w:vAlign w:val="bottom"/>
            <w:shd w:val="clear" w:color="auto" w:fill="F6F8F7"/>
          </w:tcPr>
          <w:p>
            <w:pPr>
              <w:spacing w:after="0"/>
              <w:rPr>
                <w:sz w:val="20"/>
                <w:szCs w:val="20"/>
                <w:color w:val="auto"/>
              </w:rPr>
            </w:pPr>
            <w:r>
              <w:rPr>
                <w:rFonts w:ascii="Arial" w:cs="Arial" w:eastAsia="Arial" w:hAnsi="Arial"/>
                <w:sz w:val="14"/>
                <w:szCs w:val="14"/>
                <w:color w:val="auto"/>
              </w:rPr>
              <w:t>​</w:t>
            </w: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Directors with experience in a significant</w:t>
            </w:r>
          </w:p>
        </w:tc>
        <w:tc>
          <w:tcPr>
            <w:tcW w:w="120" w:type="dxa"/>
            <w:vAlign w:val="bottom"/>
            <w:shd w:val="clear" w:color="auto" w:fill="F6F8F7"/>
          </w:tcPr>
          <w:p>
            <w:pPr>
              <w:ind w:lef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980" w:type="dxa"/>
            <w:vAlign w:val="bottom"/>
            <w:gridSpan w:val="3"/>
            <w:shd w:val="clear" w:color="auto" w:fill="F2F2F2"/>
          </w:tcPr>
          <w:p>
            <w:pPr>
              <w:spacing w:after="0" w:line="274" w:lineRule="exact"/>
              <w:rPr>
                <w:sz w:val="20"/>
                <w:szCs w:val="20"/>
                <w:color w:val="auto"/>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Directors</w:t>
            </w:r>
          </w:p>
        </w:tc>
        <w:tc>
          <w:tcPr>
            <w:tcW w:w="200" w:type="dxa"/>
            <w:vAlign w:val="bottom"/>
            <w:shd w:val="clear" w:color="auto" w:fill="F2F2F2"/>
          </w:tcPr>
          <w:p>
            <w:pPr>
              <w:spacing w:after="0"/>
              <w:rPr>
                <w:sz w:val="23"/>
                <w:szCs w:val="23"/>
                <w:color w:val="auto"/>
              </w:rPr>
            </w:pPr>
          </w:p>
        </w:tc>
        <w:tc>
          <w:tcPr>
            <w:tcW w:w="36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with</w:t>
            </w:r>
          </w:p>
        </w:tc>
        <w:tc>
          <w:tcPr>
            <w:tcW w:w="280" w:type="dxa"/>
            <w:vAlign w:val="bottom"/>
            <w:shd w:val="clear" w:color="auto" w:fill="F2F2F2"/>
          </w:tcPr>
          <w:p>
            <w:pPr>
              <w:spacing w:after="0"/>
              <w:rPr>
                <w:sz w:val="23"/>
                <w:szCs w:val="23"/>
                <w:color w:val="auto"/>
              </w:rPr>
            </w:pPr>
          </w:p>
        </w:tc>
        <w:tc>
          <w:tcPr>
            <w:tcW w:w="46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a</w:t>
            </w:r>
          </w:p>
        </w:tc>
        <w:tc>
          <w:tcPr>
            <w:tcW w:w="4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deep</w:t>
            </w:r>
          </w:p>
        </w:tc>
        <w:tc>
          <w:tcPr>
            <w:tcW w:w="120" w:type="dxa"/>
            <w:vAlign w:val="bottom"/>
            <w:shd w:val="clear" w:color="auto" w:fill="F2F2F2"/>
          </w:tcPr>
          <w:p>
            <w:pPr>
              <w:ind w:left="80"/>
              <w:spacing w:after="0"/>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140" w:type="dxa"/>
            <w:vAlign w:val="bottom"/>
            <w:gridSpan w:val="4"/>
          </w:tcPr>
          <w:p>
            <w:pPr>
              <w:ind w:left="60"/>
              <w:spacing w:after="0"/>
              <w:rPr>
                <w:sz w:val="20"/>
                <w:szCs w:val="20"/>
                <w:color w:val="auto"/>
              </w:rPr>
            </w:pPr>
            <w:r>
              <w:rPr>
                <w:rFonts w:ascii="Arial" w:cs="Arial" w:eastAsia="Arial" w:hAnsi="Arial"/>
                <w:sz w:val="14"/>
                <w:szCs w:val="14"/>
                <w:color w:val="auto"/>
              </w:rPr>
              <w:t>Directors  with</w:t>
            </w:r>
          </w:p>
        </w:tc>
        <w:tc>
          <w:tcPr>
            <w:tcW w:w="960" w:type="dxa"/>
            <w:vAlign w:val="bottom"/>
            <w:gridSpan w:val="3"/>
          </w:tcPr>
          <w:p>
            <w:pPr>
              <w:ind w:left="180"/>
              <w:spacing w:after="0"/>
              <w:rPr>
                <w:sz w:val="20"/>
                <w:szCs w:val="20"/>
                <w:color w:val="auto"/>
              </w:rPr>
            </w:pPr>
            <w:r>
              <w:rPr>
                <w:rFonts w:ascii="Arial" w:cs="Arial" w:eastAsia="Arial" w:hAnsi="Arial"/>
                <w:sz w:val="14"/>
                <w:szCs w:val="14"/>
                <w:color w:val="auto"/>
              </w:rPr>
              <w:t>experience</w:t>
            </w:r>
          </w:p>
        </w:tc>
        <w:tc>
          <w:tcPr>
            <w:tcW w:w="280" w:type="dxa"/>
            <w:vAlign w:val="bottom"/>
          </w:tcPr>
          <w:p>
            <w:pPr>
              <w:jc w:val="right"/>
              <w:spacing w:after="0"/>
              <w:rPr>
                <w:sz w:val="20"/>
                <w:szCs w:val="20"/>
                <w:color w:val="auto"/>
              </w:rPr>
            </w:pPr>
            <w:r>
              <w:rPr>
                <w:rFonts w:ascii="Arial" w:cs="Arial" w:eastAsia="Arial" w:hAnsi="Arial"/>
                <w:sz w:val="14"/>
                <w:szCs w:val="14"/>
                <w:color w:val="auto"/>
              </w:rPr>
              <w:t>in</w:t>
            </w:r>
          </w:p>
        </w:tc>
        <w:tc>
          <w:tcPr>
            <w:tcW w:w="0" w:type="dxa"/>
            <w:vAlign w:val="bottom"/>
          </w:tcPr>
          <w:p>
            <w:pPr>
              <w:spacing w:after="0"/>
              <w:rPr>
                <w:sz w:val="1"/>
                <w:szCs w:val="1"/>
                <w:color w:val="auto"/>
              </w:rPr>
            </w:pPr>
          </w:p>
        </w:tc>
      </w:tr>
      <w:tr>
        <w:trPr>
          <w:trHeight w:val="176"/>
        </w:trPr>
        <w:tc>
          <w:tcPr>
            <w:tcW w:w="140" w:type="dxa"/>
            <w:vAlign w:val="bottom"/>
            <w:shd w:val="clear" w:color="auto" w:fill="F6F8F7"/>
          </w:tcPr>
          <w:p>
            <w:pPr>
              <w:spacing w:after="0"/>
              <w:rPr>
                <w:sz w:val="15"/>
                <w:szCs w:val="15"/>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operations  role  help  the  Company  to</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4"/>
            <w:shd w:val="clear" w:color="auto" w:fill="F2F2F2"/>
          </w:tcPr>
          <w:p>
            <w:pPr>
              <w:ind w:left="180"/>
              <w:spacing w:after="0"/>
              <w:rPr>
                <w:sz w:val="20"/>
                <w:szCs w:val="20"/>
                <w:color w:val="auto"/>
              </w:rPr>
            </w:pPr>
            <w:r>
              <w:rPr>
                <w:rFonts w:ascii="Arial" w:cs="Arial" w:eastAsia="Arial" w:hAnsi="Arial"/>
                <w:sz w:val="14"/>
                <w:szCs w:val="14"/>
                <w:color w:val="auto"/>
              </w:rPr>
              <w:t>understanding</w:t>
            </w:r>
          </w:p>
        </w:tc>
        <w:tc>
          <w:tcPr>
            <w:tcW w:w="160" w:type="dxa"/>
            <w:vAlign w:val="bottom"/>
            <w:shd w:val="clear" w:color="auto" w:fill="F2F2F2"/>
          </w:tcPr>
          <w:p>
            <w:pPr>
              <w:spacing w:after="0"/>
              <w:rPr>
                <w:sz w:val="15"/>
                <w:szCs w:val="15"/>
                <w:color w:val="auto"/>
              </w:rPr>
            </w:pPr>
          </w:p>
        </w:tc>
        <w:tc>
          <w:tcPr>
            <w:tcW w:w="200" w:type="dxa"/>
            <w:vAlign w:val="bottom"/>
            <w:shd w:val="clear" w:color="auto" w:fill="F2F2F2"/>
          </w:tcPr>
          <w:p>
            <w:pPr>
              <w:ind w:left="20"/>
              <w:spacing w:after="0"/>
              <w:rPr>
                <w:sz w:val="20"/>
                <w:szCs w:val="20"/>
                <w:color w:val="auto"/>
              </w:rPr>
            </w:pPr>
            <w:r>
              <w:rPr>
                <w:rFonts w:ascii="Arial" w:cs="Arial" w:eastAsia="Arial" w:hAnsi="Arial"/>
                <w:sz w:val="14"/>
                <w:szCs w:val="14"/>
                <w:color w:val="auto"/>
              </w:rPr>
              <w:t>of</w:t>
            </w:r>
          </w:p>
        </w:tc>
        <w:tc>
          <w:tcPr>
            <w:tcW w:w="740" w:type="dxa"/>
            <w:vAlign w:val="bottom"/>
            <w:gridSpan w:val="3"/>
            <w:shd w:val="clear" w:color="auto" w:fill="F2F2F2"/>
          </w:tcPr>
          <w:p>
            <w:pPr>
              <w:ind w:left="140"/>
              <w:spacing w:after="0"/>
              <w:rPr>
                <w:sz w:val="20"/>
                <w:szCs w:val="20"/>
                <w:color w:val="auto"/>
              </w:rPr>
            </w:pPr>
            <w:r>
              <w:rPr>
                <w:rFonts w:ascii="Arial" w:cs="Arial" w:eastAsia="Arial" w:hAnsi="Arial"/>
                <w:sz w:val="14"/>
                <w:szCs w:val="14"/>
                <w:color w:val="auto"/>
              </w:rPr>
              <w:t>finance</w:t>
            </w:r>
          </w:p>
        </w:tc>
        <w:tc>
          <w:tcPr>
            <w:tcW w:w="4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and</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human</w:t>
            </w:r>
          </w:p>
        </w:tc>
        <w:tc>
          <w:tcPr>
            <w:tcW w:w="860" w:type="dxa"/>
            <w:vAlign w:val="bottom"/>
            <w:gridSpan w:val="3"/>
          </w:tcPr>
          <w:p>
            <w:pPr>
              <w:jc w:val="center"/>
              <w:spacing w:after="0"/>
              <w:rPr>
                <w:sz w:val="20"/>
                <w:szCs w:val="20"/>
                <w:color w:val="auto"/>
              </w:rPr>
            </w:pPr>
            <w:r>
              <w:rPr>
                <w:rFonts w:ascii="Arial" w:cs="Arial" w:eastAsia="Arial" w:hAnsi="Arial"/>
                <w:sz w:val="14"/>
                <w:szCs w:val="14"/>
                <w:color w:val="auto"/>
              </w:rPr>
              <w:t>capital</w:t>
            </w: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management</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develop,   implement   and   assess   its</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3"/>
            <w:shd w:val="clear" w:color="auto" w:fill="F2F2F2"/>
          </w:tcPr>
          <w:p>
            <w:pPr>
              <w:ind w:left="180"/>
              <w:spacing w:after="0"/>
              <w:rPr>
                <w:sz w:val="20"/>
                <w:szCs w:val="20"/>
                <w:color w:val="auto"/>
              </w:rPr>
            </w:pPr>
            <w:r>
              <w:rPr>
                <w:rFonts w:ascii="Arial" w:cs="Arial" w:eastAsia="Arial" w:hAnsi="Arial"/>
                <w:sz w:val="14"/>
                <w:szCs w:val="14"/>
                <w:color w:val="auto"/>
              </w:rPr>
              <w:t>financial</w:t>
            </w:r>
          </w:p>
        </w:tc>
        <w:tc>
          <w:tcPr>
            <w:tcW w:w="840" w:type="dxa"/>
            <w:vAlign w:val="bottom"/>
            <w:gridSpan w:val="4"/>
            <w:shd w:val="clear" w:color="auto" w:fill="F2F2F2"/>
          </w:tcPr>
          <w:p>
            <w:pPr>
              <w:ind w:left="20"/>
              <w:spacing w:after="0"/>
              <w:rPr>
                <w:sz w:val="20"/>
                <w:szCs w:val="20"/>
                <w:color w:val="auto"/>
              </w:rPr>
            </w:pPr>
            <w:r>
              <w:rPr>
                <w:rFonts w:ascii="Arial" w:cs="Arial" w:eastAsia="Arial" w:hAnsi="Arial"/>
                <w:sz w:val="14"/>
                <w:szCs w:val="14"/>
                <w:color w:val="auto"/>
              </w:rPr>
              <w:t>reporting</w:t>
            </w:r>
          </w:p>
        </w:tc>
        <w:tc>
          <w:tcPr>
            <w:tcW w:w="460" w:type="dxa"/>
            <w:vAlign w:val="bottom"/>
            <w:gridSpan w:val="2"/>
            <w:shd w:val="clear" w:color="auto" w:fill="F2F2F2"/>
          </w:tcPr>
          <w:p>
            <w:pPr>
              <w:ind w:left="60"/>
              <w:spacing w:after="0"/>
              <w:rPr>
                <w:sz w:val="20"/>
                <w:szCs w:val="20"/>
                <w:color w:val="auto"/>
              </w:rPr>
            </w:pPr>
            <w:r>
              <w:rPr>
                <w:rFonts w:ascii="Arial" w:cs="Arial" w:eastAsia="Arial" w:hAnsi="Arial"/>
                <w:sz w:val="14"/>
                <w:szCs w:val="14"/>
                <w:color w:val="auto"/>
              </w:rPr>
              <w:t>lead</w:t>
            </w:r>
          </w:p>
        </w:tc>
        <w:tc>
          <w:tcPr>
            <w:tcW w:w="4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our</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provide</w:t>
            </w:r>
          </w:p>
        </w:tc>
        <w:tc>
          <w:tcPr>
            <w:tcW w:w="860" w:type="dxa"/>
            <w:vAlign w:val="bottom"/>
            <w:gridSpan w:val="3"/>
          </w:tcPr>
          <w:p>
            <w:pPr>
              <w:jc w:val="center"/>
              <w:spacing w:after="0"/>
              <w:rPr>
                <w:sz w:val="20"/>
                <w:szCs w:val="20"/>
                <w:color w:val="auto"/>
              </w:rPr>
            </w:pPr>
            <w:r>
              <w:rPr>
                <w:rFonts w:ascii="Arial" w:cs="Arial" w:eastAsia="Arial" w:hAnsi="Arial"/>
                <w:sz w:val="14"/>
                <w:szCs w:val="14"/>
                <w:color w:val="auto"/>
              </w:rPr>
              <w:t>valuable</w:t>
            </w:r>
          </w:p>
        </w:tc>
        <w:tc>
          <w:tcPr>
            <w:tcW w:w="640" w:type="dxa"/>
            <w:vAlign w:val="bottom"/>
            <w:gridSpan w:val="2"/>
          </w:tcPr>
          <w:p>
            <w:pPr>
              <w:spacing w:after="0"/>
              <w:rPr>
                <w:sz w:val="20"/>
                <w:szCs w:val="20"/>
                <w:color w:val="auto"/>
              </w:rPr>
            </w:pPr>
            <w:r>
              <w:rPr>
                <w:rFonts w:ascii="Arial" w:cs="Arial" w:eastAsia="Arial" w:hAnsi="Arial"/>
                <w:sz w:val="14"/>
                <w:szCs w:val="14"/>
                <w:color w:val="auto"/>
              </w:rPr>
              <w:t>guidance</w:t>
            </w:r>
          </w:p>
        </w:tc>
        <w:tc>
          <w:tcPr>
            <w:tcW w:w="280" w:type="dxa"/>
            <w:vAlign w:val="bottom"/>
          </w:tcPr>
          <w:p>
            <w:pPr>
              <w:jc w:val="right"/>
              <w:spacing w:after="0"/>
              <w:rPr>
                <w:sz w:val="20"/>
                <w:szCs w:val="20"/>
                <w:color w:val="auto"/>
              </w:rPr>
            </w:pPr>
            <w:r>
              <w:rPr>
                <w:rFonts w:ascii="Arial" w:cs="Arial" w:eastAsia="Arial" w:hAnsi="Arial"/>
                <w:sz w:val="14"/>
                <w:szCs w:val="14"/>
                <w:color w:val="auto"/>
              </w:rPr>
              <w:t>in</w:t>
            </w:r>
          </w:p>
        </w:tc>
        <w:tc>
          <w:tcPr>
            <w:tcW w:w="0" w:type="dxa"/>
            <w:vAlign w:val="bottom"/>
          </w:tcPr>
          <w:p>
            <w:pPr>
              <w:spacing w:after="0"/>
              <w:rPr>
                <w:sz w:val="1"/>
                <w:szCs w:val="1"/>
                <w:color w:val="auto"/>
              </w:rPr>
            </w:pPr>
          </w:p>
        </w:tc>
      </w:tr>
      <w:tr>
        <w:trPr>
          <w:trHeight w:val="162"/>
        </w:trPr>
        <w:tc>
          <w:tcPr>
            <w:tcW w:w="140" w:type="dxa"/>
            <w:vAlign w:val="bottom"/>
            <w:shd w:val="clear" w:color="auto" w:fill="F6F8F7"/>
          </w:tcPr>
          <w:p>
            <w:pPr>
              <w:spacing w:after="0"/>
              <w:rPr>
                <w:sz w:val="14"/>
                <w:szCs w:val="14"/>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operating  plan  and  capital  plan  and</w:t>
            </w:r>
          </w:p>
        </w:tc>
        <w:tc>
          <w:tcPr>
            <w:tcW w:w="120" w:type="dxa"/>
            <w:vAlign w:val="bottom"/>
            <w:shd w:val="clear" w:color="auto" w:fill="F6F8F7"/>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6"/>
            <w:shd w:val="clear" w:color="auto" w:fill="F2F2F2"/>
          </w:tcPr>
          <w:p>
            <w:pPr>
              <w:ind w:left="180"/>
              <w:spacing w:after="0"/>
              <w:rPr>
                <w:sz w:val="20"/>
                <w:szCs w:val="20"/>
                <w:color w:val="auto"/>
              </w:rPr>
            </w:pPr>
            <w:r>
              <w:rPr>
                <w:rFonts w:ascii="Arial" w:cs="Arial" w:eastAsia="Arial" w:hAnsi="Arial"/>
                <w:sz w:val="14"/>
                <w:szCs w:val="14"/>
                <w:color w:val="auto"/>
              </w:rPr>
              <w:t>Board’s   oversight</w:t>
            </w:r>
          </w:p>
        </w:tc>
        <w:tc>
          <w:tcPr>
            <w:tcW w:w="340" w:type="dxa"/>
            <w:vAlign w:val="bottom"/>
            <w:gridSpan w:val="2"/>
            <w:shd w:val="clear" w:color="auto" w:fill="F2F2F2"/>
          </w:tcPr>
          <w:p>
            <w:pPr>
              <w:jc w:val="center"/>
              <w:ind w:left="68"/>
              <w:spacing w:after="0"/>
              <w:rPr>
                <w:sz w:val="20"/>
                <w:szCs w:val="20"/>
                <w:color w:val="auto"/>
              </w:rPr>
            </w:pPr>
            <w:r>
              <w:rPr>
                <w:rFonts w:ascii="Arial" w:cs="Arial" w:eastAsia="Arial" w:hAnsi="Arial"/>
                <w:sz w:val="14"/>
                <w:szCs w:val="14"/>
                <w:color w:val="auto"/>
              </w:rPr>
              <w:t>of</w:t>
            </w:r>
          </w:p>
        </w:tc>
        <w:tc>
          <w:tcPr>
            <w:tcW w:w="820" w:type="dxa"/>
            <w:vAlign w:val="bottom"/>
            <w:gridSpan w:val="2"/>
            <w:shd w:val="clear" w:color="auto" w:fill="F2F2F2"/>
          </w:tcPr>
          <w:p>
            <w:pPr>
              <w:jc w:val="right"/>
              <w:ind w:right="8"/>
              <w:spacing w:after="0"/>
              <w:rPr>
                <w:sz w:val="20"/>
                <w:szCs w:val="20"/>
                <w:color w:val="auto"/>
              </w:rPr>
            </w:pPr>
            <w:r>
              <w:rPr>
                <w:rFonts w:ascii="Arial" w:cs="Arial" w:eastAsia="Arial" w:hAnsi="Arial"/>
                <w:sz w:val="14"/>
                <w:szCs w:val="14"/>
                <w:color w:val="auto"/>
              </w:rPr>
              <w:t>financial</w:t>
            </w:r>
          </w:p>
        </w:tc>
        <w:tc>
          <w:tcPr>
            <w:tcW w:w="120" w:type="dxa"/>
            <w:vAlign w:val="bottom"/>
            <w:shd w:val="clear" w:color="auto" w:fill="F2F2F2"/>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support</w:t>
            </w:r>
          </w:p>
        </w:tc>
        <w:tc>
          <w:tcPr>
            <w:tcW w:w="420" w:type="dxa"/>
            <w:vAlign w:val="bottom"/>
          </w:tcPr>
          <w:p>
            <w:pPr>
              <w:jc w:val="center"/>
              <w:ind w:left="47"/>
              <w:spacing w:after="0"/>
              <w:rPr>
                <w:sz w:val="20"/>
                <w:szCs w:val="20"/>
                <w:color w:val="auto"/>
              </w:rPr>
            </w:pPr>
            <w:r>
              <w:rPr>
                <w:rFonts w:ascii="Arial" w:cs="Arial" w:eastAsia="Arial" w:hAnsi="Arial"/>
                <w:sz w:val="14"/>
                <w:szCs w:val="14"/>
                <w:color w:val="auto"/>
              </w:rPr>
              <w:t>of</w:t>
            </w:r>
          </w:p>
        </w:tc>
        <w:tc>
          <w:tcPr>
            <w:tcW w:w="120" w:type="dxa"/>
            <w:vAlign w:val="bottom"/>
          </w:tcPr>
          <w:p>
            <w:pPr>
              <w:spacing w:after="0"/>
              <w:rPr>
                <w:sz w:val="14"/>
                <w:szCs w:val="14"/>
                <w:color w:val="auto"/>
              </w:rPr>
            </w:pPr>
          </w:p>
        </w:tc>
        <w:tc>
          <w:tcPr>
            <w:tcW w:w="320" w:type="dxa"/>
            <w:vAlign w:val="bottom"/>
          </w:tcPr>
          <w:p>
            <w:pPr>
              <w:ind w:left="20"/>
              <w:spacing w:after="0"/>
              <w:rPr>
                <w:sz w:val="20"/>
                <w:szCs w:val="20"/>
                <w:color w:val="auto"/>
              </w:rPr>
            </w:pPr>
            <w:r>
              <w:rPr>
                <w:rFonts w:ascii="Arial" w:cs="Arial" w:eastAsia="Arial" w:hAnsi="Arial"/>
                <w:sz w:val="14"/>
                <w:szCs w:val="14"/>
                <w:color w:val="auto"/>
              </w:rPr>
              <w:t>the</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Company’s</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execute   on   commitments   to   cost</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4"/>
            <w:shd w:val="clear" w:color="auto" w:fill="F2F2F2"/>
          </w:tcPr>
          <w:p>
            <w:pPr>
              <w:ind w:left="180"/>
              <w:spacing w:after="0"/>
              <w:rPr>
                <w:sz w:val="20"/>
                <w:szCs w:val="20"/>
                <w:color w:val="auto"/>
              </w:rPr>
            </w:pPr>
            <w:r>
              <w:rPr>
                <w:rFonts w:ascii="Arial" w:cs="Arial" w:eastAsia="Arial" w:hAnsi="Arial"/>
                <w:sz w:val="14"/>
                <w:szCs w:val="14"/>
                <w:color w:val="auto"/>
              </w:rPr>
              <w:t>performance</w:t>
            </w:r>
          </w:p>
        </w:tc>
        <w:tc>
          <w:tcPr>
            <w:tcW w:w="360" w:type="dxa"/>
            <w:vAlign w:val="bottom"/>
            <w:gridSpan w:val="2"/>
            <w:shd w:val="clear" w:color="auto" w:fill="F2F2F2"/>
          </w:tcPr>
          <w:p>
            <w:pPr>
              <w:spacing w:after="0"/>
              <w:rPr>
                <w:sz w:val="20"/>
                <w:szCs w:val="20"/>
                <w:color w:val="auto"/>
              </w:rPr>
            </w:pPr>
            <w:r>
              <w:rPr>
                <w:rFonts w:ascii="Arial" w:cs="Arial" w:eastAsia="Arial" w:hAnsi="Arial"/>
                <w:sz w:val="14"/>
                <w:szCs w:val="14"/>
                <w:color w:val="auto"/>
              </w:rPr>
              <w:t>and</w:t>
            </w:r>
          </w:p>
        </w:tc>
        <w:tc>
          <w:tcPr>
            <w:tcW w:w="1160" w:type="dxa"/>
            <w:vAlign w:val="bottom"/>
            <w:gridSpan w:val="4"/>
            <w:shd w:val="clear" w:color="auto" w:fill="F2F2F2"/>
          </w:tcPr>
          <w:p>
            <w:pPr>
              <w:jc w:val="right"/>
              <w:ind w:right="8"/>
              <w:spacing w:after="0"/>
              <w:rPr>
                <w:sz w:val="20"/>
                <w:szCs w:val="20"/>
                <w:color w:val="auto"/>
              </w:rPr>
            </w:pPr>
            <w:r>
              <w:rPr>
                <w:rFonts w:ascii="Arial" w:cs="Arial" w:eastAsia="Arial" w:hAnsi="Arial"/>
                <w:sz w:val="14"/>
                <w:szCs w:val="14"/>
                <w:color w:val="auto"/>
              </w:rPr>
              <w:t>robust  internal</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People</w:t>
            </w:r>
          </w:p>
        </w:tc>
        <w:tc>
          <w:tcPr>
            <w:tcW w:w="420" w:type="dxa"/>
            <w:vAlign w:val="bottom"/>
          </w:tcPr>
          <w:p>
            <w:pPr>
              <w:jc w:val="center"/>
              <w:ind w:left="27"/>
              <w:spacing w:after="0"/>
              <w:rPr>
                <w:sz w:val="20"/>
                <w:szCs w:val="20"/>
                <w:color w:val="auto"/>
              </w:rPr>
            </w:pPr>
            <w:r>
              <w:rPr>
                <w:rFonts w:ascii="Arial" w:cs="Arial" w:eastAsia="Arial" w:hAnsi="Arial"/>
                <w:sz w:val="14"/>
                <w:szCs w:val="14"/>
                <w:color w:val="auto"/>
              </w:rPr>
              <w:t>First</w:t>
            </w:r>
          </w:p>
        </w:tc>
        <w:tc>
          <w:tcPr>
            <w:tcW w:w="120" w:type="dxa"/>
            <w:vAlign w:val="bottom"/>
          </w:tcPr>
          <w:p>
            <w:pPr>
              <w:spacing w:after="0"/>
              <w:rPr>
                <w:sz w:val="15"/>
                <w:szCs w:val="15"/>
                <w:color w:val="auto"/>
              </w:rPr>
            </w:pPr>
          </w:p>
        </w:tc>
        <w:tc>
          <w:tcPr>
            <w:tcW w:w="820" w:type="dxa"/>
            <w:vAlign w:val="bottom"/>
            <w:gridSpan w:val="2"/>
          </w:tcPr>
          <w:p>
            <w:pPr>
              <w:jc w:val="right"/>
              <w:ind w:right="108"/>
              <w:spacing w:after="0"/>
              <w:rPr>
                <w:sz w:val="20"/>
                <w:szCs w:val="20"/>
                <w:color w:val="auto"/>
              </w:rPr>
            </w:pPr>
            <w:r>
              <w:rPr>
                <w:rFonts w:ascii="Arial" w:cs="Arial" w:eastAsia="Arial" w:hAnsi="Arial"/>
                <w:sz w:val="14"/>
                <w:szCs w:val="14"/>
                <w:color w:val="auto"/>
              </w:rPr>
              <w:t>strategy.</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These</w:t>
            </w:r>
          </w:p>
        </w:tc>
        <w:tc>
          <w:tcPr>
            <w:tcW w:w="0" w:type="dxa"/>
            <w:vAlign w:val="bottom"/>
          </w:tcPr>
          <w:p>
            <w:pPr>
              <w:spacing w:after="0"/>
              <w:rPr>
                <w:sz w:val="1"/>
                <w:szCs w:val="1"/>
                <w:color w:val="auto"/>
              </w:rPr>
            </w:pPr>
          </w:p>
        </w:tc>
      </w:tr>
      <w:tr>
        <w:trPr>
          <w:trHeight w:val="176"/>
        </w:trPr>
        <w:tc>
          <w:tcPr>
            <w:tcW w:w="140" w:type="dxa"/>
            <w:vAlign w:val="bottom"/>
            <w:shd w:val="clear" w:color="auto" w:fill="F6F8F7"/>
          </w:tcPr>
          <w:p>
            <w:pPr>
              <w:spacing w:after="0"/>
              <w:rPr>
                <w:sz w:val="15"/>
                <w:szCs w:val="15"/>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optimization and continuous improvement.</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1340" w:type="dxa"/>
            <w:vAlign w:val="bottom"/>
            <w:gridSpan w:val="5"/>
            <w:shd w:val="clear" w:color="auto" w:fill="F2F2F2"/>
          </w:tcPr>
          <w:p>
            <w:pPr>
              <w:ind w:left="180"/>
              <w:spacing w:after="0"/>
              <w:rPr>
                <w:sz w:val="20"/>
                <w:szCs w:val="20"/>
                <w:color w:val="auto"/>
              </w:rPr>
            </w:pPr>
            <w:r>
              <w:rPr>
                <w:rFonts w:ascii="Arial" w:cs="Arial" w:eastAsia="Arial" w:hAnsi="Arial"/>
                <w:sz w:val="14"/>
                <w:szCs w:val="14"/>
                <w:color w:val="auto"/>
              </w:rPr>
              <w:t>controls.  These</w:t>
            </w:r>
          </w:p>
        </w:tc>
        <w:tc>
          <w:tcPr>
            <w:tcW w:w="940" w:type="dxa"/>
            <w:vAlign w:val="bottom"/>
            <w:gridSpan w:val="4"/>
            <w:shd w:val="clear" w:color="auto" w:fill="F2F2F2"/>
          </w:tcPr>
          <w:p>
            <w:pPr>
              <w:jc w:val="center"/>
              <w:spacing w:after="0"/>
              <w:rPr>
                <w:sz w:val="20"/>
                <w:szCs w:val="20"/>
                <w:color w:val="auto"/>
              </w:rPr>
            </w:pPr>
            <w:r>
              <w:rPr>
                <w:rFonts w:ascii="Arial" w:cs="Arial" w:eastAsia="Arial" w:hAnsi="Arial"/>
                <w:sz w:val="14"/>
                <w:szCs w:val="14"/>
                <w:color w:val="auto"/>
              </w:rPr>
              <w:t>individuals</w:t>
            </w:r>
          </w:p>
        </w:tc>
        <w:tc>
          <w:tcPr>
            <w:tcW w:w="4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have</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individuals</w:t>
            </w:r>
          </w:p>
        </w:tc>
        <w:tc>
          <w:tcPr>
            <w:tcW w:w="940" w:type="dxa"/>
            <w:vAlign w:val="bottom"/>
            <w:gridSpan w:val="3"/>
          </w:tcPr>
          <w:p>
            <w:pPr>
              <w:jc w:val="right"/>
              <w:ind w:right="8"/>
              <w:spacing w:after="0"/>
              <w:rPr>
                <w:sz w:val="20"/>
                <w:szCs w:val="20"/>
                <w:color w:val="auto"/>
              </w:rPr>
            </w:pPr>
            <w:r>
              <w:rPr>
                <w:rFonts w:ascii="Arial" w:cs="Arial" w:eastAsia="Arial" w:hAnsi="Arial"/>
                <w:sz w:val="14"/>
                <w:szCs w:val="14"/>
                <w:color w:val="auto"/>
              </w:rPr>
              <w:t>understand</w:t>
            </w:r>
          </w:p>
        </w:tc>
        <w:tc>
          <w:tcPr>
            <w:tcW w:w="1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the</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1400" w:type="dxa"/>
            <w:vAlign w:val="bottom"/>
            <w:gridSpan w:val="2"/>
            <w:shd w:val="clear" w:color="auto" w:fill="F6F8F7"/>
          </w:tcPr>
          <w:p>
            <w:pPr>
              <w:ind w:left="60"/>
              <w:spacing w:after="0"/>
              <w:rPr>
                <w:sz w:val="20"/>
                <w:szCs w:val="20"/>
                <w:color w:val="auto"/>
              </w:rPr>
            </w:pPr>
            <w:r>
              <w:rPr>
                <w:rFonts w:ascii="Arial" w:cs="Arial" w:eastAsia="Arial" w:hAnsi="Arial"/>
                <w:sz w:val="14"/>
                <w:szCs w:val="14"/>
                <w:color w:val="auto"/>
              </w:rPr>
              <w:t>Individuals  with</w:t>
            </w:r>
          </w:p>
        </w:tc>
        <w:tc>
          <w:tcPr>
            <w:tcW w:w="1720" w:type="dxa"/>
            <w:vAlign w:val="bottom"/>
            <w:gridSpan w:val="2"/>
            <w:shd w:val="clear" w:color="auto" w:fill="F6F8F7"/>
          </w:tcPr>
          <w:p>
            <w:pPr>
              <w:ind w:left="40"/>
              <w:spacing w:after="0"/>
              <w:rPr>
                <w:sz w:val="20"/>
                <w:szCs w:val="20"/>
                <w:color w:val="auto"/>
              </w:rPr>
            </w:pPr>
            <w:r>
              <w:rPr>
                <w:rFonts w:ascii="Arial" w:cs="Arial" w:eastAsia="Arial" w:hAnsi="Arial"/>
                <w:sz w:val="14"/>
                <w:szCs w:val="14"/>
                <w:color w:val="auto"/>
              </w:rPr>
              <w:t>extensive  operational</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3"/>
            <w:shd w:val="clear" w:color="auto" w:fill="F2F2F2"/>
          </w:tcPr>
          <w:p>
            <w:pPr>
              <w:ind w:left="180"/>
              <w:spacing w:after="0"/>
              <w:rPr>
                <w:sz w:val="20"/>
                <w:szCs w:val="20"/>
                <w:color w:val="auto"/>
              </w:rPr>
            </w:pPr>
            <w:r>
              <w:rPr>
                <w:rFonts w:ascii="Arial" w:cs="Arial" w:eastAsia="Arial" w:hAnsi="Arial"/>
                <w:sz w:val="14"/>
                <w:szCs w:val="14"/>
                <w:color w:val="auto"/>
              </w:rPr>
              <w:t>expertise</w:t>
            </w:r>
          </w:p>
        </w:tc>
        <w:tc>
          <w:tcPr>
            <w:tcW w:w="360" w:type="dxa"/>
            <w:vAlign w:val="bottom"/>
            <w:gridSpan w:val="2"/>
            <w:shd w:val="clear" w:color="auto" w:fill="F2F2F2"/>
          </w:tcPr>
          <w:p>
            <w:pPr>
              <w:ind w:left="100"/>
              <w:spacing w:after="0"/>
              <w:rPr>
                <w:sz w:val="20"/>
                <w:szCs w:val="20"/>
                <w:color w:val="auto"/>
              </w:rPr>
            </w:pPr>
            <w:r>
              <w:rPr>
                <w:rFonts w:ascii="Arial" w:cs="Arial" w:eastAsia="Arial" w:hAnsi="Arial"/>
                <w:sz w:val="14"/>
                <w:szCs w:val="14"/>
                <w:color w:val="auto"/>
              </w:rPr>
              <w:t>in</w:t>
            </w:r>
          </w:p>
        </w:tc>
        <w:tc>
          <w:tcPr>
            <w:tcW w:w="940" w:type="dxa"/>
            <w:vAlign w:val="bottom"/>
            <w:gridSpan w:val="4"/>
            <w:shd w:val="clear" w:color="auto" w:fill="F2F2F2"/>
          </w:tcPr>
          <w:p>
            <w:pPr>
              <w:jc w:val="center"/>
              <w:spacing w:after="0"/>
              <w:rPr>
                <w:sz w:val="20"/>
                <w:szCs w:val="20"/>
                <w:color w:val="auto"/>
              </w:rPr>
            </w:pPr>
            <w:r>
              <w:rPr>
                <w:rFonts w:ascii="Arial" w:cs="Arial" w:eastAsia="Arial" w:hAnsi="Arial"/>
                <w:sz w:val="14"/>
                <w:szCs w:val="14"/>
                <w:color w:val="auto"/>
              </w:rPr>
              <w:t>designing</w:t>
            </w:r>
          </w:p>
        </w:tc>
        <w:tc>
          <w:tcPr>
            <w:tcW w:w="420" w:type="dxa"/>
            <w:vAlign w:val="bottom"/>
            <w:shd w:val="clear" w:color="auto" w:fill="F2F2F2"/>
          </w:tcPr>
          <w:p>
            <w:pPr>
              <w:jc w:val="right"/>
              <w:ind w:right="8"/>
              <w:spacing w:after="0"/>
              <w:rPr>
                <w:sz w:val="20"/>
                <w:szCs w:val="20"/>
                <w:color w:val="auto"/>
              </w:rPr>
            </w:pPr>
            <w:r>
              <w:rPr>
                <w:rFonts w:ascii="Arial" w:cs="Arial" w:eastAsia="Arial" w:hAnsi="Arial"/>
                <w:sz w:val="14"/>
                <w:szCs w:val="14"/>
                <w:color w:val="auto"/>
              </w:rPr>
              <w:t>and</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dynamics</w:t>
            </w:r>
          </w:p>
        </w:tc>
        <w:tc>
          <w:tcPr>
            <w:tcW w:w="440" w:type="dxa"/>
            <w:vAlign w:val="bottom"/>
            <w:gridSpan w:val="2"/>
          </w:tcPr>
          <w:p>
            <w:pPr>
              <w:jc w:val="center"/>
              <w:ind w:right="28"/>
              <w:spacing w:after="0"/>
              <w:rPr>
                <w:sz w:val="20"/>
                <w:szCs w:val="20"/>
                <w:color w:val="auto"/>
              </w:rPr>
            </w:pPr>
            <w:r>
              <w:rPr>
                <w:rFonts w:ascii="Arial" w:cs="Arial" w:eastAsia="Arial" w:hAnsi="Arial"/>
                <w:sz w:val="14"/>
                <w:szCs w:val="14"/>
                <w:color w:val="auto"/>
              </w:rPr>
              <w:t>of</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attracting,</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experience in heavily regulated industries,</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2700" w:type="dxa"/>
            <w:vAlign w:val="bottom"/>
            <w:gridSpan w:val="10"/>
            <w:shd w:val="clear" w:color="auto" w:fill="F2F2F2"/>
          </w:tcPr>
          <w:p>
            <w:pPr>
              <w:ind w:left="180"/>
              <w:spacing w:after="0"/>
              <w:rPr>
                <w:sz w:val="20"/>
                <w:szCs w:val="20"/>
                <w:color w:val="auto"/>
              </w:rPr>
            </w:pPr>
            <w:r>
              <w:rPr>
                <w:rFonts w:ascii="Arial" w:cs="Arial" w:eastAsia="Arial" w:hAnsi="Arial"/>
                <w:sz w:val="14"/>
                <w:szCs w:val="14"/>
                <w:color w:val="auto"/>
              </w:rPr>
              <w:t>implementing financing and capital</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motivating,</w:t>
            </w:r>
          </w:p>
        </w:tc>
        <w:tc>
          <w:tcPr>
            <w:tcW w:w="120" w:type="dxa"/>
            <w:vAlign w:val="bottom"/>
          </w:tcPr>
          <w:p>
            <w:pPr>
              <w:spacing w:after="0"/>
              <w:rPr>
                <w:sz w:val="15"/>
                <w:szCs w:val="15"/>
                <w:color w:val="auto"/>
              </w:rPr>
            </w:pPr>
          </w:p>
        </w:tc>
        <w:tc>
          <w:tcPr>
            <w:tcW w:w="320" w:type="dxa"/>
            <w:vAlign w:val="bottom"/>
          </w:tcPr>
          <w:p>
            <w:pPr>
              <w:ind w:left="40"/>
              <w:spacing w:after="0"/>
              <w:rPr>
                <w:sz w:val="20"/>
                <w:szCs w:val="20"/>
                <w:color w:val="auto"/>
              </w:rPr>
            </w:pPr>
            <w:r>
              <w:rPr>
                <w:rFonts w:ascii="Arial" w:cs="Arial" w:eastAsia="Arial" w:hAnsi="Arial"/>
                <w:sz w:val="14"/>
                <w:szCs w:val="14"/>
                <w:color w:val="auto"/>
              </w:rPr>
              <w:t>and</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retaining</w:t>
            </w:r>
          </w:p>
        </w:tc>
        <w:tc>
          <w:tcPr>
            <w:tcW w:w="0" w:type="dxa"/>
            <w:vAlign w:val="bottom"/>
          </w:tcPr>
          <w:p>
            <w:pPr>
              <w:spacing w:after="0"/>
              <w:rPr>
                <w:sz w:val="1"/>
                <w:szCs w:val="1"/>
                <w:color w:val="auto"/>
              </w:rPr>
            </w:pPr>
          </w:p>
        </w:tc>
      </w:tr>
      <w:tr>
        <w:trPr>
          <w:trHeight w:val="162"/>
        </w:trPr>
        <w:tc>
          <w:tcPr>
            <w:tcW w:w="140" w:type="dxa"/>
            <w:vAlign w:val="bottom"/>
            <w:shd w:val="clear" w:color="auto" w:fill="F6F8F7"/>
          </w:tcPr>
          <w:p>
            <w:pPr>
              <w:spacing w:after="0"/>
              <w:rPr>
                <w:sz w:val="14"/>
                <w:szCs w:val="14"/>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including a focus on capital intensive and</w:t>
            </w:r>
          </w:p>
        </w:tc>
        <w:tc>
          <w:tcPr>
            <w:tcW w:w="120" w:type="dxa"/>
            <w:vAlign w:val="bottom"/>
            <w:shd w:val="clear" w:color="auto" w:fill="F6F8F7"/>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3"/>
            <w:shd w:val="clear" w:color="auto" w:fill="F2F2F2"/>
          </w:tcPr>
          <w:p>
            <w:pPr>
              <w:ind w:left="180"/>
              <w:spacing w:after="0"/>
              <w:rPr>
                <w:sz w:val="20"/>
                <w:szCs w:val="20"/>
                <w:color w:val="auto"/>
              </w:rPr>
            </w:pPr>
            <w:r>
              <w:rPr>
                <w:rFonts w:ascii="Arial" w:cs="Arial" w:eastAsia="Arial" w:hAnsi="Arial"/>
                <w:sz w:val="14"/>
                <w:szCs w:val="14"/>
                <w:color w:val="auto"/>
              </w:rPr>
              <w:t>allocation</w:t>
            </w:r>
          </w:p>
        </w:tc>
        <w:tc>
          <w:tcPr>
            <w:tcW w:w="840" w:type="dxa"/>
            <w:vAlign w:val="bottom"/>
            <w:gridSpan w:val="4"/>
            <w:shd w:val="clear" w:color="auto" w:fill="F2F2F2"/>
          </w:tcPr>
          <w:p>
            <w:pPr>
              <w:ind w:left="40"/>
              <w:spacing w:after="0"/>
              <w:rPr>
                <w:sz w:val="20"/>
                <w:szCs w:val="20"/>
                <w:color w:val="auto"/>
              </w:rPr>
            </w:pPr>
            <w:r>
              <w:rPr>
                <w:rFonts w:ascii="Arial" w:cs="Arial" w:eastAsia="Arial" w:hAnsi="Arial"/>
                <w:sz w:val="14"/>
                <w:szCs w:val="14"/>
                <w:color w:val="auto"/>
              </w:rPr>
              <w:t>strategies,</w:t>
            </w:r>
          </w:p>
        </w:tc>
        <w:tc>
          <w:tcPr>
            <w:tcW w:w="60" w:type="dxa"/>
            <w:vAlign w:val="bottom"/>
            <w:shd w:val="clear" w:color="auto" w:fill="F2F2F2"/>
          </w:tcPr>
          <w:p>
            <w:pPr>
              <w:spacing w:after="0"/>
              <w:rPr>
                <w:sz w:val="14"/>
                <w:szCs w:val="14"/>
                <w:color w:val="auto"/>
              </w:rPr>
            </w:pPr>
          </w:p>
        </w:tc>
        <w:tc>
          <w:tcPr>
            <w:tcW w:w="820" w:type="dxa"/>
            <w:vAlign w:val="bottom"/>
            <w:gridSpan w:val="2"/>
            <w:shd w:val="clear" w:color="auto" w:fill="F2F2F2"/>
          </w:tcPr>
          <w:p>
            <w:pPr>
              <w:jc w:val="right"/>
              <w:ind w:right="8"/>
              <w:spacing w:after="0"/>
              <w:rPr>
                <w:sz w:val="20"/>
                <w:szCs w:val="20"/>
                <w:color w:val="auto"/>
              </w:rPr>
            </w:pPr>
            <w:r>
              <w:rPr>
                <w:rFonts w:ascii="Arial" w:cs="Arial" w:eastAsia="Arial" w:hAnsi="Arial"/>
                <w:sz w:val="14"/>
                <w:szCs w:val="14"/>
                <w:color w:val="auto"/>
              </w:rPr>
              <w:t>evaluating</w:t>
            </w:r>
          </w:p>
        </w:tc>
        <w:tc>
          <w:tcPr>
            <w:tcW w:w="120" w:type="dxa"/>
            <w:vAlign w:val="bottom"/>
            <w:shd w:val="clear" w:color="auto" w:fill="F2F2F2"/>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talented</w:t>
            </w:r>
          </w:p>
        </w:tc>
        <w:tc>
          <w:tcPr>
            <w:tcW w:w="440" w:type="dxa"/>
            <w:vAlign w:val="bottom"/>
            <w:gridSpan w:val="2"/>
          </w:tcPr>
          <w:p>
            <w:pPr>
              <w:jc w:val="center"/>
              <w:ind w:right="28"/>
              <w:spacing w:after="0"/>
              <w:rPr>
                <w:sz w:val="20"/>
                <w:szCs w:val="20"/>
                <w:color w:val="auto"/>
              </w:rPr>
            </w:pPr>
            <w:r>
              <w:rPr>
                <w:rFonts w:ascii="Arial" w:cs="Arial" w:eastAsia="Arial" w:hAnsi="Arial"/>
                <w:sz w:val="14"/>
                <w:szCs w:val="14"/>
                <w:color w:val="auto"/>
              </w:rPr>
              <w:t>and</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engaged</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460" w:type="dxa"/>
            <w:vAlign w:val="bottom"/>
            <w:shd w:val="clear" w:color="auto" w:fill="F6F8F7"/>
          </w:tcPr>
          <w:p>
            <w:pPr>
              <w:ind w:left="60"/>
              <w:spacing w:after="0"/>
              <w:rPr>
                <w:sz w:val="20"/>
                <w:szCs w:val="20"/>
                <w:color w:val="auto"/>
              </w:rPr>
            </w:pPr>
            <w:r>
              <w:rPr>
                <w:rFonts w:ascii="Arial" w:cs="Arial" w:eastAsia="Arial" w:hAnsi="Arial"/>
                <w:sz w:val="14"/>
                <w:szCs w:val="14"/>
                <w:color w:val="auto"/>
              </w:rPr>
              <w:t>labor</w:t>
            </w:r>
          </w:p>
        </w:tc>
        <w:tc>
          <w:tcPr>
            <w:tcW w:w="940" w:type="dxa"/>
            <w:vAlign w:val="bottom"/>
            <w:shd w:val="clear" w:color="auto" w:fill="F6F8F7"/>
          </w:tcPr>
          <w:p>
            <w:pPr>
              <w:jc w:val="center"/>
              <w:ind w:left="162"/>
              <w:spacing w:after="0"/>
              <w:rPr>
                <w:sz w:val="20"/>
                <w:szCs w:val="20"/>
                <w:color w:val="auto"/>
              </w:rPr>
            </w:pPr>
            <w:r>
              <w:rPr>
                <w:rFonts w:ascii="Arial" w:cs="Arial" w:eastAsia="Arial" w:hAnsi="Arial"/>
                <w:sz w:val="14"/>
                <w:szCs w:val="14"/>
                <w:color w:val="auto"/>
              </w:rPr>
              <w:t>intensive</w:t>
            </w:r>
          </w:p>
        </w:tc>
        <w:tc>
          <w:tcPr>
            <w:tcW w:w="1200" w:type="dxa"/>
            <w:vAlign w:val="bottom"/>
            <w:shd w:val="clear" w:color="auto" w:fill="F6F8F7"/>
          </w:tcPr>
          <w:p>
            <w:pPr>
              <w:ind w:left="260"/>
              <w:spacing w:after="0"/>
              <w:rPr>
                <w:sz w:val="20"/>
                <w:szCs w:val="20"/>
                <w:color w:val="auto"/>
              </w:rPr>
            </w:pPr>
            <w:r>
              <w:rPr>
                <w:rFonts w:ascii="Arial" w:cs="Arial" w:eastAsia="Arial" w:hAnsi="Arial"/>
                <w:sz w:val="14"/>
                <w:szCs w:val="14"/>
                <w:color w:val="auto"/>
              </w:rPr>
              <w:t>businesses</w:t>
            </w:r>
          </w:p>
        </w:tc>
        <w:tc>
          <w:tcPr>
            <w:tcW w:w="520" w:type="dxa"/>
            <w:vAlign w:val="bottom"/>
            <w:shd w:val="clear" w:color="auto" w:fill="F6F8F7"/>
          </w:tcPr>
          <w:p>
            <w:pPr>
              <w:ind w:left="160"/>
              <w:spacing w:after="0"/>
              <w:rPr>
                <w:sz w:val="20"/>
                <w:szCs w:val="20"/>
                <w:color w:val="auto"/>
              </w:rPr>
            </w:pPr>
            <w:r>
              <w:rPr>
                <w:rFonts w:ascii="Arial" w:cs="Arial" w:eastAsia="Arial" w:hAnsi="Arial"/>
                <w:sz w:val="14"/>
                <w:szCs w:val="14"/>
                <w:color w:val="auto"/>
              </w:rPr>
              <w:t>with</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2700" w:type="dxa"/>
            <w:vAlign w:val="bottom"/>
            <w:gridSpan w:val="10"/>
            <w:shd w:val="clear" w:color="auto" w:fill="F2F2F2"/>
          </w:tcPr>
          <w:p>
            <w:pPr>
              <w:ind w:left="180"/>
              <w:spacing w:after="0"/>
              <w:rPr>
                <w:sz w:val="20"/>
                <w:szCs w:val="20"/>
                <w:color w:val="auto"/>
              </w:rPr>
            </w:pPr>
            <w:r>
              <w:rPr>
                <w:rFonts w:ascii="Arial" w:cs="Arial" w:eastAsia="Arial" w:hAnsi="Arial"/>
                <w:sz w:val="14"/>
                <w:szCs w:val="14"/>
                <w:color w:val="auto"/>
              </w:rPr>
              <w:t>stockholder returns and accessing</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employees.</w:t>
            </w:r>
          </w:p>
        </w:tc>
        <w:tc>
          <w:tcPr>
            <w:tcW w:w="440" w:type="dxa"/>
            <w:vAlign w:val="bottom"/>
            <w:gridSpan w:val="2"/>
          </w:tcPr>
          <w:p>
            <w:pPr>
              <w:spacing w:after="0"/>
              <w:rPr>
                <w:sz w:val="20"/>
                <w:szCs w:val="20"/>
                <w:color w:val="auto"/>
              </w:rPr>
            </w:pPr>
            <w:r>
              <w:rPr>
                <w:rFonts w:ascii="Arial" w:cs="Arial" w:eastAsia="Arial" w:hAnsi="Arial"/>
                <w:sz w:val="14"/>
                <w:szCs w:val="14"/>
                <w:color w:val="auto"/>
              </w:rPr>
              <w:t>These</w:t>
            </w: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individuals</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sophisticated logistics, transportation and</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2700" w:type="dxa"/>
            <w:vAlign w:val="bottom"/>
            <w:gridSpan w:val="10"/>
            <w:shd w:val="clear" w:color="auto" w:fill="F2F2F2"/>
          </w:tcPr>
          <w:p>
            <w:pPr>
              <w:ind w:left="180"/>
              <w:spacing w:after="0"/>
              <w:rPr>
                <w:sz w:val="20"/>
                <w:szCs w:val="20"/>
                <w:color w:val="auto"/>
              </w:rPr>
            </w:pPr>
            <w:r>
              <w:rPr>
                <w:rFonts w:ascii="Arial" w:cs="Arial" w:eastAsia="Arial" w:hAnsi="Arial"/>
                <w:sz w:val="14"/>
                <w:szCs w:val="14"/>
                <w:color w:val="auto"/>
              </w:rPr>
              <w:t>capital markets. These individuals</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have</w:t>
            </w:r>
          </w:p>
        </w:tc>
        <w:tc>
          <w:tcPr>
            <w:tcW w:w="860" w:type="dxa"/>
            <w:vAlign w:val="bottom"/>
            <w:gridSpan w:val="3"/>
          </w:tcPr>
          <w:p>
            <w:pPr>
              <w:jc w:val="center"/>
              <w:spacing w:after="0"/>
              <w:rPr>
                <w:sz w:val="20"/>
                <w:szCs w:val="20"/>
                <w:color w:val="auto"/>
              </w:rPr>
            </w:pPr>
            <w:r>
              <w:rPr>
                <w:rFonts w:ascii="Arial" w:cs="Arial" w:eastAsia="Arial" w:hAnsi="Arial"/>
                <w:sz w:val="14"/>
                <w:szCs w:val="14"/>
                <w:color w:val="auto"/>
              </w:rPr>
              <w:t>expertise</w:t>
            </w:r>
          </w:p>
        </w:tc>
        <w:tc>
          <w:tcPr>
            <w:tcW w:w="500" w:type="dxa"/>
            <w:vAlign w:val="bottom"/>
          </w:tcPr>
          <w:p>
            <w:pPr>
              <w:jc w:val="right"/>
              <w:ind w:right="168"/>
              <w:spacing w:after="0"/>
              <w:rPr>
                <w:sz w:val="20"/>
                <w:szCs w:val="20"/>
                <w:color w:val="auto"/>
              </w:rPr>
            </w:pPr>
            <w:r>
              <w:rPr>
                <w:rFonts w:ascii="Arial" w:cs="Arial" w:eastAsia="Arial" w:hAnsi="Arial"/>
                <w:sz w:val="14"/>
                <w:szCs w:val="14"/>
                <w:color w:val="auto"/>
              </w:rPr>
              <w:t>in</w:t>
            </w:r>
          </w:p>
        </w:tc>
        <w:tc>
          <w:tcPr>
            <w:tcW w:w="420" w:type="dxa"/>
            <w:vAlign w:val="bottom"/>
            <w:gridSpan w:val="2"/>
          </w:tcPr>
          <w:p>
            <w:pPr>
              <w:jc w:val="right"/>
              <w:spacing w:after="0"/>
              <w:rPr>
                <w:sz w:val="20"/>
                <w:szCs w:val="20"/>
                <w:color w:val="auto"/>
              </w:rPr>
            </w:pPr>
            <w:r>
              <w:rPr>
                <w:rFonts w:ascii="Arial" w:cs="Arial" w:eastAsia="Arial" w:hAnsi="Arial"/>
                <w:sz w:val="14"/>
                <w:szCs w:val="14"/>
                <w:color w:val="auto"/>
              </w:rPr>
              <w:t>talent</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supply chain elements, provide valuable</w:t>
            </w: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shd w:val="clear" w:color="auto" w:fill="F2F2F2"/>
          </w:tcPr>
          <w:p>
            <w:pPr>
              <w:ind w:left="180"/>
              <w:spacing w:after="0"/>
              <w:rPr>
                <w:sz w:val="20"/>
                <w:szCs w:val="20"/>
                <w:color w:val="auto"/>
              </w:rPr>
            </w:pPr>
            <w:r>
              <w:rPr>
                <w:rFonts w:ascii="Arial" w:cs="Arial" w:eastAsia="Arial" w:hAnsi="Arial"/>
                <w:sz w:val="14"/>
                <w:szCs w:val="14"/>
                <w:color w:val="auto"/>
              </w:rPr>
              <w:t>have</w:t>
            </w:r>
          </w:p>
        </w:tc>
        <w:tc>
          <w:tcPr>
            <w:tcW w:w="120" w:type="dxa"/>
            <w:vAlign w:val="bottom"/>
            <w:shd w:val="clear" w:color="auto" w:fill="F2F2F2"/>
          </w:tcPr>
          <w:p>
            <w:pPr>
              <w:spacing w:after="0"/>
              <w:rPr>
                <w:sz w:val="15"/>
                <w:szCs w:val="15"/>
                <w:color w:val="auto"/>
              </w:rPr>
            </w:pPr>
          </w:p>
        </w:tc>
        <w:tc>
          <w:tcPr>
            <w:tcW w:w="900" w:type="dxa"/>
            <w:vAlign w:val="bottom"/>
            <w:gridSpan w:val="4"/>
            <w:shd w:val="clear" w:color="auto" w:fill="F2F2F2"/>
          </w:tcPr>
          <w:p>
            <w:pPr>
              <w:ind w:left="60"/>
              <w:spacing w:after="0"/>
              <w:rPr>
                <w:sz w:val="20"/>
                <w:szCs w:val="20"/>
                <w:color w:val="auto"/>
              </w:rPr>
            </w:pPr>
            <w:r>
              <w:rPr>
                <w:rFonts w:ascii="Arial" w:cs="Arial" w:eastAsia="Arial" w:hAnsi="Arial"/>
                <w:sz w:val="14"/>
                <w:szCs w:val="14"/>
                <w:color w:val="auto"/>
              </w:rPr>
              <w:t>knowledge</w:t>
            </w:r>
          </w:p>
        </w:tc>
        <w:tc>
          <w:tcPr>
            <w:tcW w:w="280" w:type="dxa"/>
            <w:vAlign w:val="bottom"/>
            <w:shd w:val="clear" w:color="auto" w:fill="F2F2F2"/>
          </w:tcPr>
          <w:p>
            <w:pPr>
              <w:ind w:left="100"/>
              <w:spacing w:after="0"/>
              <w:rPr>
                <w:sz w:val="20"/>
                <w:szCs w:val="20"/>
                <w:color w:val="auto"/>
              </w:rPr>
            </w:pPr>
            <w:r>
              <w:rPr>
                <w:rFonts w:ascii="Arial" w:cs="Arial" w:eastAsia="Arial" w:hAnsi="Arial"/>
                <w:sz w:val="14"/>
                <w:szCs w:val="14"/>
                <w:color w:val="auto"/>
              </w:rPr>
              <w:t>of</w:t>
            </w:r>
          </w:p>
        </w:tc>
        <w:tc>
          <w:tcPr>
            <w:tcW w:w="60" w:type="dxa"/>
            <w:vAlign w:val="bottom"/>
            <w:shd w:val="clear" w:color="auto" w:fill="F2F2F2"/>
          </w:tcPr>
          <w:p>
            <w:pPr>
              <w:spacing w:after="0"/>
              <w:rPr>
                <w:sz w:val="15"/>
                <w:szCs w:val="15"/>
                <w:color w:val="auto"/>
              </w:rPr>
            </w:pPr>
          </w:p>
        </w:tc>
        <w:tc>
          <w:tcPr>
            <w:tcW w:w="820" w:type="dxa"/>
            <w:vAlign w:val="bottom"/>
            <w:gridSpan w:val="2"/>
            <w:shd w:val="clear" w:color="auto" w:fill="F2F2F2"/>
          </w:tcPr>
          <w:p>
            <w:pPr>
              <w:jc w:val="right"/>
              <w:ind w:right="8"/>
              <w:spacing w:after="0"/>
              <w:rPr>
                <w:sz w:val="20"/>
                <w:szCs w:val="20"/>
                <w:color w:val="auto"/>
              </w:rPr>
            </w:pPr>
            <w:r>
              <w:rPr>
                <w:rFonts w:ascii="Arial" w:cs="Arial" w:eastAsia="Arial" w:hAnsi="Arial"/>
                <w:sz w:val="14"/>
                <w:szCs w:val="14"/>
                <w:color w:val="auto"/>
              </w:rPr>
              <w:t>corporate</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color w:val="auto"/>
              </w:rPr>
              <w:t>management,</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succession</w:t>
            </w:r>
          </w:p>
        </w:tc>
        <w:tc>
          <w:tcPr>
            <w:tcW w:w="0" w:type="dxa"/>
            <w:vAlign w:val="bottom"/>
          </w:tcPr>
          <w:p>
            <w:pPr>
              <w:spacing w:after="0"/>
              <w:rPr>
                <w:sz w:val="1"/>
                <w:szCs w:val="1"/>
                <w:color w:val="auto"/>
              </w:rPr>
            </w:pPr>
          </w:p>
        </w:tc>
      </w:tr>
      <w:tr>
        <w:trPr>
          <w:trHeight w:val="162"/>
        </w:trPr>
        <w:tc>
          <w:tcPr>
            <w:tcW w:w="140" w:type="dxa"/>
            <w:vAlign w:val="bottom"/>
            <w:shd w:val="clear" w:color="auto" w:fill="F6F8F7"/>
          </w:tcPr>
          <w:p>
            <w:pPr>
              <w:spacing w:after="0"/>
              <w:rPr>
                <w:sz w:val="14"/>
                <w:szCs w:val="14"/>
                <w:color w:val="auto"/>
              </w:rPr>
            </w:pPr>
          </w:p>
        </w:tc>
        <w:tc>
          <w:tcPr>
            <w:tcW w:w="3120" w:type="dxa"/>
            <w:vAlign w:val="bottom"/>
            <w:gridSpan w:val="4"/>
            <w:shd w:val="clear" w:color="auto" w:fill="F6F8F7"/>
          </w:tcPr>
          <w:p>
            <w:pPr>
              <w:ind w:left="60"/>
              <w:spacing w:after="0"/>
              <w:rPr>
                <w:sz w:val="20"/>
                <w:szCs w:val="20"/>
                <w:color w:val="auto"/>
              </w:rPr>
            </w:pPr>
            <w:r>
              <w:rPr>
                <w:rFonts w:ascii="Arial" w:cs="Arial" w:eastAsia="Arial" w:hAnsi="Arial"/>
                <w:sz w:val="14"/>
                <w:szCs w:val="14"/>
                <w:color w:val="auto"/>
              </w:rPr>
              <w:t>insights   on   management’s   ability   to</w:t>
            </w:r>
          </w:p>
        </w:tc>
        <w:tc>
          <w:tcPr>
            <w:tcW w:w="120" w:type="dxa"/>
            <w:vAlign w:val="bottom"/>
            <w:shd w:val="clear" w:color="auto" w:fill="F6F8F7"/>
          </w:tcPr>
          <w:p>
            <w:pPr>
              <w:spacing w:after="0"/>
              <w:rPr>
                <w:sz w:val="14"/>
                <w:szCs w:val="14"/>
                <w:color w:val="auto"/>
              </w:rPr>
            </w:pPr>
          </w:p>
        </w:tc>
        <w:tc>
          <w:tcPr>
            <w:tcW w:w="60" w:type="dxa"/>
            <w:vAlign w:val="bottom"/>
          </w:tcPr>
          <w:p>
            <w:pPr>
              <w:spacing w:after="0"/>
              <w:rPr>
                <w:sz w:val="14"/>
                <w:szCs w:val="14"/>
                <w:color w:val="auto"/>
              </w:rPr>
            </w:pPr>
          </w:p>
        </w:tc>
        <w:tc>
          <w:tcPr>
            <w:tcW w:w="2700" w:type="dxa"/>
            <w:vAlign w:val="bottom"/>
            <w:gridSpan w:val="10"/>
            <w:shd w:val="clear" w:color="auto" w:fill="F2F2F2"/>
          </w:tcPr>
          <w:p>
            <w:pPr>
              <w:ind w:left="180"/>
              <w:spacing w:after="0"/>
              <w:rPr>
                <w:sz w:val="20"/>
                <w:szCs w:val="20"/>
                <w:color w:val="auto"/>
              </w:rPr>
            </w:pPr>
            <w:r>
              <w:rPr>
                <w:rFonts w:ascii="Arial" w:cs="Arial" w:eastAsia="Arial" w:hAnsi="Arial"/>
                <w:sz w:val="14"/>
                <w:szCs w:val="14"/>
                <w:color w:val="auto"/>
              </w:rPr>
              <w:t>finance and accounting standards</w:t>
            </w:r>
          </w:p>
        </w:tc>
        <w:tc>
          <w:tcPr>
            <w:tcW w:w="120" w:type="dxa"/>
            <w:vAlign w:val="bottom"/>
            <w:shd w:val="clear" w:color="auto" w:fill="F2F2F2"/>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8"/>
          </w:tcPr>
          <w:p>
            <w:pPr>
              <w:ind w:left="60"/>
              <w:spacing w:after="0"/>
              <w:rPr>
                <w:sz w:val="20"/>
                <w:szCs w:val="20"/>
                <w:color w:val="auto"/>
              </w:rPr>
            </w:pPr>
            <w:r>
              <w:rPr>
                <w:rFonts w:ascii="Arial" w:cs="Arial" w:eastAsia="Arial" w:hAnsi="Arial"/>
                <w:sz w:val="14"/>
                <w:szCs w:val="14"/>
                <w:color w:val="auto"/>
              </w:rPr>
              <w:t>planning and creating a diverse</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2600" w:type="dxa"/>
            <w:vAlign w:val="bottom"/>
            <w:gridSpan w:val="3"/>
            <w:shd w:val="clear" w:color="auto" w:fill="F6F8F7"/>
          </w:tcPr>
          <w:p>
            <w:pPr>
              <w:ind w:left="60"/>
              <w:spacing w:after="0"/>
              <w:rPr>
                <w:sz w:val="20"/>
                <w:szCs w:val="20"/>
                <w:color w:val="auto"/>
              </w:rPr>
            </w:pPr>
            <w:r>
              <w:rPr>
                <w:rFonts w:ascii="Arial" w:cs="Arial" w:eastAsia="Arial" w:hAnsi="Arial"/>
                <w:sz w:val="14"/>
                <w:szCs w:val="14"/>
                <w:color w:val="auto"/>
              </w:rPr>
              <w:t>operate effectively and efficiently.</w:t>
            </w:r>
          </w:p>
        </w:tc>
        <w:tc>
          <w:tcPr>
            <w:tcW w:w="520" w:type="dxa"/>
            <w:vAlign w:val="bottom"/>
            <w:shd w:val="clear" w:color="auto" w:fill="F6F8F7"/>
          </w:tcPr>
          <w:p>
            <w:pPr>
              <w:spacing w:after="0"/>
              <w:rPr>
                <w:sz w:val="15"/>
                <w:szCs w:val="15"/>
                <w:color w:val="auto"/>
              </w:rPr>
            </w:pP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3"/>
            <w:shd w:val="clear" w:color="auto" w:fill="F2F2F2"/>
          </w:tcPr>
          <w:p>
            <w:pPr>
              <w:ind w:left="180"/>
              <w:spacing w:after="0"/>
              <w:rPr>
                <w:sz w:val="20"/>
                <w:szCs w:val="20"/>
                <w:color w:val="auto"/>
              </w:rPr>
            </w:pPr>
            <w:r>
              <w:rPr>
                <w:rFonts w:ascii="Arial" w:cs="Arial" w:eastAsia="Arial" w:hAnsi="Arial"/>
                <w:sz w:val="14"/>
                <w:szCs w:val="14"/>
                <w:color w:val="auto"/>
              </w:rPr>
              <w:t>necessary</w:t>
            </w:r>
          </w:p>
        </w:tc>
        <w:tc>
          <w:tcPr>
            <w:tcW w:w="200" w:type="dxa"/>
            <w:vAlign w:val="bottom"/>
            <w:shd w:val="clear" w:color="auto" w:fill="F2F2F2"/>
          </w:tcPr>
          <w:p>
            <w:pPr>
              <w:ind w:left="20"/>
              <w:spacing w:after="0"/>
              <w:rPr>
                <w:sz w:val="20"/>
                <w:szCs w:val="20"/>
                <w:color w:val="auto"/>
              </w:rPr>
            </w:pPr>
            <w:r>
              <w:rPr>
                <w:rFonts w:ascii="Arial" w:cs="Arial" w:eastAsia="Arial" w:hAnsi="Arial"/>
                <w:sz w:val="14"/>
                <w:szCs w:val="14"/>
                <w:color w:val="auto"/>
                <w:w w:val="97"/>
              </w:rPr>
              <w:t>for</w:t>
            </w:r>
          </w:p>
        </w:tc>
        <w:tc>
          <w:tcPr>
            <w:tcW w:w="700" w:type="dxa"/>
            <w:vAlign w:val="bottom"/>
            <w:gridSpan w:val="4"/>
            <w:shd w:val="clear" w:color="auto" w:fill="F2F2F2"/>
          </w:tcPr>
          <w:p>
            <w:pPr>
              <w:ind w:left="100"/>
              <w:spacing w:after="0"/>
              <w:rPr>
                <w:sz w:val="20"/>
                <w:szCs w:val="20"/>
                <w:color w:val="auto"/>
              </w:rPr>
            </w:pPr>
            <w:r>
              <w:rPr>
                <w:rFonts w:ascii="Arial" w:cs="Arial" w:eastAsia="Arial" w:hAnsi="Arial"/>
                <w:sz w:val="14"/>
                <w:szCs w:val="14"/>
                <w:color w:val="auto"/>
              </w:rPr>
              <w:t>effective</w:t>
            </w:r>
          </w:p>
        </w:tc>
        <w:tc>
          <w:tcPr>
            <w:tcW w:w="820" w:type="dxa"/>
            <w:vAlign w:val="bottom"/>
            <w:gridSpan w:val="2"/>
            <w:shd w:val="clear" w:color="auto" w:fill="F2F2F2"/>
          </w:tcPr>
          <w:p>
            <w:pPr>
              <w:jc w:val="right"/>
              <w:ind w:right="8"/>
              <w:spacing w:after="0"/>
              <w:rPr>
                <w:sz w:val="20"/>
                <w:szCs w:val="20"/>
                <w:color w:val="auto"/>
              </w:rPr>
            </w:pPr>
            <w:r>
              <w:rPr>
                <w:rFonts w:ascii="Arial" w:cs="Arial" w:eastAsia="Arial" w:hAnsi="Arial"/>
                <w:sz w:val="14"/>
                <w:szCs w:val="14"/>
                <w:color w:val="auto"/>
              </w:rPr>
              <w:t>oversight</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4"/>
          </w:tcPr>
          <w:p>
            <w:pPr>
              <w:ind w:left="60"/>
              <w:spacing w:after="0"/>
              <w:rPr>
                <w:sz w:val="20"/>
                <w:szCs w:val="20"/>
                <w:color w:val="auto"/>
              </w:rPr>
            </w:pPr>
            <w:r>
              <w:rPr>
                <w:rFonts w:ascii="Arial" w:cs="Arial" w:eastAsia="Arial" w:hAnsi="Arial"/>
                <w:sz w:val="14"/>
                <w:szCs w:val="14"/>
                <w:color w:val="auto"/>
              </w:rPr>
              <w:t>and  inclusive</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workplace</w:t>
            </w:r>
          </w:p>
        </w:tc>
        <w:tc>
          <w:tcPr>
            <w:tcW w:w="1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that</w:t>
            </w:r>
          </w:p>
        </w:tc>
        <w:tc>
          <w:tcPr>
            <w:tcW w:w="0" w:type="dxa"/>
            <w:vAlign w:val="bottom"/>
          </w:tcPr>
          <w:p>
            <w:pPr>
              <w:spacing w:after="0"/>
              <w:rPr>
                <w:sz w:val="1"/>
                <w:szCs w:val="1"/>
                <w:color w:val="auto"/>
              </w:rPr>
            </w:pPr>
          </w:p>
        </w:tc>
      </w:tr>
      <w:tr>
        <w:trPr>
          <w:trHeight w:val="175"/>
        </w:trPr>
        <w:tc>
          <w:tcPr>
            <w:tcW w:w="140" w:type="dxa"/>
            <w:vAlign w:val="bottom"/>
            <w:shd w:val="clear" w:color="auto" w:fill="F6F8F7"/>
          </w:tcPr>
          <w:p>
            <w:pPr>
              <w:spacing w:after="0"/>
              <w:rPr>
                <w:sz w:val="15"/>
                <w:szCs w:val="15"/>
                <w:color w:val="auto"/>
              </w:rPr>
            </w:pPr>
          </w:p>
        </w:tc>
        <w:tc>
          <w:tcPr>
            <w:tcW w:w="460" w:type="dxa"/>
            <w:vAlign w:val="bottom"/>
            <w:shd w:val="clear" w:color="auto" w:fill="F6F8F7"/>
          </w:tcPr>
          <w:p>
            <w:pPr>
              <w:spacing w:after="0"/>
              <w:rPr>
                <w:sz w:val="15"/>
                <w:szCs w:val="15"/>
                <w:color w:val="auto"/>
              </w:rPr>
            </w:pPr>
          </w:p>
        </w:tc>
        <w:tc>
          <w:tcPr>
            <w:tcW w:w="940" w:type="dxa"/>
            <w:vAlign w:val="bottom"/>
            <w:shd w:val="clear" w:color="auto" w:fill="F6F8F7"/>
          </w:tcPr>
          <w:p>
            <w:pPr>
              <w:spacing w:after="0"/>
              <w:rPr>
                <w:sz w:val="15"/>
                <w:szCs w:val="15"/>
                <w:color w:val="auto"/>
              </w:rPr>
            </w:pPr>
          </w:p>
        </w:tc>
        <w:tc>
          <w:tcPr>
            <w:tcW w:w="1200" w:type="dxa"/>
            <w:vAlign w:val="bottom"/>
            <w:shd w:val="clear" w:color="auto" w:fill="F6F8F7"/>
          </w:tcPr>
          <w:p>
            <w:pPr>
              <w:spacing w:after="0"/>
              <w:rPr>
                <w:sz w:val="15"/>
                <w:szCs w:val="15"/>
                <w:color w:val="auto"/>
              </w:rPr>
            </w:pPr>
          </w:p>
        </w:tc>
        <w:tc>
          <w:tcPr>
            <w:tcW w:w="520" w:type="dxa"/>
            <w:vAlign w:val="bottom"/>
            <w:shd w:val="clear" w:color="auto" w:fill="F6F8F7"/>
          </w:tcPr>
          <w:p>
            <w:pPr>
              <w:spacing w:after="0"/>
              <w:rPr>
                <w:sz w:val="15"/>
                <w:szCs w:val="15"/>
                <w:color w:val="auto"/>
              </w:rPr>
            </w:pPr>
          </w:p>
        </w:tc>
        <w:tc>
          <w:tcPr>
            <w:tcW w:w="120" w:type="dxa"/>
            <w:vAlign w:val="bottom"/>
            <w:shd w:val="clear" w:color="auto" w:fill="F6F8F7"/>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shd w:val="clear" w:color="auto" w:fill="F2F2F2"/>
          </w:tcPr>
          <w:p>
            <w:pPr>
              <w:ind w:left="180"/>
              <w:spacing w:after="0"/>
              <w:rPr>
                <w:sz w:val="20"/>
                <w:szCs w:val="20"/>
                <w:color w:val="auto"/>
              </w:rPr>
            </w:pPr>
            <w:r>
              <w:rPr>
                <w:rFonts w:ascii="Arial" w:cs="Arial" w:eastAsia="Arial" w:hAnsi="Arial"/>
                <w:sz w:val="14"/>
                <w:szCs w:val="14"/>
                <w:color w:val="auto"/>
              </w:rPr>
              <w:t>of</w:t>
            </w:r>
          </w:p>
        </w:tc>
        <w:tc>
          <w:tcPr>
            <w:tcW w:w="460" w:type="dxa"/>
            <w:vAlign w:val="bottom"/>
            <w:gridSpan w:val="2"/>
            <w:shd w:val="clear" w:color="auto" w:fill="F2F2F2"/>
          </w:tcPr>
          <w:p>
            <w:pPr>
              <w:ind w:left="20"/>
              <w:spacing w:after="0"/>
              <w:rPr>
                <w:sz w:val="20"/>
                <w:szCs w:val="20"/>
                <w:color w:val="auto"/>
              </w:rPr>
            </w:pPr>
            <w:r>
              <w:rPr>
                <w:rFonts w:ascii="Arial" w:cs="Arial" w:eastAsia="Arial" w:hAnsi="Arial"/>
                <w:sz w:val="14"/>
                <w:szCs w:val="14"/>
                <w:color w:val="auto"/>
              </w:rPr>
              <w:t>public</w:t>
            </w:r>
          </w:p>
        </w:tc>
        <w:tc>
          <w:tcPr>
            <w:tcW w:w="200" w:type="dxa"/>
            <w:vAlign w:val="bottom"/>
            <w:shd w:val="clear" w:color="auto" w:fill="F2F2F2"/>
          </w:tcPr>
          <w:p>
            <w:pPr>
              <w:spacing w:after="0"/>
              <w:rPr>
                <w:sz w:val="15"/>
                <w:szCs w:val="15"/>
                <w:color w:val="auto"/>
              </w:rPr>
            </w:pPr>
          </w:p>
        </w:tc>
        <w:tc>
          <w:tcPr>
            <w:tcW w:w="640" w:type="dxa"/>
            <w:vAlign w:val="bottom"/>
            <w:gridSpan w:val="3"/>
            <w:shd w:val="clear" w:color="auto" w:fill="F2F2F2"/>
          </w:tcPr>
          <w:p>
            <w:pPr>
              <w:spacing w:after="0"/>
              <w:rPr>
                <w:sz w:val="20"/>
                <w:szCs w:val="20"/>
                <w:color w:val="auto"/>
              </w:rPr>
            </w:pPr>
            <w:r>
              <w:rPr>
                <w:rFonts w:ascii="Arial" w:cs="Arial" w:eastAsia="Arial" w:hAnsi="Arial"/>
                <w:sz w:val="14"/>
                <w:szCs w:val="14"/>
                <w:color w:val="auto"/>
              </w:rPr>
              <w:t>company</w:t>
            </w:r>
          </w:p>
        </w:tc>
        <w:tc>
          <w:tcPr>
            <w:tcW w:w="60" w:type="dxa"/>
            <w:vAlign w:val="bottom"/>
            <w:shd w:val="clear" w:color="auto" w:fill="F2F2F2"/>
          </w:tcPr>
          <w:p>
            <w:pPr>
              <w:spacing w:after="0"/>
              <w:rPr>
                <w:sz w:val="15"/>
                <w:szCs w:val="15"/>
                <w:color w:val="auto"/>
              </w:rPr>
            </w:pPr>
          </w:p>
        </w:tc>
        <w:tc>
          <w:tcPr>
            <w:tcW w:w="820" w:type="dxa"/>
            <w:vAlign w:val="bottom"/>
            <w:gridSpan w:val="2"/>
            <w:shd w:val="clear" w:color="auto" w:fill="F2F2F2"/>
          </w:tcPr>
          <w:p>
            <w:pPr>
              <w:jc w:val="right"/>
              <w:ind w:right="8"/>
              <w:spacing w:after="0"/>
              <w:rPr>
                <w:sz w:val="20"/>
                <w:szCs w:val="20"/>
                <w:color w:val="auto"/>
              </w:rPr>
            </w:pPr>
            <w:r>
              <w:rPr>
                <w:rFonts w:ascii="Arial" w:cs="Arial" w:eastAsia="Arial" w:hAnsi="Arial"/>
                <w:sz w:val="14"/>
                <w:szCs w:val="14"/>
                <w:color w:val="auto"/>
              </w:rPr>
              <w:t>financial</w:t>
            </w:r>
          </w:p>
        </w:tc>
        <w:tc>
          <w:tcPr>
            <w:tcW w:w="120" w:type="dxa"/>
            <w:vAlign w:val="bottom"/>
            <w:shd w:val="clear" w:color="auto" w:fill="F2F2F2"/>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8"/>
          </w:tcPr>
          <w:p>
            <w:pPr>
              <w:ind w:left="60"/>
              <w:spacing w:after="0"/>
              <w:rPr>
                <w:sz w:val="20"/>
                <w:szCs w:val="20"/>
                <w:color w:val="auto"/>
              </w:rPr>
            </w:pPr>
            <w:r>
              <w:rPr>
                <w:rFonts w:ascii="Arial" w:cs="Arial" w:eastAsia="Arial" w:hAnsi="Arial"/>
                <w:sz w:val="14"/>
                <w:szCs w:val="14"/>
                <w:color w:val="auto"/>
              </w:rPr>
              <w:t>prioritizes  safety  as  a  core</w:t>
            </w:r>
          </w:p>
        </w:tc>
        <w:tc>
          <w:tcPr>
            <w:tcW w:w="0" w:type="dxa"/>
            <w:vAlign w:val="bottom"/>
          </w:tcPr>
          <w:p>
            <w:pPr>
              <w:spacing w:after="0"/>
              <w:rPr>
                <w:sz w:val="1"/>
                <w:szCs w:val="1"/>
                <w:color w:val="auto"/>
              </w:rPr>
            </w:pPr>
          </w:p>
        </w:tc>
      </w:tr>
      <w:tr>
        <w:trPr>
          <w:trHeight w:val="190"/>
        </w:trPr>
        <w:tc>
          <w:tcPr>
            <w:tcW w:w="140" w:type="dxa"/>
            <w:vAlign w:val="bottom"/>
            <w:shd w:val="clear" w:color="auto" w:fill="F6F8F7"/>
          </w:tcPr>
          <w:p>
            <w:pPr>
              <w:spacing w:after="0"/>
              <w:rPr>
                <w:sz w:val="16"/>
                <w:szCs w:val="16"/>
                <w:color w:val="auto"/>
              </w:rPr>
            </w:pPr>
          </w:p>
        </w:tc>
        <w:tc>
          <w:tcPr>
            <w:tcW w:w="460" w:type="dxa"/>
            <w:vAlign w:val="bottom"/>
            <w:shd w:val="clear" w:color="auto" w:fill="F6F8F7"/>
          </w:tcPr>
          <w:p>
            <w:pPr>
              <w:spacing w:after="0"/>
              <w:rPr>
                <w:sz w:val="16"/>
                <w:szCs w:val="16"/>
                <w:color w:val="auto"/>
              </w:rPr>
            </w:pPr>
          </w:p>
        </w:tc>
        <w:tc>
          <w:tcPr>
            <w:tcW w:w="940" w:type="dxa"/>
            <w:vAlign w:val="bottom"/>
            <w:shd w:val="clear" w:color="auto" w:fill="F6F8F7"/>
          </w:tcPr>
          <w:p>
            <w:pPr>
              <w:spacing w:after="0"/>
              <w:rPr>
                <w:sz w:val="16"/>
                <w:szCs w:val="16"/>
                <w:color w:val="auto"/>
              </w:rPr>
            </w:pPr>
          </w:p>
        </w:tc>
        <w:tc>
          <w:tcPr>
            <w:tcW w:w="1200" w:type="dxa"/>
            <w:vAlign w:val="bottom"/>
            <w:shd w:val="clear" w:color="auto" w:fill="F6F8F7"/>
          </w:tcPr>
          <w:p>
            <w:pPr>
              <w:spacing w:after="0"/>
              <w:rPr>
                <w:sz w:val="16"/>
                <w:szCs w:val="16"/>
                <w:color w:val="auto"/>
              </w:rPr>
            </w:pPr>
          </w:p>
        </w:tc>
        <w:tc>
          <w:tcPr>
            <w:tcW w:w="520" w:type="dxa"/>
            <w:vAlign w:val="bottom"/>
            <w:shd w:val="clear" w:color="auto" w:fill="F6F8F7"/>
          </w:tcPr>
          <w:p>
            <w:pPr>
              <w:spacing w:after="0"/>
              <w:rPr>
                <w:sz w:val="16"/>
                <w:szCs w:val="16"/>
                <w:color w:val="auto"/>
              </w:rPr>
            </w:pPr>
          </w:p>
        </w:tc>
        <w:tc>
          <w:tcPr>
            <w:tcW w:w="120" w:type="dxa"/>
            <w:vAlign w:val="bottom"/>
            <w:shd w:val="clear" w:color="auto" w:fill="F6F8F7"/>
          </w:tcPr>
          <w:p>
            <w:pPr>
              <w:spacing w:after="0"/>
              <w:rPr>
                <w:sz w:val="16"/>
                <w:szCs w:val="16"/>
                <w:color w:val="auto"/>
              </w:rPr>
            </w:pPr>
          </w:p>
        </w:tc>
        <w:tc>
          <w:tcPr>
            <w:tcW w:w="60" w:type="dxa"/>
            <w:vAlign w:val="bottom"/>
          </w:tcPr>
          <w:p>
            <w:pPr>
              <w:spacing w:after="0"/>
              <w:rPr>
                <w:sz w:val="16"/>
                <w:szCs w:val="16"/>
                <w:color w:val="auto"/>
              </w:rPr>
            </w:pPr>
          </w:p>
        </w:tc>
        <w:tc>
          <w:tcPr>
            <w:tcW w:w="980" w:type="dxa"/>
            <w:vAlign w:val="bottom"/>
            <w:gridSpan w:val="3"/>
            <w:shd w:val="clear" w:color="auto" w:fill="F2F2F2"/>
          </w:tcPr>
          <w:p>
            <w:pPr>
              <w:ind w:left="180"/>
              <w:spacing w:after="0"/>
              <w:rPr>
                <w:sz w:val="20"/>
                <w:szCs w:val="20"/>
                <w:color w:val="auto"/>
              </w:rPr>
            </w:pPr>
            <w:r>
              <w:rPr>
                <w:rFonts w:ascii="Arial" w:cs="Arial" w:eastAsia="Arial" w:hAnsi="Arial"/>
                <w:sz w:val="14"/>
                <w:szCs w:val="14"/>
                <w:color w:val="auto"/>
              </w:rPr>
              <w:t>reporting.</w:t>
            </w:r>
          </w:p>
        </w:tc>
        <w:tc>
          <w:tcPr>
            <w:tcW w:w="200" w:type="dxa"/>
            <w:vAlign w:val="bottom"/>
            <w:shd w:val="clear" w:color="auto" w:fill="F2F2F2"/>
          </w:tcPr>
          <w:p>
            <w:pPr>
              <w:spacing w:after="0"/>
              <w:rPr>
                <w:sz w:val="16"/>
                <w:szCs w:val="16"/>
                <w:color w:val="auto"/>
              </w:rPr>
            </w:pPr>
          </w:p>
        </w:tc>
        <w:tc>
          <w:tcPr>
            <w:tcW w:w="160" w:type="dxa"/>
            <w:vAlign w:val="bottom"/>
            <w:shd w:val="clear" w:color="auto" w:fill="F2F2F2"/>
          </w:tcPr>
          <w:p>
            <w:pPr>
              <w:spacing w:after="0"/>
              <w:rPr>
                <w:sz w:val="16"/>
                <w:szCs w:val="16"/>
                <w:color w:val="auto"/>
              </w:rPr>
            </w:pPr>
          </w:p>
        </w:tc>
        <w:tc>
          <w:tcPr>
            <w:tcW w:w="200" w:type="dxa"/>
            <w:vAlign w:val="bottom"/>
            <w:shd w:val="clear" w:color="auto" w:fill="F2F2F2"/>
          </w:tcPr>
          <w:p>
            <w:pPr>
              <w:spacing w:after="0"/>
              <w:rPr>
                <w:sz w:val="16"/>
                <w:szCs w:val="16"/>
                <w:color w:val="auto"/>
              </w:rPr>
            </w:pPr>
          </w:p>
        </w:tc>
        <w:tc>
          <w:tcPr>
            <w:tcW w:w="280" w:type="dxa"/>
            <w:vAlign w:val="bottom"/>
            <w:shd w:val="clear" w:color="auto" w:fill="F2F2F2"/>
          </w:tcPr>
          <w:p>
            <w:pPr>
              <w:spacing w:after="0"/>
              <w:rPr>
                <w:sz w:val="16"/>
                <w:szCs w:val="16"/>
                <w:color w:val="auto"/>
              </w:rPr>
            </w:pPr>
          </w:p>
        </w:tc>
        <w:tc>
          <w:tcPr>
            <w:tcW w:w="60" w:type="dxa"/>
            <w:vAlign w:val="bottom"/>
            <w:shd w:val="clear" w:color="auto" w:fill="F2F2F2"/>
          </w:tcPr>
          <w:p>
            <w:pPr>
              <w:spacing w:after="0"/>
              <w:rPr>
                <w:sz w:val="16"/>
                <w:szCs w:val="16"/>
                <w:color w:val="auto"/>
              </w:rPr>
            </w:pPr>
          </w:p>
        </w:tc>
        <w:tc>
          <w:tcPr>
            <w:tcW w:w="400" w:type="dxa"/>
            <w:vAlign w:val="bottom"/>
            <w:shd w:val="clear" w:color="auto" w:fill="F2F2F2"/>
          </w:tcPr>
          <w:p>
            <w:pPr>
              <w:spacing w:after="0"/>
              <w:rPr>
                <w:sz w:val="16"/>
                <w:szCs w:val="16"/>
                <w:color w:val="auto"/>
              </w:rPr>
            </w:pPr>
          </w:p>
        </w:tc>
        <w:tc>
          <w:tcPr>
            <w:tcW w:w="420" w:type="dxa"/>
            <w:vAlign w:val="bottom"/>
            <w:shd w:val="clear" w:color="auto" w:fill="F2F2F2"/>
          </w:tcPr>
          <w:p>
            <w:pPr>
              <w:spacing w:after="0"/>
              <w:rPr>
                <w:sz w:val="16"/>
                <w:szCs w:val="16"/>
                <w:color w:val="auto"/>
              </w:rPr>
            </w:pPr>
          </w:p>
        </w:tc>
        <w:tc>
          <w:tcPr>
            <w:tcW w:w="120" w:type="dxa"/>
            <w:vAlign w:val="bottom"/>
            <w:shd w:val="clear" w:color="auto" w:fill="F2F2F2"/>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color w:val="auto"/>
              </w:rPr>
              <w:t>value.</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6"/>
        </w:trPr>
        <w:tc>
          <w:tcPr>
            <w:tcW w:w="140" w:type="dxa"/>
            <w:vAlign w:val="bottom"/>
            <w:shd w:val="clear" w:color="auto" w:fill="F6F8F7"/>
          </w:tcPr>
          <w:p>
            <w:pPr>
              <w:spacing w:after="0"/>
              <w:rPr>
                <w:sz w:val="24"/>
                <w:szCs w:val="24"/>
                <w:color w:val="auto"/>
              </w:rPr>
            </w:pPr>
          </w:p>
        </w:tc>
        <w:tc>
          <w:tcPr>
            <w:tcW w:w="460" w:type="dxa"/>
            <w:vAlign w:val="bottom"/>
            <w:shd w:val="clear" w:color="auto" w:fill="F6F8F7"/>
          </w:tcPr>
          <w:p>
            <w:pPr>
              <w:spacing w:after="0"/>
              <w:rPr>
                <w:sz w:val="24"/>
                <w:szCs w:val="24"/>
                <w:color w:val="auto"/>
              </w:rPr>
            </w:pPr>
          </w:p>
        </w:tc>
        <w:tc>
          <w:tcPr>
            <w:tcW w:w="940" w:type="dxa"/>
            <w:vAlign w:val="bottom"/>
            <w:shd w:val="clear" w:color="auto" w:fill="F6F8F7"/>
          </w:tcPr>
          <w:p>
            <w:pPr>
              <w:spacing w:after="0"/>
              <w:rPr>
                <w:sz w:val="24"/>
                <w:szCs w:val="24"/>
                <w:color w:val="auto"/>
              </w:rPr>
            </w:pPr>
          </w:p>
        </w:tc>
        <w:tc>
          <w:tcPr>
            <w:tcW w:w="1200" w:type="dxa"/>
            <w:vAlign w:val="bottom"/>
            <w:shd w:val="clear" w:color="auto" w:fill="F6F8F7"/>
          </w:tcPr>
          <w:p>
            <w:pPr>
              <w:spacing w:after="0"/>
              <w:rPr>
                <w:sz w:val="24"/>
                <w:szCs w:val="24"/>
                <w:color w:val="auto"/>
              </w:rPr>
            </w:pPr>
          </w:p>
        </w:tc>
        <w:tc>
          <w:tcPr>
            <w:tcW w:w="520" w:type="dxa"/>
            <w:vAlign w:val="bottom"/>
            <w:shd w:val="clear" w:color="auto" w:fill="F6F8F7"/>
          </w:tcPr>
          <w:p>
            <w:pPr>
              <w:spacing w:after="0"/>
              <w:rPr>
                <w:sz w:val="24"/>
                <w:szCs w:val="24"/>
                <w:color w:val="auto"/>
              </w:rPr>
            </w:pPr>
          </w:p>
        </w:tc>
        <w:tc>
          <w:tcPr>
            <w:tcW w:w="120" w:type="dxa"/>
            <w:vAlign w:val="bottom"/>
            <w:shd w:val="clear" w:color="auto" w:fill="F6F8F7"/>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340" w:type="dxa"/>
            <w:vAlign w:val="bottom"/>
            <w:shd w:val="clear" w:color="auto" w:fill="F2F2F2"/>
          </w:tcPr>
          <w:p>
            <w:pPr>
              <w:spacing w:after="0"/>
              <w:rPr>
                <w:sz w:val="24"/>
                <w:szCs w:val="24"/>
                <w:color w:val="auto"/>
              </w:rPr>
            </w:pPr>
          </w:p>
        </w:tc>
        <w:tc>
          <w:tcPr>
            <w:tcW w:w="200" w:type="dxa"/>
            <w:vAlign w:val="bottom"/>
            <w:shd w:val="clear" w:color="auto" w:fill="F2F2F2"/>
          </w:tcPr>
          <w:p>
            <w:pPr>
              <w:spacing w:after="0"/>
              <w:rPr>
                <w:sz w:val="24"/>
                <w:szCs w:val="24"/>
                <w:color w:val="auto"/>
              </w:rPr>
            </w:pPr>
          </w:p>
        </w:tc>
        <w:tc>
          <w:tcPr>
            <w:tcW w:w="160" w:type="dxa"/>
            <w:vAlign w:val="bottom"/>
            <w:shd w:val="clear" w:color="auto" w:fill="F2F2F2"/>
          </w:tcPr>
          <w:p>
            <w:pPr>
              <w:spacing w:after="0"/>
              <w:rPr>
                <w:sz w:val="24"/>
                <w:szCs w:val="24"/>
                <w:color w:val="auto"/>
              </w:rPr>
            </w:pPr>
          </w:p>
        </w:tc>
        <w:tc>
          <w:tcPr>
            <w:tcW w:w="200" w:type="dxa"/>
            <w:vAlign w:val="bottom"/>
            <w:shd w:val="clear" w:color="auto" w:fill="F2F2F2"/>
          </w:tcPr>
          <w:p>
            <w:pPr>
              <w:spacing w:after="0"/>
              <w:rPr>
                <w:sz w:val="24"/>
                <w:szCs w:val="24"/>
                <w:color w:val="auto"/>
              </w:rPr>
            </w:pPr>
          </w:p>
        </w:tc>
        <w:tc>
          <w:tcPr>
            <w:tcW w:w="280" w:type="dxa"/>
            <w:vAlign w:val="bottom"/>
            <w:shd w:val="clear" w:color="auto" w:fill="F2F2F2"/>
          </w:tcPr>
          <w:p>
            <w:pPr>
              <w:spacing w:after="0"/>
              <w:rPr>
                <w:sz w:val="24"/>
                <w:szCs w:val="24"/>
                <w:color w:val="auto"/>
              </w:rPr>
            </w:pPr>
          </w:p>
        </w:tc>
        <w:tc>
          <w:tcPr>
            <w:tcW w:w="60" w:type="dxa"/>
            <w:vAlign w:val="bottom"/>
            <w:shd w:val="clear" w:color="auto" w:fill="F2F2F2"/>
          </w:tcPr>
          <w:p>
            <w:pPr>
              <w:spacing w:after="0"/>
              <w:rPr>
                <w:sz w:val="24"/>
                <w:szCs w:val="24"/>
                <w:color w:val="auto"/>
              </w:rPr>
            </w:pPr>
          </w:p>
        </w:tc>
        <w:tc>
          <w:tcPr>
            <w:tcW w:w="400" w:type="dxa"/>
            <w:vAlign w:val="bottom"/>
            <w:shd w:val="clear" w:color="auto" w:fill="F2F2F2"/>
          </w:tcPr>
          <w:p>
            <w:pPr>
              <w:spacing w:after="0"/>
              <w:rPr>
                <w:sz w:val="24"/>
                <w:szCs w:val="24"/>
                <w:color w:val="auto"/>
              </w:rPr>
            </w:pPr>
          </w:p>
        </w:tc>
        <w:tc>
          <w:tcPr>
            <w:tcW w:w="420" w:type="dxa"/>
            <w:vAlign w:val="bottom"/>
            <w:shd w:val="clear" w:color="auto" w:fill="F2F2F2"/>
          </w:tcPr>
          <w:p>
            <w:pPr>
              <w:spacing w:after="0"/>
              <w:rPr>
                <w:sz w:val="24"/>
                <w:szCs w:val="24"/>
                <w:color w:val="auto"/>
              </w:rPr>
            </w:pPr>
          </w:p>
        </w:tc>
        <w:tc>
          <w:tcPr>
            <w:tcW w:w="120" w:type="dxa"/>
            <w:vAlign w:val="bottom"/>
            <w:shd w:val="clear" w:color="auto" w:fill="F2F2F2"/>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-2245360</wp:posOffset>
            </wp:positionV>
            <wp:extent cx="5760720" cy="26828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60720" cy="2682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457157"/>
        </w:rPr>
        <w:t>​</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3405" w:lineRule="exact"/>
        <w:rPr>
          <w:sz w:val="20"/>
          <w:szCs w:val="20"/>
          <w:color w:val="auto"/>
        </w:rPr>
      </w:pPr>
    </w:p>
    <w:p>
      <w:pPr>
        <w:sectPr>
          <w:pgSz w:w="11900" w:h="16838" w:orient="portrait"/>
          <w:cols w:equalWidth="0" w:num="2">
            <w:col w:w="9640" w:space="160"/>
            <w:col w:w="140"/>
          </w:cols>
          <w:pgMar w:left="580" w:top="97" w:right="1379" w:bottom="1440" w:gutter="0" w:footer="0" w:header="0"/>
          <w:type w:val="continuous"/>
        </w:sectPr>
      </w:pPr>
    </w:p>
    <w:tbl>
      <w:tblPr>
        <w:tblLayout w:type="fixed"/>
        <w:tblInd w:w="820" w:type="dxa"/>
        <w:tblCellMar>
          <w:top w:w="0" w:type="dxa"/>
          <w:left w:w="0" w:type="dxa"/>
          <w:bottom w:w="0" w:type="dxa"/>
          <w:right w:w="0" w:type="dxa"/>
        </w:tblCellMar>
      </w:tblPr>
      <w:tr>
        <w:trPr>
          <w:trHeight w:val="222"/>
        </w:trPr>
        <w:tc>
          <w:tcPr>
            <w:tcW w:w="360" w:type="dxa"/>
            <w:vAlign w:val="bottom"/>
          </w:tcPr>
          <w:p>
            <w:pPr>
              <w:spacing w:after="0"/>
              <w:rPr>
                <w:sz w:val="19"/>
                <w:szCs w:val="19"/>
                <w:color w:val="auto"/>
              </w:rPr>
            </w:pPr>
          </w:p>
        </w:tc>
        <w:tc>
          <w:tcPr>
            <w:tcW w:w="2920" w:type="dxa"/>
            <w:vAlign w:val="bottom"/>
            <w:vMerge w:val="restart"/>
          </w:tcPr>
          <w:p>
            <w:pPr>
              <w:ind w:left="280"/>
              <w:spacing w:after="0"/>
              <w:rPr>
                <w:sz w:val="20"/>
                <w:szCs w:val="20"/>
                <w:color w:val="auto"/>
              </w:rPr>
            </w:pPr>
            <w:r>
              <w:rPr>
                <w:rFonts w:ascii="Arial" w:cs="Arial" w:eastAsia="Arial" w:hAnsi="Arial"/>
                <w:sz w:val="28"/>
                <w:szCs w:val="28"/>
                <w:color w:val="000000"/>
                <w:vertAlign w:val="subscript"/>
              </w:rPr>
              <w:t>​​</w:t>
            </w:r>
            <w:r>
              <w:rPr>
                <w:rFonts w:ascii="Arial" w:cs="Arial" w:eastAsia="Arial" w:hAnsi="Arial"/>
                <w:sz w:val="16"/>
                <w:szCs w:val="16"/>
                <w:b w:val="1"/>
                <w:bCs w:val="1"/>
                <w:color w:val="457157"/>
              </w:rPr>
              <w:t>Sustainability/Environmental/</w:t>
            </w:r>
          </w:p>
        </w:tc>
        <w:tc>
          <w:tcPr>
            <w:tcW w:w="160" w:type="dxa"/>
            <w:vAlign w:val="bottom"/>
          </w:tcPr>
          <w:p>
            <w:pPr>
              <w:spacing w:after="0"/>
              <w:rPr>
                <w:sz w:val="19"/>
                <w:szCs w:val="19"/>
                <w:color w:val="auto"/>
              </w:rPr>
            </w:pPr>
          </w:p>
        </w:tc>
        <w:tc>
          <w:tcPr>
            <w:tcW w:w="340" w:type="dxa"/>
            <w:vAlign w:val="bottom"/>
            <w:shd w:val="clear" w:color="auto" w:fill="457157"/>
          </w:tcPr>
          <w:p>
            <w:pPr>
              <w:spacing w:after="0"/>
              <w:rPr>
                <w:sz w:val="19"/>
                <w:szCs w:val="19"/>
                <w:color w:val="auto"/>
              </w:rPr>
            </w:pPr>
          </w:p>
        </w:tc>
        <w:tc>
          <w:tcPr>
            <w:tcW w:w="300" w:type="dxa"/>
            <w:vAlign w:val="bottom"/>
            <w:shd w:val="clear" w:color="auto" w:fill="457157"/>
          </w:tcPr>
          <w:p>
            <w:pPr>
              <w:spacing w:after="0"/>
              <w:rPr>
                <w:sz w:val="19"/>
                <w:szCs w:val="19"/>
                <w:color w:val="auto"/>
              </w:rPr>
            </w:pPr>
          </w:p>
        </w:tc>
        <w:tc>
          <w:tcPr>
            <w:tcW w:w="1660" w:type="dxa"/>
            <w:vAlign w:val="bottom"/>
          </w:tcPr>
          <w:p>
            <w:pPr>
              <w:ind w:left="80"/>
              <w:spacing w:after="0"/>
              <w:rPr>
                <w:sz w:val="20"/>
                <w:szCs w:val="20"/>
                <w:color w:val="auto"/>
              </w:rPr>
            </w:pPr>
            <w:r>
              <w:rPr>
                <w:rFonts w:ascii="Arial" w:cs="Arial" w:eastAsia="Arial" w:hAnsi="Arial"/>
                <w:sz w:val="16"/>
                <w:szCs w:val="16"/>
                <w:b w:val="1"/>
                <w:bCs w:val="1"/>
                <w:color w:val="457157"/>
              </w:rPr>
              <w:t>Digital/Information</w:t>
            </w:r>
          </w:p>
        </w:tc>
        <w:tc>
          <w:tcPr>
            <w:tcW w:w="0" w:type="dxa"/>
            <w:vAlign w:val="bottom"/>
          </w:tcPr>
          <w:p>
            <w:pPr>
              <w:spacing w:after="0"/>
              <w:rPr>
                <w:sz w:val="1"/>
                <w:szCs w:val="1"/>
                <w:color w:val="auto"/>
              </w:rPr>
            </w:pPr>
          </w:p>
        </w:tc>
      </w:tr>
      <w:tr>
        <w:trPr>
          <w:trHeight w:val="163"/>
        </w:trPr>
        <w:tc>
          <w:tcPr>
            <w:tcW w:w="360" w:type="dxa"/>
            <w:vAlign w:val="bottom"/>
          </w:tcPr>
          <w:p>
            <w:pPr>
              <w:ind w:left="40"/>
              <w:spacing w:after="0"/>
              <w:rPr>
                <w:sz w:val="20"/>
                <w:szCs w:val="20"/>
                <w:color w:val="auto"/>
              </w:rPr>
            </w:pPr>
            <w:r>
              <w:rPr>
                <w:rFonts w:ascii="Arial" w:cs="Arial" w:eastAsia="Arial" w:hAnsi="Arial"/>
                <w:sz w:val="14"/>
                <w:szCs w:val="14"/>
                <w:color w:val="auto"/>
              </w:rPr>
              <w:t>​</w:t>
            </w:r>
          </w:p>
        </w:tc>
        <w:tc>
          <w:tcPr>
            <w:tcW w:w="2920" w:type="dxa"/>
            <w:vAlign w:val="bottom"/>
            <w:vMerge w:val="continue"/>
          </w:tcPr>
          <w:p>
            <w:pPr>
              <w:spacing w:after="0"/>
              <w:rPr>
                <w:sz w:val="14"/>
                <w:szCs w:val="14"/>
                <w:color w:val="auto"/>
              </w:rPr>
            </w:pPr>
          </w:p>
        </w:tc>
        <w:tc>
          <w:tcPr>
            <w:tcW w:w="160" w:type="dxa"/>
            <w:vAlign w:val="bottom"/>
          </w:tcPr>
          <w:p>
            <w:pPr>
              <w:ind w:left="80"/>
              <w:spacing w:after="0"/>
              <w:rPr>
                <w:sz w:val="20"/>
                <w:szCs w:val="20"/>
                <w:color w:val="auto"/>
              </w:rPr>
            </w:pPr>
            <w:r>
              <w:rPr>
                <w:rFonts w:ascii="Arial" w:cs="Arial" w:eastAsia="Arial" w:hAnsi="Arial"/>
                <w:sz w:val="14"/>
                <w:szCs w:val="14"/>
                <w:color w:val="auto"/>
              </w:rPr>
              <w:t>​</w:t>
            </w:r>
          </w:p>
        </w:tc>
        <w:tc>
          <w:tcPr>
            <w:tcW w:w="340" w:type="dxa"/>
            <w:vAlign w:val="bottom"/>
            <w:shd w:val="clear" w:color="auto" w:fill="457157"/>
          </w:tcPr>
          <w:p>
            <w:pPr>
              <w:ind w:left="20"/>
              <w:spacing w:after="0"/>
              <w:rPr>
                <w:sz w:val="20"/>
                <w:szCs w:val="20"/>
                <w:color w:val="auto"/>
              </w:rPr>
            </w:pPr>
            <w:r>
              <w:rPr>
                <w:rFonts w:ascii="Arial" w:cs="Arial" w:eastAsia="Arial" w:hAnsi="Arial"/>
                <w:sz w:val="14"/>
                <w:szCs w:val="14"/>
                <w:color w:val="auto"/>
              </w:rPr>
              <w:t>​</w:t>
            </w:r>
          </w:p>
        </w:tc>
        <w:tc>
          <w:tcPr>
            <w:tcW w:w="300" w:type="dxa"/>
            <w:vAlign w:val="bottom"/>
            <w:shd w:val="clear" w:color="auto" w:fill="457157"/>
          </w:tcPr>
          <w:p>
            <w:pPr>
              <w:ind w:left="280"/>
              <w:spacing w:after="0"/>
              <w:rPr>
                <w:sz w:val="20"/>
                <w:szCs w:val="20"/>
                <w:color w:val="auto"/>
              </w:rPr>
            </w:pPr>
            <w:r>
              <w:rPr>
                <w:rFonts w:ascii="Arial" w:cs="Arial" w:eastAsia="Arial" w:hAnsi="Arial"/>
                <w:sz w:val="1"/>
                <w:szCs w:val="1"/>
                <w:color w:val="auto"/>
                <w:w w:val="4294942296"/>
              </w:rPr>
              <w:t>​</w:t>
            </w:r>
          </w:p>
        </w:tc>
        <w:tc>
          <w:tcPr>
            <w:tcW w:w="1660" w:type="dxa"/>
            <w:vAlign w:val="bottom"/>
          </w:tcPr>
          <w:p>
            <w:pPr>
              <w:ind w:left="40"/>
              <w:spacing w:after="0" w:line="163" w:lineRule="exact"/>
              <w:rPr>
                <w:sz w:val="20"/>
                <w:szCs w:val="20"/>
                <w:color w:val="auto"/>
              </w:rPr>
            </w:pPr>
            <w:r>
              <w:rPr>
                <w:rFonts w:ascii="Arial" w:cs="Arial" w:eastAsia="Arial" w:hAnsi="Arial"/>
                <w:sz w:val="14"/>
                <w:szCs w:val="14"/>
                <w:color w:val="auto"/>
              </w:rPr>
              <w:t>​</w:t>
            </w:r>
            <w:r>
              <w:rPr>
                <w:rFonts w:ascii="Arial" w:cs="Arial" w:eastAsia="Arial" w:hAnsi="Arial"/>
                <w:sz w:val="16"/>
                <w:szCs w:val="16"/>
                <w:b w:val="1"/>
                <w:bCs w:val="1"/>
                <w:color w:val="457157"/>
              </w:rPr>
              <w:t>Technology/</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2920" w:type="dxa"/>
            <w:vAlign w:val="bottom"/>
          </w:tcPr>
          <w:p>
            <w:pPr>
              <w:ind w:left="360"/>
              <w:spacing w:after="0"/>
              <w:rPr>
                <w:sz w:val="20"/>
                <w:szCs w:val="20"/>
                <w:color w:val="auto"/>
              </w:rPr>
            </w:pPr>
            <w:r>
              <w:rPr>
                <w:rFonts w:ascii="Arial" w:cs="Arial" w:eastAsia="Arial" w:hAnsi="Arial"/>
                <w:sz w:val="16"/>
                <w:szCs w:val="16"/>
                <w:b w:val="1"/>
                <w:bCs w:val="1"/>
                <w:color w:val="457157"/>
              </w:rPr>
              <w:t>Renewable Energy</w:t>
            </w:r>
          </w:p>
        </w:tc>
        <w:tc>
          <w:tcPr>
            <w:tcW w:w="160" w:type="dxa"/>
            <w:vAlign w:val="bottom"/>
          </w:tcPr>
          <w:p>
            <w:pPr>
              <w:spacing w:after="0"/>
              <w:rPr>
                <w:sz w:val="17"/>
                <w:szCs w:val="17"/>
                <w:color w:val="auto"/>
              </w:rPr>
            </w:pPr>
          </w:p>
        </w:tc>
        <w:tc>
          <w:tcPr>
            <w:tcW w:w="340" w:type="dxa"/>
            <w:vAlign w:val="bottom"/>
            <w:shd w:val="clear" w:color="auto" w:fill="457157"/>
          </w:tcPr>
          <w:p>
            <w:pPr>
              <w:spacing w:after="0"/>
              <w:rPr>
                <w:sz w:val="17"/>
                <w:szCs w:val="17"/>
                <w:color w:val="auto"/>
              </w:rPr>
            </w:pPr>
          </w:p>
        </w:tc>
        <w:tc>
          <w:tcPr>
            <w:tcW w:w="300" w:type="dxa"/>
            <w:vAlign w:val="bottom"/>
            <w:shd w:val="clear" w:color="auto" w:fill="457157"/>
          </w:tcPr>
          <w:p>
            <w:pPr>
              <w:spacing w:after="0"/>
              <w:rPr>
                <w:sz w:val="17"/>
                <w:szCs w:val="17"/>
                <w:color w:val="auto"/>
              </w:rPr>
            </w:pPr>
          </w:p>
        </w:tc>
        <w:tc>
          <w:tcPr>
            <w:tcW w:w="1660" w:type="dxa"/>
            <w:vAlign w:val="bottom"/>
            <w:vMerge w:val="restart"/>
          </w:tcPr>
          <w:p>
            <w:pPr>
              <w:ind w:left="80"/>
              <w:spacing w:after="0"/>
              <w:rPr>
                <w:sz w:val="20"/>
                <w:szCs w:val="20"/>
                <w:color w:val="auto"/>
              </w:rPr>
            </w:pPr>
            <w:r>
              <w:rPr>
                <w:rFonts w:ascii="Arial" w:cs="Arial" w:eastAsia="Arial" w:hAnsi="Arial"/>
                <w:sz w:val="16"/>
                <w:szCs w:val="16"/>
                <w:b w:val="1"/>
                <w:bCs w:val="1"/>
                <w:color w:val="457157"/>
              </w:rPr>
              <w:t>Cybersecurity</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60"/>
        </w:trPr>
        <w:tc>
          <w:tcPr>
            <w:tcW w:w="360" w:type="dxa"/>
            <w:vAlign w:val="bottom"/>
          </w:tcPr>
          <w:p>
            <w:pPr>
              <w:spacing w:after="0"/>
              <w:rPr>
                <w:sz w:val="5"/>
                <w:szCs w:val="5"/>
                <w:color w:val="auto"/>
              </w:rPr>
            </w:pPr>
          </w:p>
        </w:tc>
        <w:tc>
          <w:tcPr>
            <w:tcW w:w="2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shd w:val="clear" w:color="auto" w:fill="457157"/>
          </w:tcPr>
          <w:p>
            <w:pPr>
              <w:spacing w:after="0"/>
              <w:rPr>
                <w:sz w:val="5"/>
                <w:szCs w:val="5"/>
                <w:color w:val="auto"/>
              </w:rPr>
            </w:pPr>
          </w:p>
        </w:tc>
        <w:tc>
          <w:tcPr>
            <w:tcW w:w="300" w:type="dxa"/>
            <w:vAlign w:val="bottom"/>
            <w:shd w:val="clear" w:color="auto" w:fill="457157"/>
          </w:tcPr>
          <w:p>
            <w:pPr>
              <w:spacing w:after="0"/>
              <w:rPr>
                <w:sz w:val="5"/>
                <w:szCs w:val="5"/>
                <w:color w:val="auto"/>
              </w:rPr>
            </w:pPr>
          </w:p>
        </w:tc>
        <w:tc>
          <w:tcPr>
            <w:tcW w:w="1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0</wp:posOffset>
            </wp:positionV>
            <wp:extent cx="3977640" cy="28714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977640" cy="2871470"/>
                    </a:xfrm>
                    <a:prstGeom prst="rect">
                      <a:avLst/>
                    </a:prstGeom>
                    <a:noFill/>
                  </pic:spPr>
                </pic:pic>
              </a:graphicData>
            </a:graphic>
          </wp:anchor>
        </w:drawing>
      </w:r>
    </w:p>
    <w:p>
      <w:pPr>
        <w:ind w:left="1020" w:hanging="204"/>
        <w:spacing w:after="0" w:line="207" w:lineRule="auto"/>
        <w:tabs>
          <w:tab w:leader="none" w:pos="1020" w:val="left"/>
        </w:tabs>
        <w:numPr>
          <w:ilvl w:val="0"/>
          <w:numId w:val="16"/>
        </w:numPr>
        <w:rPr>
          <w:rFonts w:ascii="Arial" w:cs="Arial" w:eastAsia="Arial" w:hAnsi="Arial"/>
          <w:sz w:val="29"/>
          <w:szCs w:val="29"/>
          <w:color w:val="auto"/>
          <w:vertAlign w:val="superscript"/>
        </w:rPr>
      </w:pPr>
      <w:r>
        <w:rPr>
          <w:rFonts w:ascii="Arial" w:cs="Arial" w:eastAsia="Arial" w:hAnsi="Arial"/>
          <w:sz w:val="14"/>
          <w:szCs w:val="14"/>
          <w:color w:val="auto"/>
        </w:rPr>
        <w:t xml:space="preserve">Directors   with   experience   overseeing  </w:t>
      </w:r>
      <w:r>
        <w:rPr>
          <w:rFonts w:ascii="Arial" w:cs="Arial" w:eastAsia="Arial" w:hAnsi="Arial"/>
          <w:sz w:val="28"/>
          <w:szCs w:val="28"/>
          <w:color w:val="auto"/>
          <w:vertAlign w:val="superscript"/>
        </w:rPr>
        <w:t>​ ​</w:t>
      </w:r>
      <w:r>
        <w:rPr>
          <w:rFonts w:ascii="Arial" w:cs="Arial" w:eastAsia="Arial" w:hAnsi="Arial"/>
          <w:sz w:val="14"/>
          <w:szCs w:val="14"/>
          <w:color w:val="auto"/>
        </w:rPr>
        <w:t xml:space="preserve">  Directors with experience in digital</w:t>
      </w:r>
    </w:p>
    <w:p>
      <w:pPr>
        <w:spacing w:after="0" w:line="1"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1160" w:type="dxa"/>
            <w:vAlign w:val="bottom"/>
            <w:gridSpan w:val="2"/>
          </w:tcPr>
          <w:p>
            <w:pPr>
              <w:ind w:left="200"/>
              <w:spacing w:after="0"/>
              <w:rPr>
                <w:sz w:val="20"/>
                <w:szCs w:val="20"/>
                <w:color w:val="auto"/>
              </w:rPr>
            </w:pPr>
            <w:r>
              <w:rPr>
                <w:rFonts w:ascii="Arial" w:cs="Arial" w:eastAsia="Arial" w:hAnsi="Arial"/>
                <w:sz w:val="14"/>
                <w:szCs w:val="14"/>
                <w:color w:val="auto"/>
              </w:rPr>
              <w:t>development,</w:t>
            </w:r>
          </w:p>
        </w:tc>
        <w:tc>
          <w:tcPr>
            <w:tcW w:w="180" w:type="dxa"/>
            <w:vAlign w:val="bottom"/>
          </w:tcPr>
          <w:p>
            <w:pPr>
              <w:spacing w:after="0"/>
              <w:rPr>
                <w:sz w:val="14"/>
                <w:szCs w:val="14"/>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color w:val="auto"/>
              </w:rPr>
              <w:t>implementation</w:t>
            </w:r>
          </w:p>
        </w:tc>
        <w:tc>
          <w:tcPr>
            <w:tcW w:w="740" w:type="dxa"/>
            <w:vAlign w:val="bottom"/>
          </w:tcPr>
          <w:p>
            <w:pPr>
              <w:jc w:val="right"/>
              <w:ind w:right="308"/>
              <w:spacing w:after="0"/>
              <w:rPr>
                <w:sz w:val="20"/>
                <w:szCs w:val="20"/>
                <w:color w:val="auto"/>
              </w:rPr>
            </w:pPr>
            <w:r>
              <w:rPr>
                <w:rFonts w:ascii="Arial" w:cs="Arial" w:eastAsia="Arial" w:hAnsi="Arial"/>
                <w:sz w:val="14"/>
                <w:szCs w:val="14"/>
                <w:color w:val="auto"/>
              </w:rPr>
              <w:t>and</w:t>
            </w:r>
          </w:p>
        </w:tc>
        <w:tc>
          <w:tcPr>
            <w:tcW w:w="600" w:type="dxa"/>
            <w:vAlign w:val="bottom"/>
          </w:tcPr>
          <w:p>
            <w:pPr>
              <w:ind w:left="40"/>
              <w:spacing w:after="0"/>
              <w:rPr>
                <w:sz w:val="20"/>
                <w:szCs w:val="20"/>
                <w:color w:val="auto"/>
              </w:rPr>
            </w:pPr>
            <w:r>
              <w:rPr>
                <w:rFonts w:ascii="Arial" w:cs="Arial" w:eastAsia="Arial" w:hAnsi="Arial"/>
                <w:sz w:val="14"/>
                <w:szCs w:val="14"/>
                <w:color w:val="auto"/>
              </w:rPr>
              <w:t>and</w:t>
            </w:r>
          </w:p>
        </w:tc>
        <w:tc>
          <w:tcPr>
            <w:tcW w:w="1040" w:type="dxa"/>
            <w:vAlign w:val="bottom"/>
            <w:gridSpan w:val="3"/>
          </w:tcPr>
          <w:p>
            <w:pPr>
              <w:jc w:val="right"/>
              <w:ind w:right="168"/>
              <w:spacing w:after="0"/>
              <w:rPr>
                <w:sz w:val="20"/>
                <w:szCs w:val="20"/>
                <w:color w:val="auto"/>
              </w:rPr>
            </w:pPr>
            <w:r>
              <w:rPr>
                <w:rFonts w:ascii="Arial" w:cs="Arial" w:eastAsia="Arial" w:hAnsi="Arial"/>
                <w:sz w:val="14"/>
                <w:szCs w:val="14"/>
                <w:color w:val="auto"/>
              </w:rPr>
              <w:t>information</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technology</w:t>
            </w:r>
          </w:p>
        </w:tc>
      </w:tr>
      <w:tr>
        <w:trPr>
          <w:trHeight w:val="175"/>
        </w:trPr>
        <w:tc>
          <w:tcPr>
            <w:tcW w:w="1160" w:type="dxa"/>
            <w:vAlign w:val="bottom"/>
            <w:gridSpan w:val="2"/>
          </w:tcPr>
          <w:p>
            <w:pPr>
              <w:ind w:left="200"/>
              <w:spacing w:after="0"/>
              <w:rPr>
                <w:sz w:val="20"/>
                <w:szCs w:val="20"/>
                <w:color w:val="auto"/>
              </w:rPr>
            </w:pPr>
            <w:r>
              <w:rPr>
                <w:rFonts w:ascii="Arial" w:cs="Arial" w:eastAsia="Arial" w:hAnsi="Arial"/>
                <w:sz w:val="14"/>
                <w:szCs w:val="14"/>
                <w:color w:val="auto"/>
              </w:rPr>
              <w:t>assessment</w:t>
            </w:r>
          </w:p>
        </w:tc>
        <w:tc>
          <w:tcPr>
            <w:tcW w:w="180" w:type="dxa"/>
            <w:vAlign w:val="bottom"/>
          </w:tcPr>
          <w:p>
            <w:pPr>
              <w:spacing w:after="0"/>
              <w:rPr>
                <w:sz w:val="20"/>
                <w:szCs w:val="20"/>
                <w:color w:val="auto"/>
              </w:rPr>
            </w:pPr>
            <w:r>
              <w:rPr>
                <w:rFonts w:ascii="Arial" w:cs="Arial" w:eastAsia="Arial" w:hAnsi="Arial"/>
                <w:sz w:val="14"/>
                <w:szCs w:val="14"/>
                <w:color w:val="auto"/>
              </w:rPr>
              <w:t>of</w:t>
            </w:r>
          </w:p>
        </w:tc>
        <w:tc>
          <w:tcPr>
            <w:tcW w:w="2240" w:type="dxa"/>
            <w:vAlign w:val="bottom"/>
            <w:gridSpan w:val="3"/>
          </w:tcPr>
          <w:p>
            <w:pPr>
              <w:jc w:val="right"/>
              <w:ind w:right="328"/>
              <w:spacing w:after="0"/>
              <w:rPr>
                <w:sz w:val="20"/>
                <w:szCs w:val="20"/>
                <w:color w:val="auto"/>
              </w:rPr>
            </w:pPr>
            <w:r>
              <w:rPr>
                <w:rFonts w:ascii="Arial" w:cs="Arial" w:eastAsia="Arial" w:hAnsi="Arial"/>
                <w:sz w:val="14"/>
                <w:szCs w:val="14"/>
                <w:color w:val="auto"/>
              </w:rPr>
              <w:t>sustainability  strategies,</w:t>
            </w: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leadership</w:t>
            </w:r>
          </w:p>
        </w:tc>
        <w:tc>
          <w:tcPr>
            <w:tcW w:w="180" w:type="dxa"/>
            <w:vAlign w:val="bottom"/>
          </w:tcPr>
          <w:p>
            <w:pPr>
              <w:spacing w:after="0"/>
              <w:rPr>
                <w:sz w:val="15"/>
                <w:szCs w:val="15"/>
                <w:color w:val="auto"/>
              </w:rPr>
            </w:pPr>
          </w:p>
        </w:tc>
        <w:tc>
          <w:tcPr>
            <w:tcW w:w="620" w:type="dxa"/>
            <w:vAlign w:val="bottom"/>
          </w:tcPr>
          <w:p>
            <w:pPr>
              <w:ind w:left="60"/>
              <w:spacing w:after="0"/>
              <w:rPr>
                <w:sz w:val="20"/>
                <w:szCs w:val="20"/>
                <w:color w:val="auto"/>
              </w:rPr>
            </w:pPr>
            <w:r>
              <w:rPr>
                <w:rFonts w:ascii="Arial" w:cs="Arial" w:eastAsia="Arial" w:hAnsi="Arial"/>
                <w:sz w:val="14"/>
                <w:szCs w:val="14"/>
                <w:color w:val="auto"/>
              </w:rPr>
              <w:t>provide</w:t>
            </w:r>
          </w:p>
        </w:tc>
        <w:tc>
          <w:tcPr>
            <w:tcW w:w="2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valuable</w:t>
            </w:r>
          </w:p>
        </w:tc>
      </w:tr>
      <w:tr>
        <w:trPr>
          <w:trHeight w:val="162"/>
        </w:trPr>
        <w:tc>
          <w:tcPr>
            <w:tcW w:w="3580" w:type="dxa"/>
            <w:vAlign w:val="bottom"/>
            <w:gridSpan w:val="6"/>
          </w:tcPr>
          <w:p>
            <w:pPr>
              <w:ind w:left="200"/>
              <w:spacing w:after="0"/>
              <w:rPr>
                <w:sz w:val="20"/>
                <w:szCs w:val="20"/>
                <w:color w:val="auto"/>
              </w:rPr>
            </w:pPr>
            <w:r>
              <w:rPr>
                <w:rFonts w:ascii="Arial" w:cs="Arial" w:eastAsia="Arial" w:hAnsi="Arial"/>
                <w:sz w:val="14"/>
                <w:szCs w:val="14"/>
                <w:color w:val="auto"/>
              </w:rPr>
              <w:t>and  risks  and  opportunities  related  to</w:t>
            </w:r>
          </w:p>
        </w:tc>
        <w:tc>
          <w:tcPr>
            <w:tcW w:w="1020" w:type="dxa"/>
            <w:vAlign w:val="bottom"/>
            <w:gridSpan w:val="3"/>
          </w:tcPr>
          <w:p>
            <w:pPr>
              <w:ind w:left="40"/>
              <w:spacing w:after="0"/>
              <w:rPr>
                <w:sz w:val="20"/>
                <w:szCs w:val="20"/>
                <w:color w:val="auto"/>
              </w:rPr>
            </w:pPr>
            <w:r>
              <w:rPr>
                <w:rFonts w:ascii="Arial" w:cs="Arial" w:eastAsia="Arial" w:hAnsi="Arial"/>
                <w:sz w:val="14"/>
                <w:szCs w:val="14"/>
                <w:color w:val="auto"/>
              </w:rPr>
              <w:t>perspectives</w:t>
            </w:r>
          </w:p>
        </w:tc>
        <w:tc>
          <w:tcPr>
            <w:tcW w:w="620" w:type="dxa"/>
            <w:vAlign w:val="bottom"/>
          </w:tcPr>
          <w:p>
            <w:pPr>
              <w:jc w:val="right"/>
              <w:ind w:right="168"/>
              <w:spacing w:after="0"/>
              <w:rPr>
                <w:sz w:val="20"/>
                <w:szCs w:val="20"/>
                <w:color w:val="auto"/>
              </w:rPr>
            </w:pPr>
            <w:r>
              <w:rPr>
                <w:rFonts w:ascii="Arial" w:cs="Arial" w:eastAsia="Arial" w:hAnsi="Arial"/>
                <w:sz w:val="14"/>
                <w:szCs w:val="14"/>
                <w:color w:val="auto"/>
              </w:rPr>
              <w:t>on</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technology</w:t>
            </w:r>
          </w:p>
        </w:tc>
      </w:tr>
      <w:tr>
        <w:trPr>
          <w:trHeight w:val="175"/>
        </w:trPr>
        <w:tc>
          <w:tcPr>
            <w:tcW w:w="1160" w:type="dxa"/>
            <w:vAlign w:val="bottom"/>
            <w:gridSpan w:val="2"/>
          </w:tcPr>
          <w:p>
            <w:pPr>
              <w:ind w:left="200"/>
              <w:spacing w:after="0"/>
              <w:rPr>
                <w:sz w:val="20"/>
                <w:szCs w:val="20"/>
                <w:color w:val="auto"/>
              </w:rPr>
            </w:pPr>
            <w:r>
              <w:rPr>
                <w:rFonts w:ascii="Arial" w:cs="Arial" w:eastAsia="Arial" w:hAnsi="Arial"/>
                <w:sz w:val="14"/>
                <w:szCs w:val="14"/>
                <w:color w:val="auto"/>
              </w:rPr>
              <w:t>sustainability</w:t>
            </w:r>
          </w:p>
        </w:tc>
        <w:tc>
          <w:tcPr>
            <w:tcW w:w="180" w:type="dxa"/>
            <w:vAlign w:val="bottom"/>
          </w:tcPr>
          <w:p>
            <w:pPr>
              <w:spacing w:after="0"/>
              <w:rPr>
                <w:sz w:val="15"/>
                <w:szCs w:val="15"/>
                <w:color w:val="auto"/>
              </w:rPr>
            </w:pPr>
          </w:p>
        </w:tc>
        <w:tc>
          <w:tcPr>
            <w:tcW w:w="720" w:type="dxa"/>
            <w:vAlign w:val="bottom"/>
          </w:tcPr>
          <w:p>
            <w:pPr>
              <w:jc w:val="right"/>
              <w:ind w:right="265"/>
              <w:spacing w:after="0"/>
              <w:rPr>
                <w:sz w:val="20"/>
                <w:szCs w:val="20"/>
                <w:color w:val="auto"/>
              </w:rPr>
            </w:pPr>
            <w:r>
              <w:rPr>
                <w:rFonts w:ascii="Arial" w:cs="Arial" w:eastAsia="Arial" w:hAnsi="Arial"/>
                <w:sz w:val="14"/>
                <w:szCs w:val="14"/>
                <w:color w:val="auto"/>
              </w:rPr>
              <w:t>and</w:t>
            </w:r>
          </w:p>
        </w:tc>
        <w:tc>
          <w:tcPr>
            <w:tcW w:w="780" w:type="dxa"/>
            <w:vAlign w:val="bottom"/>
          </w:tcPr>
          <w:p>
            <w:pPr>
              <w:ind w:left="20"/>
              <w:spacing w:after="0"/>
              <w:rPr>
                <w:sz w:val="20"/>
                <w:szCs w:val="20"/>
                <w:color w:val="auto"/>
              </w:rPr>
            </w:pPr>
            <w:r>
              <w:rPr>
                <w:rFonts w:ascii="Arial" w:cs="Arial" w:eastAsia="Arial" w:hAnsi="Arial"/>
                <w:sz w:val="14"/>
                <w:szCs w:val="14"/>
                <w:color w:val="auto"/>
              </w:rPr>
              <w:t>provision</w:t>
            </w:r>
          </w:p>
        </w:tc>
        <w:tc>
          <w:tcPr>
            <w:tcW w:w="740" w:type="dxa"/>
            <w:vAlign w:val="bottom"/>
          </w:tcPr>
          <w:p>
            <w:pPr>
              <w:jc w:val="right"/>
              <w:ind w:right="328"/>
              <w:spacing w:after="0"/>
              <w:rPr>
                <w:sz w:val="20"/>
                <w:szCs w:val="20"/>
                <w:color w:val="auto"/>
              </w:rPr>
            </w:pPr>
            <w:r>
              <w:rPr>
                <w:rFonts w:ascii="Arial" w:cs="Arial" w:eastAsia="Arial" w:hAnsi="Arial"/>
                <w:sz w:val="14"/>
                <w:szCs w:val="14"/>
                <w:color w:val="auto"/>
              </w:rPr>
              <w:t>of</w:t>
            </w: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innovation,</w:t>
            </w:r>
          </w:p>
        </w:tc>
        <w:tc>
          <w:tcPr>
            <w:tcW w:w="180" w:type="dxa"/>
            <w:vAlign w:val="bottom"/>
          </w:tcPr>
          <w:p>
            <w:pPr>
              <w:spacing w:after="0"/>
              <w:rPr>
                <w:sz w:val="15"/>
                <w:szCs w:val="15"/>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digital</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solutions,</w:t>
            </w:r>
          </w:p>
        </w:tc>
      </w:tr>
      <w:tr>
        <w:trPr>
          <w:trHeight w:val="175"/>
        </w:trPr>
        <w:tc>
          <w:tcPr>
            <w:tcW w:w="1340" w:type="dxa"/>
            <w:vAlign w:val="bottom"/>
            <w:gridSpan w:val="3"/>
          </w:tcPr>
          <w:p>
            <w:pPr>
              <w:ind w:left="200"/>
              <w:spacing w:after="0"/>
              <w:rPr>
                <w:sz w:val="20"/>
                <w:szCs w:val="20"/>
                <w:color w:val="auto"/>
              </w:rPr>
            </w:pPr>
            <w:r>
              <w:rPr>
                <w:rFonts w:ascii="Arial" w:cs="Arial" w:eastAsia="Arial" w:hAnsi="Arial"/>
                <w:sz w:val="14"/>
                <w:szCs w:val="14"/>
                <w:color w:val="auto"/>
              </w:rPr>
              <w:t>environmental</w:t>
            </w:r>
          </w:p>
        </w:tc>
        <w:tc>
          <w:tcPr>
            <w:tcW w:w="720" w:type="dxa"/>
            <w:vAlign w:val="bottom"/>
          </w:tcPr>
          <w:p>
            <w:pPr>
              <w:jc w:val="right"/>
              <w:spacing w:after="0"/>
              <w:rPr>
                <w:sz w:val="20"/>
                <w:szCs w:val="20"/>
                <w:color w:val="auto"/>
              </w:rPr>
            </w:pPr>
            <w:r>
              <w:rPr>
                <w:rFonts w:ascii="Arial" w:cs="Arial" w:eastAsia="Arial" w:hAnsi="Arial"/>
                <w:sz w:val="14"/>
                <w:szCs w:val="14"/>
                <w:color w:val="auto"/>
              </w:rPr>
              <w:t>services,</w:t>
            </w:r>
          </w:p>
        </w:tc>
        <w:tc>
          <w:tcPr>
            <w:tcW w:w="780" w:type="dxa"/>
            <w:vAlign w:val="bottom"/>
          </w:tcPr>
          <w:p>
            <w:pPr>
              <w:ind w:left="180"/>
              <w:spacing w:after="0"/>
              <w:rPr>
                <w:sz w:val="20"/>
                <w:szCs w:val="20"/>
                <w:color w:val="auto"/>
              </w:rPr>
            </w:pPr>
            <w:r>
              <w:rPr>
                <w:rFonts w:ascii="Arial" w:cs="Arial" w:eastAsia="Arial" w:hAnsi="Arial"/>
                <w:sz w:val="14"/>
                <w:szCs w:val="14"/>
                <w:color w:val="auto"/>
              </w:rPr>
              <w:t>support</w:t>
            </w:r>
          </w:p>
        </w:tc>
        <w:tc>
          <w:tcPr>
            <w:tcW w:w="740" w:type="dxa"/>
            <w:vAlign w:val="bottom"/>
          </w:tcPr>
          <w:p>
            <w:pPr>
              <w:jc w:val="right"/>
              <w:ind w:right="328"/>
              <w:spacing w:after="0"/>
              <w:rPr>
                <w:sz w:val="20"/>
                <w:szCs w:val="20"/>
                <w:color w:val="auto"/>
              </w:rPr>
            </w:pPr>
            <w:r>
              <w:rPr>
                <w:rFonts w:ascii="Arial" w:cs="Arial" w:eastAsia="Arial" w:hAnsi="Arial"/>
                <w:sz w:val="14"/>
                <w:szCs w:val="14"/>
                <w:color w:val="auto"/>
              </w:rPr>
              <w:t>the</w:t>
            </w: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innovative</w:t>
            </w:r>
          </w:p>
        </w:tc>
        <w:tc>
          <w:tcPr>
            <w:tcW w:w="1640" w:type="dxa"/>
            <w:vAlign w:val="bottom"/>
            <w:gridSpan w:val="5"/>
          </w:tcPr>
          <w:p>
            <w:pPr>
              <w:jc w:val="right"/>
              <w:spacing w:after="0"/>
              <w:rPr>
                <w:sz w:val="20"/>
                <w:szCs w:val="20"/>
                <w:color w:val="auto"/>
              </w:rPr>
            </w:pPr>
            <w:r>
              <w:rPr>
                <w:rFonts w:ascii="Arial" w:cs="Arial" w:eastAsia="Arial" w:hAnsi="Arial"/>
                <w:sz w:val="14"/>
                <w:szCs w:val="14"/>
                <w:color w:val="auto"/>
              </w:rPr>
              <w:t>business models, data</w:t>
            </w:r>
          </w:p>
        </w:tc>
      </w:tr>
      <w:tr>
        <w:trPr>
          <w:trHeight w:val="175"/>
        </w:trPr>
        <w:tc>
          <w:tcPr>
            <w:tcW w:w="3580" w:type="dxa"/>
            <w:vAlign w:val="bottom"/>
            <w:gridSpan w:val="6"/>
          </w:tcPr>
          <w:p>
            <w:pPr>
              <w:ind w:left="200"/>
              <w:spacing w:after="0"/>
              <w:rPr>
                <w:sz w:val="20"/>
                <w:szCs w:val="20"/>
                <w:color w:val="auto"/>
              </w:rPr>
            </w:pPr>
            <w:r>
              <w:rPr>
                <w:rFonts w:ascii="Arial" w:cs="Arial" w:eastAsia="Arial" w:hAnsi="Arial"/>
                <w:sz w:val="14"/>
                <w:szCs w:val="14"/>
                <w:color w:val="auto"/>
              </w:rPr>
              <w:t>Company’s   ability   to   deliver   on   its</w:t>
            </w: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analytics,</w:t>
            </w:r>
          </w:p>
        </w:tc>
        <w:tc>
          <w:tcPr>
            <w:tcW w:w="180" w:type="dxa"/>
            <w:vAlign w:val="bottom"/>
          </w:tcPr>
          <w:p>
            <w:pPr>
              <w:spacing w:after="0"/>
              <w:rPr>
                <w:sz w:val="15"/>
                <w:szCs w:val="15"/>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color w:val="auto"/>
              </w:rPr>
              <w:t>e-commerce</w:t>
            </w:r>
          </w:p>
        </w:tc>
      </w:tr>
      <w:tr>
        <w:trPr>
          <w:trHeight w:val="176"/>
        </w:trPr>
        <w:tc>
          <w:tcPr>
            <w:tcW w:w="3580" w:type="dxa"/>
            <w:vAlign w:val="bottom"/>
            <w:gridSpan w:val="6"/>
          </w:tcPr>
          <w:p>
            <w:pPr>
              <w:ind w:left="200"/>
              <w:spacing w:after="0"/>
              <w:rPr>
                <w:sz w:val="20"/>
                <w:szCs w:val="20"/>
                <w:color w:val="auto"/>
              </w:rPr>
            </w:pPr>
            <w:r>
              <w:rPr>
                <w:rFonts w:ascii="Arial" w:cs="Arial" w:eastAsia="Arial" w:hAnsi="Arial"/>
                <w:sz w:val="14"/>
                <w:szCs w:val="14"/>
                <w:color w:val="auto"/>
              </w:rPr>
              <w:t>sustainability growth strategy, goals and</w:t>
            </w:r>
          </w:p>
        </w:tc>
        <w:tc>
          <w:tcPr>
            <w:tcW w:w="1020" w:type="dxa"/>
            <w:vAlign w:val="bottom"/>
            <w:gridSpan w:val="3"/>
          </w:tcPr>
          <w:p>
            <w:pPr>
              <w:ind w:left="40"/>
              <w:spacing w:after="0"/>
              <w:rPr>
                <w:sz w:val="20"/>
                <w:szCs w:val="20"/>
                <w:color w:val="auto"/>
              </w:rPr>
            </w:pPr>
            <w:r>
              <w:rPr>
                <w:rFonts w:ascii="Arial" w:cs="Arial" w:eastAsia="Arial" w:hAnsi="Arial"/>
                <w:sz w:val="14"/>
                <w:szCs w:val="14"/>
                <w:color w:val="auto"/>
              </w:rPr>
              <w:t>applications,</w:t>
            </w:r>
          </w:p>
        </w:tc>
        <w:tc>
          <w:tcPr>
            <w:tcW w:w="860" w:type="dxa"/>
            <w:vAlign w:val="bottom"/>
            <w:gridSpan w:val="2"/>
          </w:tcPr>
          <w:p>
            <w:pPr>
              <w:ind w:left="60"/>
              <w:spacing w:after="0"/>
              <w:rPr>
                <w:sz w:val="20"/>
                <w:szCs w:val="20"/>
                <w:color w:val="auto"/>
              </w:rPr>
            </w:pPr>
            <w:r>
              <w:rPr>
                <w:rFonts w:ascii="Arial" w:cs="Arial" w:eastAsia="Arial" w:hAnsi="Arial"/>
                <w:sz w:val="14"/>
                <w:szCs w:val="14"/>
                <w:color w:val="auto"/>
              </w:rPr>
              <w:t>marketing</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strategy</w:t>
            </w:r>
          </w:p>
        </w:tc>
      </w:tr>
      <w:tr>
        <w:trPr>
          <w:trHeight w:val="162"/>
        </w:trPr>
        <w:tc>
          <w:tcPr>
            <w:tcW w:w="1340" w:type="dxa"/>
            <w:vAlign w:val="bottom"/>
            <w:gridSpan w:val="3"/>
          </w:tcPr>
          <w:p>
            <w:pPr>
              <w:ind w:left="200"/>
              <w:spacing w:after="0"/>
              <w:rPr>
                <w:sz w:val="20"/>
                <w:szCs w:val="20"/>
                <w:color w:val="auto"/>
              </w:rPr>
            </w:pPr>
            <w:r>
              <w:rPr>
                <w:rFonts w:ascii="Arial" w:cs="Arial" w:eastAsia="Arial" w:hAnsi="Arial"/>
                <w:sz w:val="14"/>
                <w:szCs w:val="14"/>
                <w:color w:val="auto"/>
              </w:rPr>
              <w:t>commitments.</w:t>
            </w:r>
          </w:p>
        </w:tc>
        <w:tc>
          <w:tcPr>
            <w:tcW w:w="720" w:type="dxa"/>
            <w:vAlign w:val="bottom"/>
          </w:tcPr>
          <w:p>
            <w:pPr>
              <w:jc w:val="right"/>
              <w:spacing w:after="0"/>
              <w:rPr>
                <w:sz w:val="20"/>
                <w:szCs w:val="20"/>
                <w:color w:val="auto"/>
              </w:rPr>
            </w:pPr>
            <w:r>
              <w:rPr>
                <w:rFonts w:ascii="Arial" w:cs="Arial" w:eastAsia="Arial" w:hAnsi="Arial"/>
                <w:sz w:val="14"/>
                <w:szCs w:val="14"/>
                <w:color w:val="auto"/>
              </w:rPr>
              <w:t>These</w:t>
            </w:r>
          </w:p>
        </w:tc>
        <w:tc>
          <w:tcPr>
            <w:tcW w:w="1520" w:type="dxa"/>
            <w:vAlign w:val="bottom"/>
            <w:gridSpan w:val="2"/>
          </w:tcPr>
          <w:p>
            <w:pPr>
              <w:jc w:val="right"/>
              <w:ind w:right="308"/>
              <w:spacing w:after="0"/>
              <w:rPr>
                <w:sz w:val="20"/>
                <w:szCs w:val="20"/>
                <w:color w:val="auto"/>
              </w:rPr>
            </w:pPr>
            <w:r>
              <w:rPr>
                <w:rFonts w:ascii="Arial" w:cs="Arial" w:eastAsia="Arial" w:hAnsi="Arial"/>
                <w:sz w:val="14"/>
                <w:szCs w:val="14"/>
                <w:color w:val="auto"/>
              </w:rPr>
              <w:t>individuals</w:t>
            </w:r>
          </w:p>
        </w:tc>
        <w:tc>
          <w:tcPr>
            <w:tcW w:w="2480" w:type="dxa"/>
            <w:vAlign w:val="bottom"/>
            <w:gridSpan w:val="7"/>
          </w:tcPr>
          <w:p>
            <w:pPr>
              <w:ind w:left="40"/>
              <w:spacing w:after="0"/>
              <w:rPr>
                <w:sz w:val="20"/>
                <w:szCs w:val="20"/>
                <w:color w:val="auto"/>
              </w:rPr>
            </w:pPr>
            <w:r>
              <w:rPr>
                <w:rFonts w:ascii="Arial" w:cs="Arial" w:eastAsia="Arial" w:hAnsi="Arial"/>
                <w:sz w:val="14"/>
                <w:szCs w:val="14"/>
                <w:color w:val="auto"/>
              </w:rPr>
              <w:t>and cyber risks. These individuals</w:t>
            </w:r>
          </w:p>
        </w:tc>
      </w:tr>
      <w:tr>
        <w:trPr>
          <w:trHeight w:val="175"/>
        </w:trPr>
        <w:tc>
          <w:tcPr>
            <w:tcW w:w="3580" w:type="dxa"/>
            <w:vAlign w:val="bottom"/>
            <w:gridSpan w:val="6"/>
          </w:tcPr>
          <w:p>
            <w:pPr>
              <w:ind w:left="200"/>
              <w:spacing w:after="0"/>
              <w:rPr>
                <w:sz w:val="20"/>
                <w:szCs w:val="20"/>
                <w:color w:val="auto"/>
              </w:rPr>
            </w:pPr>
            <w:r>
              <w:rPr>
                <w:rFonts w:ascii="Arial" w:cs="Arial" w:eastAsia="Arial" w:hAnsi="Arial"/>
                <w:sz w:val="14"/>
                <w:szCs w:val="14"/>
                <w:color w:val="auto"/>
              </w:rPr>
              <w:t>understand  the  importance  of  linking</w:t>
            </w:r>
          </w:p>
        </w:tc>
        <w:tc>
          <w:tcPr>
            <w:tcW w:w="2480" w:type="dxa"/>
            <w:vAlign w:val="bottom"/>
            <w:gridSpan w:val="7"/>
          </w:tcPr>
          <w:p>
            <w:pPr>
              <w:ind w:left="40"/>
              <w:spacing w:after="0"/>
              <w:rPr>
                <w:sz w:val="20"/>
                <w:szCs w:val="20"/>
                <w:color w:val="auto"/>
              </w:rPr>
            </w:pPr>
            <w:r>
              <w:rPr>
                <w:rFonts w:ascii="Arial" w:cs="Arial" w:eastAsia="Arial" w:hAnsi="Arial"/>
                <w:sz w:val="14"/>
                <w:szCs w:val="14"/>
                <w:color w:val="auto"/>
              </w:rPr>
              <w:t>are  particularly  engaged  in  our</w:t>
            </w:r>
          </w:p>
        </w:tc>
      </w:tr>
      <w:tr>
        <w:trPr>
          <w:trHeight w:val="176"/>
        </w:trPr>
        <w:tc>
          <w:tcPr>
            <w:tcW w:w="3580" w:type="dxa"/>
            <w:vAlign w:val="bottom"/>
            <w:gridSpan w:val="6"/>
          </w:tcPr>
          <w:p>
            <w:pPr>
              <w:ind w:left="200"/>
              <w:spacing w:after="0"/>
              <w:rPr>
                <w:sz w:val="20"/>
                <w:szCs w:val="20"/>
                <w:color w:val="auto"/>
              </w:rPr>
            </w:pPr>
            <w:r>
              <w:rPr>
                <w:rFonts w:ascii="Arial" w:cs="Arial" w:eastAsia="Arial" w:hAnsi="Arial"/>
                <w:sz w:val="14"/>
                <w:szCs w:val="14"/>
                <w:color w:val="auto"/>
              </w:rPr>
              <w:t>sustainability and renewable energy to the</w:t>
            </w:r>
          </w:p>
        </w:tc>
        <w:tc>
          <w:tcPr>
            <w:tcW w:w="600" w:type="dxa"/>
            <w:vAlign w:val="bottom"/>
          </w:tcPr>
          <w:p>
            <w:pPr>
              <w:ind w:left="40"/>
              <w:spacing w:after="0"/>
              <w:rPr>
                <w:sz w:val="20"/>
                <w:szCs w:val="20"/>
                <w:color w:val="auto"/>
              </w:rPr>
            </w:pPr>
            <w:r>
              <w:rPr>
                <w:rFonts w:ascii="Arial" w:cs="Arial" w:eastAsia="Arial" w:hAnsi="Arial"/>
                <w:sz w:val="14"/>
                <w:szCs w:val="14"/>
                <w:color w:val="auto"/>
              </w:rPr>
              <w:t>Board’s</w:t>
            </w:r>
          </w:p>
        </w:tc>
        <w:tc>
          <w:tcPr>
            <w:tcW w:w="240" w:type="dxa"/>
            <w:vAlign w:val="bottom"/>
          </w:tcPr>
          <w:p>
            <w:pPr>
              <w:spacing w:after="0"/>
              <w:rPr>
                <w:sz w:val="15"/>
                <w:szCs w:val="15"/>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4"/>
                <w:szCs w:val="14"/>
                <w:color w:val="auto"/>
              </w:rPr>
              <w:t>oversight</w:t>
            </w:r>
          </w:p>
        </w:tc>
        <w:tc>
          <w:tcPr>
            <w:tcW w:w="340" w:type="dxa"/>
            <w:vAlign w:val="bottom"/>
            <w:gridSpan w:val="2"/>
          </w:tcPr>
          <w:p>
            <w:pPr>
              <w:ind w:left="200"/>
              <w:spacing w:after="0"/>
              <w:rPr>
                <w:sz w:val="20"/>
                <w:szCs w:val="20"/>
                <w:color w:val="auto"/>
              </w:rPr>
            </w:pPr>
            <w:r>
              <w:rPr>
                <w:rFonts w:ascii="Arial" w:cs="Arial" w:eastAsia="Arial" w:hAnsi="Arial"/>
                <w:sz w:val="14"/>
                <w:szCs w:val="14"/>
                <w:color w:val="auto"/>
              </w:rPr>
              <w:t>of</w:t>
            </w:r>
          </w:p>
        </w:tc>
        <w:tc>
          <w:tcPr>
            <w:tcW w:w="500" w:type="dxa"/>
            <w:vAlign w:val="bottom"/>
          </w:tcPr>
          <w:p>
            <w:pPr>
              <w:jc w:val="right"/>
              <w:spacing w:after="0"/>
              <w:rPr>
                <w:sz w:val="20"/>
                <w:szCs w:val="20"/>
                <w:color w:val="auto"/>
              </w:rPr>
            </w:pPr>
            <w:r>
              <w:rPr>
                <w:rFonts w:ascii="Arial" w:cs="Arial" w:eastAsia="Arial" w:hAnsi="Arial"/>
                <w:sz w:val="14"/>
                <w:szCs w:val="14"/>
                <w:color w:val="auto"/>
              </w:rPr>
              <w:t>the</w:t>
            </w:r>
          </w:p>
        </w:tc>
      </w:tr>
      <w:tr>
        <w:trPr>
          <w:trHeight w:val="176"/>
        </w:trPr>
        <w:tc>
          <w:tcPr>
            <w:tcW w:w="3580" w:type="dxa"/>
            <w:vAlign w:val="bottom"/>
            <w:gridSpan w:val="6"/>
          </w:tcPr>
          <w:p>
            <w:pPr>
              <w:ind w:left="200"/>
              <w:spacing w:after="0"/>
              <w:rPr>
                <w:sz w:val="20"/>
                <w:szCs w:val="20"/>
                <w:color w:val="auto"/>
              </w:rPr>
            </w:pPr>
            <w:r>
              <w:rPr>
                <w:rFonts w:ascii="Arial" w:cs="Arial" w:eastAsia="Arial" w:hAnsi="Arial"/>
                <w:sz w:val="14"/>
                <w:szCs w:val="14"/>
                <w:color w:val="auto"/>
              </w:rPr>
              <w:t>creation  of  long-term  stockholder  value,</w:t>
            </w: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Company’s</w:t>
            </w:r>
          </w:p>
        </w:tc>
        <w:tc>
          <w:tcPr>
            <w:tcW w:w="180" w:type="dxa"/>
            <w:vAlign w:val="bottom"/>
          </w:tcPr>
          <w:p>
            <w:pPr>
              <w:spacing w:after="0"/>
              <w:rPr>
                <w:sz w:val="15"/>
                <w:szCs w:val="15"/>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color w:val="auto"/>
              </w:rPr>
              <w:t>comprehensive</w:t>
            </w:r>
          </w:p>
        </w:tc>
      </w:tr>
      <w:tr>
        <w:trPr>
          <w:trHeight w:val="162"/>
        </w:trPr>
        <w:tc>
          <w:tcPr>
            <w:tcW w:w="3580" w:type="dxa"/>
            <w:vAlign w:val="bottom"/>
            <w:gridSpan w:val="6"/>
          </w:tcPr>
          <w:p>
            <w:pPr>
              <w:ind w:left="200"/>
              <w:spacing w:after="0"/>
              <w:rPr>
                <w:sz w:val="20"/>
                <w:szCs w:val="20"/>
                <w:color w:val="auto"/>
              </w:rPr>
            </w:pPr>
            <w:r>
              <w:rPr>
                <w:rFonts w:ascii="Arial" w:cs="Arial" w:eastAsia="Arial" w:hAnsi="Arial"/>
                <w:sz w:val="14"/>
                <w:szCs w:val="14"/>
                <w:color w:val="auto"/>
              </w:rPr>
              <w:t>while also operating in an environmentally</w:t>
            </w: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information</w:t>
            </w:r>
          </w:p>
        </w:tc>
        <w:tc>
          <w:tcPr>
            <w:tcW w:w="180" w:type="dxa"/>
            <w:vAlign w:val="bottom"/>
          </w:tcPr>
          <w:p>
            <w:pPr>
              <w:spacing w:after="0"/>
              <w:rPr>
                <w:sz w:val="14"/>
                <w:szCs w:val="14"/>
                <w:color w:val="auto"/>
              </w:rPr>
            </w:pPr>
          </w:p>
        </w:tc>
        <w:tc>
          <w:tcPr>
            <w:tcW w:w="860" w:type="dxa"/>
            <w:vAlign w:val="bottom"/>
            <w:gridSpan w:val="2"/>
          </w:tcPr>
          <w:p>
            <w:pPr>
              <w:jc w:val="center"/>
              <w:ind w:left="88"/>
              <w:spacing w:after="0"/>
              <w:rPr>
                <w:sz w:val="20"/>
                <w:szCs w:val="20"/>
                <w:color w:val="auto"/>
              </w:rPr>
            </w:pPr>
            <w:r>
              <w:rPr>
                <w:rFonts w:ascii="Arial" w:cs="Arial" w:eastAsia="Arial" w:hAnsi="Arial"/>
                <w:sz w:val="14"/>
                <w:szCs w:val="14"/>
                <w:color w:val="auto"/>
              </w:rPr>
              <w:t>security</w:t>
            </w: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and</w:t>
            </w:r>
          </w:p>
        </w:tc>
      </w:tr>
      <w:tr>
        <w:trPr>
          <w:trHeight w:val="175"/>
        </w:trPr>
        <w:tc>
          <w:tcPr>
            <w:tcW w:w="3580" w:type="dxa"/>
            <w:vAlign w:val="bottom"/>
            <w:gridSpan w:val="6"/>
          </w:tcPr>
          <w:p>
            <w:pPr>
              <w:ind w:left="200"/>
              <w:spacing w:after="0"/>
              <w:rPr>
                <w:sz w:val="20"/>
                <w:szCs w:val="20"/>
                <w:color w:val="auto"/>
              </w:rPr>
            </w:pPr>
            <w:r>
              <w:rPr>
                <w:rFonts w:ascii="Arial" w:cs="Arial" w:eastAsia="Arial" w:hAnsi="Arial"/>
                <w:sz w:val="14"/>
                <w:szCs w:val="14"/>
                <w:color w:val="auto"/>
              </w:rPr>
              <w:t>sound  and  responsible  manner.  These</w:t>
            </w:r>
          </w:p>
        </w:tc>
        <w:tc>
          <w:tcPr>
            <w:tcW w:w="1020" w:type="dxa"/>
            <w:vAlign w:val="bottom"/>
            <w:gridSpan w:val="3"/>
          </w:tcPr>
          <w:p>
            <w:pPr>
              <w:ind w:left="40"/>
              <w:spacing w:after="0"/>
              <w:rPr>
                <w:sz w:val="20"/>
                <w:szCs w:val="20"/>
                <w:color w:val="auto"/>
              </w:rPr>
            </w:pPr>
            <w:r>
              <w:rPr>
                <w:rFonts w:ascii="Arial" w:cs="Arial" w:eastAsia="Arial" w:hAnsi="Arial"/>
                <w:sz w:val="14"/>
                <w:szCs w:val="14"/>
                <w:color w:val="auto"/>
              </w:rPr>
              <w:t>cybersecurity</w:t>
            </w:r>
          </w:p>
        </w:tc>
        <w:tc>
          <w:tcPr>
            <w:tcW w:w="860" w:type="dxa"/>
            <w:vAlign w:val="bottom"/>
            <w:gridSpan w:val="2"/>
          </w:tcPr>
          <w:p>
            <w:pPr>
              <w:jc w:val="center"/>
              <w:ind w:left="48"/>
              <w:spacing w:after="0"/>
              <w:rPr>
                <w:sz w:val="20"/>
                <w:szCs w:val="20"/>
                <w:color w:val="auto"/>
              </w:rPr>
            </w:pPr>
            <w:r>
              <w:rPr>
                <w:rFonts w:ascii="Arial" w:cs="Arial" w:eastAsia="Arial" w:hAnsi="Arial"/>
                <w:sz w:val="14"/>
                <w:szCs w:val="14"/>
                <w:color w:val="auto"/>
              </w:rPr>
              <w:t>programs.</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These</w:t>
            </w:r>
          </w:p>
        </w:tc>
      </w:tr>
      <w:tr>
        <w:trPr>
          <w:trHeight w:val="176"/>
        </w:trPr>
        <w:tc>
          <w:tcPr>
            <w:tcW w:w="3580" w:type="dxa"/>
            <w:vAlign w:val="bottom"/>
            <w:gridSpan w:val="6"/>
          </w:tcPr>
          <w:p>
            <w:pPr>
              <w:ind w:left="200"/>
              <w:spacing w:after="0"/>
              <w:rPr>
                <w:sz w:val="20"/>
                <w:szCs w:val="20"/>
                <w:color w:val="auto"/>
              </w:rPr>
            </w:pPr>
            <w:r>
              <w:rPr>
                <w:rFonts w:ascii="Arial" w:cs="Arial" w:eastAsia="Arial" w:hAnsi="Arial"/>
                <w:sz w:val="14"/>
                <w:szCs w:val="14"/>
                <w:color w:val="auto"/>
              </w:rPr>
              <w:t>individuals also understand the regulatory</w:t>
            </w: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individuals</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also  bring</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knowledge</w:t>
            </w:r>
          </w:p>
        </w:tc>
      </w:tr>
      <w:tr>
        <w:trPr>
          <w:trHeight w:val="175"/>
        </w:trPr>
        <w:tc>
          <w:tcPr>
            <w:tcW w:w="3580" w:type="dxa"/>
            <w:vAlign w:val="bottom"/>
            <w:gridSpan w:val="6"/>
          </w:tcPr>
          <w:p>
            <w:pPr>
              <w:ind w:left="200"/>
              <w:spacing w:after="0"/>
              <w:rPr>
                <w:sz w:val="20"/>
                <w:szCs w:val="20"/>
                <w:color w:val="auto"/>
              </w:rPr>
            </w:pPr>
            <w:r>
              <w:rPr>
                <w:rFonts w:ascii="Arial" w:cs="Arial" w:eastAsia="Arial" w:hAnsi="Arial"/>
                <w:sz w:val="14"/>
                <w:szCs w:val="14"/>
                <w:color w:val="auto"/>
              </w:rPr>
              <w:t>environment   in   which   the   Company</w:t>
            </w:r>
          </w:p>
        </w:tc>
        <w:tc>
          <w:tcPr>
            <w:tcW w:w="2480" w:type="dxa"/>
            <w:vAlign w:val="bottom"/>
            <w:gridSpan w:val="7"/>
          </w:tcPr>
          <w:p>
            <w:pPr>
              <w:ind w:left="40"/>
              <w:spacing w:after="0"/>
              <w:rPr>
                <w:sz w:val="20"/>
                <w:szCs w:val="20"/>
                <w:color w:val="auto"/>
              </w:rPr>
            </w:pPr>
            <w:r>
              <w:rPr>
                <w:rFonts w:ascii="Arial" w:cs="Arial" w:eastAsia="Arial" w:hAnsi="Arial"/>
                <w:sz w:val="14"/>
                <w:szCs w:val="14"/>
                <w:color w:val="auto"/>
              </w:rPr>
              <w:t>of use of technology to further the</w:t>
            </w:r>
          </w:p>
        </w:tc>
      </w:tr>
      <w:tr>
        <w:trPr>
          <w:trHeight w:val="175"/>
        </w:trPr>
        <w:tc>
          <w:tcPr>
            <w:tcW w:w="3580" w:type="dxa"/>
            <w:vAlign w:val="bottom"/>
            <w:gridSpan w:val="6"/>
          </w:tcPr>
          <w:p>
            <w:pPr>
              <w:ind w:left="200"/>
              <w:spacing w:after="0"/>
              <w:rPr>
                <w:sz w:val="20"/>
                <w:szCs w:val="20"/>
                <w:color w:val="auto"/>
              </w:rPr>
            </w:pPr>
            <w:r>
              <w:rPr>
                <w:rFonts w:ascii="Arial" w:cs="Arial" w:eastAsia="Arial" w:hAnsi="Arial"/>
                <w:sz w:val="14"/>
                <w:szCs w:val="14"/>
                <w:color w:val="auto"/>
              </w:rPr>
              <w:t>operates    and    the    connection    of</w:t>
            </w:r>
          </w:p>
        </w:tc>
        <w:tc>
          <w:tcPr>
            <w:tcW w:w="840" w:type="dxa"/>
            <w:vAlign w:val="bottom"/>
            <w:gridSpan w:val="2"/>
          </w:tcPr>
          <w:p>
            <w:pPr>
              <w:ind w:left="40"/>
              <w:spacing w:after="0"/>
              <w:rPr>
                <w:sz w:val="20"/>
                <w:szCs w:val="20"/>
                <w:color w:val="auto"/>
              </w:rPr>
            </w:pPr>
            <w:r>
              <w:rPr>
                <w:rFonts w:ascii="Arial" w:cs="Arial" w:eastAsia="Arial" w:hAnsi="Arial"/>
                <w:sz w:val="14"/>
                <w:szCs w:val="14"/>
                <w:color w:val="auto"/>
              </w:rPr>
              <w:t>Company’s</w:t>
            </w:r>
          </w:p>
        </w:tc>
        <w:tc>
          <w:tcPr>
            <w:tcW w:w="800" w:type="dxa"/>
            <w:vAlign w:val="bottom"/>
            <w:gridSpan w:val="2"/>
          </w:tcPr>
          <w:p>
            <w:pPr>
              <w:jc w:val="right"/>
              <w:ind w:right="68"/>
              <w:spacing w:after="0"/>
              <w:rPr>
                <w:sz w:val="20"/>
                <w:szCs w:val="20"/>
                <w:color w:val="auto"/>
              </w:rPr>
            </w:pPr>
            <w:r>
              <w:rPr>
                <w:rFonts w:ascii="Arial" w:cs="Arial" w:eastAsia="Arial" w:hAnsi="Arial"/>
                <w:sz w:val="14"/>
                <w:szCs w:val="14"/>
                <w:color w:val="auto"/>
              </w:rPr>
              <w:t>strategy</w:t>
            </w:r>
          </w:p>
        </w:tc>
        <w:tc>
          <w:tcPr>
            <w:tcW w:w="240" w:type="dxa"/>
            <w:vAlign w:val="bottom"/>
          </w:tcPr>
          <w:p>
            <w:pPr>
              <w:spacing w:after="0"/>
              <w:rPr>
                <w:sz w:val="20"/>
                <w:szCs w:val="20"/>
                <w:color w:val="auto"/>
              </w:rPr>
            </w:pPr>
            <w:r>
              <w:rPr>
                <w:rFonts w:ascii="Arial" w:cs="Arial" w:eastAsia="Arial" w:hAnsi="Arial"/>
                <w:sz w:val="14"/>
                <w:szCs w:val="14"/>
                <w:color w:val="auto"/>
              </w:rPr>
              <w:t>to</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enhance</w:t>
            </w:r>
          </w:p>
        </w:tc>
      </w:tr>
      <w:tr>
        <w:trPr>
          <w:trHeight w:val="162"/>
        </w:trPr>
        <w:tc>
          <w:tcPr>
            <w:tcW w:w="3580" w:type="dxa"/>
            <w:vAlign w:val="bottom"/>
            <w:gridSpan w:val="6"/>
          </w:tcPr>
          <w:p>
            <w:pPr>
              <w:ind w:left="200"/>
              <w:spacing w:after="0"/>
              <w:rPr>
                <w:sz w:val="20"/>
                <w:szCs w:val="20"/>
                <w:color w:val="auto"/>
              </w:rPr>
            </w:pPr>
            <w:r>
              <w:rPr>
                <w:rFonts w:ascii="Arial" w:cs="Arial" w:eastAsia="Arial" w:hAnsi="Arial"/>
                <w:sz w:val="14"/>
                <w:szCs w:val="14"/>
                <w:color w:val="auto"/>
              </w:rPr>
              <w:t>sustainability and corporate responsibility</w:t>
            </w:r>
          </w:p>
        </w:tc>
        <w:tc>
          <w:tcPr>
            <w:tcW w:w="1640" w:type="dxa"/>
            <w:vAlign w:val="bottom"/>
            <w:gridSpan w:val="4"/>
          </w:tcPr>
          <w:p>
            <w:pPr>
              <w:ind w:left="40"/>
              <w:spacing w:after="0"/>
              <w:rPr>
                <w:sz w:val="20"/>
                <w:szCs w:val="20"/>
                <w:color w:val="auto"/>
              </w:rPr>
            </w:pPr>
            <w:r>
              <w:rPr>
                <w:rFonts w:ascii="Arial" w:cs="Arial" w:eastAsia="Arial" w:hAnsi="Arial"/>
                <w:sz w:val="14"/>
                <w:szCs w:val="14"/>
                <w:color w:val="auto"/>
              </w:rPr>
              <w:t>customer  experience</w:t>
            </w: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and</w:t>
            </w:r>
          </w:p>
        </w:tc>
        <w:tc>
          <w:tcPr>
            <w:tcW w:w="500" w:type="dxa"/>
            <w:vAlign w:val="bottom"/>
          </w:tcPr>
          <w:p>
            <w:pPr>
              <w:jc w:val="right"/>
              <w:spacing w:after="0"/>
              <w:rPr>
                <w:sz w:val="20"/>
                <w:szCs w:val="20"/>
                <w:color w:val="auto"/>
              </w:rPr>
            </w:pPr>
            <w:r>
              <w:rPr>
                <w:rFonts w:ascii="Arial" w:cs="Arial" w:eastAsia="Arial" w:hAnsi="Arial"/>
                <w:sz w:val="14"/>
                <w:szCs w:val="14"/>
                <w:color w:val="auto"/>
              </w:rPr>
              <w:t>reduce</w:t>
            </w:r>
          </w:p>
        </w:tc>
      </w:tr>
      <w:tr>
        <w:trPr>
          <w:trHeight w:val="175"/>
        </w:trPr>
        <w:tc>
          <w:tcPr>
            <w:tcW w:w="360" w:type="dxa"/>
            <w:vAlign w:val="bottom"/>
          </w:tcPr>
          <w:p>
            <w:pPr>
              <w:ind w:left="200"/>
              <w:spacing w:after="0"/>
              <w:rPr>
                <w:sz w:val="20"/>
                <w:szCs w:val="20"/>
                <w:color w:val="auto"/>
              </w:rPr>
            </w:pPr>
            <w:r>
              <w:rPr>
                <w:rFonts w:ascii="Arial" w:cs="Arial" w:eastAsia="Arial" w:hAnsi="Arial"/>
                <w:sz w:val="14"/>
                <w:szCs w:val="14"/>
                <w:color w:val="auto"/>
              </w:rPr>
              <w:t>to</w:t>
            </w:r>
          </w:p>
        </w:tc>
        <w:tc>
          <w:tcPr>
            <w:tcW w:w="800" w:type="dxa"/>
            <w:vAlign w:val="bottom"/>
          </w:tcPr>
          <w:p>
            <w:pPr>
              <w:jc w:val="right"/>
              <w:ind w:right="183"/>
              <w:spacing w:after="0"/>
              <w:rPr>
                <w:sz w:val="20"/>
                <w:szCs w:val="20"/>
                <w:color w:val="auto"/>
              </w:rPr>
            </w:pPr>
            <w:r>
              <w:rPr>
                <w:rFonts w:ascii="Arial" w:cs="Arial" w:eastAsia="Arial" w:hAnsi="Arial"/>
                <w:sz w:val="14"/>
                <w:szCs w:val="14"/>
                <w:color w:val="auto"/>
              </w:rPr>
              <w:t>the</w:t>
            </w:r>
          </w:p>
        </w:tc>
        <w:tc>
          <w:tcPr>
            <w:tcW w:w="900" w:type="dxa"/>
            <w:vAlign w:val="bottom"/>
            <w:gridSpan w:val="2"/>
          </w:tcPr>
          <w:p>
            <w:pPr>
              <w:spacing w:after="0"/>
              <w:rPr>
                <w:sz w:val="20"/>
                <w:szCs w:val="20"/>
                <w:color w:val="auto"/>
              </w:rPr>
            </w:pPr>
            <w:r>
              <w:rPr>
                <w:rFonts w:ascii="Arial" w:cs="Arial" w:eastAsia="Arial" w:hAnsi="Arial"/>
                <w:sz w:val="14"/>
                <w:szCs w:val="14"/>
                <w:color w:val="auto"/>
              </w:rPr>
              <w:t>Company’s</w:t>
            </w:r>
          </w:p>
        </w:tc>
        <w:tc>
          <w:tcPr>
            <w:tcW w:w="1520" w:type="dxa"/>
            <w:vAlign w:val="bottom"/>
            <w:gridSpan w:val="2"/>
          </w:tcPr>
          <w:p>
            <w:pPr>
              <w:jc w:val="right"/>
              <w:ind w:right="308"/>
              <w:spacing w:after="0"/>
              <w:rPr>
                <w:sz w:val="20"/>
                <w:szCs w:val="20"/>
                <w:color w:val="auto"/>
              </w:rPr>
            </w:pPr>
            <w:r>
              <w:rPr>
                <w:rFonts w:ascii="Arial" w:cs="Arial" w:eastAsia="Arial" w:hAnsi="Arial"/>
                <w:sz w:val="14"/>
                <w:szCs w:val="14"/>
                <w:color w:val="auto"/>
              </w:rPr>
              <w:t>long-standing</w:t>
            </w:r>
          </w:p>
        </w:tc>
        <w:tc>
          <w:tcPr>
            <w:tcW w:w="2480" w:type="dxa"/>
            <w:vAlign w:val="bottom"/>
            <w:gridSpan w:val="7"/>
          </w:tcPr>
          <w:p>
            <w:pPr>
              <w:ind w:left="40"/>
              <w:spacing w:after="0"/>
              <w:rPr>
                <w:sz w:val="20"/>
                <w:szCs w:val="20"/>
                <w:color w:val="auto"/>
              </w:rPr>
            </w:pPr>
            <w:r>
              <w:rPr>
                <w:rFonts w:ascii="Arial" w:cs="Arial" w:eastAsia="Arial" w:hAnsi="Arial"/>
                <w:sz w:val="14"/>
                <w:szCs w:val="14"/>
                <w:color w:val="auto"/>
              </w:rPr>
              <w:t>costs and labor intensity through</w:t>
            </w:r>
          </w:p>
        </w:tc>
      </w:tr>
      <w:tr>
        <w:trPr>
          <w:trHeight w:val="176"/>
        </w:trPr>
        <w:tc>
          <w:tcPr>
            <w:tcW w:w="1160" w:type="dxa"/>
            <w:vAlign w:val="bottom"/>
            <w:gridSpan w:val="2"/>
          </w:tcPr>
          <w:p>
            <w:pPr>
              <w:ind w:left="200"/>
              <w:spacing w:after="0"/>
              <w:rPr>
                <w:sz w:val="20"/>
                <w:szCs w:val="20"/>
                <w:color w:val="auto"/>
              </w:rPr>
            </w:pPr>
            <w:r>
              <w:rPr>
                <w:rFonts w:ascii="Arial" w:cs="Arial" w:eastAsia="Arial" w:hAnsi="Arial"/>
                <w:sz w:val="14"/>
                <w:szCs w:val="14"/>
                <w:color w:val="auto"/>
              </w:rPr>
              <w:t>commitment</w:t>
            </w:r>
          </w:p>
        </w:tc>
        <w:tc>
          <w:tcPr>
            <w:tcW w:w="180" w:type="dxa"/>
            <w:vAlign w:val="bottom"/>
          </w:tcPr>
          <w:p>
            <w:pPr>
              <w:spacing w:after="0"/>
              <w:rPr>
                <w:sz w:val="15"/>
                <w:szCs w:val="15"/>
                <w:color w:val="auto"/>
              </w:rPr>
            </w:pPr>
          </w:p>
        </w:tc>
        <w:tc>
          <w:tcPr>
            <w:tcW w:w="720" w:type="dxa"/>
            <w:vAlign w:val="bottom"/>
          </w:tcPr>
          <w:p>
            <w:pPr>
              <w:jc w:val="right"/>
              <w:ind w:right="305"/>
              <w:spacing w:after="0"/>
              <w:rPr>
                <w:sz w:val="20"/>
                <w:szCs w:val="20"/>
                <w:color w:val="auto"/>
              </w:rPr>
            </w:pPr>
            <w:r>
              <w:rPr>
                <w:rFonts w:ascii="Arial" w:cs="Arial" w:eastAsia="Arial" w:hAnsi="Arial"/>
                <w:sz w:val="14"/>
                <w:szCs w:val="14"/>
                <w:color w:val="auto"/>
              </w:rPr>
              <w:t>to</w:t>
            </w:r>
          </w:p>
        </w:tc>
        <w:tc>
          <w:tcPr>
            <w:tcW w:w="1520" w:type="dxa"/>
            <w:vAlign w:val="bottom"/>
            <w:gridSpan w:val="2"/>
          </w:tcPr>
          <w:p>
            <w:pPr>
              <w:jc w:val="right"/>
              <w:ind w:right="328"/>
              <w:spacing w:after="0"/>
              <w:rPr>
                <w:sz w:val="20"/>
                <w:szCs w:val="20"/>
                <w:color w:val="auto"/>
              </w:rPr>
            </w:pPr>
            <w:r>
              <w:rPr>
                <w:rFonts w:ascii="Arial" w:cs="Arial" w:eastAsia="Arial" w:hAnsi="Arial"/>
                <w:sz w:val="14"/>
                <w:szCs w:val="14"/>
                <w:color w:val="auto"/>
              </w:rPr>
              <w:t>environmental</w:t>
            </w:r>
          </w:p>
        </w:tc>
        <w:tc>
          <w:tcPr>
            <w:tcW w:w="1020" w:type="dxa"/>
            <w:vAlign w:val="bottom"/>
            <w:gridSpan w:val="3"/>
          </w:tcPr>
          <w:p>
            <w:pPr>
              <w:ind w:left="40"/>
              <w:spacing w:after="0"/>
              <w:rPr>
                <w:sz w:val="20"/>
                <w:szCs w:val="20"/>
                <w:color w:val="auto"/>
              </w:rPr>
            </w:pPr>
            <w:r>
              <w:rPr>
                <w:rFonts w:ascii="Arial" w:cs="Arial" w:eastAsia="Arial" w:hAnsi="Arial"/>
                <w:sz w:val="14"/>
                <w:szCs w:val="14"/>
                <w:color w:val="auto"/>
              </w:rPr>
              <w:t>automation.</w:t>
            </w: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44"/>
        </w:trPr>
        <w:tc>
          <w:tcPr>
            <w:tcW w:w="1160" w:type="dxa"/>
            <w:vAlign w:val="bottom"/>
            <w:gridSpan w:val="2"/>
          </w:tcPr>
          <w:p>
            <w:pPr>
              <w:ind w:left="200"/>
              <w:spacing w:after="0" w:line="145" w:lineRule="exact"/>
              <w:rPr>
                <w:sz w:val="20"/>
                <w:szCs w:val="20"/>
                <w:color w:val="auto"/>
              </w:rPr>
            </w:pPr>
            <w:r>
              <w:rPr>
                <w:rFonts w:ascii="Arial" w:cs="Arial" w:eastAsia="Arial" w:hAnsi="Arial"/>
                <w:sz w:val="14"/>
                <w:szCs w:val="14"/>
                <w:color w:val="auto"/>
              </w:rPr>
              <w:t>stewardship.</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447"/>
        </w:trPr>
        <w:tc>
          <w:tcPr>
            <w:tcW w:w="360" w:type="dxa"/>
            <w:vAlign w:val="bottom"/>
          </w:tcPr>
          <w:p>
            <w:pPr>
              <w:spacing w:after="0"/>
              <w:rPr>
                <w:sz w:val="20"/>
                <w:szCs w:val="20"/>
                <w:color w:val="auto"/>
              </w:rPr>
            </w:pPr>
            <w:r>
              <w:rPr>
                <w:rFonts w:ascii="Arial" w:cs="Arial" w:eastAsia="Arial" w:hAnsi="Arial"/>
                <w:sz w:val="18"/>
                <w:szCs w:val="18"/>
                <w:color w:val="auto"/>
              </w:rPr>
              <w:t>18</w:t>
            </w:r>
          </w:p>
        </w:tc>
        <w:tc>
          <w:tcPr>
            <w:tcW w:w="800" w:type="dxa"/>
            <w:vAlign w:val="bottom"/>
          </w:tcPr>
          <w:p>
            <w:pPr>
              <w:jc w:val="right"/>
              <w:ind w:right="563"/>
              <w:spacing w:after="0"/>
              <w:rPr>
                <w:sz w:val="20"/>
                <w:szCs w:val="20"/>
                <w:color w:val="auto"/>
              </w:rPr>
            </w:pPr>
            <w:r>
              <w:rPr>
                <w:rFonts w:ascii="Arial" w:cs="Arial" w:eastAsia="Arial" w:hAnsi="Arial"/>
                <w:sz w:val="32"/>
                <w:szCs w:val="32"/>
                <w:b w:val="1"/>
                <w:bCs w:val="1"/>
                <w:color w:val="457157"/>
              </w:rPr>
              <w:t>|</w:t>
            </w:r>
          </w:p>
        </w:tc>
        <w:tc>
          <w:tcPr>
            <w:tcW w:w="18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2025 Proxy Statement</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337820</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385"/>
        </w:trPr>
        <w:tc>
          <w:tcPr>
            <w:tcW w:w="80" w:type="dxa"/>
            <w:vAlign w:val="bottom"/>
          </w:tcPr>
          <w:p>
            <w:pPr>
              <w:spacing w:after="0"/>
              <w:rPr>
                <w:sz w:val="20"/>
                <w:szCs w:val="20"/>
                <w:color w:val="auto"/>
              </w:rPr>
            </w:pPr>
            <w:r>
              <w:rPr>
                <w:rFonts w:ascii="Arial" w:cs="Arial" w:eastAsia="Arial" w:hAnsi="Arial"/>
                <w:sz w:val="14"/>
                <w:szCs w:val="14"/>
                <w:color w:val="auto"/>
              </w:rPr>
              <w:t>​</w:t>
            </w:r>
          </w:p>
        </w:tc>
        <w:tc>
          <w:tcPr>
            <w:tcW w:w="340" w:type="dxa"/>
            <w:vAlign w:val="bottom"/>
            <w:shd w:val="clear" w:color="auto" w:fill="457157"/>
          </w:tcPr>
          <w:p>
            <w:pPr>
              <w:ind w:left="20"/>
              <w:spacing w:after="0"/>
              <w:rPr>
                <w:sz w:val="20"/>
                <w:szCs w:val="20"/>
                <w:color w:val="auto"/>
              </w:rPr>
            </w:pPr>
            <w:r>
              <w:rPr>
                <w:rFonts w:ascii="Arial" w:cs="Arial" w:eastAsia="Arial" w:hAnsi="Arial"/>
                <w:sz w:val="14"/>
                <w:szCs w:val="14"/>
                <w:color w:val="auto"/>
              </w:rPr>
              <w:t>​</w:t>
            </w:r>
          </w:p>
        </w:tc>
        <w:tc>
          <w:tcPr>
            <w:tcW w:w="320" w:type="dxa"/>
            <w:vAlign w:val="bottom"/>
            <w:shd w:val="clear" w:color="auto" w:fill="457157"/>
          </w:tcPr>
          <w:p>
            <w:pPr>
              <w:ind w:left="280"/>
              <w:spacing w:after="0"/>
              <w:rPr>
                <w:sz w:val="20"/>
                <w:szCs w:val="20"/>
                <w:color w:val="auto"/>
              </w:rPr>
            </w:pPr>
            <w:r>
              <w:rPr>
                <w:rFonts w:ascii="Arial" w:cs="Arial" w:eastAsia="Arial" w:hAnsi="Arial"/>
                <w:sz w:val="14"/>
                <w:szCs w:val="14"/>
                <w:color w:val="auto"/>
              </w:rPr>
              <w:t>​</w:t>
            </w:r>
          </w:p>
        </w:tc>
        <w:tc>
          <w:tcPr>
            <w:tcW w:w="1180" w:type="dxa"/>
            <w:vAlign w:val="bottom"/>
          </w:tcPr>
          <w:p>
            <w:pPr>
              <w:ind w:left="20"/>
              <w:spacing w:after="0"/>
              <w:rPr>
                <w:sz w:val="20"/>
                <w:szCs w:val="20"/>
                <w:color w:val="auto"/>
              </w:rPr>
            </w:pPr>
            <w:r>
              <w:rPr>
                <w:rFonts w:ascii="Arial" w:cs="Arial" w:eastAsia="Arial" w:hAnsi="Arial"/>
                <w:sz w:val="28"/>
                <w:szCs w:val="28"/>
                <w:color w:val="000000"/>
                <w:vertAlign w:val="subscript"/>
              </w:rPr>
              <w:t>​</w:t>
            </w:r>
            <w:r>
              <w:rPr>
                <w:rFonts w:ascii="Arial" w:cs="Arial" w:eastAsia="Arial" w:hAnsi="Arial"/>
                <w:sz w:val="16"/>
                <w:szCs w:val="16"/>
                <w:b w:val="1"/>
                <w:bCs w:val="1"/>
                <w:color w:val="457157"/>
              </w:rPr>
              <w:t>Risk</w:t>
            </w:r>
          </w:p>
        </w:tc>
      </w:tr>
      <w:tr>
        <w:trPr>
          <w:trHeight w:val="223"/>
        </w:trPr>
        <w:tc>
          <w:tcPr>
            <w:tcW w:w="80" w:type="dxa"/>
            <w:vAlign w:val="bottom"/>
          </w:tcPr>
          <w:p>
            <w:pPr>
              <w:spacing w:after="0"/>
              <w:rPr>
                <w:sz w:val="19"/>
                <w:szCs w:val="19"/>
                <w:color w:val="auto"/>
              </w:rPr>
            </w:pPr>
          </w:p>
        </w:tc>
        <w:tc>
          <w:tcPr>
            <w:tcW w:w="340" w:type="dxa"/>
            <w:vAlign w:val="bottom"/>
            <w:shd w:val="clear" w:color="auto" w:fill="457157"/>
          </w:tcPr>
          <w:p>
            <w:pPr>
              <w:spacing w:after="0"/>
              <w:rPr>
                <w:sz w:val="19"/>
                <w:szCs w:val="19"/>
                <w:color w:val="auto"/>
              </w:rPr>
            </w:pPr>
          </w:p>
        </w:tc>
        <w:tc>
          <w:tcPr>
            <w:tcW w:w="320" w:type="dxa"/>
            <w:vAlign w:val="bottom"/>
            <w:shd w:val="clear" w:color="auto" w:fill="457157"/>
          </w:tcPr>
          <w:p>
            <w:pPr>
              <w:spacing w:after="0"/>
              <w:rPr>
                <w:sz w:val="19"/>
                <w:szCs w:val="19"/>
                <w:color w:val="auto"/>
              </w:rPr>
            </w:pPr>
          </w:p>
        </w:tc>
        <w:tc>
          <w:tcPr>
            <w:tcW w:w="1180" w:type="dxa"/>
            <w:vAlign w:val="bottom"/>
          </w:tcPr>
          <w:p>
            <w:pPr>
              <w:ind w:left="60"/>
              <w:spacing w:after="0"/>
              <w:rPr>
                <w:sz w:val="20"/>
                <w:szCs w:val="20"/>
                <w:color w:val="auto"/>
              </w:rPr>
            </w:pPr>
            <w:r>
              <w:rPr>
                <w:rFonts w:ascii="Arial" w:cs="Arial" w:eastAsia="Arial" w:hAnsi="Arial"/>
                <w:sz w:val="16"/>
                <w:szCs w:val="16"/>
                <w:b w:val="1"/>
                <w:bCs w:val="1"/>
                <w:color w:val="457157"/>
              </w:rPr>
              <w:t>Management</w:t>
            </w:r>
            <w:r>
              <w:rPr>
                <w:rFonts w:ascii="Arial" w:cs="Arial" w:eastAsia="Arial" w:hAnsi="Arial"/>
                <w:sz w:val="14"/>
                <w:szCs w:val="14"/>
                <w:color w:val="000000"/>
              </w:rPr>
              <w:t>​</w:t>
            </w:r>
          </w:p>
        </w:tc>
      </w:tr>
      <w:tr>
        <w:trPr>
          <w:trHeight w:val="61"/>
        </w:trPr>
        <w:tc>
          <w:tcPr>
            <w:tcW w:w="80" w:type="dxa"/>
            <w:vAlign w:val="bottom"/>
          </w:tcPr>
          <w:p>
            <w:pPr>
              <w:spacing w:after="0"/>
              <w:rPr>
                <w:sz w:val="5"/>
                <w:szCs w:val="5"/>
                <w:color w:val="auto"/>
              </w:rPr>
            </w:pPr>
          </w:p>
        </w:tc>
        <w:tc>
          <w:tcPr>
            <w:tcW w:w="340" w:type="dxa"/>
            <w:vAlign w:val="bottom"/>
            <w:shd w:val="clear" w:color="auto" w:fill="457157"/>
          </w:tcPr>
          <w:p>
            <w:pPr>
              <w:spacing w:after="0"/>
              <w:rPr>
                <w:sz w:val="5"/>
                <w:szCs w:val="5"/>
                <w:color w:val="auto"/>
              </w:rPr>
            </w:pPr>
          </w:p>
        </w:tc>
        <w:tc>
          <w:tcPr>
            <w:tcW w:w="320" w:type="dxa"/>
            <w:vAlign w:val="bottom"/>
            <w:shd w:val="clear" w:color="auto" w:fill="457157"/>
          </w:tcPr>
          <w:p>
            <w:pPr>
              <w:spacing w:after="0"/>
              <w:rPr>
                <w:sz w:val="5"/>
                <w:szCs w:val="5"/>
                <w:color w:val="auto"/>
              </w:rPr>
            </w:pPr>
          </w:p>
        </w:tc>
        <w:tc>
          <w:tcPr>
            <w:tcW w:w="118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0</wp:posOffset>
            </wp:positionV>
            <wp:extent cx="1748790" cy="28714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748790" cy="2871470"/>
                    </a:xfrm>
                    <a:prstGeom prst="rect">
                      <a:avLst/>
                    </a:prstGeom>
                    <a:noFill/>
                  </pic:spPr>
                </pic:pic>
              </a:graphicData>
            </a:graphic>
          </wp:anchor>
        </w:drawing>
      </w:r>
    </w:p>
    <w:p>
      <w:pPr>
        <w:jc w:val="right"/>
        <w:ind w:left="280" w:hanging="280"/>
        <w:spacing w:after="0" w:line="245" w:lineRule="auto"/>
        <w:tabs>
          <w:tab w:leader="none" w:pos="96" w:val="left"/>
        </w:tabs>
        <w:numPr>
          <w:ilvl w:val="0"/>
          <w:numId w:val="17"/>
        </w:numPr>
        <w:rPr>
          <w:rFonts w:ascii="Arial" w:cs="Arial" w:eastAsia="Arial" w:hAnsi="Arial"/>
          <w:sz w:val="29"/>
          <w:szCs w:val="29"/>
          <w:color w:val="auto"/>
          <w:vertAlign w:val="superscript"/>
        </w:rPr>
      </w:pPr>
      <w:r>
        <w:rPr>
          <w:rFonts w:ascii="Arial" w:cs="Arial" w:eastAsia="Arial" w:hAnsi="Arial"/>
          <w:sz w:val="28"/>
          <w:szCs w:val="28"/>
          <w:color w:val="auto"/>
          <w:vertAlign w:val="superscript"/>
        </w:rPr>
        <w:t>​</w:t>
      </w:r>
      <w:r>
        <w:rPr>
          <w:rFonts w:ascii="Arial" w:cs="Arial" w:eastAsia="Arial" w:hAnsi="Arial"/>
          <w:sz w:val="14"/>
          <w:szCs w:val="14"/>
          <w:color w:val="auto"/>
        </w:rPr>
        <w:t xml:space="preserve">  Directors that have participated in development, implementation and evaluation of sophisticated risk management programs are critical in helping our Board fulfill its  responsibilities  with  respect to risk oversight and mitigation.</w:t>
      </w:r>
    </w:p>
    <w:p>
      <w:pPr>
        <w:spacing w:after="0" w:line="1" w:lineRule="exact"/>
        <w:rPr>
          <w:rFonts w:ascii="Arial" w:cs="Arial" w:eastAsia="Arial" w:hAnsi="Arial"/>
          <w:sz w:val="29"/>
          <w:szCs w:val="29"/>
          <w:color w:val="auto"/>
          <w:vertAlign w:val="superscript"/>
        </w:rPr>
      </w:pPr>
    </w:p>
    <w:p>
      <w:pPr>
        <w:ind w:left="280"/>
        <w:spacing w:after="0"/>
        <w:rPr>
          <w:rFonts w:ascii="Arial" w:cs="Arial" w:eastAsia="Arial" w:hAnsi="Arial"/>
          <w:sz w:val="29"/>
          <w:szCs w:val="29"/>
          <w:color w:val="auto"/>
          <w:vertAlign w:val="superscript"/>
        </w:rPr>
      </w:pPr>
      <w:r>
        <w:rPr>
          <w:rFonts w:ascii="Arial" w:cs="Arial" w:eastAsia="Arial" w:hAnsi="Arial"/>
          <w:sz w:val="14"/>
          <w:szCs w:val="14"/>
          <w:color w:val="auto"/>
        </w:rPr>
        <w:t>Theseindividualshave</w:t>
      </w:r>
    </w:p>
    <w:p>
      <w:pPr>
        <w:spacing w:after="0" w:line="14" w:lineRule="exact"/>
        <w:rPr>
          <w:rFonts w:ascii="Arial" w:cs="Arial" w:eastAsia="Arial" w:hAnsi="Arial"/>
          <w:sz w:val="29"/>
          <w:szCs w:val="29"/>
          <w:color w:val="auto"/>
          <w:vertAlign w:val="superscript"/>
        </w:rPr>
      </w:pPr>
    </w:p>
    <w:p>
      <w:pPr>
        <w:jc w:val="both"/>
        <w:ind w:left="280"/>
        <w:spacing w:after="0" w:line="263" w:lineRule="auto"/>
        <w:rPr>
          <w:rFonts w:ascii="Arial" w:cs="Arial" w:eastAsia="Arial" w:hAnsi="Arial"/>
          <w:sz w:val="29"/>
          <w:szCs w:val="29"/>
          <w:color w:val="auto"/>
          <w:vertAlign w:val="superscript"/>
        </w:rPr>
      </w:pPr>
      <w:r>
        <w:rPr>
          <w:rFonts w:ascii="Arial" w:cs="Arial" w:eastAsia="Arial" w:hAnsi="Arial"/>
          <w:sz w:val="14"/>
          <w:szCs w:val="14"/>
          <w:color w:val="auto"/>
        </w:rPr>
        <w:t>experience in effectively identifying, prioritizing and managing a broad spectrum of complex and significant risks facing a large public company.</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ectPr>
          <w:pgSz w:w="11900" w:h="16838" w:orient="portrait"/>
          <w:cols w:equalWidth="0" w:num="3">
            <w:col w:w="6880" w:space="160"/>
            <w:col w:w="2600" w:space="160"/>
            <w:col w:w="140"/>
          </w:cols>
          <w:pgMar w:left="580" w:top="97" w:right="1379"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71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ELECTION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88"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1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4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144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180" w:type="dxa"/>
            <w:vAlign w:val="bottom"/>
            <w:tcBorders>
              <w:right w:val="single" w:sz="8" w:color="457157"/>
            </w:tcBorders>
            <w:shd w:val="clear" w:color="auto" w:fill="457157"/>
          </w:tcPr>
          <w:p>
            <w:pPr>
              <w:spacing w:after="0"/>
              <w:rPr>
                <w:sz w:val="17"/>
                <w:szCs w:val="17"/>
                <w:color w:val="auto"/>
              </w:rPr>
            </w:pPr>
          </w:p>
        </w:tc>
        <w:tc>
          <w:tcPr>
            <w:tcW w:w="744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60" w:type="dxa"/>
            <w:vAlign w:val="bottom"/>
            <w:gridSpan w:val="3"/>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T</w:t>
            </w:r>
            <w:r>
              <w:rPr>
                <w:rFonts w:ascii="Arial" w:cs="Arial" w:eastAsia="Arial" w:hAnsi="Arial"/>
                <w:sz w:val="16"/>
                <w:szCs w:val="16"/>
                <w:b w:val="1"/>
                <w:bCs w:val="1"/>
                <w:color w:val="FEFEFE"/>
              </w:rPr>
              <w:t>HOMAS</w:t>
            </w:r>
            <w:r>
              <w:rPr>
                <w:rFonts w:ascii="Arial" w:cs="Arial" w:eastAsia="Arial" w:hAnsi="Arial"/>
                <w:sz w:val="23"/>
                <w:szCs w:val="23"/>
                <w:b w:val="1"/>
                <w:bCs w:val="1"/>
                <w:color w:val="FEFEFE"/>
              </w:rPr>
              <w:t xml:space="preserve"> L. B</w:t>
            </w:r>
            <w:r>
              <w:rPr>
                <w:rFonts w:ascii="Arial" w:cs="Arial" w:eastAsia="Arial" w:hAnsi="Arial"/>
                <w:sz w:val="16"/>
                <w:szCs w:val="16"/>
                <w:b w:val="1"/>
                <w:bCs w:val="1"/>
                <w:color w:val="FEFEFE"/>
              </w:rPr>
              <w:t>ENÉ</w:t>
            </w:r>
            <w:r>
              <w:rPr>
                <w:rFonts w:ascii="Arial" w:cs="Arial" w:eastAsia="Arial" w:hAnsi="Arial"/>
                <w:sz w:val="18"/>
                <w:szCs w:val="18"/>
                <w:b w:val="1"/>
                <w:bCs w:val="1"/>
                <w:color w:val="FEFEFE"/>
              </w:rPr>
              <w:t>​</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67"/>
        </w:trPr>
        <w:tc>
          <w:tcPr>
            <w:tcW w:w="14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457157"/>
            </w:tcBorders>
          </w:tcPr>
          <w:p>
            <w:pPr>
              <w:ind w:left="60"/>
              <w:spacing w:after="0"/>
              <w:rPr>
                <w:sz w:val="20"/>
                <w:szCs w:val="20"/>
                <w:color w:val="auto"/>
              </w:rPr>
            </w:pPr>
            <w:r>
              <w:rPr>
                <w:rFonts w:ascii="Arial" w:cs="Arial" w:eastAsia="Arial" w:hAnsi="Arial"/>
                <w:sz w:val="18"/>
                <w:szCs w:val="18"/>
                <w:color w:val="auto"/>
              </w:rPr>
              <w:t>​</w:t>
            </w:r>
          </w:p>
        </w:tc>
        <w:tc>
          <w:tcPr>
            <w:tcW w:w="7440" w:type="dxa"/>
            <w:vAlign w:val="bottom"/>
          </w:tcPr>
          <w:p>
            <w:pPr>
              <w:spacing w:after="0"/>
              <w:rPr>
                <w:sz w:val="20"/>
                <w:szCs w:val="20"/>
                <w:color w:val="auto"/>
              </w:rPr>
            </w:pPr>
            <w:r>
              <w:rPr>
                <w:rFonts w:ascii="Arial" w:cs="Arial" w:eastAsia="Arial" w:hAnsi="Arial"/>
                <w:sz w:val="35"/>
                <w:szCs w:val="35"/>
                <w:color w:val="000000"/>
                <w:vertAlign w:val="superscript"/>
              </w:rPr>
              <w:t>​</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President and Chief Executive Officer — Breakthru Beverage Group, LLC (private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beverage wholesale distributor) since October 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4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Former President and Chief Executive Officer — National Restaurant Association,</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served from June 2020 to September 2021.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4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Former President and Chief Executive Officer — Sysco Corporation (multinational</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wholesale restaurant distributor), served from 2018 to January 2020; also served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1440" w:type="dxa"/>
            <w:vAlign w:val="bottom"/>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62</w:t>
            </w: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as Executive Advisor from February 2020 to March 2020.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440" w:type="dxa"/>
            <w:vAlign w:val="bottom"/>
          </w:tcPr>
          <w:p>
            <w:pPr>
              <w:spacing w:after="0"/>
              <w:rPr>
                <w:sz w:val="20"/>
                <w:szCs w:val="20"/>
                <w:color w:val="auto"/>
              </w:rPr>
            </w:pPr>
            <w:r>
              <w:rPr>
                <w:rFonts w:ascii="Arial" w:cs="Arial" w:eastAsia="Arial" w:hAnsi="Arial"/>
                <w:sz w:val="18"/>
                <w:szCs w:val="18"/>
                <w:b w:val="1"/>
                <w:bCs w:val="1"/>
                <w:color w:val="457157"/>
              </w:rPr>
              <w:t>Director since:</w:t>
            </w:r>
          </w:p>
        </w:tc>
        <w:tc>
          <w:tcPr>
            <w:tcW w:w="180" w:type="dxa"/>
            <w:vAlign w:val="bottom"/>
            <w:tcBorders>
              <w:right w:val="single" w:sz="8" w:color="457157"/>
            </w:tcBorders>
          </w:tcPr>
          <w:p>
            <w:pPr>
              <w:spacing w:after="0"/>
              <w:rPr>
                <w:sz w:val="21"/>
                <w:szCs w:val="21"/>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Director of Sysco Corporation from 2018 to January 2020.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r>
              <w:rPr>
                <w:rFonts w:ascii="Arial" w:cs="Arial" w:eastAsia="Arial" w:hAnsi="Arial"/>
                <w:sz w:val="18"/>
                <w:szCs w:val="18"/>
                <w:color w:val="auto"/>
              </w:rPr>
              <w:t>March 2024</w:t>
            </w:r>
          </w:p>
        </w:tc>
        <w:tc>
          <w:tcPr>
            <w:tcW w:w="180" w:type="dxa"/>
            <w:vAlign w:val="bottom"/>
            <w:tcBorders>
              <w:right w:val="single" w:sz="8" w:color="457157"/>
            </w:tcBorders>
          </w:tcPr>
          <w:p>
            <w:pPr>
              <w:spacing w:after="0"/>
              <w:rPr>
                <w:sz w:val="20"/>
                <w:szCs w:val="20"/>
                <w:color w:val="auto"/>
              </w:rPr>
            </w:pPr>
          </w:p>
        </w:tc>
        <w:tc>
          <w:tcPr>
            <w:tcW w:w="7440" w:type="dxa"/>
            <w:vAlign w:val="bottom"/>
            <w:vMerge w:val="restart"/>
          </w:tcPr>
          <w:p>
            <w:pPr>
              <w:ind w:left="10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1440" w:type="dxa"/>
            <w:vAlign w:val="bottom"/>
            <w:vMerge w:val="restart"/>
          </w:tcPr>
          <w:p>
            <w:pPr>
              <w:spacing w:after="0"/>
              <w:rPr>
                <w:sz w:val="20"/>
                <w:szCs w:val="20"/>
                <w:color w:val="auto"/>
              </w:rPr>
            </w:pPr>
            <w:r>
              <w:rPr>
                <w:rFonts w:ascii="Arial" w:cs="Arial" w:eastAsia="Arial" w:hAnsi="Arial"/>
                <w:sz w:val="18"/>
                <w:szCs w:val="18"/>
                <w:b w:val="1"/>
                <w:bCs w:val="1"/>
                <w:color w:val="457157"/>
              </w:rPr>
              <w:t>Board</w:t>
            </w:r>
          </w:p>
        </w:tc>
        <w:tc>
          <w:tcPr>
            <w:tcW w:w="180" w:type="dxa"/>
            <w:vAlign w:val="bottom"/>
            <w:tcBorders>
              <w:right w:val="single" w:sz="8" w:color="457157"/>
            </w:tcBorders>
          </w:tcPr>
          <w:p>
            <w:pPr>
              <w:spacing w:after="0"/>
              <w:rPr>
                <w:sz w:val="14"/>
                <w:szCs w:val="14"/>
                <w:color w:val="auto"/>
              </w:rPr>
            </w:pPr>
          </w:p>
        </w:tc>
        <w:tc>
          <w:tcPr>
            <w:tcW w:w="74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440" w:type="dxa"/>
            <w:vAlign w:val="bottom"/>
            <w:vMerge w:val="continue"/>
          </w:tcPr>
          <w:p>
            <w:pPr>
              <w:spacing w:after="0"/>
              <w:rPr>
                <w:sz w:val="5"/>
                <w:szCs w:val="5"/>
                <w:color w:val="auto"/>
              </w:rPr>
            </w:pPr>
          </w:p>
        </w:tc>
        <w:tc>
          <w:tcPr>
            <w:tcW w:w="180" w:type="dxa"/>
            <w:vAlign w:val="bottom"/>
            <w:tcBorders>
              <w:right w:val="single" w:sz="8" w:color="457157"/>
            </w:tcBorders>
          </w:tcPr>
          <w:p>
            <w:pPr>
              <w:spacing w:after="0"/>
              <w:rPr>
                <w:sz w:val="5"/>
                <w:szCs w:val="5"/>
                <w:color w:val="auto"/>
              </w:rPr>
            </w:pPr>
          </w:p>
        </w:tc>
        <w:tc>
          <w:tcPr>
            <w:tcW w:w="7440" w:type="dxa"/>
            <w:vAlign w:val="bottom"/>
            <w:vMerge w:val="restart"/>
          </w:tcPr>
          <w:p>
            <w:pPr>
              <w:ind w:left="100"/>
              <w:spacing w:after="0"/>
              <w:rPr>
                <w:sz w:val="20"/>
                <w:szCs w:val="20"/>
                <w:color w:val="auto"/>
              </w:rPr>
            </w:pPr>
            <w:r>
              <w:rPr>
                <w:rFonts w:ascii="Arial" w:cs="Arial" w:eastAsia="Arial" w:hAnsi="Arial"/>
                <w:sz w:val="18"/>
                <w:szCs w:val="18"/>
                <w:color w:val="auto"/>
              </w:rPr>
              <w:t>Tom  Bené  has  four  decades  of  experience  executing  on  strategic  business</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440" w:type="dxa"/>
            <w:vAlign w:val="bottom"/>
          </w:tcPr>
          <w:p>
            <w:pPr>
              <w:spacing w:after="0" w:line="176" w:lineRule="exact"/>
              <w:rPr>
                <w:sz w:val="20"/>
                <w:szCs w:val="20"/>
                <w:color w:val="auto"/>
              </w:rPr>
            </w:pPr>
            <w:r>
              <w:rPr>
                <w:rFonts w:ascii="Arial" w:cs="Arial" w:eastAsia="Arial" w:hAnsi="Arial"/>
                <w:sz w:val="18"/>
                <w:szCs w:val="18"/>
                <w:b w:val="1"/>
                <w:bCs w:val="1"/>
                <w:color w:val="457157"/>
              </w:rPr>
              <w:t>Committee:</w:t>
            </w:r>
          </w:p>
        </w:tc>
        <w:tc>
          <w:tcPr>
            <w:tcW w:w="180" w:type="dxa"/>
            <w:vAlign w:val="bottom"/>
            <w:tcBorders>
              <w:right w:val="single" w:sz="8" w:color="457157"/>
            </w:tcBorders>
          </w:tcPr>
          <w:p>
            <w:pPr>
              <w:spacing w:after="0"/>
              <w:rPr>
                <w:sz w:val="15"/>
                <w:szCs w:val="15"/>
                <w:color w:val="auto"/>
              </w:rPr>
            </w:pPr>
          </w:p>
        </w:tc>
        <w:tc>
          <w:tcPr>
            <w:tcW w:w="74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line="183" w:lineRule="exact"/>
              <w:rPr>
                <w:sz w:val="20"/>
                <w:szCs w:val="20"/>
                <w:color w:val="auto"/>
              </w:rPr>
            </w:pPr>
            <w:r>
              <w:rPr>
                <w:rFonts w:ascii="Arial" w:cs="Arial" w:eastAsia="Arial" w:hAnsi="Arial"/>
                <w:sz w:val="18"/>
                <w:szCs w:val="18"/>
                <w:color w:val="auto"/>
              </w:rPr>
              <w:t>Management</w:t>
            </w:r>
          </w:p>
        </w:tc>
        <w:tc>
          <w:tcPr>
            <w:tcW w:w="180" w:type="dxa"/>
            <w:vAlign w:val="bottom"/>
            <w:tcBorders>
              <w:right w:val="single" w:sz="8" w:color="457157"/>
            </w:tcBorders>
          </w:tcPr>
          <w:p>
            <w:pPr>
              <w:spacing w:after="0"/>
              <w:rPr>
                <w:sz w:val="15"/>
                <w:szCs w:val="15"/>
                <w:color w:val="auto"/>
              </w:rPr>
            </w:pPr>
          </w:p>
        </w:tc>
        <w:tc>
          <w:tcPr>
            <w:tcW w:w="7440" w:type="dxa"/>
            <w:vAlign w:val="bottom"/>
          </w:tcPr>
          <w:p>
            <w:pPr>
              <w:ind w:left="100"/>
              <w:spacing w:after="0" w:line="183" w:lineRule="exact"/>
              <w:rPr>
                <w:sz w:val="20"/>
                <w:szCs w:val="20"/>
                <w:color w:val="auto"/>
              </w:rPr>
            </w:pPr>
            <w:r>
              <w:rPr>
                <w:rFonts w:ascii="Arial" w:cs="Arial" w:eastAsia="Arial" w:hAnsi="Arial"/>
                <w:sz w:val="18"/>
                <w:szCs w:val="18"/>
                <w:color w:val="auto"/>
              </w:rPr>
              <w:t>priorities and delivering financial growth for large companies. Since 2021, he has</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1440" w:type="dxa"/>
            <w:vAlign w:val="bottom"/>
          </w:tcPr>
          <w:p>
            <w:pPr>
              <w:spacing w:after="0"/>
              <w:rPr>
                <w:sz w:val="20"/>
                <w:szCs w:val="20"/>
                <w:color w:val="auto"/>
              </w:rPr>
            </w:pPr>
            <w:r>
              <w:rPr>
                <w:rFonts w:ascii="Arial" w:cs="Arial" w:eastAsia="Arial" w:hAnsi="Arial"/>
                <w:sz w:val="18"/>
                <w:szCs w:val="18"/>
                <w:color w:val="auto"/>
              </w:rPr>
              <w:t>Development &amp;</w:t>
            </w: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served as President and Chief Executive Officer of Breakthru Beverage Group,</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1440" w:type="dxa"/>
            <w:vAlign w:val="bottom"/>
          </w:tcPr>
          <w:p>
            <w:pPr>
              <w:spacing w:after="0"/>
              <w:rPr>
                <w:sz w:val="20"/>
                <w:szCs w:val="20"/>
                <w:color w:val="auto"/>
              </w:rPr>
            </w:pPr>
            <w:r>
              <w:rPr>
                <w:rFonts w:ascii="Arial" w:cs="Arial" w:eastAsia="Arial" w:hAnsi="Arial"/>
                <w:sz w:val="18"/>
                <w:szCs w:val="18"/>
                <w:color w:val="auto"/>
              </w:rPr>
              <w:t>Compensation</w:t>
            </w:r>
          </w:p>
        </w:tc>
        <w:tc>
          <w:tcPr>
            <w:tcW w:w="180" w:type="dxa"/>
            <w:vAlign w:val="bottom"/>
            <w:tcBorders>
              <w:right w:val="single" w:sz="8" w:color="457157"/>
            </w:tcBorders>
          </w:tcPr>
          <w:p>
            <w:pPr>
              <w:spacing w:after="0"/>
              <w:rPr>
                <w:sz w:val="21"/>
                <w:szCs w:val="21"/>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where he is focused on leading the company through a period of growth and</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expansion by driving new capabilities and innovation. Prior to his current role, 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held  several  operations  and  business  leadership  roles  at  Sysco  Corporation,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including serving as President, Chief Executive Officer, and Chairman. Before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joining Sysco in 2013, Mr. Bené spent over 20 years at PepsiCo in numerous roles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of increasing responsibility and scale.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4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Mr. Bené has a proven track record of driving growth and modernizing business</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models  throughout  his  career.  Through  his  prior  operations  and  management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positions, Mr. Bené has gained valuable insight and knowledge in the areas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leadership  and  management  development,  corporate  strategy  development,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merchandising,  sales,  marketing,  revenue  management,  shared  services  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distribution and supply chain management.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4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Mr.  Bené  shares  his  deep  experience  in  logistics,  as  well  as  his  focus  on</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differentiation through the use of technology and providing outstanding customer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service, to further our Company’s growth and optimization strategy. In addition, his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180" w:type="dxa"/>
            <w:vAlign w:val="bottom"/>
            <w:tcBorders>
              <w:right w:val="single" w:sz="8" w:color="457157"/>
            </w:tcBorders>
          </w:tcPr>
          <w:p>
            <w:pPr>
              <w:spacing w:after="0"/>
              <w:rPr>
                <w:sz w:val="18"/>
                <w:szCs w:val="18"/>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dedication to employee development complements the Company’s People First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commitment.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440" w:type="dxa"/>
            <w:vAlign w:val="bottom"/>
          </w:tcPr>
          <w:p>
            <w:pPr>
              <w:spacing w:after="0"/>
              <w:rPr>
                <w:sz w:val="24"/>
                <w:szCs w:val="24"/>
                <w:color w:val="auto"/>
              </w:rPr>
            </w:pPr>
          </w:p>
        </w:tc>
        <w:tc>
          <w:tcPr>
            <w:tcW w:w="180" w:type="dxa"/>
            <w:vAlign w:val="bottom"/>
            <w:tcBorders>
              <w:right w:val="single" w:sz="8" w:color="457157"/>
            </w:tcBorders>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Mr. Bené holds a bachelor of science degree in business administration from the</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180" w:type="dxa"/>
            <w:vAlign w:val="bottom"/>
            <w:tcBorders>
              <w:right w:val="single" w:sz="8" w:color="457157"/>
            </w:tcBorders>
          </w:tcPr>
          <w:p>
            <w:pPr>
              <w:spacing w:after="0"/>
              <w:rPr>
                <w:sz w:val="20"/>
                <w:szCs w:val="20"/>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University of Kansas.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440" w:type="dxa"/>
            <w:vAlign w:val="bottom"/>
          </w:tcPr>
          <w:p>
            <w:pPr>
              <w:spacing w:after="0"/>
              <w:rPr>
                <w:sz w:val="2"/>
                <w:szCs w:val="2"/>
                <w:color w:val="auto"/>
              </w:rPr>
            </w:pPr>
          </w:p>
        </w:tc>
        <w:tc>
          <w:tcPr>
            <w:tcW w:w="180" w:type="dxa"/>
            <w:vAlign w:val="bottom"/>
            <w:tcBorders>
              <w:right w:val="single" w:sz="8" w:color="457157"/>
            </w:tcBorders>
          </w:tcPr>
          <w:p>
            <w:pPr>
              <w:spacing w:after="0"/>
              <w:rPr>
                <w:sz w:val="2"/>
                <w:szCs w:val="2"/>
                <w:color w:val="auto"/>
              </w:rPr>
            </w:pPr>
          </w:p>
        </w:tc>
        <w:tc>
          <w:tcPr>
            <w:tcW w:w="74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-5117465</wp:posOffset>
            </wp:positionV>
            <wp:extent cx="960120" cy="12001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6012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20"/>
                <w:szCs w:val="20"/>
                <w:b w:val="1"/>
                <w:bCs w:val="1"/>
                <w:color w:val="auto"/>
              </w:rPr>
              <w:t>ELECTION OF DIRECTORS</w:t>
            </w:r>
            <w:r>
              <w:rPr>
                <w:rFonts w:ascii="Arial" w:cs="Arial" w:eastAsia="Arial" w:hAnsi="Arial"/>
                <w:sz w:val="17"/>
                <w:szCs w:val="17"/>
                <w:color w:val="auto"/>
              </w:rPr>
              <w:t>​</w:t>
            </w:r>
          </w:p>
        </w:tc>
        <w:tc>
          <w:tcPr>
            <w:tcW w:w="3200" w:type="dxa"/>
            <w:vAlign w:val="bottom"/>
            <w:vMerge w:val="restart"/>
          </w:tcPr>
          <w:p>
            <w:pPr>
              <w:ind w:left="3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6"/>
                <w:szCs w:val="16"/>
                <w:b w:val="1"/>
                <w:bCs w:val="1"/>
                <w:color w:val="auto"/>
              </w:rPr>
              <w:t>​</w:t>
            </w:r>
          </w:p>
        </w:tc>
        <w:tc>
          <w:tcPr>
            <w:tcW w:w="3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57"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1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78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6780" w:type="dxa"/>
            <w:vAlign w:val="bottom"/>
            <w:gridSpan w:val="2"/>
            <w:vMerge w:val="restart"/>
            <w:shd w:val="clear" w:color="auto" w:fill="457157"/>
          </w:tcPr>
          <w:p>
            <w:pPr>
              <w:ind w:left="60"/>
              <w:spacing w:after="0"/>
              <w:rPr>
                <w:sz w:val="20"/>
                <w:szCs w:val="20"/>
                <w:color w:val="auto"/>
              </w:rPr>
            </w:pPr>
            <w:r>
              <w:rPr>
                <w:rFonts w:ascii="Arial" w:cs="Arial" w:eastAsia="Arial" w:hAnsi="Arial"/>
                <w:sz w:val="25"/>
                <w:szCs w:val="25"/>
                <w:b w:val="1"/>
                <w:bCs w:val="1"/>
                <w:color w:val="FEFEFE"/>
              </w:rPr>
              <w:t>E. C</w:t>
            </w:r>
            <w:r>
              <w:rPr>
                <w:rFonts w:ascii="Arial" w:cs="Arial" w:eastAsia="Arial" w:hAnsi="Arial"/>
                <w:sz w:val="17"/>
                <w:szCs w:val="17"/>
                <w:b w:val="1"/>
                <w:bCs w:val="1"/>
                <w:color w:val="FEFEFE"/>
              </w:rPr>
              <w:t>HINN</w:t>
            </w:r>
            <w:r>
              <w:rPr>
                <w:rFonts w:ascii="Arial" w:cs="Arial" w:eastAsia="Arial" w:hAnsi="Arial"/>
                <w:sz w:val="19"/>
                <w:szCs w:val="19"/>
                <w:b w:val="1"/>
                <w:bCs w:val="1"/>
                <w:color w:val="FEFEFE"/>
              </w:rPr>
              <w:t>​</w:t>
            </w:r>
          </w:p>
        </w:tc>
        <w:tc>
          <w:tcPr>
            <w:tcW w:w="150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B</w:t>
            </w:r>
            <w:r>
              <w:rPr>
                <w:rFonts w:ascii="Arial" w:cs="Arial" w:eastAsia="Arial" w:hAnsi="Arial"/>
                <w:sz w:val="16"/>
                <w:szCs w:val="16"/>
                <w:b w:val="1"/>
                <w:bCs w:val="1"/>
                <w:color w:val="FEFEFE"/>
              </w:rPr>
              <w:t>RUCE</w:t>
            </w:r>
          </w:p>
        </w:tc>
        <w:tc>
          <w:tcPr>
            <w:tcW w:w="6780" w:type="dxa"/>
            <w:vAlign w:val="bottom"/>
            <w:gridSpan w:val="2"/>
            <w:vMerge w:val="continue"/>
            <w:shd w:val="clear" w:color="auto" w:fill="457157"/>
          </w:tcPr>
          <w:p>
            <w:pPr>
              <w:spacing w:after="0"/>
              <w:rPr>
                <w:sz w:val="17"/>
                <w:szCs w:val="17"/>
                <w:color w:val="auto"/>
              </w:rPr>
            </w:pPr>
          </w:p>
        </w:tc>
        <w:tc>
          <w:tcPr>
            <w:tcW w:w="1500" w:type="dxa"/>
            <w:vAlign w:val="bottom"/>
            <w:shd w:val="clear" w:color="auto" w:fill="457157"/>
          </w:tcPr>
          <w:p>
            <w:pPr>
              <w:spacing w:after="0"/>
              <w:rPr>
                <w:sz w:val="17"/>
                <w:szCs w:val="1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67"/>
        </w:trPr>
        <w:tc>
          <w:tcPr>
            <w:tcW w:w="7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4"/>
                <w:szCs w:val="24"/>
                <w:color w:val="auto"/>
              </w:rPr>
            </w:pPr>
          </w:p>
        </w:tc>
        <w:tc>
          <w:tcPr>
            <w:tcW w:w="6120" w:type="dxa"/>
            <w:vAlign w:val="bottom"/>
          </w:tcPr>
          <w:p>
            <w:pPr>
              <w:ind w:left="60"/>
              <w:spacing w:after="0"/>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150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Retired  President  and  Chief  Executive  Officer — Chevron  Phillips  Chemical</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Company LLC, or CPChem, (global petrochemical joint venture of Chevron USA</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Inc.  and  Philips  66  Company),  served  from  April  2021  to  March  2024;  has</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120" w:type="dxa"/>
            <w:vAlign w:val="bottom"/>
          </w:tcPr>
          <w:p>
            <w:pPr>
              <w:ind w:left="280"/>
              <w:spacing w:after="0"/>
              <w:rPr>
                <w:sz w:val="20"/>
                <w:szCs w:val="20"/>
                <w:color w:val="auto"/>
              </w:rPr>
            </w:pPr>
            <w:r>
              <w:rPr>
                <w:rFonts w:ascii="Arial" w:cs="Arial" w:eastAsia="Arial" w:hAnsi="Arial"/>
                <w:sz w:val="18"/>
                <w:szCs w:val="18"/>
                <w:color w:val="auto"/>
              </w:rPr>
              <w:t>continued  serving  as  Executive  Advisor  and  Consultant  to</w:t>
            </w: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CPChem  since</w:t>
            </w:r>
          </w:p>
        </w:tc>
        <w:tc>
          <w:tcPr>
            <w:tcW w:w="0" w:type="dxa"/>
            <w:vAlign w:val="bottom"/>
          </w:tcPr>
          <w:p>
            <w:pPr>
              <w:spacing w:after="0"/>
              <w:rPr>
                <w:sz w:val="1"/>
                <w:szCs w:val="1"/>
                <w:color w:val="auto"/>
              </w:rPr>
            </w:pPr>
          </w:p>
        </w:tc>
      </w:tr>
      <w:tr>
        <w:trPr>
          <w:trHeight w:val="239"/>
        </w:trPr>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120" w:type="dxa"/>
            <w:vAlign w:val="bottom"/>
          </w:tcPr>
          <w:p>
            <w:pPr>
              <w:ind w:left="280"/>
              <w:spacing w:after="0"/>
              <w:rPr>
                <w:sz w:val="20"/>
                <w:szCs w:val="20"/>
                <w:color w:val="auto"/>
              </w:rPr>
            </w:pPr>
            <w:r>
              <w:rPr>
                <w:rFonts w:ascii="Arial" w:cs="Arial" w:eastAsia="Arial" w:hAnsi="Arial"/>
                <w:sz w:val="18"/>
                <w:szCs w:val="18"/>
                <w:color w:val="auto"/>
              </w:rPr>
              <w:t>March 2024.</w:t>
            </w: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120" w:type="dxa"/>
            <w:vAlign w:val="bottom"/>
          </w:tcPr>
          <w:p>
            <w:pPr>
              <w:ind w:left="280"/>
              <w:spacing w:after="0"/>
              <w:rPr>
                <w:sz w:val="20"/>
                <w:szCs w:val="20"/>
                <w:color w:val="auto"/>
              </w:rPr>
            </w:pPr>
            <w:r>
              <w:rPr>
                <w:rFonts w:ascii="Arial" w:cs="Arial" w:eastAsia="Arial" w:hAnsi="Arial"/>
                <w:sz w:val="18"/>
                <w:szCs w:val="18"/>
                <w:color w:val="auto"/>
              </w:rPr>
              <w:t>Director of CPChem from November 2020 to March 2024.</w:t>
            </w: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80" w:type="dxa"/>
            <w:vAlign w:val="bottom"/>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68</w:t>
            </w:r>
          </w:p>
        </w:tc>
        <w:tc>
          <w:tcPr>
            <w:tcW w:w="660" w:type="dxa"/>
            <w:vAlign w:val="bottom"/>
          </w:tcPr>
          <w:p>
            <w:pPr>
              <w:spacing w:after="0"/>
              <w:rPr>
                <w:sz w:val="24"/>
                <w:szCs w:val="24"/>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Also  served  as  President,  Chemicals  for  Chevron  Corporation  (multinational</w:t>
            </w:r>
          </w:p>
        </w:tc>
        <w:tc>
          <w:tcPr>
            <w:tcW w:w="0" w:type="dxa"/>
            <w:vAlign w:val="bottom"/>
          </w:tcPr>
          <w:p>
            <w:pPr>
              <w:spacing w:after="0"/>
              <w:rPr>
                <w:sz w:val="1"/>
                <w:szCs w:val="1"/>
                <w:color w:val="auto"/>
              </w:rPr>
            </w:pPr>
          </w:p>
        </w:tc>
      </w:tr>
      <w:tr>
        <w:trPr>
          <w:trHeight w:val="211"/>
        </w:trPr>
        <w:tc>
          <w:tcPr>
            <w:tcW w:w="1440" w:type="dxa"/>
            <w:vAlign w:val="bottom"/>
            <w:gridSpan w:val="2"/>
            <w:vMerge w:val="restart"/>
          </w:tcPr>
          <w:p>
            <w:pPr>
              <w:spacing w:after="0"/>
              <w:rPr>
                <w:sz w:val="20"/>
                <w:szCs w:val="20"/>
                <w:color w:val="auto"/>
              </w:rPr>
            </w:pPr>
            <w:r>
              <w:rPr>
                <w:rFonts w:ascii="Arial" w:cs="Arial" w:eastAsia="Arial" w:hAnsi="Arial"/>
                <w:sz w:val="18"/>
                <w:szCs w:val="18"/>
                <w:b w:val="1"/>
                <w:bCs w:val="1"/>
                <w:color w:val="457157"/>
              </w:rPr>
              <w:t>Director since:</w:t>
            </w: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energy corporation) from May 2020 to March 2021 and President, Chevron Oronite</w:t>
            </w:r>
          </w:p>
        </w:tc>
        <w:tc>
          <w:tcPr>
            <w:tcW w:w="0" w:type="dxa"/>
            <w:vAlign w:val="bottom"/>
          </w:tcPr>
          <w:p>
            <w:pPr>
              <w:spacing w:after="0"/>
              <w:rPr>
                <w:sz w:val="1"/>
                <w:szCs w:val="1"/>
                <w:color w:val="auto"/>
              </w:rPr>
            </w:pPr>
          </w:p>
        </w:tc>
      </w:tr>
      <w:tr>
        <w:trPr>
          <w:trHeight w:val="100"/>
        </w:trPr>
        <w:tc>
          <w:tcPr>
            <w:tcW w:w="1440" w:type="dxa"/>
            <w:vAlign w:val="bottom"/>
            <w:gridSpan w:val="2"/>
            <w:vMerge w:val="continue"/>
          </w:tcPr>
          <w:p>
            <w:pPr>
              <w:spacing w:after="0"/>
              <w:rPr>
                <w:sz w:val="8"/>
                <w:szCs w:val="8"/>
                <w:color w:val="auto"/>
              </w:rPr>
            </w:pPr>
          </w:p>
        </w:tc>
        <w:tc>
          <w:tcPr>
            <w:tcW w:w="7680" w:type="dxa"/>
            <w:vAlign w:val="bottom"/>
            <w:gridSpan w:val="3"/>
            <w:vMerge w:val="restart"/>
          </w:tcPr>
          <w:p>
            <w:pPr>
              <w:ind w:left="280"/>
              <w:spacing w:after="0"/>
              <w:rPr>
                <w:sz w:val="20"/>
                <w:szCs w:val="20"/>
                <w:color w:val="auto"/>
              </w:rPr>
            </w:pPr>
            <w:r>
              <w:rPr>
                <w:rFonts w:ascii="Arial" w:cs="Arial" w:eastAsia="Arial" w:hAnsi="Arial"/>
                <w:sz w:val="18"/>
                <w:szCs w:val="18"/>
                <w:color w:val="auto"/>
              </w:rPr>
              <w:t>(global lubricant and fuel additives business) for Chevron Corporation from 2018 to</w:t>
            </w:r>
          </w:p>
        </w:tc>
        <w:tc>
          <w:tcPr>
            <w:tcW w:w="0" w:type="dxa"/>
            <w:vAlign w:val="bottom"/>
          </w:tcPr>
          <w:p>
            <w:pPr>
              <w:spacing w:after="0"/>
              <w:rPr>
                <w:sz w:val="1"/>
                <w:szCs w:val="1"/>
                <w:color w:val="auto"/>
              </w:rPr>
            </w:pPr>
          </w:p>
        </w:tc>
      </w:tr>
      <w:tr>
        <w:trPr>
          <w:trHeight w:val="116"/>
        </w:trPr>
        <w:tc>
          <w:tcPr>
            <w:tcW w:w="1440" w:type="dxa"/>
            <w:vAlign w:val="bottom"/>
            <w:gridSpan w:val="2"/>
            <w:vMerge w:val="restart"/>
          </w:tcPr>
          <w:p>
            <w:pPr>
              <w:spacing w:after="0"/>
              <w:rPr>
                <w:sz w:val="20"/>
                <w:szCs w:val="20"/>
                <w:color w:val="auto"/>
              </w:rPr>
            </w:pPr>
            <w:r>
              <w:rPr>
                <w:rFonts w:ascii="Arial" w:cs="Arial" w:eastAsia="Arial" w:hAnsi="Arial"/>
                <w:sz w:val="18"/>
                <w:szCs w:val="18"/>
                <w:color w:val="auto"/>
              </w:rPr>
              <w:t>February 2023</w:t>
            </w:r>
          </w:p>
        </w:tc>
        <w:tc>
          <w:tcPr>
            <w:tcW w:w="76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440" w:type="dxa"/>
            <w:vAlign w:val="bottom"/>
            <w:gridSpan w:val="2"/>
            <w:vMerge w:val="continue"/>
          </w:tcPr>
          <w:p>
            <w:pPr>
              <w:spacing w:after="0"/>
              <w:rPr>
                <w:sz w:val="10"/>
                <w:szCs w:val="10"/>
                <w:color w:val="auto"/>
              </w:rPr>
            </w:pPr>
          </w:p>
        </w:tc>
        <w:tc>
          <w:tcPr>
            <w:tcW w:w="6120" w:type="dxa"/>
            <w:vAlign w:val="bottom"/>
            <w:vMerge w:val="restart"/>
          </w:tcPr>
          <w:p>
            <w:pPr>
              <w:ind w:left="280"/>
              <w:spacing w:after="0"/>
              <w:rPr>
                <w:sz w:val="20"/>
                <w:szCs w:val="20"/>
                <w:color w:val="auto"/>
              </w:rPr>
            </w:pPr>
            <w:r>
              <w:rPr>
                <w:rFonts w:ascii="Arial" w:cs="Arial" w:eastAsia="Arial" w:hAnsi="Arial"/>
                <w:sz w:val="18"/>
                <w:szCs w:val="18"/>
                <w:color w:val="auto"/>
              </w:rPr>
              <w:t>April 2020.</w:t>
            </w:r>
          </w:p>
        </w:tc>
        <w:tc>
          <w:tcPr>
            <w:tcW w:w="1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780" w:type="dxa"/>
            <w:vAlign w:val="bottom"/>
            <w:vMerge w:val="restart"/>
          </w:tcPr>
          <w:p>
            <w:pPr>
              <w:spacing w:after="0"/>
              <w:rPr>
                <w:sz w:val="20"/>
                <w:szCs w:val="20"/>
                <w:color w:val="auto"/>
              </w:rPr>
            </w:pPr>
            <w:r>
              <w:rPr>
                <w:rFonts w:ascii="Arial" w:cs="Arial" w:eastAsia="Arial" w:hAnsi="Arial"/>
                <w:sz w:val="18"/>
                <w:szCs w:val="18"/>
                <w:b w:val="1"/>
                <w:bCs w:val="1"/>
                <w:color w:val="457157"/>
              </w:rPr>
              <w:t>Board</w:t>
            </w:r>
          </w:p>
        </w:tc>
        <w:tc>
          <w:tcPr>
            <w:tcW w:w="660" w:type="dxa"/>
            <w:vAlign w:val="bottom"/>
          </w:tcPr>
          <w:p>
            <w:pPr>
              <w:spacing w:after="0"/>
              <w:rPr>
                <w:sz w:val="10"/>
                <w:szCs w:val="10"/>
                <w:color w:val="auto"/>
              </w:rPr>
            </w:pPr>
          </w:p>
        </w:tc>
        <w:tc>
          <w:tcPr>
            <w:tcW w:w="612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7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6120" w:type="dxa"/>
            <w:vAlign w:val="bottom"/>
            <w:vMerge w:val="restart"/>
          </w:tcPr>
          <w:p>
            <w:pPr>
              <w:ind w:left="280"/>
              <w:spacing w:after="0"/>
              <w:rPr>
                <w:sz w:val="20"/>
                <w:szCs w:val="20"/>
                <w:color w:val="auto"/>
              </w:rPr>
            </w:pPr>
            <w:r>
              <w:rPr>
                <w:rFonts w:ascii="Arial" w:cs="Arial" w:eastAsia="Arial" w:hAnsi="Arial"/>
                <w:sz w:val="18"/>
                <w:szCs w:val="18"/>
                <w:color w:val="auto"/>
              </w:rPr>
              <w:t>Director of Celanese Corporation since September 2024.</w:t>
            </w:r>
          </w:p>
        </w:tc>
        <w:tc>
          <w:tcPr>
            <w:tcW w:w="1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440" w:type="dxa"/>
            <w:vAlign w:val="bottom"/>
            <w:gridSpan w:val="2"/>
          </w:tcPr>
          <w:p>
            <w:pPr>
              <w:spacing w:after="0" w:line="176" w:lineRule="exact"/>
              <w:rPr>
                <w:sz w:val="20"/>
                <w:szCs w:val="20"/>
                <w:color w:val="auto"/>
              </w:rPr>
            </w:pPr>
            <w:r>
              <w:rPr>
                <w:rFonts w:ascii="Arial" w:cs="Arial" w:eastAsia="Arial" w:hAnsi="Arial"/>
                <w:sz w:val="18"/>
                <w:szCs w:val="18"/>
                <w:b w:val="1"/>
                <w:bCs w:val="1"/>
                <w:color w:val="457157"/>
              </w:rPr>
              <w:t>Committee:</w:t>
            </w:r>
          </w:p>
        </w:tc>
        <w:tc>
          <w:tcPr>
            <w:tcW w:w="612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780" w:type="dxa"/>
            <w:vAlign w:val="bottom"/>
          </w:tcPr>
          <w:p>
            <w:pPr>
              <w:spacing w:after="0"/>
              <w:rPr>
                <w:sz w:val="20"/>
                <w:szCs w:val="20"/>
                <w:color w:val="auto"/>
              </w:rPr>
            </w:pPr>
            <w:r>
              <w:rPr>
                <w:rFonts w:ascii="Arial" w:cs="Arial" w:eastAsia="Arial" w:hAnsi="Arial"/>
                <w:sz w:val="18"/>
                <w:szCs w:val="18"/>
                <w:color w:val="auto"/>
              </w:rPr>
              <w:t>Audit</w:t>
            </w:r>
          </w:p>
        </w:tc>
        <w:tc>
          <w:tcPr>
            <w:tcW w:w="660" w:type="dxa"/>
            <w:vAlign w:val="bottom"/>
          </w:tcPr>
          <w:p>
            <w:pPr>
              <w:spacing w:after="0"/>
              <w:rPr>
                <w:sz w:val="20"/>
                <w:szCs w:val="20"/>
                <w:color w:val="auto"/>
              </w:rPr>
            </w:pPr>
          </w:p>
        </w:tc>
        <w:tc>
          <w:tcPr>
            <w:tcW w:w="6120" w:type="dxa"/>
            <w:vAlign w:val="bottom"/>
            <w:vMerge w:val="restart"/>
          </w:tcPr>
          <w:p>
            <w:pPr>
              <w:ind w:left="28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p>
        </w:tc>
        <w:tc>
          <w:tcPr>
            <w:tcW w:w="1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120" w:type="dxa"/>
            <w:vAlign w:val="bottom"/>
            <w:vMerge w:val="continue"/>
          </w:tcPr>
          <w:p>
            <w:pPr>
              <w:spacing w:after="0"/>
              <w:rPr>
                <w:sz w:val="14"/>
                <w:szCs w:val="14"/>
                <w:color w:val="auto"/>
              </w:rPr>
            </w:pPr>
          </w:p>
        </w:tc>
        <w:tc>
          <w:tcPr>
            <w:tcW w:w="1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-2262505</wp:posOffset>
            </wp:positionV>
            <wp:extent cx="1028700" cy="57353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0" cy="5735320"/>
                    </a:xfrm>
                    <a:prstGeom prst="rect">
                      <a:avLst/>
                    </a:prstGeom>
                    <a:noFill/>
                  </pic:spPr>
                </pic:pic>
              </a:graphicData>
            </a:graphic>
          </wp:anchor>
        </w:drawing>
      </w:r>
    </w:p>
    <w:p>
      <w:pPr>
        <w:spacing w:after="0" w:line="2" w:lineRule="exact"/>
        <w:rPr>
          <w:sz w:val="20"/>
          <w:szCs w:val="20"/>
          <w:color w:val="auto"/>
        </w:rPr>
      </w:pPr>
    </w:p>
    <w:p>
      <w:pPr>
        <w:jc w:val="both"/>
        <w:ind w:left="2540" w:right="80"/>
        <w:spacing w:after="0" w:line="254" w:lineRule="auto"/>
        <w:rPr>
          <w:sz w:val="20"/>
          <w:szCs w:val="20"/>
          <w:color w:val="auto"/>
        </w:rPr>
      </w:pPr>
      <w:r>
        <w:rPr>
          <w:rFonts w:ascii="Arial" w:cs="Arial" w:eastAsia="Arial" w:hAnsi="Arial"/>
          <w:sz w:val="18"/>
          <w:szCs w:val="18"/>
          <w:color w:val="auto"/>
        </w:rPr>
        <w:t>Before his retirement in 2024 from the positions of President, Chief Executive Officer and a Director of CPChem, Bruce Chinn focused on leading the company through a period of sustainable growth. Mr. Chinn has over 40 years of experience driving operational, safety, and financial results. Previously, he held several operations and business roles at Chevron Corporation, leading large, diverse organizations. In these roles, Mr. Chinn focused on performance, partnership, and safety, while striving for continued success in the business and community. Mr. Chinn began his career at DuPont, where he held positions of increasing responsibility in manufacturing, technical, commercial and business leadership at the U.S. and international level.</w:t>
      </w:r>
    </w:p>
    <w:p>
      <w:pPr>
        <w:spacing w:after="0" w:line="296" w:lineRule="exact"/>
        <w:rPr>
          <w:sz w:val="20"/>
          <w:szCs w:val="20"/>
          <w:color w:val="auto"/>
        </w:rPr>
      </w:pPr>
    </w:p>
    <w:p>
      <w:pPr>
        <w:jc w:val="both"/>
        <w:ind w:left="2540" w:right="80"/>
        <w:spacing w:after="0" w:line="254" w:lineRule="auto"/>
        <w:rPr>
          <w:sz w:val="20"/>
          <w:szCs w:val="20"/>
          <w:color w:val="auto"/>
        </w:rPr>
      </w:pPr>
      <w:r>
        <w:rPr>
          <w:rFonts w:ascii="Arial" w:cs="Arial" w:eastAsia="Arial" w:hAnsi="Arial"/>
          <w:sz w:val="18"/>
          <w:szCs w:val="18"/>
          <w:color w:val="auto"/>
        </w:rPr>
        <w:t>Mr. Chinn brings extensive knowledge of circular solutions and renewable energy that is aligned with our Company’s strategic focus on making sustainability growth investments in our recycling and renewable energy businesses. His operations leadership expertise bolsters our continued efforts to drive operating efficiencies, enhance our safety culture and differentiate our service offerings. Mr. Chinn’s broad and expansive dedication to operating excellence and developing strong corporate culture provides valuable perspective to the Board, and his experience allows him to share specific insight into focus areas such as renewable energy transition, environmental regulation and compliance, international exposure and risk management.</w:t>
      </w:r>
    </w:p>
    <w:p>
      <w:pPr>
        <w:spacing w:after="0" w:line="296" w:lineRule="exact"/>
        <w:rPr>
          <w:sz w:val="20"/>
          <w:szCs w:val="20"/>
          <w:color w:val="auto"/>
        </w:rPr>
      </w:pPr>
    </w:p>
    <w:p>
      <w:pPr>
        <w:jc w:val="both"/>
        <w:ind w:left="2540" w:right="80"/>
        <w:spacing w:after="0" w:line="262" w:lineRule="auto"/>
        <w:rPr>
          <w:sz w:val="20"/>
          <w:szCs w:val="20"/>
          <w:color w:val="auto"/>
        </w:rPr>
      </w:pPr>
      <w:r>
        <w:rPr>
          <w:rFonts w:ascii="Arial" w:cs="Arial" w:eastAsia="Arial" w:hAnsi="Arial"/>
          <w:sz w:val="18"/>
          <w:szCs w:val="18"/>
          <w:color w:val="auto"/>
        </w:rPr>
        <w:t>Mr. Chinn serves on the American Institute of Chemical Engineers Foundation Board of Trustees, and he serves as a board director for the Texas A&amp;M University Association of Former Students. Mr. Chinn holds a bachelor of science degree in chemical engineering from Texas A&amp;M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71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ELECTION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02" w:lineRule="exact"/>
        <w:rPr>
          <w:sz w:val="20"/>
          <w:szCs w:val="20"/>
          <w:color w:val="auto"/>
        </w:rPr>
      </w:pPr>
    </w:p>
    <w:p>
      <w:pPr>
        <w:ind w:left="820"/>
        <w:spacing w:after="0"/>
        <w:tabs>
          <w:tab w:leader="none" w:pos="9860" w:val="left"/>
        </w:tabs>
        <w:rPr>
          <w:sz w:val="20"/>
          <w:szCs w:val="20"/>
          <w:color w:val="auto"/>
        </w:rPr>
      </w:pPr>
      <w:r>
        <w:rPr>
          <w:rFonts w:ascii="Arial" w:cs="Arial" w:eastAsia="Arial" w:hAnsi="Arial"/>
          <w:sz w:val="50"/>
          <w:szCs w:val="50"/>
          <w:b w:val="1"/>
          <w:bCs w:val="1"/>
          <w:color w:val="FEFEFE"/>
          <w:vertAlign w:val="superscript"/>
        </w:rPr>
        <w:t>​</w:t>
      </w:r>
      <w:r>
        <w:rPr>
          <w:rFonts w:ascii="Arial" w:cs="Arial" w:eastAsia="Arial" w:hAnsi="Arial"/>
          <w:sz w:val="25"/>
          <w:szCs w:val="25"/>
          <w:b w:val="1"/>
          <w:bCs w:val="1"/>
          <w:color w:val="FEFEFE"/>
        </w:rPr>
        <w:t>J</w:t>
      </w:r>
      <w:r>
        <w:rPr>
          <w:rFonts w:ascii="Arial" w:cs="Arial" w:eastAsia="Arial" w:hAnsi="Arial"/>
          <w:sz w:val="17"/>
          <w:szCs w:val="17"/>
          <w:b w:val="1"/>
          <w:bCs w:val="1"/>
          <w:color w:val="FEFEFE"/>
        </w:rPr>
        <w:t>AMES</w:t>
      </w:r>
      <w:r>
        <w:rPr>
          <w:rFonts w:ascii="Arial" w:cs="Arial" w:eastAsia="Arial" w:hAnsi="Arial"/>
          <w:sz w:val="25"/>
          <w:szCs w:val="25"/>
          <w:b w:val="1"/>
          <w:bCs w:val="1"/>
          <w:color w:val="FEFEFE"/>
        </w:rPr>
        <w:t xml:space="preserve"> C. F</w:t>
      </w:r>
      <w:r>
        <w:rPr>
          <w:rFonts w:ascii="Arial" w:cs="Arial" w:eastAsia="Arial" w:hAnsi="Arial"/>
          <w:sz w:val="17"/>
          <w:szCs w:val="17"/>
          <w:b w:val="1"/>
          <w:bCs w:val="1"/>
          <w:color w:val="FEFEFE"/>
        </w:rPr>
        <w:t>ISH</w:t>
      </w:r>
      <w:r>
        <w:rPr>
          <w:rFonts w:ascii="Arial" w:cs="Arial" w:eastAsia="Arial" w:hAnsi="Arial"/>
          <w:sz w:val="25"/>
          <w:szCs w:val="25"/>
          <w:b w:val="1"/>
          <w:bCs w:val="1"/>
          <w:color w:val="FEFEFE"/>
        </w:rPr>
        <w:t>, J</w:t>
      </w:r>
      <w:r>
        <w:rPr>
          <w:rFonts w:ascii="Arial" w:cs="Arial" w:eastAsia="Arial" w:hAnsi="Arial"/>
          <w:sz w:val="17"/>
          <w:szCs w:val="17"/>
          <w:b w:val="1"/>
          <w:bCs w:val="1"/>
          <w:color w:val="FEFEFE"/>
        </w:rPr>
        <w:t>R</w:t>
      </w:r>
      <w:r>
        <w:rPr>
          <w:rFonts w:ascii="Arial" w:cs="Arial" w:eastAsia="Arial" w:hAnsi="Arial"/>
          <w:sz w:val="25"/>
          <w:szCs w:val="25"/>
          <w:b w:val="1"/>
          <w:bCs w:val="1"/>
          <w:color w:val="FEFEFE"/>
        </w:rPr>
        <w:t>.</w:t>
      </w:r>
      <w:r>
        <w:rPr>
          <w:rFonts w:ascii="Arial" w:cs="Arial" w:eastAsia="Arial" w:hAnsi="Arial"/>
          <w:sz w:val="19"/>
          <w:szCs w:val="19"/>
          <w:b w:val="1"/>
          <w:bCs w:val="1"/>
          <w:color w:val="FEFEFE"/>
        </w:rPr>
        <w:t>​</w:t>
      </w:r>
      <w:r>
        <w:rPr>
          <w:sz w:val="20"/>
          <w:szCs w:val="20"/>
          <w:color w:val="auto"/>
        </w:rPr>
        <w:tab/>
      </w:r>
      <w:r>
        <w:rPr>
          <w:rFonts w:ascii="Arial" w:cs="Arial" w:eastAsia="Arial" w:hAnsi="Arial"/>
          <w:sz w:val="50"/>
          <w:szCs w:val="50"/>
          <w:b w:val="1"/>
          <w:bCs w:val="1"/>
          <w:color w:val="FEFEFE"/>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-255905</wp:posOffset>
            </wp:positionV>
            <wp:extent cx="5760720" cy="63347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60720" cy="633476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ind w:left="8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62</w:t>
      </w:r>
    </w:p>
    <w:p>
      <w:pPr>
        <w:spacing w:after="0" w:line="9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457157"/>
        </w:rPr>
        <w:t>Director since:</w:t>
      </w:r>
    </w:p>
    <w:p>
      <w:pPr>
        <w:ind w:left="820"/>
        <w:spacing w:after="0"/>
        <w:rPr>
          <w:sz w:val="20"/>
          <w:szCs w:val="20"/>
          <w:color w:val="auto"/>
        </w:rPr>
      </w:pPr>
      <w:r>
        <w:rPr>
          <w:rFonts w:ascii="Arial" w:cs="Arial" w:eastAsia="Arial" w:hAnsi="Arial"/>
          <w:sz w:val="18"/>
          <w:szCs w:val="18"/>
          <w:color w:val="auto"/>
        </w:rPr>
        <w:t>November 2016</w:t>
      </w:r>
    </w:p>
    <w:p>
      <w:pPr>
        <w:spacing w:after="0" w:line="20" w:lineRule="exact"/>
        <w:rPr>
          <w:sz w:val="20"/>
          <w:szCs w:val="20"/>
          <w:color w:val="auto"/>
        </w:rPr>
      </w:pPr>
      <w:r>
        <w:rPr>
          <w:sz w:val="20"/>
          <w:szCs w:val="20"/>
          <w:color w:val="auto"/>
        </w:rPr>
        <w:br w:type="column"/>
      </w:r>
    </w:p>
    <w:p>
      <w:pPr>
        <w:spacing w:after="0"/>
        <w:tabs>
          <w:tab w:leader="none" w:pos="7540" w:val="left"/>
        </w:tabs>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r>
        <w:rPr>
          <w:sz w:val="20"/>
          <w:szCs w:val="20"/>
          <w:color w:val="auto"/>
        </w:rPr>
        <w:tab/>
      </w:r>
      <w:r>
        <w:rPr>
          <w:rFonts w:ascii="Arial" w:cs="Arial" w:eastAsia="Arial" w:hAnsi="Arial"/>
          <w:sz w:val="36"/>
          <w:szCs w:val="36"/>
          <w:color w:val="auto"/>
          <w:vertAlign w:val="superscript"/>
        </w:rPr>
        <w:t>​</w:t>
      </w:r>
    </w:p>
    <w:p>
      <w:pPr>
        <w:spacing w:after="0" w:line="54" w:lineRule="exact"/>
        <w:rPr>
          <w:sz w:val="20"/>
          <w:szCs w:val="20"/>
          <w:color w:val="auto"/>
        </w:rPr>
      </w:pPr>
    </w:p>
    <w:p>
      <w:pPr>
        <w:ind w:left="220" w:right="280"/>
        <w:spacing w:after="0" w:line="263" w:lineRule="auto"/>
        <w:rPr>
          <w:sz w:val="20"/>
          <w:szCs w:val="20"/>
          <w:color w:val="auto"/>
        </w:rPr>
      </w:pPr>
      <w:r>
        <w:rPr>
          <w:rFonts w:ascii="Arial" w:cs="Arial" w:eastAsia="Arial" w:hAnsi="Arial"/>
          <w:sz w:val="18"/>
          <w:szCs w:val="18"/>
          <w:color w:val="auto"/>
        </w:rPr>
        <w:t>President, Chief Executive Officer and Director — Waste Management, Inc. since 2016.</w:t>
      </w:r>
    </w:p>
    <w:p>
      <w:pPr>
        <w:spacing w:after="0" w:line="3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 of Caterpillar Inc. since March 2023.</w:t>
      </w:r>
    </w:p>
    <w:p>
      <w:pPr>
        <w:spacing w:after="0" w:line="90" w:lineRule="exact"/>
        <w:rPr>
          <w:sz w:val="20"/>
          <w:szCs w:val="20"/>
          <w:color w:val="auto"/>
        </w:rPr>
      </w:pPr>
    </w:p>
    <w:p>
      <w:pPr>
        <w:ind w:left="420" w:hanging="209"/>
        <w:spacing w:after="0"/>
        <w:tabs>
          <w:tab w:leader="none" w:pos="420" w:val="left"/>
        </w:tabs>
        <w:numPr>
          <w:ilvl w:val="0"/>
          <w:numId w:val="18"/>
        </w:numPr>
        <w:rPr>
          <w:rFonts w:ascii="Arial" w:cs="Arial" w:eastAsia="Arial" w:hAnsi="Arial"/>
          <w:sz w:val="25"/>
          <w:szCs w:val="25"/>
          <w:b w:val="1"/>
          <w:bCs w:val="1"/>
          <w:color w:val="457157"/>
        </w:rPr>
      </w:pPr>
      <w:r>
        <w:rPr>
          <w:rFonts w:ascii="Arial" w:cs="Arial" w:eastAsia="Arial" w:hAnsi="Arial"/>
          <w:sz w:val="18"/>
          <w:szCs w:val="18"/>
          <w:b w:val="1"/>
          <w:bCs w:val="1"/>
          <w:color w:val="457157"/>
        </w:rPr>
        <w:t>UALIFICATIONS</w:t>
      </w:r>
    </w:p>
    <w:p>
      <w:pPr>
        <w:spacing w:after="0" w:line="50" w:lineRule="exact"/>
        <w:rPr>
          <w:sz w:val="20"/>
          <w:szCs w:val="20"/>
          <w:color w:val="auto"/>
        </w:rPr>
      </w:pPr>
    </w:p>
    <w:p>
      <w:pPr>
        <w:jc w:val="both"/>
        <w:ind w:left="220" w:right="80"/>
        <w:spacing w:after="0" w:line="257" w:lineRule="auto"/>
        <w:rPr>
          <w:sz w:val="20"/>
          <w:szCs w:val="20"/>
          <w:color w:val="auto"/>
        </w:rPr>
      </w:pPr>
      <w:r>
        <w:rPr>
          <w:rFonts w:ascii="Arial" w:cs="Arial" w:eastAsia="Arial" w:hAnsi="Arial"/>
          <w:sz w:val="18"/>
          <w:szCs w:val="18"/>
          <w:color w:val="auto"/>
        </w:rPr>
        <w:t>Jim Fish has served as our President and Chief Executive Officer and a Director since 2016. Over more than 20 years, Mr. Fish has held several key positions in our Company, including President and Chief Financial Officer; Senior Vice President — Eastern Group; Area Vice President for Pennsylvania and West Virginia; Market Area General Manager for Massachusetts and Rhode Island; Vice President of Price Management; and Director of Financial Planning and Analysis.</w:t>
      </w:r>
    </w:p>
    <w:p>
      <w:pPr>
        <w:spacing w:after="0" w:line="74" w:lineRule="exact"/>
        <w:rPr>
          <w:sz w:val="20"/>
          <w:szCs w:val="20"/>
          <w:color w:val="auto"/>
        </w:rPr>
      </w:pPr>
    </w:p>
    <w:p>
      <w:pPr>
        <w:jc w:val="both"/>
        <w:ind w:left="220" w:right="80"/>
        <w:spacing w:after="0" w:line="268" w:lineRule="auto"/>
        <w:rPr>
          <w:sz w:val="20"/>
          <w:szCs w:val="20"/>
          <w:color w:val="auto"/>
        </w:rPr>
      </w:pPr>
      <w:r>
        <w:rPr>
          <w:rFonts w:ascii="Arial" w:cs="Arial" w:eastAsia="Arial" w:hAnsi="Arial"/>
          <w:sz w:val="18"/>
          <w:szCs w:val="18"/>
          <w:color w:val="auto"/>
        </w:rPr>
        <w:t>Before joining our Company, Mr. Fish held finance and revenue management positions at Westex, a Yellow-Roadway subsidiary, Trans World Airlines, and America West Airlines. He began his professional career at KPMG Peat Marwick.</w:t>
      </w:r>
    </w:p>
    <w:p>
      <w:pPr>
        <w:spacing w:after="0" w:line="63" w:lineRule="exact"/>
        <w:rPr>
          <w:sz w:val="20"/>
          <w:szCs w:val="20"/>
          <w:color w:val="auto"/>
        </w:rPr>
      </w:pPr>
    </w:p>
    <w:p>
      <w:pPr>
        <w:jc w:val="both"/>
        <w:ind w:left="220" w:right="80"/>
        <w:spacing w:after="0" w:line="255" w:lineRule="auto"/>
        <w:rPr>
          <w:sz w:val="20"/>
          <w:szCs w:val="20"/>
          <w:color w:val="auto"/>
        </w:rPr>
      </w:pPr>
      <w:r>
        <w:rPr>
          <w:rFonts w:ascii="Arial" w:cs="Arial" w:eastAsia="Arial" w:hAnsi="Arial"/>
          <w:sz w:val="18"/>
          <w:szCs w:val="18"/>
          <w:color w:val="auto"/>
        </w:rPr>
        <w:t>Mr. Fish’s extensive leadership and operational experience, together with his tremendous understanding of the environmental services industry, are instrumental to the development and successful execution of our growth strategy to deliver stockholder value. Additionally, through his professional and educational experience, Mr. Fish has developed valuable expertise in accounting, external reporting, investor relations, human capital and performance management, and risk management. Mr. Fish oversees our Digital organization, and participates directly in matters related to cybersecurity and information security risk mitigation and response strategies.</w:t>
      </w:r>
    </w:p>
    <w:p>
      <w:pPr>
        <w:spacing w:after="0" w:line="293" w:lineRule="exact"/>
        <w:rPr>
          <w:sz w:val="20"/>
          <w:szCs w:val="20"/>
          <w:color w:val="auto"/>
        </w:rPr>
      </w:pPr>
    </w:p>
    <w:p>
      <w:pPr>
        <w:jc w:val="both"/>
        <w:ind w:left="220" w:right="80"/>
        <w:spacing w:after="0" w:line="257" w:lineRule="auto"/>
        <w:rPr>
          <w:sz w:val="20"/>
          <w:szCs w:val="20"/>
          <w:color w:val="auto"/>
        </w:rPr>
      </w:pPr>
      <w:r>
        <w:rPr>
          <w:rFonts w:ascii="Arial" w:cs="Arial" w:eastAsia="Arial" w:hAnsi="Arial"/>
          <w:sz w:val="18"/>
          <w:szCs w:val="18"/>
          <w:color w:val="auto"/>
        </w:rPr>
        <w:t>As North America’s largest comprehensive environmental solutions provider, sustainability is embedded in all aspects of our business. As our President and Chief Executive Officer, Mr. Fish has a thorough understanding of the risks and opportunities presented in the areas of sustainability and environmental protection. Mr. Fish is deeply involved in our efforts to mitigate such risks and capitalize on such opportunities in order to deliver on our brand promise, ALWAYS WORKING FOR A SUSTAINABLE TOMORROW®.</w:t>
      </w:r>
    </w:p>
    <w:p>
      <w:pPr>
        <w:spacing w:after="0" w:line="290" w:lineRule="exact"/>
        <w:rPr>
          <w:sz w:val="20"/>
          <w:szCs w:val="20"/>
          <w:color w:val="auto"/>
        </w:rPr>
      </w:pPr>
    </w:p>
    <w:p>
      <w:pPr>
        <w:jc w:val="both"/>
        <w:ind w:left="220" w:right="80"/>
        <w:spacing w:after="0" w:line="261" w:lineRule="auto"/>
        <w:rPr>
          <w:sz w:val="20"/>
          <w:szCs w:val="20"/>
          <w:color w:val="auto"/>
        </w:rPr>
      </w:pPr>
      <w:r>
        <w:rPr>
          <w:rFonts w:ascii="Arial" w:cs="Arial" w:eastAsia="Arial" w:hAnsi="Arial"/>
          <w:sz w:val="18"/>
          <w:szCs w:val="18"/>
          <w:color w:val="auto"/>
        </w:rPr>
        <w:t>Mr. Fish also champions the importance of our people-first commitment and the necessity of creating a culture that truly puts the needs of WM employees first. As part of that people-first culture, Mr. Fish has been actively involved in developing initiatives to promote diversity and inclusion throughout the Company’s population of more than 60,000 employees.</w:t>
      </w:r>
    </w:p>
    <w:p>
      <w:pPr>
        <w:spacing w:after="0" w:line="288" w:lineRule="exact"/>
        <w:rPr>
          <w:sz w:val="20"/>
          <w:szCs w:val="20"/>
          <w:color w:val="auto"/>
        </w:rPr>
      </w:pPr>
    </w:p>
    <w:p>
      <w:pPr>
        <w:jc w:val="both"/>
        <w:ind w:left="220" w:right="80"/>
        <w:spacing w:after="0" w:line="262" w:lineRule="auto"/>
        <w:rPr>
          <w:sz w:val="20"/>
          <w:szCs w:val="20"/>
          <w:color w:val="auto"/>
        </w:rPr>
      </w:pPr>
      <w:r>
        <w:rPr>
          <w:rFonts w:ascii="Arial" w:cs="Arial" w:eastAsia="Arial" w:hAnsi="Arial"/>
          <w:sz w:val="18"/>
          <w:szCs w:val="18"/>
          <w:color w:val="auto"/>
        </w:rPr>
        <w:t>Mr. Fish earned a bachelor’s degree in accounting from Arizona State University and a master’s degree in business administration, with emphasis on finance, from the University of Chicago. In addition to the public company board service listed above, Mr. Fish currently serves on the board of the Greater Houston Partnership.</w:t>
      </w:r>
    </w:p>
    <w:p>
      <w:pPr>
        <w:spacing w:after="0" w:line="200" w:lineRule="exact"/>
        <w:rPr>
          <w:sz w:val="20"/>
          <w:szCs w:val="20"/>
          <w:color w:val="auto"/>
        </w:rPr>
      </w:pPr>
    </w:p>
    <w:p>
      <w:pPr>
        <w:sectPr>
          <w:pgSz w:w="11900" w:h="16838" w:orient="portrait"/>
          <w:cols w:equalWidth="0" w:num="2">
            <w:col w:w="2200" w:space="120"/>
            <w:col w:w="7620"/>
          </w:cols>
          <w:pgMar w:left="580" w:top="97"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20"/>
                <w:szCs w:val="20"/>
                <w:b w:val="1"/>
                <w:bCs w:val="1"/>
                <w:color w:val="auto"/>
              </w:rPr>
              <w:t>ELECTION OF DIRECTORS</w:t>
            </w:r>
            <w:r>
              <w:rPr>
                <w:rFonts w:ascii="Arial" w:cs="Arial" w:eastAsia="Arial" w:hAnsi="Arial"/>
                <w:sz w:val="17"/>
                <w:szCs w:val="17"/>
                <w:color w:val="auto"/>
              </w:rPr>
              <w:t>​</w:t>
            </w:r>
          </w:p>
        </w:tc>
        <w:tc>
          <w:tcPr>
            <w:tcW w:w="3200" w:type="dxa"/>
            <w:vAlign w:val="bottom"/>
            <w:vMerge w:val="restart"/>
          </w:tcPr>
          <w:p>
            <w:pPr>
              <w:ind w:left="3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6"/>
                <w:szCs w:val="16"/>
                <w:b w:val="1"/>
                <w:bCs w:val="1"/>
                <w:color w:val="auto"/>
              </w:rPr>
              <w:t>​</w:t>
            </w:r>
          </w:p>
        </w:tc>
        <w:tc>
          <w:tcPr>
            <w:tcW w:w="3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57"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1440" w:type="dxa"/>
            <w:vAlign w:val="bottom"/>
          </w:tcPr>
          <w:p>
            <w:pPr>
              <w:spacing w:after="0"/>
              <w:rPr>
                <w:sz w:val="7"/>
                <w:szCs w:val="7"/>
                <w:color w:val="auto"/>
              </w:rPr>
            </w:pPr>
          </w:p>
        </w:tc>
        <w:tc>
          <w:tcPr>
            <w:tcW w:w="2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144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2400" w:type="dxa"/>
            <w:vAlign w:val="bottom"/>
            <w:shd w:val="clear" w:color="auto" w:fill="457157"/>
          </w:tcPr>
          <w:p>
            <w:pPr>
              <w:spacing w:after="0"/>
              <w:rPr>
                <w:sz w:val="17"/>
                <w:szCs w:val="17"/>
                <w:color w:val="auto"/>
              </w:rPr>
            </w:pPr>
          </w:p>
        </w:tc>
        <w:tc>
          <w:tcPr>
            <w:tcW w:w="700" w:type="dxa"/>
            <w:vAlign w:val="bottom"/>
            <w:shd w:val="clear" w:color="auto" w:fill="457157"/>
          </w:tcPr>
          <w:p>
            <w:pPr>
              <w:spacing w:after="0"/>
              <w:rPr>
                <w:sz w:val="17"/>
                <w:szCs w:val="17"/>
                <w:color w:val="auto"/>
              </w:rPr>
            </w:pPr>
          </w:p>
        </w:tc>
        <w:tc>
          <w:tcPr>
            <w:tcW w:w="460" w:type="dxa"/>
            <w:vAlign w:val="bottom"/>
            <w:shd w:val="clear" w:color="auto" w:fill="457157"/>
          </w:tcPr>
          <w:p>
            <w:pPr>
              <w:spacing w:after="0"/>
              <w:rPr>
                <w:sz w:val="17"/>
                <w:szCs w:val="17"/>
                <w:color w:val="auto"/>
              </w:rPr>
            </w:pPr>
          </w:p>
        </w:tc>
        <w:tc>
          <w:tcPr>
            <w:tcW w:w="500" w:type="dxa"/>
            <w:vAlign w:val="bottom"/>
            <w:shd w:val="clear" w:color="auto" w:fill="457157"/>
          </w:tcPr>
          <w:p>
            <w:pPr>
              <w:spacing w:after="0"/>
              <w:rPr>
                <w:sz w:val="17"/>
                <w:szCs w:val="17"/>
                <w:color w:val="auto"/>
              </w:rPr>
            </w:pPr>
          </w:p>
        </w:tc>
        <w:tc>
          <w:tcPr>
            <w:tcW w:w="660" w:type="dxa"/>
            <w:vAlign w:val="bottom"/>
            <w:shd w:val="clear" w:color="auto" w:fill="457157"/>
          </w:tcPr>
          <w:p>
            <w:pPr>
              <w:spacing w:after="0"/>
              <w:rPr>
                <w:sz w:val="17"/>
                <w:szCs w:val="17"/>
                <w:color w:val="auto"/>
              </w:rPr>
            </w:pPr>
          </w:p>
        </w:tc>
        <w:tc>
          <w:tcPr>
            <w:tcW w:w="880" w:type="dxa"/>
            <w:vAlign w:val="bottom"/>
            <w:shd w:val="clear" w:color="auto" w:fill="457157"/>
          </w:tcPr>
          <w:p>
            <w:pPr>
              <w:spacing w:after="0"/>
              <w:rPr>
                <w:sz w:val="17"/>
                <w:szCs w:val="17"/>
                <w:color w:val="auto"/>
              </w:rPr>
            </w:pPr>
          </w:p>
        </w:tc>
        <w:tc>
          <w:tcPr>
            <w:tcW w:w="420" w:type="dxa"/>
            <w:vAlign w:val="bottom"/>
            <w:shd w:val="clear" w:color="auto" w:fill="457157"/>
          </w:tcPr>
          <w:p>
            <w:pPr>
              <w:spacing w:after="0"/>
              <w:rPr>
                <w:sz w:val="17"/>
                <w:szCs w:val="17"/>
                <w:color w:val="auto"/>
              </w:rPr>
            </w:pPr>
          </w:p>
        </w:tc>
        <w:tc>
          <w:tcPr>
            <w:tcW w:w="160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gridSpan w:val="2"/>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A</w:t>
            </w:r>
            <w:r>
              <w:rPr>
                <w:rFonts w:ascii="Arial" w:cs="Arial" w:eastAsia="Arial" w:hAnsi="Arial"/>
                <w:sz w:val="16"/>
                <w:szCs w:val="16"/>
                <w:b w:val="1"/>
                <w:bCs w:val="1"/>
                <w:color w:val="FEFEFE"/>
              </w:rPr>
              <w:t>NDRÉS</w:t>
            </w:r>
            <w:r>
              <w:rPr>
                <w:rFonts w:ascii="Arial" w:cs="Arial" w:eastAsia="Arial" w:hAnsi="Arial"/>
                <w:sz w:val="23"/>
                <w:szCs w:val="23"/>
                <w:b w:val="1"/>
                <w:bCs w:val="1"/>
                <w:color w:val="FEFEFE"/>
              </w:rPr>
              <w:t xml:space="preserve"> R. G</w:t>
            </w:r>
            <w:r>
              <w:rPr>
                <w:rFonts w:ascii="Arial" w:cs="Arial" w:eastAsia="Arial" w:hAnsi="Arial"/>
                <w:sz w:val="16"/>
                <w:szCs w:val="16"/>
                <w:b w:val="1"/>
                <w:bCs w:val="1"/>
                <w:color w:val="FEFEFE"/>
              </w:rPr>
              <w:t>LUSKI</w:t>
            </w:r>
            <w:r>
              <w:rPr>
                <w:rFonts w:ascii="Arial" w:cs="Arial" w:eastAsia="Arial" w:hAnsi="Arial"/>
                <w:sz w:val="18"/>
                <w:szCs w:val="18"/>
                <w:b w:val="1"/>
                <w:bCs w:val="1"/>
                <w:color w:val="FEFEFE"/>
              </w:rPr>
              <w:t>​</w:t>
            </w:r>
          </w:p>
        </w:tc>
        <w:tc>
          <w:tcPr>
            <w:tcW w:w="700" w:type="dxa"/>
            <w:vAlign w:val="bottom"/>
            <w:shd w:val="clear" w:color="auto" w:fill="457157"/>
          </w:tcPr>
          <w:p>
            <w:pPr>
              <w:spacing w:after="0"/>
              <w:rPr>
                <w:sz w:val="17"/>
                <w:szCs w:val="17"/>
                <w:color w:val="auto"/>
              </w:rPr>
            </w:pPr>
          </w:p>
        </w:tc>
        <w:tc>
          <w:tcPr>
            <w:tcW w:w="460" w:type="dxa"/>
            <w:vAlign w:val="bottom"/>
            <w:shd w:val="clear" w:color="auto" w:fill="457157"/>
          </w:tcPr>
          <w:p>
            <w:pPr>
              <w:spacing w:after="0"/>
              <w:rPr>
                <w:sz w:val="17"/>
                <w:szCs w:val="17"/>
                <w:color w:val="auto"/>
              </w:rPr>
            </w:pPr>
          </w:p>
        </w:tc>
        <w:tc>
          <w:tcPr>
            <w:tcW w:w="500" w:type="dxa"/>
            <w:vAlign w:val="bottom"/>
            <w:shd w:val="clear" w:color="auto" w:fill="457157"/>
          </w:tcPr>
          <w:p>
            <w:pPr>
              <w:spacing w:after="0"/>
              <w:rPr>
                <w:sz w:val="17"/>
                <w:szCs w:val="17"/>
                <w:color w:val="auto"/>
              </w:rPr>
            </w:pPr>
          </w:p>
        </w:tc>
        <w:tc>
          <w:tcPr>
            <w:tcW w:w="660" w:type="dxa"/>
            <w:vAlign w:val="bottom"/>
            <w:shd w:val="clear" w:color="auto" w:fill="457157"/>
          </w:tcPr>
          <w:p>
            <w:pPr>
              <w:spacing w:after="0"/>
              <w:rPr>
                <w:sz w:val="17"/>
                <w:szCs w:val="17"/>
                <w:color w:val="auto"/>
              </w:rPr>
            </w:pPr>
          </w:p>
        </w:tc>
        <w:tc>
          <w:tcPr>
            <w:tcW w:w="880" w:type="dxa"/>
            <w:vAlign w:val="bottom"/>
            <w:shd w:val="clear" w:color="auto" w:fill="457157"/>
          </w:tcPr>
          <w:p>
            <w:pPr>
              <w:spacing w:after="0"/>
              <w:rPr>
                <w:sz w:val="17"/>
                <w:szCs w:val="17"/>
                <w:color w:val="auto"/>
              </w:rPr>
            </w:pPr>
          </w:p>
        </w:tc>
        <w:tc>
          <w:tcPr>
            <w:tcW w:w="420" w:type="dxa"/>
            <w:vAlign w:val="bottom"/>
            <w:shd w:val="clear" w:color="auto" w:fill="457157"/>
          </w:tcPr>
          <w:p>
            <w:pPr>
              <w:spacing w:after="0"/>
              <w:rPr>
                <w:sz w:val="17"/>
                <w:szCs w:val="17"/>
                <w:color w:val="auto"/>
              </w:rPr>
            </w:pPr>
          </w:p>
        </w:tc>
        <w:tc>
          <w:tcPr>
            <w:tcW w:w="1600" w:type="dxa"/>
            <w:vAlign w:val="bottom"/>
            <w:shd w:val="clear" w:color="auto" w:fill="457157"/>
          </w:tcPr>
          <w:p>
            <w:pPr>
              <w:spacing w:after="0"/>
              <w:rPr>
                <w:sz w:val="17"/>
                <w:szCs w:val="1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1440" w:type="dxa"/>
            <w:vAlign w:val="bottom"/>
          </w:tcPr>
          <w:p>
            <w:pPr>
              <w:spacing w:after="0"/>
              <w:rPr>
                <w:sz w:val="20"/>
                <w:szCs w:val="20"/>
                <w:color w:val="auto"/>
              </w:rPr>
            </w:pPr>
            <w:r>
              <w:rPr>
                <w:rFonts w:ascii="Arial" w:cs="Arial" w:eastAsia="Arial" w:hAnsi="Arial"/>
                <w:sz w:val="18"/>
                <w:szCs w:val="18"/>
                <w:color w:val="auto"/>
              </w:rPr>
              <w:t>​</w:t>
            </w:r>
          </w:p>
        </w:tc>
        <w:tc>
          <w:tcPr>
            <w:tcW w:w="4720" w:type="dxa"/>
            <w:vAlign w:val="bottom"/>
            <w:gridSpan w:val="5"/>
          </w:tcPr>
          <w:p>
            <w:pPr>
              <w:ind w:left="60"/>
              <w:spacing w:after="0"/>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440" w:type="dxa"/>
            <w:vAlign w:val="bottom"/>
          </w:tcPr>
          <w:p>
            <w:pPr>
              <w:spacing w:after="0"/>
              <w:rPr>
                <w:sz w:val="22"/>
                <w:szCs w:val="22"/>
                <w:color w:val="auto"/>
              </w:rPr>
            </w:pPr>
          </w:p>
        </w:tc>
        <w:tc>
          <w:tcPr>
            <w:tcW w:w="7680" w:type="dxa"/>
            <w:vAlign w:val="bottom"/>
            <w:gridSpan w:val="9"/>
          </w:tcPr>
          <w:p>
            <w:pPr>
              <w:ind w:left="280"/>
              <w:spacing w:after="0"/>
              <w:rPr>
                <w:sz w:val="20"/>
                <w:szCs w:val="20"/>
                <w:color w:val="auto"/>
              </w:rPr>
            </w:pPr>
            <w:r>
              <w:rPr>
                <w:rFonts w:ascii="Arial" w:cs="Arial" w:eastAsia="Arial" w:hAnsi="Arial"/>
                <w:sz w:val="18"/>
                <w:szCs w:val="18"/>
                <w:color w:val="auto"/>
              </w:rPr>
              <w:t>President, Chief Executive Officer and Director — The AES Corporation (global</w:t>
            </w:r>
          </w:p>
        </w:tc>
        <w:tc>
          <w:tcPr>
            <w:tcW w:w="0" w:type="dxa"/>
            <w:vAlign w:val="bottom"/>
          </w:tcPr>
          <w:p>
            <w:pPr>
              <w:spacing w:after="0"/>
              <w:rPr>
                <w:sz w:val="1"/>
                <w:szCs w:val="1"/>
                <w:color w:val="auto"/>
              </w:rPr>
            </w:pPr>
          </w:p>
        </w:tc>
      </w:tr>
      <w:tr>
        <w:trPr>
          <w:trHeight w:val="239"/>
        </w:trPr>
        <w:tc>
          <w:tcPr>
            <w:tcW w:w="1440" w:type="dxa"/>
            <w:vAlign w:val="bottom"/>
          </w:tcPr>
          <w:p>
            <w:pPr>
              <w:spacing w:after="0"/>
              <w:rPr>
                <w:sz w:val="20"/>
                <w:szCs w:val="20"/>
                <w:color w:val="auto"/>
              </w:rPr>
            </w:pPr>
          </w:p>
        </w:tc>
        <w:tc>
          <w:tcPr>
            <w:tcW w:w="3100" w:type="dxa"/>
            <w:vAlign w:val="bottom"/>
            <w:gridSpan w:val="2"/>
          </w:tcPr>
          <w:p>
            <w:pPr>
              <w:ind w:left="280"/>
              <w:spacing w:after="0"/>
              <w:rPr>
                <w:sz w:val="20"/>
                <w:szCs w:val="20"/>
                <w:color w:val="auto"/>
              </w:rPr>
            </w:pPr>
            <w:r>
              <w:rPr>
                <w:rFonts w:ascii="Arial" w:cs="Arial" w:eastAsia="Arial" w:hAnsi="Arial"/>
                <w:sz w:val="18"/>
                <w:szCs w:val="18"/>
                <w:color w:val="auto"/>
              </w:rPr>
              <w:t>energy company) since 2011.</w:t>
            </w: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8"/>
        </w:trPr>
        <w:tc>
          <w:tcPr>
            <w:tcW w:w="1440" w:type="dxa"/>
            <w:vAlign w:val="bottom"/>
          </w:tcPr>
          <w:p>
            <w:pPr>
              <w:spacing w:after="0"/>
              <w:rPr>
                <w:sz w:val="24"/>
                <w:szCs w:val="24"/>
                <w:color w:val="auto"/>
              </w:rPr>
            </w:pPr>
          </w:p>
        </w:tc>
        <w:tc>
          <w:tcPr>
            <w:tcW w:w="2400" w:type="dxa"/>
            <w:vAlign w:val="bottom"/>
          </w:tcPr>
          <w:p>
            <w:pPr>
              <w:ind w:left="28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440" w:type="dxa"/>
            <w:vAlign w:val="bottom"/>
          </w:tcPr>
          <w:p>
            <w:pPr>
              <w:spacing w:after="0"/>
              <w:rPr>
                <w:sz w:val="24"/>
                <w:szCs w:val="24"/>
                <w:color w:val="auto"/>
              </w:rPr>
            </w:pPr>
          </w:p>
        </w:tc>
        <w:tc>
          <w:tcPr>
            <w:tcW w:w="7680" w:type="dxa"/>
            <w:vAlign w:val="bottom"/>
            <w:gridSpan w:val="9"/>
          </w:tcPr>
          <w:p>
            <w:pPr>
              <w:ind w:left="280"/>
              <w:spacing w:after="0"/>
              <w:rPr>
                <w:sz w:val="20"/>
                <w:szCs w:val="20"/>
                <w:color w:val="auto"/>
              </w:rPr>
            </w:pPr>
            <w:r>
              <w:rPr>
                <w:rFonts w:ascii="Arial" w:cs="Arial" w:eastAsia="Arial" w:hAnsi="Arial"/>
                <w:sz w:val="18"/>
                <w:szCs w:val="18"/>
                <w:color w:val="auto"/>
              </w:rPr>
              <w:t>Andrés Gluski has served as President, Chief Executive Officer and a Director of</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400" w:type="dxa"/>
            <w:vAlign w:val="bottom"/>
          </w:tcPr>
          <w:p>
            <w:pPr>
              <w:ind w:left="280"/>
              <w:spacing w:after="0"/>
              <w:rPr>
                <w:sz w:val="20"/>
                <w:szCs w:val="20"/>
                <w:color w:val="auto"/>
              </w:rPr>
            </w:pPr>
            <w:r>
              <w:rPr>
                <w:rFonts w:ascii="Arial" w:cs="Arial" w:eastAsia="Arial" w:hAnsi="Arial"/>
                <w:sz w:val="18"/>
                <w:szCs w:val="18"/>
                <w:color w:val="auto"/>
              </w:rPr>
              <w:t>The  AES  Corporation,</w:t>
            </w:r>
          </w:p>
        </w:tc>
        <w:tc>
          <w:tcPr>
            <w:tcW w:w="1160" w:type="dxa"/>
            <w:vAlign w:val="bottom"/>
            <w:gridSpan w:val="2"/>
          </w:tcPr>
          <w:p>
            <w:pPr>
              <w:ind w:left="140"/>
              <w:spacing w:after="0"/>
              <w:rPr>
                <w:sz w:val="20"/>
                <w:szCs w:val="20"/>
                <w:color w:val="auto"/>
              </w:rPr>
            </w:pPr>
            <w:r>
              <w:rPr>
                <w:rFonts w:ascii="Arial" w:cs="Arial" w:eastAsia="Arial" w:hAnsi="Arial"/>
                <w:sz w:val="18"/>
                <w:szCs w:val="18"/>
                <w:color w:val="auto"/>
              </w:rPr>
              <w:t>a  Fortune</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500</w:t>
            </w:r>
          </w:p>
        </w:tc>
        <w:tc>
          <w:tcPr>
            <w:tcW w:w="660" w:type="dxa"/>
            <w:vAlign w:val="bottom"/>
          </w:tcPr>
          <w:p>
            <w:pPr>
              <w:ind w:left="40"/>
              <w:spacing w:after="0"/>
              <w:rPr>
                <w:sz w:val="20"/>
                <w:szCs w:val="20"/>
                <w:color w:val="auto"/>
              </w:rPr>
            </w:pPr>
            <w:r>
              <w:rPr>
                <w:rFonts w:ascii="Arial" w:cs="Arial" w:eastAsia="Arial" w:hAnsi="Arial"/>
                <w:sz w:val="18"/>
                <w:szCs w:val="18"/>
                <w:color w:val="auto"/>
              </w:rPr>
              <w:t>global</w:t>
            </w:r>
          </w:p>
        </w:tc>
        <w:tc>
          <w:tcPr>
            <w:tcW w:w="2960" w:type="dxa"/>
            <w:vAlign w:val="bottom"/>
            <w:gridSpan w:val="4"/>
          </w:tcPr>
          <w:p>
            <w:pPr>
              <w:jc w:val="right"/>
              <w:spacing w:after="0"/>
              <w:rPr>
                <w:sz w:val="20"/>
                <w:szCs w:val="20"/>
                <w:color w:val="auto"/>
              </w:rPr>
            </w:pPr>
            <w:r>
              <w:rPr>
                <w:rFonts w:ascii="Arial" w:cs="Arial" w:eastAsia="Arial" w:hAnsi="Arial"/>
                <w:sz w:val="18"/>
                <w:szCs w:val="18"/>
                <w:color w:val="auto"/>
              </w:rPr>
              <w:t>energy  company,  since  2011.</w:t>
            </w:r>
          </w:p>
        </w:tc>
        <w:tc>
          <w:tcPr>
            <w:tcW w:w="0" w:type="dxa"/>
            <w:vAlign w:val="bottom"/>
          </w:tcPr>
          <w:p>
            <w:pPr>
              <w:spacing w:after="0"/>
              <w:rPr>
                <w:sz w:val="1"/>
                <w:szCs w:val="1"/>
                <w:color w:val="auto"/>
              </w:rPr>
            </w:pPr>
          </w:p>
        </w:tc>
      </w:tr>
      <w:tr>
        <w:trPr>
          <w:trHeight w:val="216"/>
        </w:trPr>
        <w:tc>
          <w:tcPr>
            <w:tcW w:w="1440" w:type="dxa"/>
            <w:vAlign w:val="bottom"/>
            <w:vMerge w:val="restart"/>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67</w:t>
            </w:r>
          </w:p>
        </w:tc>
        <w:tc>
          <w:tcPr>
            <w:tcW w:w="7680" w:type="dxa"/>
            <w:vAlign w:val="bottom"/>
            <w:gridSpan w:val="9"/>
          </w:tcPr>
          <w:p>
            <w:pPr>
              <w:ind w:left="280"/>
              <w:spacing w:after="0"/>
              <w:rPr>
                <w:sz w:val="20"/>
                <w:szCs w:val="20"/>
                <w:color w:val="auto"/>
              </w:rPr>
            </w:pPr>
            <w:r>
              <w:rPr>
                <w:rFonts w:ascii="Arial" w:cs="Arial" w:eastAsia="Arial" w:hAnsi="Arial"/>
                <w:sz w:val="18"/>
                <w:szCs w:val="18"/>
                <w:color w:val="auto"/>
              </w:rPr>
              <w:t>Mr. Gluski began his tenure at AES in 2000 and previously served as Executive</w:t>
            </w:r>
          </w:p>
        </w:tc>
        <w:tc>
          <w:tcPr>
            <w:tcW w:w="0" w:type="dxa"/>
            <w:vAlign w:val="bottom"/>
          </w:tcPr>
          <w:p>
            <w:pPr>
              <w:spacing w:after="0"/>
              <w:rPr>
                <w:sz w:val="1"/>
                <w:szCs w:val="1"/>
                <w:color w:val="auto"/>
              </w:rPr>
            </w:pPr>
          </w:p>
        </w:tc>
      </w:tr>
      <w:tr>
        <w:trPr>
          <w:trHeight w:val="139"/>
        </w:trPr>
        <w:tc>
          <w:tcPr>
            <w:tcW w:w="1440" w:type="dxa"/>
            <w:vAlign w:val="bottom"/>
            <w:vMerge w:val="continue"/>
          </w:tcPr>
          <w:p>
            <w:pPr>
              <w:spacing w:after="0"/>
              <w:rPr>
                <w:sz w:val="12"/>
                <w:szCs w:val="12"/>
                <w:color w:val="auto"/>
              </w:rPr>
            </w:pPr>
          </w:p>
        </w:tc>
        <w:tc>
          <w:tcPr>
            <w:tcW w:w="7680" w:type="dxa"/>
            <w:vAlign w:val="bottom"/>
            <w:gridSpan w:val="9"/>
            <w:vMerge w:val="restart"/>
          </w:tcPr>
          <w:p>
            <w:pPr>
              <w:ind w:left="280"/>
              <w:spacing w:after="0"/>
              <w:rPr>
                <w:sz w:val="20"/>
                <w:szCs w:val="20"/>
                <w:color w:val="auto"/>
              </w:rPr>
            </w:pPr>
            <w:r>
              <w:rPr>
                <w:rFonts w:ascii="Arial" w:cs="Arial" w:eastAsia="Arial" w:hAnsi="Arial"/>
                <w:sz w:val="18"/>
                <w:szCs w:val="18"/>
                <w:color w:val="auto"/>
              </w:rPr>
              <w:t>Vice  President  and  Chief  Operating  Officer.  Under  his  leadership,  AES  has</w:t>
            </w:r>
          </w:p>
        </w:tc>
        <w:tc>
          <w:tcPr>
            <w:tcW w:w="0" w:type="dxa"/>
            <w:vAlign w:val="bottom"/>
          </w:tcPr>
          <w:p>
            <w:pPr>
              <w:spacing w:after="0"/>
              <w:rPr>
                <w:sz w:val="1"/>
                <w:szCs w:val="1"/>
                <w:color w:val="auto"/>
              </w:rPr>
            </w:pPr>
          </w:p>
        </w:tc>
      </w:tr>
      <w:tr>
        <w:trPr>
          <w:trHeight w:val="77"/>
        </w:trPr>
        <w:tc>
          <w:tcPr>
            <w:tcW w:w="1440" w:type="dxa"/>
            <w:vAlign w:val="bottom"/>
            <w:vMerge w:val="restart"/>
          </w:tcPr>
          <w:p>
            <w:pPr>
              <w:spacing w:after="0"/>
              <w:rPr>
                <w:sz w:val="20"/>
                <w:szCs w:val="20"/>
                <w:color w:val="auto"/>
              </w:rPr>
            </w:pPr>
            <w:r>
              <w:rPr>
                <w:rFonts w:ascii="Arial" w:cs="Arial" w:eastAsia="Arial" w:hAnsi="Arial"/>
                <w:sz w:val="18"/>
                <w:szCs w:val="18"/>
                <w:b w:val="1"/>
                <w:bCs w:val="1"/>
                <w:color w:val="457157"/>
              </w:rPr>
              <w:t>Director since:</w:t>
            </w:r>
          </w:p>
        </w:tc>
        <w:tc>
          <w:tcPr>
            <w:tcW w:w="768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1440" w:type="dxa"/>
            <w:vAlign w:val="bottom"/>
            <w:vMerge w:val="continue"/>
          </w:tcPr>
          <w:p>
            <w:pPr>
              <w:spacing w:after="0"/>
              <w:rPr>
                <w:sz w:val="15"/>
                <w:szCs w:val="15"/>
                <w:color w:val="auto"/>
              </w:rPr>
            </w:pPr>
          </w:p>
        </w:tc>
        <w:tc>
          <w:tcPr>
            <w:tcW w:w="7680" w:type="dxa"/>
            <w:vAlign w:val="bottom"/>
            <w:gridSpan w:val="9"/>
          </w:tcPr>
          <w:p>
            <w:pPr>
              <w:ind w:left="280"/>
              <w:spacing w:after="0" w:line="181" w:lineRule="exact"/>
              <w:rPr>
                <w:sz w:val="20"/>
                <w:szCs w:val="20"/>
                <w:color w:val="auto"/>
              </w:rPr>
            </w:pPr>
            <w:r>
              <w:rPr>
                <w:rFonts w:ascii="Arial" w:cs="Arial" w:eastAsia="Arial" w:hAnsi="Arial"/>
                <w:sz w:val="18"/>
                <w:szCs w:val="18"/>
                <w:color w:val="auto"/>
              </w:rPr>
              <w:t>become a leader in implementing clean technologies, including energy storage and</w:t>
            </w:r>
          </w:p>
        </w:tc>
        <w:tc>
          <w:tcPr>
            <w:tcW w:w="0" w:type="dxa"/>
            <w:vAlign w:val="bottom"/>
          </w:tcPr>
          <w:p>
            <w:pPr>
              <w:spacing w:after="0"/>
              <w:rPr>
                <w:sz w:val="1"/>
                <w:szCs w:val="1"/>
                <w:color w:val="auto"/>
              </w:rPr>
            </w:pPr>
          </w:p>
        </w:tc>
      </w:tr>
      <w:tr>
        <w:trPr>
          <w:trHeight w:val="251"/>
        </w:trPr>
        <w:tc>
          <w:tcPr>
            <w:tcW w:w="1440" w:type="dxa"/>
            <w:vAlign w:val="bottom"/>
          </w:tcPr>
          <w:p>
            <w:pPr>
              <w:spacing w:after="0"/>
              <w:rPr>
                <w:sz w:val="20"/>
                <w:szCs w:val="20"/>
                <w:color w:val="auto"/>
              </w:rPr>
            </w:pPr>
            <w:r>
              <w:rPr>
                <w:rFonts w:ascii="Arial" w:cs="Arial" w:eastAsia="Arial" w:hAnsi="Arial"/>
                <w:sz w:val="18"/>
                <w:szCs w:val="18"/>
                <w:color w:val="auto"/>
              </w:rPr>
              <w:t>January 2015</w:t>
            </w:r>
          </w:p>
        </w:tc>
        <w:tc>
          <w:tcPr>
            <w:tcW w:w="7680" w:type="dxa"/>
            <w:vAlign w:val="bottom"/>
            <w:gridSpan w:val="9"/>
          </w:tcPr>
          <w:p>
            <w:pPr>
              <w:ind w:left="280"/>
              <w:spacing w:after="0"/>
              <w:rPr>
                <w:sz w:val="20"/>
                <w:szCs w:val="20"/>
                <w:color w:val="auto"/>
              </w:rPr>
            </w:pPr>
            <w:r>
              <w:rPr>
                <w:rFonts w:ascii="Arial" w:cs="Arial" w:eastAsia="Arial" w:hAnsi="Arial"/>
                <w:sz w:val="18"/>
                <w:szCs w:val="18"/>
                <w:color w:val="auto"/>
              </w:rPr>
              <w:t>renewable power. Through his professional experience, Mr. Gluski has extensive</w:t>
            </w:r>
          </w:p>
        </w:tc>
        <w:tc>
          <w:tcPr>
            <w:tcW w:w="0" w:type="dxa"/>
            <w:vAlign w:val="bottom"/>
          </w:tcPr>
          <w:p>
            <w:pPr>
              <w:spacing w:after="0"/>
              <w:rPr>
                <w:sz w:val="1"/>
                <w:szCs w:val="1"/>
                <w:color w:val="auto"/>
              </w:rPr>
            </w:pPr>
          </w:p>
        </w:tc>
      </w:tr>
      <w:tr>
        <w:trPr>
          <w:trHeight w:val="208"/>
        </w:trPr>
        <w:tc>
          <w:tcPr>
            <w:tcW w:w="1440" w:type="dxa"/>
            <w:vAlign w:val="bottom"/>
          </w:tcPr>
          <w:p>
            <w:pPr>
              <w:spacing w:after="0"/>
              <w:rPr>
                <w:sz w:val="20"/>
                <w:szCs w:val="20"/>
                <w:color w:val="auto"/>
              </w:rPr>
            </w:pPr>
            <w:r>
              <w:rPr>
                <w:rFonts w:ascii="Arial" w:cs="Arial" w:eastAsia="Arial" w:hAnsi="Arial"/>
                <w:sz w:val="18"/>
                <w:szCs w:val="18"/>
                <w:b w:val="1"/>
                <w:bCs w:val="1"/>
                <w:color w:val="457157"/>
              </w:rPr>
              <w:t>Board</w:t>
            </w:r>
          </w:p>
        </w:tc>
        <w:tc>
          <w:tcPr>
            <w:tcW w:w="7680" w:type="dxa"/>
            <w:vAlign w:val="bottom"/>
            <w:gridSpan w:val="9"/>
          </w:tcPr>
          <w:p>
            <w:pPr>
              <w:ind w:left="280"/>
              <w:spacing w:after="0"/>
              <w:rPr>
                <w:sz w:val="20"/>
                <w:szCs w:val="20"/>
                <w:color w:val="auto"/>
              </w:rPr>
            </w:pPr>
            <w:r>
              <w:rPr>
                <w:rFonts w:ascii="Arial" w:cs="Arial" w:eastAsia="Arial" w:hAnsi="Arial"/>
                <w:sz w:val="18"/>
                <w:szCs w:val="18"/>
                <w:color w:val="auto"/>
              </w:rPr>
              <w:t>knowledge with respect to evaluating renewable energy strategies, and he has</w:t>
            </w:r>
          </w:p>
        </w:tc>
        <w:tc>
          <w:tcPr>
            <w:tcW w:w="0" w:type="dxa"/>
            <w:vAlign w:val="bottom"/>
          </w:tcPr>
          <w:p>
            <w:pPr>
              <w:spacing w:after="0"/>
              <w:rPr>
                <w:sz w:val="1"/>
                <w:szCs w:val="1"/>
                <w:color w:val="auto"/>
              </w:rPr>
            </w:pPr>
          </w:p>
        </w:tc>
      </w:tr>
      <w:tr>
        <w:trPr>
          <w:trHeight w:val="189"/>
        </w:trPr>
        <w:tc>
          <w:tcPr>
            <w:tcW w:w="1440" w:type="dxa"/>
            <w:vAlign w:val="bottom"/>
          </w:tcPr>
          <w:p>
            <w:pPr>
              <w:spacing w:after="0" w:line="189" w:lineRule="exact"/>
              <w:rPr>
                <w:sz w:val="20"/>
                <w:szCs w:val="20"/>
                <w:color w:val="auto"/>
              </w:rPr>
            </w:pPr>
            <w:r>
              <w:rPr>
                <w:rFonts w:ascii="Arial" w:cs="Arial" w:eastAsia="Arial" w:hAnsi="Arial"/>
                <w:sz w:val="18"/>
                <w:szCs w:val="18"/>
                <w:b w:val="1"/>
                <w:bCs w:val="1"/>
                <w:color w:val="457157"/>
              </w:rPr>
              <w:t>Committees:</w:t>
            </w:r>
          </w:p>
        </w:tc>
        <w:tc>
          <w:tcPr>
            <w:tcW w:w="7680" w:type="dxa"/>
            <w:vAlign w:val="bottom"/>
            <w:gridSpan w:val="9"/>
          </w:tcPr>
          <w:p>
            <w:pPr>
              <w:ind w:left="280"/>
              <w:spacing w:after="0" w:line="189" w:lineRule="exact"/>
              <w:rPr>
                <w:sz w:val="20"/>
                <w:szCs w:val="20"/>
                <w:color w:val="auto"/>
              </w:rPr>
            </w:pPr>
            <w:r>
              <w:rPr>
                <w:rFonts w:ascii="Arial" w:cs="Arial" w:eastAsia="Arial" w:hAnsi="Arial"/>
                <w:sz w:val="18"/>
                <w:szCs w:val="18"/>
                <w:color w:val="auto"/>
              </w:rPr>
              <w:t>developed  expertise  in  considering  and  evaluating  climate-related  risks  and</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Audit and</w:t>
            </w:r>
          </w:p>
        </w:tc>
        <w:tc>
          <w:tcPr>
            <w:tcW w:w="2400" w:type="dxa"/>
            <w:vAlign w:val="bottom"/>
          </w:tcPr>
          <w:p>
            <w:pPr>
              <w:ind w:left="280"/>
              <w:spacing w:after="0"/>
              <w:rPr>
                <w:sz w:val="20"/>
                <w:szCs w:val="20"/>
                <w:color w:val="auto"/>
              </w:rPr>
            </w:pPr>
            <w:r>
              <w:rPr>
                <w:rFonts w:ascii="Arial" w:cs="Arial" w:eastAsia="Arial" w:hAnsi="Arial"/>
                <w:sz w:val="18"/>
                <w:szCs w:val="18"/>
                <w:color w:val="auto"/>
              </w:rPr>
              <w:t>opportunities, which is</w:t>
            </w:r>
          </w:p>
        </w:tc>
        <w:tc>
          <w:tcPr>
            <w:tcW w:w="700" w:type="dxa"/>
            <w:vAlign w:val="bottom"/>
          </w:tcPr>
          <w:p>
            <w:pPr>
              <w:spacing w:after="0"/>
              <w:rPr>
                <w:sz w:val="20"/>
                <w:szCs w:val="20"/>
                <w:color w:val="auto"/>
              </w:rPr>
            </w:pPr>
            <w:r>
              <w:rPr>
                <w:rFonts w:ascii="Arial" w:cs="Arial" w:eastAsia="Arial" w:hAnsi="Arial"/>
                <w:sz w:val="18"/>
                <w:szCs w:val="18"/>
                <w:color w:val="auto"/>
              </w:rPr>
              <w:t>directly</w:t>
            </w:r>
          </w:p>
        </w:tc>
        <w:tc>
          <w:tcPr>
            <w:tcW w:w="960" w:type="dxa"/>
            <w:vAlign w:val="bottom"/>
            <w:gridSpan w:val="2"/>
          </w:tcPr>
          <w:p>
            <w:pPr>
              <w:ind w:left="40"/>
              <w:spacing w:after="0"/>
              <w:rPr>
                <w:sz w:val="20"/>
                <w:szCs w:val="20"/>
                <w:color w:val="auto"/>
              </w:rPr>
            </w:pPr>
            <w:r>
              <w:rPr>
                <w:rFonts w:ascii="Arial" w:cs="Arial" w:eastAsia="Arial" w:hAnsi="Arial"/>
                <w:sz w:val="18"/>
                <w:szCs w:val="18"/>
                <w:color w:val="auto"/>
              </w:rPr>
              <w:t>applicable</w:t>
            </w:r>
          </w:p>
        </w:tc>
        <w:tc>
          <w:tcPr>
            <w:tcW w:w="660" w:type="dxa"/>
            <w:vAlign w:val="bottom"/>
          </w:tcPr>
          <w:p>
            <w:pPr>
              <w:ind w:left="80"/>
              <w:spacing w:after="0"/>
              <w:rPr>
                <w:sz w:val="20"/>
                <w:szCs w:val="20"/>
                <w:color w:val="auto"/>
              </w:rPr>
            </w:pPr>
            <w:r>
              <w:rPr>
                <w:rFonts w:ascii="Arial" w:cs="Arial" w:eastAsia="Arial" w:hAnsi="Arial"/>
                <w:sz w:val="18"/>
                <w:szCs w:val="18"/>
                <w:color w:val="auto"/>
              </w:rPr>
              <w:t>to our</w:t>
            </w:r>
          </w:p>
        </w:tc>
        <w:tc>
          <w:tcPr>
            <w:tcW w:w="880" w:type="dxa"/>
            <w:vAlign w:val="bottom"/>
          </w:tcPr>
          <w:p>
            <w:pPr>
              <w:ind w:left="60"/>
              <w:spacing w:after="0"/>
              <w:rPr>
                <w:sz w:val="20"/>
                <w:szCs w:val="20"/>
                <w:color w:val="auto"/>
              </w:rPr>
            </w:pPr>
            <w:r>
              <w:rPr>
                <w:rFonts w:ascii="Arial" w:cs="Arial" w:eastAsia="Arial" w:hAnsi="Arial"/>
                <w:sz w:val="18"/>
                <w:szCs w:val="18"/>
                <w:color w:val="auto"/>
              </w:rPr>
              <w:t>business</w:t>
            </w:r>
          </w:p>
        </w:tc>
        <w:tc>
          <w:tcPr>
            <w:tcW w:w="420" w:type="dxa"/>
            <w:vAlign w:val="bottom"/>
          </w:tcPr>
          <w:p>
            <w:pPr>
              <w:ind w:left="60"/>
              <w:spacing w:after="0"/>
              <w:rPr>
                <w:sz w:val="20"/>
                <w:szCs w:val="20"/>
                <w:color w:val="auto"/>
              </w:rPr>
            </w:pPr>
            <w:r>
              <w:rPr>
                <w:rFonts w:ascii="Arial" w:cs="Arial" w:eastAsia="Arial" w:hAnsi="Arial"/>
                <w:sz w:val="18"/>
                <w:szCs w:val="18"/>
                <w:color w:val="auto"/>
              </w:rPr>
              <w:t>and</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our sustainability</w:t>
            </w:r>
          </w:p>
        </w:tc>
        <w:tc>
          <w:tcPr>
            <w:tcW w:w="0" w:type="dxa"/>
            <w:vAlign w:val="bottom"/>
          </w:tcPr>
          <w:p>
            <w:pPr>
              <w:spacing w:after="0"/>
              <w:rPr>
                <w:sz w:val="1"/>
                <w:szCs w:val="1"/>
                <w:color w:val="auto"/>
              </w:rPr>
            </w:pPr>
          </w:p>
        </w:tc>
      </w:tr>
      <w:tr>
        <w:trPr>
          <w:trHeight w:val="135"/>
        </w:trPr>
        <w:tc>
          <w:tcPr>
            <w:tcW w:w="1440" w:type="dxa"/>
            <w:vAlign w:val="bottom"/>
          </w:tcPr>
          <w:p>
            <w:pPr>
              <w:spacing w:after="0" w:line="135" w:lineRule="exact"/>
              <w:rPr>
                <w:sz w:val="20"/>
                <w:szCs w:val="20"/>
                <w:color w:val="auto"/>
              </w:rPr>
            </w:pPr>
            <w:r>
              <w:rPr>
                <w:rFonts w:ascii="Arial" w:cs="Arial" w:eastAsia="Arial" w:hAnsi="Arial"/>
                <w:sz w:val="15"/>
                <w:szCs w:val="15"/>
                <w:color w:val="auto"/>
              </w:rPr>
              <w:t>Management</w:t>
            </w:r>
          </w:p>
        </w:tc>
        <w:tc>
          <w:tcPr>
            <w:tcW w:w="2400" w:type="dxa"/>
            <w:vAlign w:val="bottom"/>
            <w:vMerge w:val="restart"/>
          </w:tcPr>
          <w:p>
            <w:pPr>
              <w:ind w:left="280"/>
              <w:spacing w:after="0"/>
              <w:rPr>
                <w:sz w:val="20"/>
                <w:szCs w:val="20"/>
                <w:color w:val="auto"/>
              </w:rPr>
            </w:pPr>
            <w:r>
              <w:rPr>
                <w:rFonts w:ascii="Arial" w:cs="Arial" w:eastAsia="Arial" w:hAnsi="Arial"/>
                <w:sz w:val="18"/>
                <w:szCs w:val="18"/>
                <w:color w:val="auto"/>
              </w:rPr>
              <w:t>growth  strategy.  Mr.</w:t>
            </w:r>
          </w:p>
        </w:tc>
        <w:tc>
          <w:tcPr>
            <w:tcW w:w="700" w:type="dxa"/>
            <w:vAlign w:val="bottom"/>
            <w:vMerge w:val="restart"/>
          </w:tcPr>
          <w:p>
            <w:pPr>
              <w:ind w:left="20"/>
              <w:spacing w:after="0"/>
              <w:rPr>
                <w:sz w:val="20"/>
                <w:szCs w:val="20"/>
                <w:color w:val="auto"/>
              </w:rPr>
            </w:pPr>
            <w:r>
              <w:rPr>
                <w:rFonts w:ascii="Arial" w:cs="Arial" w:eastAsia="Arial" w:hAnsi="Arial"/>
                <w:sz w:val="18"/>
                <w:szCs w:val="18"/>
                <w:color w:val="auto"/>
              </w:rPr>
              <w:t>Gluski</w:t>
            </w:r>
          </w:p>
        </w:tc>
        <w:tc>
          <w:tcPr>
            <w:tcW w:w="460" w:type="dxa"/>
            <w:vAlign w:val="bottom"/>
            <w:vMerge w:val="restart"/>
          </w:tcPr>
          <w:p>
            <w:pPr>
              <w:ind w:left="60"/>
              <w:spacing w:after="0"/>
              <w:rPr>
                <w:sz w:val="20"/>
                <w:szCs w:val="20"/>
                <w:color w:val="auto"/>
              </w:rPr>
            </w:pPr>
            <w:r>
              <w:rPr>
                <w:rFonts w:ascii="Arial" w:cs="Arial" w:eastAsia="Arial" w:hAnsi="Arial"/>
                <w:sz w:val="18"/>
                <w:szCs w:val="18"/>
                <w:color w:val="auto"/>
              </w:rPr>
              <w:t>also</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has</w:t>
            </w:r>
          </w:p>
        </w:tc>
        <w:tc>
          <w:tcPr>
            <w:tcW w:w="1540" w:type="dxa"/>
            <w:vAlign w:val="bottom"/>
            <w:gridSpan w:val="2"/>
            <w:vMerge w:val="restart"/>
          </w:tcPr>
          <w:p>
            <w:pPr>
              <w:ind w:left="140"/>
              <w:spacing w:after="0"/>
              <w:rPr>
                <w:sz w:val="20"/>
                <w:szCs w:val="20"/>
                <w:color w:val="auto"/>
              </w:rPr>
            </w:pPr>
            <w:r>
              <w:rPr>
                <w:rFonts w:ascii="Arial" w:cs="Arial" w:eastAsia="Arial" w:hAnsi="Arial"/>
                <w:sz w:val="18"/>
                <w:szCs w:val="18"/>
                <w:color w:val="auto"/>
              </w:rPr>
              <w:t>experience  in</w:t>
            </w:r>
          </w:p>
        </w:tc>
        <w:tc>
          <w:tcPr>
            <w:tcW w:w="420" w:type="dxa"/>
            <w:vAlign w:val="bottom"/>
            <w:vMerge w:val="restart"/>
          </w:tcPr>
          <w:p>
            <w:pPr>
              <w:ind w:left="80"/>
              <w:spacing w:after="0"/>
              <w:rPr>
                <w:sz w:val="20"/>
                <w:szCs w:val="20"/>
                <w:color w:val="auto"/>
              </w:rPr>
            </w:pPr>
            <w:r>
              <w:rPr>
                <w:rFonts w:ascii="Arial" w:cs="Arial" w:eastAsia="Arial" w:hAnsi="Arial"/>
                <w:sz w:val="18"/>
                <w:szCs w:val="18"/>
                <w:color w:val="auto"/>
              </w:rPr>
              <w:t>the</w:t>
            </w:r>
          </w:p>
        </w:tc>
        <w:tc>
          <w:tcPr>
            <w:tcW w:w="1660" w:type="dxa"/>
            <w:vAlign w:val="bottom"/>
            <w:gridSpan w:val="2"/>
            <w:vMerge w:val="restart"/>
          </w:tcPr>
          <w:p>
            <w:pPr>
              <w:jc w:val="right"/>
              <w:spacing w:after="0"/>
              <w:rPr>
                <w:sz w:val="20"/>
                <w:szCs w:val="20"/>
                <w:color w:val="auto"/>
              </w:rPr>
            </w:pPr>
            <w:r>
              <w:rPr>
                <w:rFonts w:ascii="Arial" w:cs="Arial" w:eastAsia="Arial" w:hAnsi="Arial"/>
                <w:sz w:val="18"/>
                <w:szCs w:val="18"/>
                <w:color w:val="auto"/>
              </w:rPr>
              <w:t>development  of</w:t>
            </w:r>
          </w:p>
        </w:tc>
        <w:tc>
          <w:tcPr>
            <w:tcW w:w="0" w:type="dxa"/>
            <w:vAlign w:val="bottom"/>
          </w:tcPr>
          <w:p>
            <w:pPr>
              <w:spacing w:after="0"/>
              <w:rPr>
                <w:sz w:val="1"/>
                <w:szCs w:val="1"/>
                <w:color w:val="auto"/>
              </w:rPr>
            </w:pPr>
          </w:p>
        </w:tc>
      </w:tr>
      <w:tr>
        <w:trPr>
          <w:trHeight w:val="116"/>
        </w:trPr>
        <w:tc>
          <w:tcPr>
            <w:tcW w:w="1440" w:type="dxa"/>
            <w:vAlign w:val="bottom"/>
            <w:vMerge w:val="restart"/>
          </w:tcPr>
          <w:p>
            <w:pPr>
              <w:spacing w:after="0" w:line="176" w:lineRule="exact"/>
              <w:rPr>
                <w:sz w:val="20"/>
                <w:szCs w:val="20"/>
                <w:color w:val="auto"/>
              </w:rPr>
            </w:pPr>
            <w:r>
              <w:rPr>
                <w:rFonts w:ascii="Arial" w:cs="Arial" w:eastAsia="Arial" w:hAnsi="Arial"/>
                <w:sz w:val="18"/>
                <w:szCs w:val="18"/>
                <w:color w:val="auto"/>
              </w:rPr>
              <w:t>Development &amp;</w:t>
            </w:r>
          </w:p>
        </w:tc>
        <w:tc>
          <w:tcPr>
            <w:tcW w:w="24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vMerge w:val="continue"/>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440" w:type="dxa"/>
            <w:vAlign w:val="bottom"/>
            <w:vMerge w:val="continue"/>
          </w:tcPr>
          <w:p>
            <w:pPr>
              <w:spacing w:after="0"/>
              <w:rPr>
                <w:sz w:val="5"/>
                <w:szCs w:val="5"/>
                <w:color w:val="auto"/>
              </w:rPr>
            </w:pPr>
          </w:p>
        </w:tc>
        <w:tc>
          <w:tcPr>
            <w:tcW w:w="7680" w:type="dxa"/>
            <w:vAlign w:val="bottom"/>
            <w:gridSpan w:val="9"/>
            <w:vMerge w:val="restart"/>
          </w:tcPr>
          <w:p>
            <w:pPr>
              <w:ind w:left="280"/>
              <w:spacing w:after="0"/>
              <w:rPr>
                <w:sz w:val="20"/>
                <w:szCs w:val="20"/>
                <w:color w:val="auto"/>
              </w:rPr>
            </w:pPr>
            <w:r>
              <w:rPr>
                <w:rFonts w:ascii="Arial" w:cs="Arial" w:eastAsia="Arial" w:hAnsi="Arial"/>
                <w:sz w:val="18"/>
                <w:szCs w:val="18"/>
                <w:color w:val="auto"/>
              </w:rPr>
              <w:t>sustainability and corporate social responsibility goals, as well as oversight of</w:t>
            </w:r>
          </w:p>
        </w:tc>
        <w:tc>
          <w:tcPr>
            <w:tcW w:w="0" w:type="dxa"/>
            <w:vAlign w:val="bottom"/>
          </w:tcPr>
          <w:p>
            <w:pPr>
              <w:spacing w:after="0"/>
              <w:rPr>
                <w:sz w:val="1"/>
                <w:szCs w:val="1"/>
                <w:color w:val="auto"/>
              </w:rPr>
            </w:pPr>
          </w:p>
        </w:tc>
      </w:tr>
      <w:tr>
        <w:trPr>
          <w:trHeight w:val="176"/>
        </w:trPr>
        <w:tc>
          <w:tcPr>
            <w:tcW w:w="1440" w:type="dxa"/>
            <w:vAlign w:val="bottom"/>
          </w:tcPr>
          <w:p>
            <w:pPr>
              <w:spacing w:after="0" w:line="176" w:lineRule="exact"/>
              <w:rPr>
                <w:sz w:val="20"/>
                <w:szCs w:val="20"/>
                <w:color w:val="auto"/>
              </w:rPr>
            </w:pPr>
            <w:r>
              <w:rPr>
                <w:rFonts w:ascii="Arial" w:cs="Arial" w:eastAsia="Arial" w:hAnsi="Arial"/>
                <w:sz w:val="18"/>
                <w:szCs w:val="18"/>
                <w:color w:val="auto"/>
              </w:rPr>
              <w:t>Compensation</w:t>
            </w:r>
          </w:p>
        </w:tc>
        <w:tc>
          <w:tcPr>
            <w:tcW w:w="768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1440" w:type="dxa"/>
            <w:vAlign w:val="bottom"/>
          </w:tcPr>
          <w:p>
            <w:pPr>
              <w:spacing w:after="0"/>
              <w:rPr>
                <w:sz w:val="20"/>
                <w:szCs w:val="20"/>
                <w:color w:val="auto"/>
              </w:rPr>
            </w:pPr>
            <w:r>
              <w:rPr>
                <w:rFonts w:ascii="Arial" w:cs="Arial" w:eastAsia="Arial" w:hAnsi="Arial"/>
                <w:sz w:val="18"/>
                <w:szCs w:val="18"/>
                <w:color w:val="auto"/>
              </w:rPr>
              <w:t>(Chair)</w:t>
            </w:r>
          </w:p>
        </w:tc>
        <w:tc>
          <w:tcPr>
            <w:tcW w:w="2400" w:type="dxa"/>
            <w:vAlign w:val="bottom"/>
          </w:tcPr>
          <w:p>
            <w:pPr>
              <w:ind w:left="280"/>
              <w:spacing w:after="0"/>
              <w:rPr>
                <w:sz w:val="20"/>
                <w:szCs w:val="20"/>
                <w:color w:val="auto"/>
              </w:rPr>
            </w:pPr>
            <w:r>
              <w:rPr>
                <w:rFonts w:ascii="Arial" w:cs="Arial" w:eastAsia="Arial" w:hAnsi="Arial"/>
                <w:sz w:val="18"/>
                <w:szCs w:val="18"/>
                <w:color w:val="auto"/>
              </w:rPr>
              <w:t>compliance programs.</w:t>
            </w: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-2616835</wp:posOffset>
            </wp:positionV>
            <wp:extent cx="1028700" cy="5632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28700" cy="5632450"/>
                    </a:xfrm>
                    <a:prstGeom prst="rect">
                      <a:avLst/>
                    </a:prstGeom>
                    <a:noFill/>
                  </pic:spPr>
                </pic:pic>
              </a:graphicData>
            </a:graphic>
          </wp:anchor>
        </w:drawing>
      </w:r>
    </w:p>
    <w:p>
      <w:pPr>
        <w:spacing w:after="0" w:line="38" w:lineRule="exact"/>
        <w:rPr>
          <w:sz w:val="20"/>
          <w:szCs w:val="20"/>
          <w:color w:val="auto"/>
        </w:rPr>
      </w:pPr>
    </w:p>
    <w:p>
      <w:pPr>
        <w:jc w:val="both"/>
        <w:ind w:left="2540" w:right="80"/>
        <w:spacing w:after="0" w:line="257" w:lineRule="auto"/>
        <w:rPr>
          <w:sz w:val="20"/>
          <w:szCs w:val="20"/>
          <w:color w:val="auto"/>
        </w:rPr>
      </w:pPr>
      <w:r>
        <w:rPr>
          <w:rFonts w:ascii="Arial" w:cs="Arial" w:eastAsia="Arial" w:hAnsi="Arial"/>
          <w:sz w:val="18"/>
          <w:szCs w:val="18"/>
          <w:color w:val="auto"/>
        </w:rPr>
        <w:t>Prior to joining AES, Mr. Gluski served in a broad range of roles in the public and private sectors, including working as Executive Vice President of Corporate and Investment Banking in Grupo Santander. Mr. Gluski served as a member of the President’s Export Council from 2013 to 2016 and served as an expert witness at U.S. Congressional hearings on the subject of energy policy. He currently serves as Chairman of Council of the Americas and co-chair of the World Economic Forum’s Electricity Industry community.</w:t>
      </w:r>
    </w:p>
    <w:p>
      <w:pPr>
        <w:spacing w:after="0" w:line="290" w:lineRule="exact"/>
        <w:rPr>
          <w:sz w:val="20"/>
          <w:szCs w:val="20"/>
          <w:color w:val="auto"/>
        </w:rPr>
      </w:pPr>
    </w:p>
    <w:p>
      <w:pPr>
        <w:jc w:val="both"/>
        <w:ind w:left="2540" w:right="80"/>
        <w:spacing w:after="0" w:line="255" w:lineRule="auto"/>
        <w:rPr>
          <w:sz w:val="20"/>
          <w:szCs w:val="20"/>
          <w:color w:val="auto"/>
        </w:rPr>
      </w:pPr>
      <w:r>
        <w:rPr>
          <w:rFonts w:ascii="Arial" w:cs="Arial" w:eastAsia="Arial" w:hAnsi="Arial"/>
          <w:sz w:val="18"/>
          <w:szCs w:val="18"/>
          <w:color w:val="auto"/>
        </w:rPr>
        <w:t>Mr. Gluski has also focused on shaping an innovative workplace at AES with a diverse and inclusive culture throughout the world. These efforts have given Mr. Gluski valuable expertise in the areas of human capital management, diversity and inclusion that he utilizes in his role as Chair of the Management Development</w:t>
      </w:r>
    </w:p>
    <w:p>
      <w:pPr>
        <w:spacing w:after="0" w:line="2" w:lineRule="exact"/>
        <w:rPr>
          <w:sz w:val="20"/>
          <w:szCs w:val="20"/>
          <w:color w:val="auto"/>
        </w:rPr>
      </w:pPr>
    </w:p>
    <w:p>
      <w:pPr>
        <w:ind w:left="2540" w:right="80" w:hanging="9"/>
        <w:spacing w:after="0" w:line="266" w:lineRule="auto"/>
        <w:tabs>
          <w:tab w:leader="none" w:pos="2731"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Compensation Committee of the Board. Mr. Gluski has been named amongst the 100 Most Influential Latinos by Latino Leaders Magazine.</w:t>
      </w:r>
    </w:p>
    <w:p>
      <w:pPr>
        <w:spacing w:after="0" w:line="63" w:lineRule="exact"/>
        <w:rPr>
          <w:sz w:val="20"/>
          <w:szCs w:val="20"/>
          <w:color w:val="auto"/>
        </w:rPr>
      </w:pPr>
    </w:p>
    <w:p>
      <w:pPr>
        <w:jc w:val="both"/>
        <w:ind w:left="2540" w:right="80"/>
        <w:spacing w:after="0" w:line="259" w:lineRule="auto"/>
        <w:rPr>
          <w:sz w:val="20"/>
          <w:szCs w:val="20"/>
          <w:color w:val="auto"/>
        </w:rPr>
      </w:pPr>
      <w:r>
        <w:rPr>
          <w:rFonts w:ascii="Arial" w:cs="Arial" w:eastAsia="Arial" w:hAnsi="Arial"/>
          <w:sz w:val="18"/>
          <w:szCs w:val="18"/>
          <w:color w:val="auto"/>
        </w:rPr>
        <w:t>The depth and breadth of Mr. Gluski’s international business and finance background, and experience in managing growth opportunities while focusing on operational innovation, allow him to provide invaluable risk management, government affairs, public policy, public relations, communications and investor relations insight in his role as a member of the Board.</w:t>
      </w:r>
    </w:p>
    <w:p>
      <w:pPr>
        <w:spacing w:after="0" w:line="71" w:lineRule="exact"/>
        <w:rPr>
          <w:sz w:val="20"/>
          <w:szCs w:val="20"/>
          <w:color w:val="auto"/>
        </w:rPr>
      </w:pPr>
    </w:p>
    <w:p>
      <w:pPr>
        <w:jc w:val="both"/>
        <w:ind w:left="2540" w:right="80"/>
        <w:spacing w:after="0" w:line="287" w:lineRule="auto"/>
        <w:rPr>
          <w:sz w:val="20"/>
          <w:szCs w:val="20"/>
          <w:color w:val="auto"/>
        </w:rPr>
      </w:pPr>
      <w:r>
        <w:rPr>
          <w:rFonts w:ascii="Arial" w:cs="Arial" w:eastAsia="Arial" w:hAnsi="Arial"/>
          <w:sz w:val="18"/>
          <w:szCs w:val="18"/>
          <w:color w:val="auto"/>
        </w:rPr>
        <w:t>Mr. Gluski holds a bachelor’s degree from Wake Forest University, as well as a master’s degree and a PhD in economics from the University of Virginia.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940"/>
          </w:cols>
          <w:pgMar w:left="580" w:top="97" w:right="1379" w:bottom="1440" w:gutter="0" w:footer="0" w:header="0"/>
        </w:sectPr>
      </w:pPr>
    </w:p>
    <w:p>
      <w:pPr>
        <w:spacing w:after="0" w:line="330"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w:t>
      </w:r>
    </w:p>
    <w:p>
      <w:pPr>
        <w:spacing w:after="0" w:line="145" w:lineRule="exact"/>
        <w:rPr>
          <w:sz w:val="20"/>
          <w:szCs w:val="20"/>
          <w:color w:val="auto"/>
        </w:rPr>
      </w:pPr>
    </w:p>
    <w:p>
      <w:pPr>
        <w:ind w:left="820"/>
        <w:spacing w:after="0"/>
        <w:rPr>
          <w:sz w:val="20"/>
          <w:szCs w:val="20"/>
          <w:color w:val="auto"/>
        </w:rPr>
      </w:pPr>
      <w:r>
        <w:rPr>
          <w:rFonts w:ascii="Arial" w:cs="Arial" w:eastAsia="Arial" w:hAnsi="Arial"/>
          <w:sz w:val="50"/>
          <w:szCs w:val="50"/>
          <w:b w:val="1"/>
          <w:bCs w:val="1"/>
          <w:color w:val="FEFEFE"/>
          <w:vertAlign w:val="superscript"/>
        </w:rPr>
        <w:t>​</w:t>
      </w:r>
      <w:r>
        <w:rPr>
          <w:rFonts w:ascii="Arial" w:cs="Arial" w:eastAsia="Arial" w:hAnsi="Arial"/>
          <w:sz w:val="25"/>
          <w:szCs w:val="25"/>
          <w:b w:val="1"/>
          <w:bCs w:val="1"/>
          <w:color w:val="FEFEFE"/>
        </w:rPr>
        <w:t>V</w:t>
      </w:r>
      <w:r>
        <w:rPr>
          <w:rFonts w:ascii="Arial" w:cs="Arial" w:eastAsia="Arial" w:hAnsi="Arial"/>
          <w:sz w:val="17"/>
          <w:szCs w:val="17"/>
          <w:b w:val="1"/>
          <w:bCs w:val="1"/>
          <w:color w:val="FEFEFE"/>
        </w:rPr>
        <w:t>ICTORIA</w:t>
      </w:r>
      <w:r>
        <w:rPr>
          <w:rFonts w:ascii="Arial" w:cs="Arial" w:eastAsia="Arial" w:hAnsi="Arial"/>
          <w:sz w:val="25"/>
          <w:szCs w:val="25"/>
          <w:b w:val="1"/>
          <w:bCs w:val="1"/>
          <w:color w:val="FEFEFE"/>
        </w:rPr>
        <w:t xml:space="preserve"> M.</w:t>
      </w:r>
    </w:p>
    <w:p>
      <w:pPr>
        <w:ind w:left="8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67</w:t>
      </w:r>
    </w:p>
    <w:p>
      <w:pPr>
        <w:spacing w:after="0" w:line="9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457157"/>
        </w:rPr>
        <w:t>Director since:</w:t>
      </w:r>
    </w:p>
    <w:p>
      <w:pPr>
        <w:ind w:left="820"/>
        <w:spacing w:after="0"/>
        <w:rPr>
          <w:sz w:val="20"/>
          <w:szCs w:val="20"/>
          <w:color w:val="auto"/>
        </w:rPr>
      </w:pPr>
      <w:r>
        <w:rPr>
          <w:rFonts w:ascii="Arial" w:cs="Arial" w:eastAsia="Arial" w:hAnsi="Arial"/>
          <w:sz w:val="18"/>
          <w:szCs w:val="18"/>
          <w:color w:val="auto"/>
        </w:rPr>
        <w:t>January 2013</w:t>
      </w:r>
    </w:p>
    <w:p>
      <w:pPr>
        <w:spacing w:after="0" w:line="5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457157"/>
        </w:rPr>
        <w:t>Board</w:t>
      </w:r>
    </w:p>
    <w:p>
      <w:pPr>
        <w:ind w:left="820"/>
        <w:spacing w:after="0" w:line="203" w:lineRule="auto"/>
        <w:rPr>
          <w:sz w:val="20"/>
          <w:szCs w:val="20"/>
          <w:color w:val="auto"/>
        </w:rPr>
      </w:pPr>
      <w:r>
        <w:rPr>
          <w:rFonts w:ascii="Arial" w:cs="Arial" w:eastAsia="Arial" w:hAnsi="Arial"/>
          <w:sz w:val="18"/>
          <w:szCs w:val="18"/>
          <w:b w:val="1"/>
          <w:bCs w:val="1"/>
          <w:color w:val="457157"/>
        </w:rPr>
        <w:t>Committees:</w:t>
      </w:r>
    </w:p>
    <w:p>
      <w:pPr>
        <w:ind w:left="820"/>
        <w:spacing w:after="0" w:line="219" w:lineRule="auto"/>
        <w:rPr>
          <w:sz w:val="20"/>
          <w:szCs w:val="20"/>
          <w:color w:val="auto"/>
        </w:rPr>
      </w:pPr>
      <w:r>
        <w:rPr>
          <w:rFonts w:ascii="Arial" w:cs="Arial" w:eastAsia="Arial" w:hAnsi="Arial"/>
          <w:sz w:val="18"/>
          <w:szCs w:val="18"/>
          <w:color w:val="auto"/>
        </w:rPr>
        <w:t>Audit and</w:t>
      </w:r>
    </w:p>
    <w:p>
      <w:pPr>
        <w:spacing w:after="0" w:line="1" w:lineRule="exact"/>
        <w:rPr>
          <w:sz w:val="20"/>
          <w:szCs w:val="20"/>
          <w:color w:val="auto"/>
        </w:rPr>
      </w:pPr>
    </w:p>
    <w:p>
      <w:pPr>
        <w:ind w:left="820" w:right="200"/>
        <w:spacing w:after="0" w:line="221" w:lineRule="auto"/>
        <w:rPr>
          <w:sz w:val="20"/>
          <w:szCs w:val="20"/>
          <w:color w:val="auto"/>
        </w:rPr>
      </w:pPr>
      <w:r>
        <w:rPr>
          <w:rFonts w:ascii="Arial" w:cs="Arial" w:eastAsia="Arial" w:hAnsi="Arial"/>
          <w:sz w:val="18"/>
          <w:szCs w:val="18"/>
          <w:color w:val="auto"/>
        </w:rPr>
        <w:t>Nominating &amp; Governance (Chair)</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4600" w:type="dxa"/>
            <w:vAlign w:val="bottom"/>
          </w:tcPr>
          <w:p>
            <w:pPr>
              <w:spacing w:after="0"/>
              <w:rPr>
                <w:sz w:val="23"/>
                <w:szCs w:val="23"/>
                <w:color w:val="auto"/>
              </w:rPr>
            </w:pPr>
          </w:p>
        </w:tc>
        <w:tc>
          <w:tcPr>
            <w:tcW w:w="3040" w:type="dxa"/>
            <w:vAlign w:val="bottom"/>
          </w:tcPr>
          <w:p>
            <w:pPr>
              <w:ind w:left="260"/>
              <w:spacing w:after="0"/>
              <w:rPr>
                <w:sz w:val="20"/>
                <w:szCs w:val="20"/>
                <w:color w:val="auto"/>
              </w:rPr>
            </w:pPr>
            <w:r>
              <w:rPr>
                <w:rFonts w:ascii="Arial" w:cs="Arial" w:eastAsia="Arial" w:hAnsi="Arial"/>
                <w:sz w:val="20"/>
                <w:szCs w:val="20"/>
                <w:b w:val="1"/>
                <w:bCs w:val="1"/>
                <w:color w:val="auto"/>
              </w:rPr>
              <w:t>ELECTION OF DIRECTORS</w:t>
            </w: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547"/>
        </w:trPr>
        <w:tc>
          <w:tcPr>
            <w:tcW w:w="4600" w:type="dxa"/>
            <w:vAlign w:val="bottom"/>
            <w:vMerge w:val="restart"/>
          </w:tcPr>
          <w:p>
            <w:pPr>
              <w:spacing w:after="0"/>
              <w:rPr>
                <w:sz w:val="20"/>
                <w:szCs w:val="20"/>
                <w:color w:val="auto"/>
              </w:rPr>
            </w:pPr>
            <w:r>
              <w:rPr>
                <w:rFonts w:ascii="Arial" w:cs="Arial" w:eastAsia="Arial" w:hAnsi="Arial"/>
                <w:sz w:val="25"/>
                <w:szCs w:val="25"/>
                <w:b w:val="1"/>
                <w:bCs w:val="1"/>
                <w:color w:val="FEFEFE"/>
              </w:rPr>
              <w:t>H</w:t>
            </w:r>
            <w:r>
              <w:rPr>
                <w:rFonts w:ascii="Arial" w:cs="Arial" w:eastAsia="Arial" w:hAnsi="Arial"/>
                <w:sz w:val="17"/>
                <w:szCs w:val="17"/>
                <w:b w:val="1"/>
                <w:bCs w:val="1"/>
                <w:color w:val="FEFEFE"/>
              </w:rPr>
              <w:t>OLT</w:t>
            </w:r>
            <w:r>
              <w:rPr>
                <w:rFonts w:ascii="Arial" w:cs="Arial" w:eastAsia="Arial" w:hAnsi="Arial"/>
                <w:sz w:val="19"/>
                <w:szCs w:val="19"/>
                <w:b w:val="1"/>
                <w:bCs w:val="1"/>
                <w:color w:val="FEFEFE"/>
              </w:rPr>
              <w:t>​</w:t>
            </w:r>
          </w:p>
        </w:tc>
        <w:tc>
          <w:tcPr>
            <w:tcW w:w="3040" w:type="dxa"/>
            <w:vAlign w:val="bottom"/>
          </w:tcPr>
          <w:p>
            <w:pPr>
              <w:ind w:left="2980"/>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90"/>
        </w:trPr>
        <w:tc>
          <w:tcPr>
            <w:tcW w:w="460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600" w:type="dxa"/>
            <w:vAlign w:val="bottom"/>
          </w:tcPr>
          <w:p>
            <w:pPr>
              <w:ind w:left="20"/>
              <w:spacing w:after="0"/>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r>
              <w:rPr>
                <w:rFonts w:ascii="Arial" w:cs="Arial" w:eastAsia="Arial" w:hAnsi="Arial"/>
                <w:sz w:val="17"/>
                <w:szCs w:val="17"/>
                <w:color w:val="000000"/>
              </w:rPr>
              <w:t>​</w:t>
            </w:r>
          </w:p>
        </w:tc>
        <w:tc>
          <w:tcPr>
            <w:tcW w:w="3040" w:type="dxa"/>
            <w:vAlign w:val="bottom"/>
          </w:tcPr>
          <w:p>
            <w:pPr>
              <w:ind w:left="29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-942975</wp:posOffset>
            </wp:positionH>
            <wp:positionV relativeFrom="paragraph">
              <wp:posOffset>-876935</wp:posOffset>
            </wp:positionV>
            <wp:extent cx="5760720" cy="69011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60720" cy="6901180"/>
                    </a:xfrm>
                    <a:prstGeom prst="rect">
                      <a:avLst/>
                    </a:prstGeom>
                    <a:noFill/>
                  </pic:spPr>
                </pic:pic>
              </a:graphicData>
            </a:graphic>
          </wp:anchor>
        </w:drawing>
      </w:r>
    </w:p>
    <w:p>
      <w:pPr>
        <w:spacing w:after="0" w:line="37" w:lineRule="exact"/>
        <w:rPr>
          <w:sz w:val="20"/>
          <w:szCs w:val="20"/>
          <w:color w:val="auto"/>
        </w:rPr>
      </w:pPr>
    </w:p>
    <w:p>
      <w:pPr>
        <w:jc w:val="both"/>
        <w:ind w:left="240" w:right="80"/>
        <w:spacing w:after="0" w:line="268" w:lineRule="auto"/>
        <w:rPr>
          <w:sz w:val="20"/>
          <w:szCs w:val="20"/>
          <w:color w:val="auto"/>
        </w:rPr>
      </w:pPr>
      <w:r>
        <w:rPr>
          <w:rFonts w:ascii="Arial" w:cs="Arial" w:eastAsia="Arial" w:hAnsi="Arial"/>
          <w:sz w:val="18"/>
          <w:szCs w:val="18"/>
          <w:color w:val="auto"/>
        </w:rPr>
        <w:t>Retired President and Chief Executive Officer — Proto Labs, Inc. (online and technology- enabled quick-turn manufacturer), served from 2014 to March 2021; also served as Director from 2014 – May 2021.</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Director of Piper Sandler Companies since September 2019.</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Director of A. O. Smith Corp. since April 2021.</w:t>
      </w:r>
    </w:p>
    <w:p>
      <w:pPr>
        <w:spacing w:after="0" w:line="144" w:lineRule="exact"/>
        <w:rPr>
          <w:sz w:val="20"/>
          <w:szCs w:val="20"/>
          <w:color w:val="auto"/>
        </w:rPr>
      </w:pPr>
    </w:p>
    <w:p>
      <w:pPr>
        <w:ind w:left="440" w:hanging="209"/>
        <w:spacing w:after="0"/>
        <w:tabs>
          <w:tab w:leader="none" w:pos="440" w:val="left"/>
        </w:tabs>
        <w:numPr>
          <w:ilvl w:val="0"/>
          <w:numId w:val="20"/>
        </w:numPr>
        <w:rPr>
          <w:rFonts w:ascii="Arial" w:cs="Arial" w:eastAsia="Arial" w:hAnsi="Arial"/>
          <w:sz w:val="25"/>
          <w:szCs w:val="25"/>
          <w:b w:val="1"/>
          <w:bCs w:val="1"/>
          <w:color w:val="457157"/>
        </w:rPr>
      </w:pPr>
      <w:r>
        <w:rPr>
          <w:rFonts w:ascii="Arial" w:cs="Arial" w:eastAsia="Arial" w:hAnsi="Arial"/>
          <w:sz w:val="18"/>
          <w:szCs w:val="18"/>
          <w:b w:val="1"/>
          <w:bCs w:val="1"/>
          <w:color w:val="457157"/>
        </w:rPr>
        <w:t>UALIFICATIONS</w:t>
      </w:r>
    </w:p>
    <w:p>
      <w:pPr>
        <w:spacing w:after="0" w:line="104" w:lineRule="exact"/>
        <w:rPr>
          <w:sz w:val="20"/>
          <w:szCs w:val="20"/>
          <w:color w:val="auto"/>
        </w:rPr>
      </w:pPr>
    </w:p>
    <w:p>
      <w:pPr>
        <w:jc w:val="both"/>
        <w:ind w:left="240" w:right="80"/>
        <w:spacing w:after="0" w:line="262" w:lineRule="auto"/>
        <w:rPr>
          <w:sz w:val="20"/>
          <w:szCs w:val="20"/>
          <w:color w:val="auto"/>
        </w:rPr>
      </w:pPr>
      <w:r>
        <w:rPr>
          <w:rFonts w:ascii="Arial" w:cs="Arial" w:eastAsia="Arial" w:hAnsi="Arial"/>
          <w:sz w:val="18"/>
          <w:szCs w:val="18"/>
          <w:color w:val="auto"/>
        </w:rPr>
        <w:t>Victoria Holt joined Proto Labs, Inc. as President, Chief Executive Officer and a Director in 2014, retiring in 2021. With manufacturing facilities in five countries, Proto Labs is a leading e-commerce technology enabled digital manufacturer of custom prototypes and on-demand product parts.</w:t>
      </w:r>
    </w:p>
    <w:p>
      <w:pPr>
        <w:spacing w:after="0" w:line="68" w:lineRule="exact"/>
        <w:rPr>
          <w:sz w:val="20"/>
          <w:szCs w:val="20"/>
          <w:color w:val="auto"/>
        </w:rPr>
      </w:pPr>
    </w:p>
    <w:p>
      <w:pPr>
        <w:jc w:val="both"/>
        <w:ind w:left="240" w:right="80"/>
        <w:spacing w:after="0" w:line="255" w:lineRule="auto"/>
        <w:rPr>
          <w:sz w:val="20"/>
          <w:szCs w:val="20"/>
          <w:color w:val="auto"/>
        </w:rPr>
      </w:pPr>
      <w:r>
        <w:rPr>
          <w:rFonts w:ascii="Arial" w:cs="Arial" w:eastAsia="Arial" w:hAnsi="Arial"/>
          <w:sz w:val="18"/>
          <w:szCs w:val="18"/>
          <w:color w:val="auto"/>
        </w:rPr>
        <w:t>Ms. Holt began her career at Monsanto Company, where she held various assignments of increasing responsibility before moving to Solutia, Inc., a divestiture of the Monsanto Company’s chemical business, as Vice President and General Manager Performance Films. Ms. Holt later held various roles with PPG Industries, Inc., a leading coatings and specialty products company, including Senior Vice President of Glass and Fiber Glass. Ms. Holt then served as President and Chief Executive Officer of Spartech Corporation, a leading provider of plastic sheet, compounds and packaging products, until its sale to PolyOne in 2013.</w:t>
      </w:r>
    </w:p>
    <w:p>
      <w:pPr>
        <w:spacing w:after="0" w:line="77" w:lineRule="exact"/>
        <w:rPr>
          <w:sz w:val="20"/>
          <w:szCs w:val="20"/>
          <w:color w:val="auto"/>
        </w:rPr>
      </w:pPr>
    </w:p>
    <w:p>
      <w:pPr>
        <w:jc w:val="both"/>
        <w:ind w:left="240" w:right="80"/>
        <w:spacing w:after="0" w:line="253" w:lineRule="auto"/>
        <w:rPr>
          <w:sz w:val="20"/>
          <w:szCs w:val="20"/>
          <w:color w:val="auto"/>
        </w:rPr>
      </w:pPr>
      <w:r>
        <w:rPr>
          <w:rFonts w:ascii="Arial" w:cs="Arial" w:eastAsia="Arial" w:hAnsi="Arial"/>
          <w:sz w:val="18"/>
          <w:szCs w:val="18"/>
          <w:color w:val="auto"/>
        </w:rPr>
        <w:t>Ms. Holt has a diverse international business background serving a wide spectrum of customers looking for sustainable solutions across diverse end markets including plastics, materials, automotive, medical, aerospace, consumer and general industrial. Ms. Holt brings passion and extensive experience in the areas of sustainable innovation, environmental solutions, plastics operations and management and recycling to the Board. Ms. Holt’s proven success leading large global companies across a broad range of manufacturing, chemical and materials industries has demonstrated her deep understanding of risk management, operations, strategic planning and performance measurement. Ms. Holt provides tremendous insight into the areas of continuous improvement, use of data analytics, e-commerce, digitally connected operations and execution of our technology-led, sustainability-linked strategy to grow our business and mitigate climate risks.</w:t>
      </w:r>
    </w:p>
    <w:p>
      <w:pPr>
        <w:spacing w:after="0" w:line="298" w:lineRule="exact"/>
        <w:rPr>
          <w:sz w:val="20"/>
          <w:szCs w:val="20"/>
          <w:color w:val="auto"/>
        </w:rPr>
      </w:pPr>
    </w:p>
    <w:p>
      <w:pPr>
        <w:jc w:val="both"/>
        <w:ind w:left="240" w:right="80"/>
        <w:spacing w:after="0" w:line="262" w:lineRule="auto"/>
        <w:rPr>
          <w:sz w:val="20"/>
          <w:szCs w:val="20"/>
          <w:color w:val="auto"/>
        </w:rPr>
      </w:pPr>
      <w:r>
        <w:rPr>
          <w:rFonts w:ascii="Arial" w:cs="Arial" w:eastAsia="Arial" w:hAnsi="Arial"/>
          <w:sz w:val="18"/>
          <w:szCs w:val="18"/>
          <w:color w:val="auto"/>
        </w:rPr>
        <w:t>Ms. Holt has developed expertise in corporate governance as a member of the public company boards listed above, in addition to experience serving on private company boards, and she shares this expertise with the Company’s Board in her position as Chair of the Nominating and Governance Committee.</w:t>
      </w:r>
    </w:p>
    <w:p>
      <w:pPr>
        <w:spacing w:after="0" w:line="68" w:lineRule="exact"/>
        <w:rPr>
          <w:sz w:val="20"/>
          <w:szCs w:val="20"/>
          <w:color w:val="auto"/>
        </w:rPr>
      </w:pPr>
    </w:p>
    <w:p>
      <w:pPr>
        <w:jc w:val="both"/>
        <w:ind w:left="240" w:right="80"/>
        <w:spacing w:after="0" w:line="262" w:lineRule="auto"/>
        <w:rPr>
          <w:sz w:val="20"/>
          <w:szCs w:val="20"/>
          <w:color w:val="auto"/>
        </w:rPr>
      </w:pPr>
      <w:r>
        <w:rPr>
          <w:rFonts w:ascii="Arial" w:cs="Arial" w:eastAsia="Arial" w:hAnsi="Arial"/>
          <w:sz w:val="18"/>
          <w:szCs w:val="18"/>
          <w:color w:val="auto"/>
        </w:rPr>
        <w:t>Ms. Holt holds a bachelor’s degree in chemistry from Duke University and a master’s degree in business administration from Pace University. Ms. Holt has completed the National Association of Corporate Directors (NACD) Cyber Risk Oversight Program and earned the CERT Certificate in Cybersecurity Oversight.</w:t>
      </w:r>
    </w:p>
    <w:p>
      <w:pPr>
        <w:spacing w:after="0" w:line="200" w:lineRule="exact"/>
        <w:rPr>
          <w:sz w:val="20"/>
          <w:szCs w:val="20"/>
          <w:color w:val="auto"/>
        </w:rPr>
      </w:pPr>
    </w:p>
    <w:p>
      <w:pPr>
        <w:sectPr>
          <w:pgSz w:w="11900" w:h="16838" w:orient="portrait"/>
          <w:cols w:equalWidth="0" w:num="2">
            <w:col w:w="2200" w:space="100"/>
            <w:col w:w="7640"/>
          </w:cols>
          <w:pgMar w:left="580" w:top="97"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20"/>
                <w:szCs w:val="20"/>
                <w:b w:val="1"/>
                <w:bCs w:val="1"/>
                <w:color w:val="auto"/>
              </w:rPr>
              <w:t>ELECTION OF DIRECTORS</w:t>
            </w:r>
            <w:r>
              <w:rPr>
                <w:rFonts w:ascii="Arial" w:cs="Arial" w:eastAsia="Arial" w:hAnsi="Arial"/>
                <w:sz w:val="17"/>
                <w:szCs w:val="17"/>
                <w:color w:val="auto"/>
              </w:rPr>
              <w:t>​</w:t>
            </w:r>
          </w:p>
        </w:tc>
        <w:tc>
          <w:tcPr>
            <w:tcW w:w="3200" w:type="dxa"/>
            <w:vAlign w:val="bottom"/>
            <w:vMerge w:val="restart"/>
          </w:tcPr>
          <w:p>
            <w:pPr>
              <w:ind w:left="3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6"/>
                <w:szCs w:val="16"/>
                <w:b w:val="1"/>
                <w:bCs w:val="1"/>
                <w:color w:val="auto"/>
              </w:rPr>
              <w:t>​</w:t>
            </w:r>
          </w:p>
        </w:tc>
        <w:tc>
          <w:tcPr>
            <w:tcW w:w="3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57"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1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5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120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6800" w:type="dxa"/>
            <w:vAlign w:val="bottom"/>
            <w:gridSpan w:val="2"/>
            <w:vMerge w:val="restart"/>
            <w:shd w:val="clear" w:color="auto" w:fill="457157"/>
          </w:tcPr>
          <w:p>
            <w:pPr>
              <w:spacing w:after="0"/>
              <w:rPr>
                <w:sz w:val="20"/>
                <w:szCs w:val="20"/>
                <w:color w:val="auto"/>
              </w:rPr>
            </w:pPr>
            <w:r>
              <w:rPr>
                <w:rFonts w:ascii="Arial" w:cs="Arial" w:eastAsia="Arial" w:hAnsi="Arial"/>
                <w:sz w:val="25"/>
                <w:szCs w:val="25"/>
                <w:b w:val="1"/>
                <w:bCs w:val="1"/>
                <w:color w:val="FEFEFE"/>
              </w:rPr>
              <w:t>M. M</w:t>
            </w:r>
            <w:r>
              <w:rPr>
                <w:rFonts w:ascii="Arial" w:cs="Arial" w:eastAsia="Arial" w:hAnsi="Arial"/>
                <w:sz w:val="17"/>
                <w:szCs w:val="17"/>
                <w:b w:val="1"/>
                <w:bCs w:val="1"/>
                <w:color w:val="FEFEFE"/>
              </w:rPr>
              <w:t>AZZARELLA</w:t>
            </w:r>
            <w:r>
              <w:rPr>
                <w:rFonts w:ascii="Arial" w:cs="Arial" w:eastAsia="Arial" w:hAnsi="Arial"/>
                <w:sz w:val="19"/>
                <w:szCs w:val="19"/>
                <w:b w:val="1"/>
                <w:bCs w:val="1"/>
                <w:color w:val="FEFEFE"/>
              </w:rPr>
              <w:t>​</w:t>
            </w:r>
          </w:p>
        </w:tc>
        <w:tc>
          <w:tcPr>
            <w:tcW w:w="106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K</w:t>
            </w:r>
            <w:r>
              <w:rPr>
                <w:rFonts w:ascii="Arial" w:cs="Arial" w:eastAsia="Arial" w:hAnsi="Arial"/>
                <w:sz w:val="16"/>
                <w:szCs w:val="16"/>
                <w:b w:val="1"/>
                <w:bCs w:val="1"/>
                <w:color w:val="FEFEFE"/>
              </w:rPr>
              <w:t>ATHLEEN</w:t>
            </w:r>
          </w:p>
        </w:tc>
        <w:tc>
          <w:tcPr>
            <w:tcW w:w="6800" w:type="dxa"/>
            <w:vAlign w:val="bottom"/>
            <w:gridSpan w:val="2"/>
            <w:vMerge w:val="continue"/>
            <w:shd w:val="clear" w:color="auto" w:fill="457157"/>
          </w:tcPr>
          <w:p>
            <w:pPr>
              <w:spacing w:after="0"/>
              <w:rPr>
                <w:sz w:val="17"/>
                <w:szCs w:val="17"/>
                <w:color w:val="auto"/>
              </w:rPr>
            </w:pPr>
          </w:p>
        </w:tc>
        <w:tc>
          <w:tcPr>
            <w:tcW w:w="1060" w:type="dxa"/>
            <w:vAlign w:val="bottom"/>
            <w:shd w:val="clear" w:color="auto" w:fill="457157"/>
          </w:tcPr>
          <w:p>
            <w:pPr>
              <w:spacing w:after="0"/>
              <w:rPr>
                <w:sz w:val="17"/>
                <w:szCs w:val="1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1200" w:type="dxa"/>
            <w:vAlign w:val="bottom"/>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560" w:type="dxa"/>
            <w:vAlign w:val="bottom"/>
          </w:tcPr>
          <w:p>
            <w:pPr>
              <w:ind w:left="60"/>
              <w:spacing w:after="0"/>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 xml:space="preserve"> 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106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Chairman, President and Chief Executive Officer — Graybar Electric Company, Inc.</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(distributor  of  electrical,  communications  and  data  networking  products  and</w:t>
            </w:r>
          </w:p>
        </w:tc>
        <w:tc>
          <w:tcPr>
            <w:tcW w:w="0" w:type="dxa"/>
            <w:vAlign w:val="bottom"/>
          </w:tcPr>
          <w:p>
            <w:pPr>
              <w:spacing w:after="0"/>
              <w:rPr>
                <w:sz w:val="1"/>
                <w:szCs w:val="1"/>
                <w:color w:val="auto"/>
              </w:rPr>
            </w:pPr>
          </w:p>
        </w:tc>
      </w:tr>
      <w:tr>
        <w:trPr>
          <w:trHeight w:val="239"/>
        </w:trPr>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provider of related supply chain management and logistics services) since 2013.</w:t>
            </w: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60" w:type="dxa"/>
            <w:vAlign w:val="bottom"/>
          </w:tcPr>
          <w:p>
            <w:pPr>
              <w:ind w:left="280"/>
              <w:spacing w:after="0"/>
              <w:rPr>
                <w:sz w:val="20"/>
                <w:szCs w:val="20"/>
                <w:color w:val="auto"/>
              </w:rPr>
            </w:pPr>
            <w:r>
              <w:rPr>
                <w:rFonts w:ascii="Arial" w:cs="Arial" w:eastAsia="Arial" w:hAnsi="Arial"/>
                <w:sz w:val="18"/>
                <w:szCs w:val="18"/>
                <w:color w:val="auto"/>
              </w:rPr>
              <w:t>Director of Cigna Corporation since 2018.</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560" w:type="dxa"/>
            <w:vAlign w:val="bottom"/>
          </w:tcPr>
          <w:p>
            <w:pPr>
              <w:ind w:left="280"/>
              <w:spacing w:after="0"/>
              <w:rPr>
                <w:sz w:val="20"/>
                <w:szCs w:val="20"/>
                <w:color w:val="auto"/>
              </w:rPr>
            </w:pPr>
            <w:r>
              <w:rPr>
                <w:rFonts w:ascii="Arial" w:cs="Arial" w:eastAsia="Arial" w:hAnsi="Arial"/>
                <w:sz w:val="18"/>
                <w:szCs w:val="18"/>
                <w:color w:val="auto"/>
              </w:rPr>
              <w:t>Director of Core &amp; Main since January 2019.</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200" w:type="dxa"/>
            <w:vAlign w:val="bottom"/>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65</w:t>
            </w:r>
          </w:p>
        </w:tc>
        <w:tc>
          <w:tcPr>
            <w:tcW w:w="240" w:type="dxa"/>
            <w:vAlign w:val="bottom"/>
          </w:tcPr>
          <w:p>
            <w:pPr>
              <w:spacing w:after="0"/>
              <w:rPr>
                <w:sz w:val="24"/>
                <w:szCs w:val="24"/>
                <w:color w:val="auto"/>
              </w:rPr>
            </w:pPr>
          </w:p>
        </w:tc>
        <w:tc>
          <w:tcPr>
            <w:tcW w:w="6560" w:type="dxa"/>
            <w:vAlign w:val="bottom"/>
          </w:tcPr>
          <w:p>
            <w:pPr>
              <w:ind w:left="28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440" w:type="dxa"/>
            <w:vAlign w:val="bottom"/>
            <w:gridSpan w:val="2"/>
          </w:tcPr>
          <w:p>
            <w:pPr>
              <w:spacing w:after="0"/>
              <w:rPr>
                <w:sz w:val="20"/>
                <w:szCs w:val="20"/>
                <w:color w:val="auto"/>
              </w:rPr>
            </w:pPr>
            <w:r>
              <w:rPr>
                <w:rFonts w:ascii="Arial" w:cs="Arial" w:eastAsia="Arial" w:hAnsi="Arial"/>
                <w:sz w:val="18"/>
                <w:szCs w:val="18"/>
                <w:b w:val="1"/>
                <w:bCs w:val="1"/>
                <w:color w:val="457157"/>
              </w:rPr>
              <w:t>Director since:</w:t>
            </w: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Kathleen  Mazzarella  has  served  as  President  and  Chief  Executive  Officer  of</w:t>
            </w:r>
          </w:p>
        </w:tc>
        <w:tc>
          <w:tcPr>
            <w:tcW w:w="0" w:type="dxa"/>
            <w:vAlign w:val="bottom"/>
          </w:tcPr>
          <w:p>
            <w:pPr>
              <w:spacing w:after="0"/>
              <w:rPr>
                <w:sz w:val="1"/>
                <w:szCs w:val="1"/>
                <w:color w:val="auto"/>
              </w:rPr>
            </w:pPr>
          </w:p>
        </w:tc>
      </w:tr>
      <w:tr>
        <w:trPr>
          <w:trHeight w:val="251"/>
        </w:trPr>
        <w:tc>
          <w:tcPr>
            <w:tcW w:w="1200" w:type="dxa"/>
            <w:vAlign w:val="bottom"/>
          </w:tcPr>
          <w:p>
            <w:pPr>
              <w:spacing w:after="0"/>
              <w:rPr>
                <w:sz w:val="20"/>
                <w:szCs w:val="20"/>
                <w:color w:val="auto"/>
              </w:rPr>
            </w:pPr>
            <w:r>
              <w:rPr>
                <w:rFonts w:ascii="Arial" w:cs="Arial" w:eastAsia="Arial" w:hAnsi="Arial"/>
                <w:sz w:val="18"/>
                <w:szCs w:val="18"/>
                <w:color w:val="auto"/>
              </w:rPr>
              <w:t>October 2015</w:t>
            </w:r>
          </w:p>
        </w:tc>
        <w:tc>
          <w:tcPr>
            <w:tcW w:w="240" w:type="dxa"/>
            <w:vAlign w:val="bottom"/>
          </w:tcPr>
          <w:p>
            <w:pPr>
              <w:spacing w:after="0"/>
              <w:rPr>
                <w:sz w:val="21"/>
                <w:szCs w:val="21"/>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Graybar Electric Company, Inc. since 2012, and as Chairman since 2013. During</w:t>
            </w:r>
          </w:p>
        </w:tc>
        <w:tc>
          <w:tcPr>
            <w:tcW w:w="0" w:type="dxa"/>
            <w:vAlign w:val="bottom"/>
          </w:tcPr>
          <w:p>
            <w:pPr>
              <w:spacing w:after="0"/>
              <w:rPr>
                <w:sz w:val="1"/>
                <w:szCs w:val="1"/>
                <w:color w:val="auto"/>
              </w:rPr>
            </w:pPr>
          </w:p>
        </w:tc>
      </w:tr>
      <w:tr>
        <w:trPr>
          <w:trHeight w:val="208"/>
        </w:trPr>
        <w:tc>
          <w:tcPr>
            <w:tcW w:w="1200" w:type="dxa"/>
            <w:vAlign w:val="bottom"/>
          </w:tcPr>
          <w:p>
            <w:pPr>
              <w:spacing w:after="0"/>
              <w:rPr>
                <w:sz w:val="20"/>
                <w:szCs w:val="20"/>
                <w:color w:val="auto"/>
              </w:rPr>
            </w:pPr>
            <w:r>
              <w:rPr>
                <w:rFonts w:ascii="Arial" w:cs="Arial" w:eastAsia="Arial" w:hAnsi="Arial"/>
                <w:sz w:val="18"/>
                <w:szCs w:val="18"/>
                <w:b w:val="1"/>
                <w:bCs w:val="1"/>
                <w:color w:val="457157"/>
              </w:rPr>
              <w:t>Chair of the</w:t>
            </w:r>
          </w:p>
        </w:tc>
        <w:tc>
          <w:tcPr>
            <w:tcW w:w="24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her more than 40-year tenure at Graybar, Ms. Mazzarella has held numerous</w:t>
            </w:r>
          </w:p>
        </w:tc>
        <w:tc>
          <w:tcPr>
            <w:tcW w:w="0" w:type="dxa"/>
            <w:vAlign w:val="bottom"/>
          </w:tcPr>
          <w:p>
            <w:pPr>
              <w:spacing w:after="0"/>
              <w:rPr>
                <w:sz w:val="1"/>
                <w:szCs w:val="1"/>
                <w:color w:val="auto"/>
              </w:rPr>
            </w:pPr>
          </w:p>
        </w:tc>
      </w:tr>
      <w:tr>
        <w:trPr>
          <w:trHeight w:val="189"/>
        </w:trPr>
        <w:tc>
          <w:tcPr>
            <w:tcW w:w="1200" w:type="dxa"/>
            <w:vAlign w:val="bottom"/>
          </w:tcPr>
          <w:p>
            <w:pPr>
              <w:spacing w:after="0" w:line="189" w:lineRule="exact"/>
              <w:rPr>
                <w:sz w:val="20"/>
                <w:szCs w:val="20"/>
                <w:color w:val="auto"/>
              </w:rPr>
            </w:pPr>
            <w:r>
              <w:rPr>
                <w:rFonts w:ascii="Arial" w:cs="Arial" w:eastAsia="Arial" w:hAnsi="Arial"/>
                <w:sz w:val="18"/>
                <w:szCs w:val="18"/>
                <w:b w:val="1"/>
                <w:bCs w:val="1"/>
                <w:color w:val="457157"/>
              </w:rPr>
              <w:t>Board since:</w:t>
            </w:r>
          </w:p>
        </w:tc>
        <w:tc>
          <w:tcPr>
            <w:tcW w:w="240" w:type="dxa"/>
            <w:vAlign w:val="bottom"/>
          </w:tcPr>
          <w:p>
            <w:pPr>
              <w:spacing w:after="0"/>
              <w:rPr>
                <w:sz w:val="16"/>
                <w:szCs w:val="16"/>
                <w:color w:val="auto"/>
              </w:rPr>
            </w:pPr>
          </w:p>
        </w:tc>
        <w:tc>
          <w:tcPr>
            <w:tcW w:w="7680" w:type="dxa"/>
            <w:vAlign w:val="bottom"/>
            <w:gridSpan w:val="3"/>
          </w:tcPr>
          <w:p>
            <w:pPr>
              <w:ind w:left="280"/>
              <w:spacing w:after="0" w:line="189" w:lineRule="exact"/>
              <w:rPr>
                <w:sz w:val="20"/>
                <w:szCs w:val="20"/>
                <w:color w:val="auto"/>
              </w:rPr>
            </w:pPr>
            <w:r>
              <w:rPr>
                <w:rFonts w:ascii="Arial" w:cs="Arial" w:eastAsia="Arial" w:hAnsi="Arial"/>
                <w:sz w:val="18"/>
                <w:szCs w:val="18"/>
                <w:color w:val="auto"/>
              </w:rPr>
              <w:t>executive-level positions in operations, sales, human resources, strategic planning</w:t>
            </w:r>
          </w:p>
        </w:tc>
        <w:tc>
          <w:tcPr>
            <w:tcW w:w="0" w:type="dxa"/>
            <w:vAlign w:val="bottom"/>
          </w:tcPr>
          <w:p>
            <w:pPr>
              <w:spacing w:after="0"/>
              <w:rPr>
                <w:sz w:val="1"/>
                <w:szCs w:val="1"/>
                <w:color w:val="auto"/>
              </w:rPr>
            </w:pPr>
          </w:p>
        </w:tc>
      </w:tr>
      <w:tr>
        <w:trPr>
          <w:trHeight w:val="251"/>
        </w:trPr>
        <w:tc>
          <w:tcPr>
            <w:tcW w:w="1200" w:type="dxa"/>
            <w:vAlign w:val="bottom"/>
          </w:tcPr>
          <w:p>
            <w:pPr>
              <w:spacing w:after="0"/>
              <w:rPr>
                <w:sz w:val="20"/>
                <w:szCs w:val="20"/>
                <w:color w:val="auto"/>
              </w:rPr>
            </w:pPr>
            <w:r>
              <w:rPr>
                <w:rFonts w:ascii="Arial" w:cs="Arial" w:eastAsia="Arial" w:hAnsi="Arial"/>
                <w:sz w:val="18"/>
                <w:szCs w:val="18"/>
                <w:color w:val="auto"/>
              </w:rPr>
              <w:t>May 2023</w:t>
            </w:r>
          </w:p>
        </w:tc>
        <w:tc>
          <w:tcPr>
            <w:tcW w:w="240" w:type="dxa"/>
            <w:vAlign w:val="bottom"/>
          </w:tcPr>
          <w:p>
            <w:pPr>
              <w:spacing w:after="0"/>
              <w:rPr>
                <w:sz w:val="21"/>
                <w:szCs w:val="21"/>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and marketing, including Executive Vice President and Chief Operating Officer,</w:t>
            </w:r>
          </w:p>
        </w:tc>
        <w:tc>
          <w:tcPr>
            <w:tcW w:w="0" w:type="dxa"/>
            <w:vAlign w:val="bottom"/>
          </w:tcPr>
          <w:p>
            <w:pPr>
              <w:spacing w:after="0"/>
              <w:rPr>
                <w:sz w:val="1"/>
                <w:szCs w:val="1"/>
                <w:color w:val="auto"/>
              </w:rPr>
            </w:pPr>
          </w:p>
        </w:tc>
      </w:tr>
      <w:tr>
        <w:trPr>
          <w:trHeight w:val="208"/>
        </w:trPr>
        <w:tc>
          <w:tcPr>
            <w:tcW w:w="1200" w:type="dxa"/>
            <w:vAlign w:val="bottom"/>
          </w:tcPr>
          <w:p>
            <w:pPr>
              <w:spacing w:after="0"/>
              <w:rPr>
                <w:sz w:val="20"/>
                <w:szCs w:val="20"/>
                <w:color w:val="auto"/>
              </w:rPr>
            </w:pPr>
            <w:r>
              <w:rPr>
                <w:rFonts w:ascii="Arial" w:cs="Arial" w:eastAsia="Arial" w:hAnsi="Arial"/>
                <w:sz w:val="18"/>
                <w:szCs w:val="18"/>
                <w:b w:val="1"/>
                <w:bCs w:val="1"/>
                <w:color w:val="457157"/>
              </w:rPr>
              <w:t>Board</w:t>
            </w:r>
          </w:p>
        </w:tc>
        <w:tc>
          <w:tcPr>
            <w:tcW w:w="24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Senior Vice President — Sales and Marketing and Senior Vice President — Human</w:t>
            </w:r>
          </w:p>
        </w:tc>
        <w:tc>
          <w:tcPr>
            <w:tcW w:w="0" w:type="dxa"/>
            <w:vAlign w:val="bottom"/>
          </w:tcPr>
          <w:p>
            <w:pPr>
              <w:spacing w:after="0"/>
              <w:rPr>
                <w:sz w:val="1"/>
                <w:szCs w:val="1"/>
                <w:color w:val="auto"/>
              </w:rPr>
            </w:pPr>
          </w:p>
        </w:tc>
      </w:tr>
      <w:tr>
        <w:trPr>
          <w:trHeight w:val="189"/>
        </w:trPr>
        <w:tc>
          <w:tcPr>
            <w:tcW w:w="1200" w:type="dxa"/>
            <w:vAlign w:val="bottom"/>
          </w:tcPr>
          <w:p>
            <w:pPr>
              <w:spacing w:after="0" w:line="189" w:lineRule="exact"/>
              <w:rPr>
                <w:sz w:val="20"/>
                <w:szCs w:val="20"/>
                <w:color w:val="auto"/>
              </w:rPr>
            </w:pPr>
            <w:r>
              <w:rPr>
                <w:rFonts w:ascii="Arial" w:cs="Arial" w:eastAsia="Arial" w:hAnsi="Arial"/>
                <w:sz w:val="18"/>
                <w:szCs w:val="18"/>
                <w:b w:val="1"/>
                <w:bCs w:val="1"/>
                <w:color w:val="457157"/>
              </w:rPr>
              <w:t>Committees:</w:t>
            </w:r>
          </w:p>
        </w:tc>
        <w:tc>
          <w:tcPr>
            <w:tcW w:w="240" w:type="dxa"/>
            <w:vAlign w:val="bottom"/>
          </w:tcPr>
          <w:p>
            <w:pPr>
              <w:spacing w:after="0"/>
              <w:rPr>
                <w:sz w:val="16"/>
                <w:szCs w:val="16"/>
                <w:color w:val="auto"/>
              </w:rPr>
            </w:pPr>
          </w:p>
        </w:tc>
        <w:tc>
          <w:tcPr>
            <w:tcW w:w="6560" w:type="dxa"/>
            <w:vAlign w:val="bottom"/>
          </w:tcPr>
          <w:p>
            <w:pPr>
              <w:ind w:left="280"/>
              <w:spacing w:after="0" w:line="189" w:lineRule="exact"/>
              <w:rPr>
                <w:sz w:val="20"/>
                <w:szCs w:val="20"/>
                <w:color w:val="auto"/>
              </w:rPr>
            </w:pPr>
            <w:r>
              <w:rPr>
                <w:rFonts w:ascii="Arial" w:cs="Arial" w:eastAsia="Arial" w:hAnsi="Arial"/>
                <w:sz w:val="18"/>
                <w:szCs w:val="18"/>
                <w:color w:val="auto"/>
              </w:rPr>
              <w:t>Resources and Strategic Planning.</w:t>
            </w: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200" w:type="dxa"/>
            <w:vAlign w:val="bottom"/>
          </w:tcPr>
          <w:p>
            <w:pPr>
              <w:spacing w:after="0" w:line="170" w:lineRule="exact"/>
              <w:rPr>
                <w:sz w:val="20"/>
                <w:szCs w:val="20"/>
                <w:color w:val="auto"/>
              </w:rPr>
            </w:pPr>
            <w:r>
              <w:rPr>
                <w:rFonts w:ascii="Arial" w:cs="Arial" w:eastAsia="Arial" w:hAnsi="Arial"/>
                <w:sz w:val="18"/>
                <w:szCs w:val="18"/>
                <w:color w:val="auto"/>
              </w:rPr>
              <w:t>Audit,</w:t>
            </w:r>
          </w:p>
        </w:tc>
        <w:tc>
          <w:tcPr>
            <w:tcW w:w="240" w:type="dxa"/>
            <w:vAlign w:val="bottom"/>
          </w:tcPr>
          <w:p>
            <w:pPr>
              <w:spacing w:after="0"/>
              <w:rPr>
                <w:sz w:val="14"/>
                <w:szCs w:val="14"/>
                <w:color w:val="auto"/>
              </w:rPr>
            </w:pPr>
          </w:p>
        </w:tc>
        <w:tc>
          <w:tcPr>
            <w:tcW w:w="7680" w:type="dxa"/>
            <w:vAlign w:val="bottom"/>
            <w:gridSpan w:val="3"/>
            <w:vMerge w:val="restart"/>
          </w:tcPr>
          <w:p>
            <w:pPr>
              <w:ind w:left="280"/>
              <w:spacing w:after="0"/>
              <w:rPr>
                <w:sz w:val="20"/>
                <w:szCs w:val="20"/>
                <w:color w:val="auto"/>
              </w:rPr>
            </w:pPr>
            <w:r>
              <w:rPr>
                <w:rFonts w:ascii="Arial" w:cs="Arial" w:eastAsia="Arial" w:hAnsi="Arial"/>
                <w:sz w:val="18"/>
                <w:szCs w:val="18"/>
                <w:color w:val="auto"/>
              </w:rPr>
              <w:t>Ms. Mazzarella has been instrumental in developing and communicating Graybar’s</w:t>
            </w:r>
          </w:p>
        </w:tc>
        <w:tc>
          <w:tcPr>
            <w:tcW w:w="0" w:type="dxa"/>
            <w:vAlign w:val="bottom"/>
          </w:tcPr>
          <w:p>
            <w:pPr>
              <w:spacing w:after="0"/>
              <w:rPr>
                <w:sz w:val="1"/>
                <w:szCs w:val="1"/>
                <w:color w:val="auto"/>
              </w:rPr>
            </w:pPr>
          </w:p>
        </w:tc>
      </w:tr>
      <w:tr>
        <w:trPr>
          <w:trHeight w:val="181"/>
        </w:trPr>
        <w:tc>
          <w:tcPr>
            <w:tcW w:w="1200" w:type="dxa"/>
            <w:vAlign w:val="bottom"/>
          </w:tcPr>
          <w:p>
            <w:pPr>
              <w:spacing w:after="0" w:line="181" w:lineRule="exact"/>
              <w:rPr>
                <w:sz w:val="20"/>
                <w:szCs w:val="20"/>
                <w:color w:val="auto"/>
              </w:rPr>
            </w:pPr>
            <w:r>
              <w:rPr>
                <w:rFonts w:ascii="Arial" w:cs="Arial" w:eastAsia="Arial" w:hAnsi="Arial"/>
                <w:sz w:val="18"/>
                <w:szCs w:val="18"/>
                <w:color w:val="auto"/>
              </w:rPr>
              <w:t>Management</w:t>
            </w:r>
          </w:p>
        </w:tc>
        <w:tc>
          <w:tcPr>
            <w:tcW w:w="240" w:type="dxa"/>
            <w:vAlign w:val="bottom"/>
          </w:tcPr>
          <w:p>
            <w:pPr>
              <w:spacing w:after="0"/>
              <w:rPr>
                <w:sz w:val="15"/>
                <w:szCs w:val="15"/>
                <w:color w:val="auto"/>
              </w:rPr>
            </w:pPr>
          </w:p>
        </w:tc>
        <w:tc>
          <w:tcPr>
            <w:tcW w:w="76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40" w:type="dxa"/>
            <w:vAlign w:val="bottom"/>
            <w:gridSpan w:val="2"/>
          </w:tcPr>
          <w:p>
            <w:pPr>
              <w:spacing w:after="0" w:line="189" w:lineRule="exact"/>
              <w:rPr>
                <w:sz w:val="20"/>
                <w:szCs w:val="20"/>
                <w:color w:val="auto"/>
              </w:rPr>
            </w:pPr>
            <w:r>
              <w:rPr>
                <w:rFonts w:ascii="Arial" w:cs="Arial" w:eastAsia="Arial" w:hAnsi="Arial"/>
                <w:sz w:val="18"/>
                <w:szCs w:val="18"/>
                <w:color w:val="auto"/>
              </w:rPr>
              <w:t>Development &amp;</w:t>
            </w:r>
          </w:p>
        </w:tc>
        <w:tc>
          <w:tcPr>
            <w:tcW w:w="7680" w:type="dxa"/>
            <w:vAlign w:val="bottom"/>
            <w:gridSpan w:val="3"/>
          </w:tcPr>
          <w:p>
            <w:pPr>
              <w:ind w:left="280"/>
              <w:spacing w:after="0" w:line="189" w:lineRule="exact"/>
              <w:rPr>
                <w:sz w:val="20"/>
                <w:szCs w:val="20"/>
                <w:color w:val="auto"/>
              </w:rPr>
            </w:pPr>
            <w:r>
              <w:rPr>
                <w:rFonts w:ascii="Arial" w:cs="Arial" w:eastAsia="Arial" w:hAnsi="Arial"/>
                <w:sz w:val="18"/>
                <w:szCs w:val="18"/>
                <w:color w:val="auto"/>
              </w:rPr>
              <w:t>commitment to sustainability initiatives. Graybar focuses on sustainability in the</w:t>
            </w: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way it operates and in the innovative solutions it provides to its customers. The</w:t>
            </w:r>
          </w:p>
        </w:tc>
        <w:tc>
          <w:tcPr>
            <w:tcW w:w="0" w:type="dxa"/>
            <w:vAlign w:val="bottom"/>
          </w:tcPr>
          <w:p>
            <w:pPr>
              <w:spacing w:after="0"/>
              <w:rPr>
                <w:sz w:val="1"/>
                <w:szCs w:val="1"/>
                <w:color w:val="auto"/>
              </w:rPr>
            </w:pPr>
          </w:p>
        </w:tc>
      </w:tr>
      <w:tr>
        <w:trPr>
          <w:trHeight w:val="135"/>
        </w:trPr>
        <w:tc>
          <w:tcPr>
            <w:tcW w:w="1200" w:type="dxa"/>
            <w:vAlign w:val="bottom"/>
          </w:tcPr>
          <w:p>
            <w:pPr>
              <w:spacing w:after="0" w:line="135" w:lineRule="exact"/>
              <w:rPr>
                <w:sz w:val="20"/>
                <w:szCs w:val="20"/>
                <w:color w:val="auto"/>
              </w:rPr>
            </w:pPr>
            <w:r>
              <w:rPr>
                <w:rFonts w:ascii="Arial" w:cs="Arial" w:eastAsia="Arial" w:hAnsi="Arial"/>
                <w:sz w:val="15"/>
                <w:szCs w:val="15"/>
                <w:color w:val="auto"/>
              </w:rPr>
              <w:t>and</w:t>
            </w:r>
          </w:p>
        </w:tc>
        <w:tc>
          <w:tcPr>
            <w:tcW w:w="240" w:type="dxa"/>
            <w:vAlign w:val="bottom"/>
          </w:tcPr>
          <w:p>
            <w:pPr>
              <w:spacing w:after="0"/>
              <w:rPr>
                <w:sz w:val="11"/>
                <w:szCs w:val="11"/>
                <w:color w:val="auto"/>
              </w:rPr>
            </w:pPr>
          </w:p>
        </w:tc>
        <w:tc>
          <w:tcPr>
            <w:tcW w:w="6560" w:type="dxa"/>
            <w:vAlign w:val="bottom"/>
            <w:vMerge w:val="restart"/>
          </w:tcPr>
          <w:p>
            <w:pPr>
              <w:ind w:left="280"/>
              <w:spacing w:after="0"/>
              <w:rPr>
                <w:sz w:val="20"/>
                <w:szCs w:val="20"/>
                <w:color w:val="auto"/>
              </w:rPr>
            </w:pPr>
            <w:r>
              <w:rPr>
                <w:rFonts w:ascii="Arial" w:cs="Arial" w:eastAsia="Arial" w:hAnsi="Arial"/>
                <w:sz w:val="18"/>
                <w:szCs w:val="18"/>
                <w:color w:val="auto"/>
              </w:rPr>
              <w:t>company offers energy-saving products, renewable energy solutions</w:t>
            </w:r>
          </w:p>
        </w:tc>
        <w:tc>
          <w:tcPr>
            <w:tcW w:w="1120" w:type="dxa"/>
            <w:vAlign w:val="bottom"/>
            <w:gridSpan w:val="2"/>
            <w:vMerge w:val="restart"/>
          </w:tcPr>
          <w:p>
            <w:pPr>
              <w:ind w:left="60"/>
              <w:spacing w:after="0"/>
              <w:rPr>
                <w:sz w:val="20"/>
                <w:szCs w:val="20"/>
                <w:color w:val="auto"/>
              </w:rPr>
            </w:pPr>
            <w:r>
              <w:rPr>
                <w:rFonts w:ascii="Arial" w:cs="Arial" w:eastAsia="Arial" w:hAnsi="Arial"/>
                <w:sz w:val="18"/>
                <w:szCs w:val="18"/>
                <w:color w:val="auto"/>
              </w:rPr>
              <w:t>and supply</w:t>
            </w:r>
          </w:p>
        </w:tc>
        <w:tc>
          <w:tcPr>
            <w:tcW w:w="0" w:type="dxa"/>
            <w:vAlign w:val="bottom"/>
          </w:tcPr>
          <w:p>
            <w:pPr>
              <w:spacing w:after="0"/>
              <w:rPr>
                <w:sz w:val="1"/>
                <w:szCs w:val="1"/>
                <w:color w:val="auto"/>
              </w:rPr>
            </w:pPr>
          </w:p>
        </w:tc>
      </w:tr>
      <w:tr>
        <w:trPr>
          <w:trHeight w:val="116"/>
        </w:trPr>
        <w:tc>
          <w:tcPr>
            <w:tcW w:w="1200" w:type="dxa"/>
            <w:vAlign w:val="bottom"/>
            <w:vMerge w:val="restart"/>
          </w:tcPr>
          <w:p>
            <w:pPr>
              <w:spacing w:after="0" w:line="176" w:lineRule="exact"/>
              <w:rPr>
                <w:sz w:val="20"/>
                <w:szCs w:val="20"/>
                <w:color w:val="auto"/>
              </w:rPr>
            </w:pPr>
            <w:r>
              <w:rPr>
                <w:rFonts w:ascii="Arial" w:cs="Arial" w:eastAsia="Arial" w:hAnsi="Arial"/>
                <w:sz w:val="18"/>
                <w:szCs w:val="18"/>
                <w:color w:val="auto"/>
              </w:rPr>
              <w:t>Nominating &amp;</w:t>
            </w:r>
          </w:p>
        </w:tc>
        <w:tc>
          <w:tcPr>
            <w:tcW w:w="240" w:type="dxa"/>
            <w:vAlign w:val="bottom"/>
          </w:tcPr>
          <w:p>
            <w:pPr>
              <w:spacing w:after="0"/>
              <w:rPr>
                <w:sz w:val="10"/>
                <w:szCs w:val="10"/>
                <w:color w:val="auto"/>
              </w:rPr>
            </w:pPr>
          </w:p>
        </w:tc>
        <w:tc>
          <w:tcPr>
            <w:tcW w:w="656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2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680" w:type="dxa"/>
            <w:vAlign w:val="bottom"/>
            <w:gridSpan w:val="3"/>
            <w:vMerge w:val="restart"/>
          </w:tcPr>
          <w:p>
            <w:pPr>
              <w:ind w:left="280"/>
              <w:spacing w:after="0"/>
              <w:rPr>
                <w:sz w:val="20"/>
                <w:szCs w:val="20"/>
                <w:color w:val="auto"/>
              </w:rPr>
            </w:pPr>
            <w:r>
              <w:rPr>
                <w:rFonts w:ascii="Arial" w:cs="Arial" w:eastAsia="Arial" w:hAnsi="Arial"/>
                <w:sz w:val="18"/>
                <w:szCs w:val="18"/>
                <w:color w:val="auto"/>
              </w:rPr>
              <w:t>chain services that support sustainable construction, renovation and maintenance</w:t>
            </w:r>
          </w:p>
        </w:tc>
        <w:tc>
          <w:tcPr>
            <w:tcW w:w="0" w:type="dxa"/>
            <w:vAlign w:val="bottom"/>
          </w:tcPr>
          <w:p>
            <w:pPr>
              <w:spacing w:after="0"/>
              <w:rPr>
                <w:sz w:val="1"/>
                <w:szCs w:val="1"/>
                <w:color w:val="auto"/>
              </w:rPr>
            </w:pPr>
          </w:p>
        </w:tc>
      </w:tr>
      <w:tr>
        <w:trPr>
          <w:trHeight w:val="176"/>
        </w:trPr>
        <w:tc>
          <w:tcPr>
            <w:tcW w:w="1200" w:type="dxa"/>
            <w:vAlign w:val="bottom"/>
          </w:tcPr>
          <w:p>
            <w:pPr>
              <w:spacing w:after="0" w:line="176" w:lineRule="exact"/>
              <w:rPr>
                <w:sz w:val="20"/>
                <w:szCs w:val="20"/>
                <w:color w:val="auto"/>
              </w:rPr>
            </w:pPr>
            <w:r>
              <w:rPr>
                <w:rFonts w:ascii="Arial" w:cs="Arial" w:eastAsia="Arial" w:hAnsi="Arial"/>
                <w:sz w:val="18"/>
                <w:szCs w:val="18"/>
                <w:color w:val="auto"/>
              </w:rPr>
              <w:t>Governance</w:t>
            </w:r>
          </w:p>
        </w:tc>
        <w:tc>
          <w:tcPr>
            <w:tcW w:w="240" w:type="dxa"/>
            <w:vAlign w:val="bottom"/>
          </w:tcPr>
          <w:p>
            <w:pPr>
              <w:spacing w:after="0"/>
              <w:rPr>
                <w:sz w:val="15"/>
                <w:szCs w:val="15"/>
                <w:color w:val="auto"/>
              </w:rPr>
            </w:pPr>
          </w:p>
        </w:tc>
        <w:tc>
          <w:tcPr>
            <w:tcW w:w="76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80" w:type="dxa"/>
            <w:vAlign w:val="bottom"/>
            <w:gridSpan w:val="3"/>
          </w:tcPr>
          <w:p>
            <w:pPr>
              <w:ind w:left="280"/>
              <w:spacing w:after="0" w:line="197" w:lineRule="exact"/>
              <w:rPr>
                <w:sz w:val="20"/>
                <w:szCs w:val="20"/>
                <w:color w:val="auto"/>
              </w:rPr>
            </w:pPr>
            <w:r>
              <w:rPr>
                <w:rFonts w:ascii="Arial" w:cs="Arial" w:eastAsia="Arial" w:hAnsi="Arial"/>
                <w:sz w:val="18"/>
                <w:szCs w:val="18"/>
                <w:color w:val="auto"/>
              </w:rPr>
              <w:t>of infrastructure and facilities. The company also invests in the communities it</w:t>
            </w:r>
          </w:p>
        </w:tc>
        <w:tc>
          <w:tcPr>
            <w:tcW w:w="0" w:type="dxa"/>
            <w:vAlign w:val="bottom"/>
          </w:tcPr>
          <w:p>
            <w:pPr>
              <w:spacing w:after="0"/>
              <w:rPr>
                <w:sz w:val="1"/>
                <w:szCs w:val="1"/>
                <w:color w:val="auto"/>
              </w:rPr>
            </w:pPr>
          </w:p>
        </w:tc>
      </w:tr>
      <w:tr>
        <w:trPr>
          <w:trHeight w:val="239"/>
        </w:trPr>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serves and emphasizes integrity, inclusion and opportunity for all employees.</w:t>
            </w:r>
          </w:p>
        </w:tc>
        <w:tc>
          <w:tcPr>
            <w:tcW w:w="0" w:type="dxa"/>
            <w:vAlign w:val="bottom"/>
          </w:tcPr>
          <w:p>
            <w:pPr>
              <w:spacing w:after="0"/>
              <w:rPr>
                <w:sz w:val="1"/>
                <w:szCs w:val="1"/>
                <w:color w:val="auto"/>
              </w:rPr>
            </w:pPr>
          </w:p>
        </w:tc>
      </w:tr>
      <w:tr>
        <w:trPr>
          <w:trHeight w:val="301"/>
        </w:trPr>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Ms. Mazzarella brings her deep and valuable experience leading a diverse range</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of  business  functions  necessary  for  an  employee-driven,  customer-focused</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business, similar to our Company. Through her role as Chief Executive Officer and</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her  service  on  the  board  of  directors  and  key  committees  for  other  public</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companies, she has developed expertise in the evolving social and corporate</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governance landscape. In addition to her experience overseeing financial reporting</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and  controls,  technology  systems  and  platforms,  and  other  functional  and</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operational areas, she has particular experience in the area of human capital</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management, including succession planning, diversity and inclusion initiatives, and</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80" w:type="dxa"/>
            <w:vAlign w:val="bottom"/>
            <w:gridSpan w:val="3"/>
          </w:tcPr>
          <w:p>
            <w:pPr>
              <w:ind w:left="280"/>
              <w:spacing w:after="0"/>
              <w:rPr>
                <w:sz w:val="20"/>
                <w:szCs w:val="20"/>
                <w:color w:val="auto"/>
              </w:rPr>
            </w:pPr>
            <w:r>
              <w:rPr>
                <w:rFonts w:ascii="Arial" w:cs="Arial" w:eastAsia="Arial" w:hAnsi="Arial"/>
                <w:sz w:val="18"/>
                <w:szCs w:val="18"/>
                <w:color w:val="auto"/>
              </w:rPr>
              <w:t>oversight  of  corporate  culture.  Ms.  Mazzarella  also  brings  expertise  in  labor</w:t>
            </w:r>
          </w:p>
        </w:tc>
        <w:tc>
          <w:tcPr>
            <w:tcW w:w="0" w:type="dxa"/>
            <w:vAlign w:val="bottom"/>
          </w:tcPr>
          <w:p>
            <w:pPr>
              <w:spacing w:after="0"/>
              <w:rPr>
                <w:sz w:val="1"/>
                <w:szCs w:val="1"/>
                <w:color w:val="auto"/>
              </w:rPr>
            </w:pPr>
          </w:p>
        </w:tc>
      </w:tr>
      <w:tr>
        <w:trPr>
          <w:trHeight w:val="239"/>
        </w:trPr>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560" w:type="dxa"/>
            <w:vAlign w:val="bottom"/>
          </w:tcPr>
          <w:p>
            <w:pPr>
              <w:ind w:left="280"/>
              <w:spacing w:after="0"/>
              <w:rPr>
                <w:sz w:val="20"/>
                <w:szCs w:val="20"/>
                <w:color w:val="auto"/>
              </w:rPr>
            </w:pPr>
            <w:r>
              <w:rPr>
                <w:rFonts w:ascii="Arial" w:cs="Arial" w:eastAsia="Arial" w:hAnsi="Arial"/>
                <w:sz w:val="18"/>
                <w:szCs w:val="18"/>
                <w:color w:val="auto"/>
              </w:rPr>
              <w:t>relations, public policy, operational innovation and strategic planning.</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-5068570</wp:posOffset>
            </wp:positionV>
            <wp:extent cx="1028700" cy="65925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028700" cy="6592570"/>
                    </a:xfrm>
                    <a:prstGeom prst="rect">
                      <a:avLst/>
                    </a:prstGeom>
                    <a:noFill/>
                  </pic:spPr>
                </pic:pic>
              </a:graphicData>
            </a:graphic>
          </wp:anchor>
        </w:drawing>
      </w:r>
    </w:p>
    <w:p>
      <w:pPr>
        <w:spacing w:after="0" w:line="65" w:lineRule="exact"/>
        <w:rPr>
          <w:sz w:val="20"/>
          <w:szCs w:val="20"/>
          <w:color w:val="auto"/>
        </w:rPr>
      </w:pPr>
    </w:p>
    <w:p>
      <w:pPr>
        <w:jc w:val="both"/>
        <w:ind w:left="2540" w:right="80"/>
        <w:spacing w:after="0" w:line="268" w:lineRule="auto"/>
        <w:rPr>
          <w:sz w:val="20"/>
          <w:szCs w:val="20"/>
          <w:color w:val="auto"/>
        </w:rPr>
      </w:pPr>
      <w:r>
        <w:rPr>
          <w:rFonts w:ascii="Arial" w:cs="Arial" w:eastAsia="Arial" w:hAnsi="Arial"/>
          <w:sz w:val="18"/>
          <w:szCs w:val="18"/>
          <w:color w:val="auto"/>
        </w:rPr>
        <w:t>Ms. Mazzarella holds an associate degree in telecommunications engineering, a bachelor’s degree in applied behavioral sciences from National Louis University, and a master’s degree in business administration from Webster University.</w:t>
      </w:r>
    </w:p>
    <w:p>
      <w:pPr>
        <w:spacing w:after="0" w:line="63" w:lineRule="exact"/>
        <w:rPr>
          <w:sz w:val="20"/>
          <w:szCs w:val="20"/>
          <w:color w:val="auto"/>
        </w:rPr>
      </w:pPr>
    </w:p>
    <w:p>
      <w:pPr>
        <w:jc w:val="both"/>
        <w:ind w:left="2540" w:right="80"/>
        <w:spacing w:after="0" w:line="257" w:lineRule="auto"/>
        <w:rPr>
          <w:sz w:val="20"/>
          <w:szCs w:val="20"/>
          <w:color w:val="auto"/>
        </w:rPr>
      </w:pPr>
      <w:r>
        <w:rPr>
          <w:rFonts w:ascii="Arial" w:cs="Arial" w:eastAsia="Arial" w:hAnsi="Arial"/>
          <w:sz w:val="18"/>
          <w:szCs w:val="18"/>
          <w:color w:val="auto"/>
        </w:rPr>
        <w:t>In addition to the public company boards listed above, Ms. Mazzarella also serves on the board of the National Association of Wholesaler -Distributors (NAW) and previously served on the board of the NAW Institute for Distribution Excellence. Ms. Mazzarella previously served as Chairman of the Federal Reserve Bank of St. Louis, and she has experience serving on various organizational and charitable boards including the United Way of Greater St. Louis and the executive committee of Greater St. Louis,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714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ELECTION OF DIRECTORS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188"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1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540" w:type="dxa"/>
            <w:vAlign w:val="bottom"/>
          </w:tcPr>
          <w:p>
            <w:pPr>
              <w:spacing w:after="0"/>
              <w:rPr>
                <w:sz w:val="7"/>
                <w:szCs w:val="7"/>
                <w:color w:val="auto"/>
              </w:rPr>
            </w:pPr>
          </w:p>
        </w:tc>
        <w:tc>
          <w:tcPr>
            <w:tcW w:w="190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146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160" w:type="dxa"/>
            <w:vAlign w:val="bottom"/>
            <w:tcBorders>
              <w:right w:val="single" w:sz="8" w:color="457157"/>
            </w:tcBorders>
            <w:shd w:val="clear" w:color="auto" w:fill="457157"/>
          </w:tcPr>
          <w:p>
            <w:pPr>
              <w:spacing w:after="0"/>
              <w:rPr>
                <w:sz w:val="17"/>
                <w:szCs w:val="17"/>
                <w:color w:val="auto"/>
              </w:rPr>
            </w:pPr>
          </w:p>
        </w:tc>
        <w:tc>
          <w:tcPr>
            <w:tcW w:w="5540" w:type="dxa"/>
            <w:vAlign w:val="bottom"/>
            <w:shd w:val="clear" w:color="auto" w:fill="457157"/>
          </w:tcPr>
          <w:p>
            <w:pPr>
              <w:spacing w:after="0"/>
              <w:rPr>
                <w:sz w:val="17"/>
                <w:szCs w:val="17"/>
                <w:color w:val="auto"/>
              </w:rPr>
            </w:pPr>
          </w:p>
        </w:tc>
        <w:tc>
          <w:tcPr>
            <w:tcW w:w="190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60" w:type="dxa"/>
            <w:vAlign w:val="bottom"/>
            <w:gridSpan w:val="3"/>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S</w:t>
            </w:r>
            <w:r>
              <w:rPr>
                <w:rFonts w:ascii="Arial" w:cs="Arial" w:eastAsia="Arial" w:hAnsi="Arial"/>
                <w:sz w:val="16"/>
                <w:szCs w:val="16"/>
                <w:b w:val="1"/>
                <w:bCs w:val="1"/>
                <w:color w:val="FEFEFE"/>
              </w:rPr>
              <w:t>EAN</w:t>
            </w:r>
            <w:r>
              <w:rPr>
                <w:rFonts w:ascii="Arial" w:cs="Arial" w:eastAsia="Arial" w:hAnsi="Arial"/>
                <w:sz w:val="23"/>
                <w:szCs w:val="23"/>
                <w:b w:val="1"/>
                <w:bCs w:val="1"/>
                <w:color w:val="FEFEFE"/>
              </w:rPr>
              <w:t xml:space="preserve"> E. M</w:t>
            </w:r>
            <w:r>
              <w:rPr>
                <w:rFonts w:ascii="Arial" w:cs="Arial" w:eastAsia="Arial" w:hAnsi="Arial"/>
                <w:sz w:val="16"/>
                <w:szCs w:val="16"/>
                <w:b w:val="1"/>
                <w:bCs w:val="1"/>
                <w:color w:val="FEFEFE"/>
              </w:rPr>
              <w:t>ENKE</w:t>
            </w:r>
            <w:r>
              <w:rPr>
                <w:rFonts w:ascii="Arial" w:cs="Arial" w:eastAsia="Arial" w:hAnsi="Arial"/>
                <w:sz w:val="18"/>
                <w:szCs w:val="18"/>
                <w:b w:val="1"/>
                <w:bCs w:val="1"/>
                <w:color w:val="FEFEFE"/>
              </w:rPr>
              <w:t>​</w:t>
            </w:r>
          </w:p>
        </w:tc>
        <w:tc>
          <w:tcPr>
            <w:tcW w:w="1900" w:type="dxa"/>
            <w:vAlign w:val="bottom"/>
            <w:shd w:val="clear" w:color="auto" w:fill="457157"/>
          </w:tcPr>
          <w:p>
            <w:pPr>
              <w:spacing w:after="0"/>
              <w:rPr>
                <w:sz w:val="17"/>
                <w:szCs w:val="1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14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457157"/>
            </w:tcBorders>
          </w:tcPr>
          <w:p>
            <w:pPr>
              <w:ind w:left="100"/>
              <w:spacing w:after="0"/>
              <w:rPr>
                <w:sz w:val="20"/>
                <w:szCs w:val="20"/>
                <w:color w:val="auto"/>
              </w:rPr>
            </w:pPr>
            <w:r>
              <w:rPr>
                <w:rFonts w:ascii="Arial" w:cs="Arial" w:eastAsia="Arial" w:hAnsi="Arial"/>
                <w:sz w:val="18"/>
                <w:szCs w:val="18"/>
                <w:color w:val="auto"/>
              </w:rPr>
              <w:t>​</w:t>
            </w:r>
          </w:p>
        </w:tc>
        <w:tc>
          <w:tcPr>
            <w:tcW w:w="5540" w:type="dxa"/>
            <w:vAlign w:val="bottom"/>
          </w:tcPr>
          <w:p>
            <w:pPr>
              <w:ind w:left="40"/>
              <w:spacing w:after="0"/>
              <w:rPr>
                <w:sz w:val="20"/>
                <w:szCs w:val="20"/>
                <w:color w:val="auto"/>
              </w:rPr>
            </w:pPr>
            <w:r>
              <w:rPr>
                <w:rFonts w:ascii="Arial" w:cs="Arial" w:eastAsia="Arial" w:hAnsi="Arial"/>
                <w:sz w:val="35"/>
                <w:szCs w:val="35"/>
                <w:color w:val="000000"/>
                <w:vertAlign w:val="superscript"/>
              </w:rPr>
              <w:t>​</w:t>
            </w:r>
            <w:r>
              <w:rPr>
                <w:rFonts w:ascii="Arial" w:cs="Arial" w:eastAsia="Arial" w:hAnsi="Arial"/>
                <w:sz w:val="25"/>
                <w:szCs w:val="25"/>
                <w:b w:val="1"/>
                <w:bCs w:val="1"/>
                <w:color w:val="457157"/>
              </w:rPr>
              <w:t>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190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160" w:type="dxa"/>
            <w:vAlign w:val="bottom"/>
            <w:tcBorders>
              <w:right w:val="single" w:sz="8" w:color="457157"/>
            </w:tcBorders>
          </w:tcPr>
          <w:p>
            <w:pPr>
              <w:spacing w:after="0"/>
              <w:rPr>
                <w:sz w:val="22"/>
                <w:szCs w:val="22"/>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Former Chief Executive Officer of Sabre Corporation (software and technology</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solutions  provider  to  the  travel  industry)  from  2016  to  April  2023  and  former</w:t>
            </w:r>
          </w:p>
        </w:tc>
        <w:tc>
          <w:tcPr>
            <w:tcW w:w="0" w:type="dxa"/>
            <w:vAlign w:val="bottom"/>
          </w:tcPr>
          <w:p>
            <w:pPr>
              <w:spacing w:after="0"/>
              <w:rPr>
                <w:sz w:val="1"/>
                <w:szCs w:val="1"/>
                <w:color w:val="auto"/>
              </w:rPr>
            </w:pPr>
          </w:p>
        </w:tc>
      </w:tr>
      <w:tr>
        <w:trPr>
          <w:trHeight w:val="239"/>
        </w:trPr>
        <w:tc>
          <w:tcPr>
            <w:tcW w:w="1460" w:type="dxa"/>
            <w:vAlign w:val="bottom"/>
          </w:tcPr>
          <w:p>
            <w:pPr>
              <w:spacing w:after="0"/>
              <w:rPr>
                <w:sz w:val="20"/>
                <w:szCs w:val="20"/>
                <w:color w:val="auto"/>
              </w:rPr>
            </w:pPr>
          </w:p>
        </w:tc>
        <w:tc>
          <w:tcPr>
            <w:tcW w:w="160" w:type="dxa"/>
            <w:vAlign w:val="bottom"/>
            <w:tcBorders>
              <w:right w:val="single" w:sz="8" w:color="457157"/>
            </w:tcBorders>
          </w:tcPr>
          <w:p>
            <w:pPr>
              <w:spacing w:after="0"/>
              <w:rPr>
                <w:sz w:val="20"/>
                <w:szCs w:val="20"/>
                <w:color w:val="auto"/>
              </w:rPr>
            </w:pPr>
          </w:p>
        </w:tc>
        <w:tc>
          <w:tcPr>
            <w:tcW w:w="5540" w:type="dxa"/>
            <w:vAlign w:val="bottom"/>
          </w:tcPr>
          <w:p>
            <w:pPr>
              <w:ind w:left="100"/>
              <w:spacing w:after="0"/>
              <w:rPr>
                <w:sz w:val="20"/>
                <w:szCs w:val="20"/>
                <w:color w:val="auto"/>
              </w:rPr>
            </w:pPr>
            <w:r>
              <w:rPr>
                <w:rFonts w:ascii="Arial" w:cs="Arial" w:eastAsia="Arial" w:hAnsi="Arial"/>
                <w:sz w:val="18"/>
                <w:szCs w:val="18"/>
                <w:color w:val="auto"/>
              </w:rPr>
              <w:t>President of Sabre Corporation from 2016 to December 2021.</w:t>
            </w:r>
          </w:p>
        </w:tc>
        <w:tc>
          <w:tcPr>
            <w:tcW w:w="1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460" w:type="dxa"/>
            <w:vAlign w:val="bottom"/>
          </w:tcPr>
          <w:p>
            <w:pPr>
              <w:spacing w:after="0"/>
              <w:rPr>
                <w:sz w:val="24"/>
                <w:szCs w:val="24"/>
                <w:color w:val="auto"/>
              </w:rPr>
            </w:pPr>
          </w:p>
        </w:tc>
        <w:tc>
          <w:tcPr>
            <w:tcW w:w="160" w:type="dxa"/>
            <w:vAlign w:val="bottom"/>
            <w:tcBorders>
              <w:right w:val="single" w:sz="8" w:color="457157"/>
            </w:tcBorders>
          </w:tcPr>
          <w:p>
            <w:pPr>
              <w:spacing w:after="0"/>
              <w:rPr>
                <w:sz w:val="24"/>
                <w:szCs w:val="24"/>
                <w:color w:val="auto"/>
              </w:rPr>
            </w:pPr>
          </w:p>
        </w:tc>
        <w:tc>
          <w:tcPr>
            <w:tcW w:w="5540" w:type="dxa"/>
            <w:vAlign w:val="bottom"/>
          </w:tcPr>
          <w:p>
            <w:pPr>
              <w:ind w:left="100"/>
              <w:spacing w:after="0"/>
              <w:rPr>
                <w:sz w:val="20"/>
                <w:szCs w:val="20"/>
                <w:color w:val="auto"/>
              </w:rPr>
            </w:pPr>
            <w:r>
              <w:rPr>
                <w:rFonts w:ascii="Arial" w:cs="Arial" w:eastAsia="Arial" w:hAnsi="Arial"/>
                <w:sz w:val="18"/>
                <w:szCs w:val="18"/>
                <w:color w:val="auto"/>
              </w:rPr>
              <w:t>Executive  Chairman  of  the  Board of  Sabre  Corporation</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from  April  2022  to</w:t>
            </w:r>
          </w:p>
        </w:tc>
        <w:tc>
          <w:tcPr>
            <w:tcW w:w="0" w:type="dxa"/>
            <w:vAlign w:val="bottom"/>
          </w:tcPr>
          <w:p>
            <w:pPr>
              <w:spacing w:after="0"/>
              <w:rPr>
                <w:sz w:val="1"/>
                <w:szCs w:val="1"/>
                <w:color w:val="auto"/>
              </w:rPr>
            </w:pPr>
          </w:p>
        </w:tc>
      </w:tr>
      <w:tr>
        <w:trPr>
          <w:trHeight w:val="239"/>
        </w:trPr>
        <w:tc>
          <w:tcPr>
            <w:tcW w:w="1460" w:type="dxa"/>
            <w:vAlign w:val="bottom"/>
          </w:tcPr>
          <w:p>
            <w:pPr>
              <w:spacing w:after="0"/>
              <w:rPr>
                <w:sz w:val="20"/>
                <w:szCs w:val="20"/>
                <w:color w:val="auto"/>
              </w:rPr>
            </w:pPr>
          </w:p>
        </w:tc>
        <w:tc>
          <w:tcPr>
            <w:tcW w:w="160" w:type="dxa"/>
            <w:vAlign w:val="bottom"/>
            <w:tcBorders>
              <w:right w:val="single" w:sz="8" w:color="457157"/>
            </w:tcBorders>
          </w:tcPr>
          <w:p>
            <w:pPr>
              <w:spacing w:after="0"/>
              <w:rPr>
                <w:sz w:val="20"/>
                <w:szCs w:val="20"/>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April 2024; Director of Sabre Corporation from 2016 to April 2024.</w:t>
            </w:r>
          </w:p>
        </w:tc>
        <w:tc>
          <w:tcPr>
            <w:tcW w:w="0" w:type="dxa"/>
            <w:vAlign w:val="bottom"/>
          </w:tcPr>
          <w:p>
            <w:pPr>
              <w:spacing w:after="0"/>
              <w:rPr>
                <w:sz w:val="1"/>
                <w:szCs w:val="1"/>
                <w:color w:val="auto"/>
              </w:rPr>
            </w:pPr>
          </w:p>
        </w:tc>
      </w:tr>
      <w:tr>
        <w:trPr>
          <w:trHeight w:val="324"/>
        </w:trPr>
        <w:tc>
          <w:tcPr>
            <w:tcW w:w="1460" w:type="dxa"/>
            <w:vAlign w:val="bottom"/>
            <w:vMerge w:val="restart"/>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56</w:t>
            </w:r>
          </w:p>
        </w:tc>
        <w:tc>
          <w:tcPr>
            <w:tcW w:w="160" w:type="dxa"/>
            <w:vAlign w:val="bottom"/>
            <w:tcBorders>
              <w:right w:val="single" w:sz="8" w:color="457157"/>
            </w:tcBorders>
          </w:tcPr>
          <w:p>
            <w:pPr>
              <w:spacing w:after="0"/>
              <w:rPr>
                <w:sz w:val="24"/>
                <w:szCs w:val="24"/>
                <w:color w:val="auto"/>
              </w:rPr>
            </w:pPr>
          </w:p>
        </w:tc>
        <w:tc>
          <w:tcPr>
            <w:tcW w:w="5540" w:type="dxa"/>
            <w:vAlign w:val="bottom"/>
          </w:tcPr>
          <w:p>
            <w:pPr>
              <w:ind w:left="100"/>
              <w:spacing w:after="0"/>
              <w:rPr>
                <w:sz w:val="20"/>
                <w:szCs w:val="20"/>
                <w:color w:val="auto"/>
              </w:rPr>
            </w:pPr>
            <w:r>
              <w:rPr>
                <w:rFonts w:ascii="Arial" w:cs="Arial" w:eastAsia="Arial" w:hAnsi="Arial"/>
                <w:sz w:val="18"/>
                <w:szCs w:val="18"/>
                <w:color w:val="auto"/>
              </w:rPr>
              <w:t>Director of JetBlue Airways Corp. since September 2024.</w:t>
            </w:r>
          </w:p>
        </w:tc>
        <w:tc>
          <w:tcPr>
            <w:tcW w:w="1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60" w:type="dxa"/>
            <w:vAlign w:val="bottom"/>
            <w:vMerge w:val="continue"/>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5540" w:type="dxa"/>
            <w:vAlign w:val="bottom"/>
            <w:vMerge w:val="restart"/>
          </w:tcPr>
          <w:p>
            <w:pPr>
              <w:ind w:left="10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60" w:type="dxa"/>
            <w:vAlign w:val="bottom"/>
            <w:vMerge w:val="restart"/>
          </w:tcPr>
          <w:p>
            <w:pPr>
              <w:spacing w:after="0"/>
              <w:rPr>
                <w:sz w:val="20"/>
                <w:szCs w:val="20"/>
                <w:color w:val="auto"/>
              </w:rPr>
            </w:pPr>
            <w:r>
              <w:rPr>
                <w:rFonts w:ascii="Arial" w:cs="Arial" w:eastAsia="Arial" w:hAnsi="Arial"/>
                <w:sz w:val="18"/>
                <w:szCs w:val="18"/>
                <w:b w:val="1"/>
                <w:bCs w:val="1"/>
                <w:color w:val="457157"/>
              </w:rPr>
              <w:t>Director since:</w:t>
            </w:r>
          </w:p>
        </w:tc>
        <w:tc>
          <w:tcPr>
            <w:tcW w:w="160" w:type="dxa"/>
            <w:vAlign w:val="bottom"/>
            <w:tcBorders>
              <w:right w:val="single" w:sz="8" w:color="457157"/>
            </w:tcBorders>
          </w:tcPr>
          <w:p>
            <w:pPr>
              <w:spacing w:after="0"/>
              <w:rPr>
                <w:sz w:val="18"/>
                <w:szCs w:val="18"/>
                <w:color w:val="auto"/>
              </w:rPr>
            </w:pPr>
          </w:p>
        </w:tc>
        <w:tc>
          <w:tcPr>
            <w:tcW w:w="554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460" w:type="dxa"/>
            <w:vAlign w:val="bottom"/>
            <w:vMerge w:val="continue"/>
          </w:tcPr>
          <w:p>
            <w:pPr>
              <w:spacing w:after="0"/>
              <w:rPr>
                <w:sz w:val="2"/>
                <w:szCs w:val="2"/>
                <w:color w:val="auto"/>
              </w:rPr>
            </w:pPr>
          </w:p>
        </w:tc>
        <w:tc>
          <w:tcPr>
            <w:tcW w:w="160" w:type="dxa"/>
            <w:vAlign w:val="bottom"/>
            <w:tcBorders>
              <w:right w:val="single" w:sz="8" w:color="457157"/>
            </w:tcBorders>
          </w:tcPr>
          <w:p>
            <w:pPr>
              <w:spacing w:after="0"/>
              <w:rPr>
                <w:sz w:val="2"/>
                <w:szCs w:val="2"/>
                <w:color w:val="auto"/>
              </w:rPr>
            </w:pPr>
          </w:p>
        </w:tc>
        <w:tc>
          <w:tcPr>
            <w:tcW w:w="5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1460" w:type="dxa"/>
            <w:vAlign w:val="bottom"/>
          </w:tcPr>
          <w:p>
            <w:pPr>
              <w:spacing w:after="0"/>
              <w:rPr>
                <w:sz w:val="20"/>
                <w:szCs w:val="20"/>
                <w:color w:val="auto"/>
              </w:rPr>
            </w:pPr>
            <w:r>
              <w:rPr>
                <w:rFonts w:ascii="Arial" w:cs="Arial" w:eastAsia="Arial" w:hAnsi="Arial"/>
                <w:sz w:val="18"/>
                <w:szCs w:val="18"/>
                <w:color w:val="auto"/>
              </w:rPr>
              <w:t>March 2021</w:t>
            </w:r>
          </w:p>
        </w:tc>
        <w:tc>
          <w:tcPr>
            <w:tcW w:w="160" w:type="dxa"/>
            <w:vAlign w:val="bottom"/>
            <w:tcBorders>
              <w:right w:val="single" w:sz="8" w:color="457157"/>
            </w:tcBorders>
          </w:tcPr>
          <w:p>
            <w:pPr>
              <w:spacing w:after="0"/>
              <w:rPr>
                <w:sz w:val="23"/>
                <w:szCs w:val="23"/>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Having  recently  served  as  Chief  Executive  Officer  and  Chair  of  the  Board  of</w:t>
            </w:r>
          </w:p>
        </w:tc>
        <w:tc>
          <w:tcPr>
            <w:tcW w:w="0" w:type="dxa"/>
            <w:vAlign w:val="bottom"/>
          </w:tcPr>
          <w:p>
            <w:pPr>
              <w:spacing w:after="0"/>
              <w:rPr>
                <w:sz w:val="1"/>
                <w:szCs w:val="1"/>
                <w:color w:val="auto"/>
              </w:rPr>
            </w:pPr>
          </w:p>
        </w:tc>
      </w:tr>
      <w:tr>
        <w:trPr>
          <w:trHeight w:val="208"/>
        </w:trPr>
        <w:tc>
          <w:tcPr>
            <w:tcW w:w="1460" w:type="dxa"/>
            <w:vAlign w:val="bottom"/>
          </w:tcPr>
          <w:p>
            <w:pPr>
              <w:spacing w:after="0"/>
              <w:rPr>
                <w:sz w:val="20"/>
                <w:szCs w:val="20"/>
                <w:color w:val="auto"/>
              </w:rPr>
            </w:pPr>
            <w:r>
              <w:rPr>
                <w:rFonts w:ascii="Arial" w:cs="Arial" w:eastAsia="Arial" w:hAnsi="Arial"/>
                <w:sz w:val="18"/>
                <w:szCs w:val="18"/>
                <w:b w:val="1"/>
                <w:bCs w:val="1"/>
                <w:color w:val="457157"/>
              </w:rPr>
              <w:t>Board</w:t>
            </w: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Directors of Sabre Corporation, Sean Menke has experience heading a global</w:t>
            </w:r>
          </w:p>
        </w:tc>
        <w:tc>
          <w:tcPr>
            <w:tcW w:w="0" w:type="dxa"/>
            <w:vAlign w:val="bottom"/>
          </w:tcPr>
          <w:p>
            <w:pPr>
              <w:spacing w:after="0"/>
              <w:rPr>
                <w:sz w:val="1"/>
                <w:szCs w:val="1"/>
                <w:color w:val="auto"/>
              </w:rPr>
            </w:pPr>
          </w:p>
        </w:tc>
      </w:tr>
      <w:tr>
        <w:trPr>
          <w:trHeight w:val="189"/>
        </w:trPr>
        <w:tc>
          <w:tcPr>
            <w:tcW w:w="1460" w:type="dxa"/>
            <w:vAlign w:val="bottom"/>
          </w:tcPr>
          <w:p>
            <w:pPr>
              <w:spacing w:after="0" w:line="189" w:lineRule="exact"/>
              <w:rPr>
                <w:sz w:val="20"/>
                <w:szCs w:val="20"/>
                <w:color w:val="auto"/>
              </w:rPr>
            </w:pPr>
            <w:r>
              <w:rPr>
                <w:rFonts w:ascii="Arial" w:cs="Arial" w:eastAsia="Arial" w:hAnsi="Arial"/>
                <w:sz w:val="18"/>
                <w:szCs w:val="18"/>
                <w:b w:val="1"/>
                <w:bCs w:val="1"/>
                <w:color w:val="457157"/>
              </w:rPr>
              <w:t>Committees:</w:t>
            </w:r>
          </w:p>
        </w:tc>
        <w:tc>
          <w:tcPr>
            <w:tcW w:w="160" w:type="dxa"/>
            <w:vAlign w:val="bottom"/>
            <w:tcBorders>
              <w:right w:val="single" w:sz="8" w:color="457157"/>
            </w:tcBorders>
          </w:tcPr>
          <w:p>
            <w:pPr>
              <w:spacing w:after="0"/>
              <w:rPr>
                <w:sz w:val="16"/>
                <w:szCs w:val="16"/>
                <w:color w:val="auto"/>
              </w:rPr>
            </w:pPr>
          </w:p>
        </w:tc>
        <w:tc>
          <w:tcPr>
            <w:tcW w:w="5540" w:type="dxa"/>
            <w:vAlign w:val="bottom"/>
          </w:tcPr>
          <w:p>
            <w:pPr>
              <w:ind w:left="100"/>
              <w:spacing w:after="0" w:line="189" w:lineRule="exact"/>
              <w:rPr>
                <w:sz w:val="20"/>
                <w:szCs w:val="20"/>
                <w:color w:val="auto"/>
              </w:rPr>
            </w:pPr>
            <w:r>
              <w:rPr>
                <w:rFonts w:ascii="Arial" w:cs="Arial" w:eastAsia="Arial" w:hAnsi="Arial"/>
                <w:sz w:val="18"/>
                <w:szCs w:val="18"/>
                <w:color w:val="auto"/>
              </w:rPr>
              <w:t>network  of  development,  sales,  operations  and  corporate</w:t>
            </w:r>
          </w:p>
        </w:tc>
        <w:tc>
          <w:tcPr>
            <w:tcW w:w="19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functions.  In  2015,</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Audit and</w:t>
            </w: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Mr. Menke joined Sabre as president of Sabre Travel Network, Sabre’s largest line</w:t>
            </w:r>
          </w:p>
        </w:tc>
        <w:tc>
          <w:tcPr>
            <w:tcW w:w="0" w:type="dxa"/>
            <w:vAlign w:val="bottom"/>
          </w:tcPr>
          <w:p>
            <w:pPr>
              <w:spacing w:after="0"/>
              <w:rPr>
                <w:sz w:val="1"/>
                <w:szCs w:val="1"/>
                <w:color w:val="auto"/>
              </w:rPr>
            </w:pPr>
          </w:p>
        </w:tc>
      </w:tr>
      <w:tr>
        <w:trPr>
          <w:trHeight w:val="135"/>
        </w:trPr>
        <w:tc>
          <w:tcPr>
            <w:tcW w:w="1460" w:type="dxa"/>
            <w:vAlign w:val="bottom"/>
          </w:tcPr>
          <w:p>
            <w:pPr>
              <w:spacing w:after="0" w:line="135" w:lineRule="exact"/>
              <w:rPr>
                <w:sz w:val="20"/>
                <w:szCs w:val="20"/>
                <w:color w:val="auto"/>
              </w:rPr>
            </w:pPr>
            <w:r>
              <w:rPr>
                <w:rFonts w:ascii="Arial" w:cs="Arial" w:eastAsia="Arial" w:hAnsi="Arial"/>
                <w:sz w:val="15"/>
                <w:szCs w:val="15"/>
                <w:color w:val="auto"/>
              </w:rPr>
              <w:t>Nominating &amp;</w:t>
            </w:r>
          </w:p>
        </w:tc>
        <w:tc>
          <w:tcPr>
            <w:tcW w:w="160" w:type="dxa"/>
            <w:vAlign w:val="bottom"/>
            <w:tcBorders>
              <w:right w:val="single" w:sz="8" w:color="457157"/>
            </w:tcBorders>
          </w:tcPr>
          <w:p>
            <w:pPr>
              <w:spacing w:after="0"/>
              <w:rPr>
                <w:sz w:val="11"/>
                <w:szCs w:val="11"/>
                <w:color w:val="auto"/>
              </w:rPr>
            </w:pPr>
          </w:p>
        </w:tc>
        <w:tc>
          <w:tcPr>
            <w:tcW w:w="5540" w:type="dxa"/>
            <w:vAlign w:val="bottom"/>
            <w:vMerge w:val="restart"/>
          </w:tcPr>
          <w:p>
            <w:pPr>
              <w:ind w:left="100"/>
              <w:spacing w:after="0"/>
              <w:rPr>
                <w:sz w:val="20"/>
                <w:szCs w:val="20"/>
                <w:color w:val="auto"/>
              </w:rPr>
            </w:pPr>
            <w:r>
              <w:rPr>
                <w:rFonts w:ascii="Arial" w:cs="Arial" w:eastAsia="Arial" w:hAnsi="Arial"/>
                <w:sz w:val="18"/>
                <w:szCs w:val="18"/>
                <w:color w:val="auto"/>
              </w:rPr>
              <w:t>of  business.  Under  Mr.  Menke’s  leadership,  Sabre  won</w:t>
            </w:r>
          </w:p>
        </w:tc>
        <w:tc>
          <w:tcPr>
            <w:tcW w:w="1960" w:type="dxa"/>
            <w:vAlign w:val="bottom"/>
            <w:gridSpan w:val="2"/>
            <w:vMerge w:val="restart"/>
          </w:tcPr>
          <w:p>
            <w:pPr>
              <w:jc w:val="right"/>
              <w:spacing w:after="0"/>
              <w:rPr>
                <w:sz w:val="20"/>
                <w:szCs w:val="20"/>
                <w:color w:val="auto"/>
              </w:rPr>
            </w:pPr>
            <w:r>
              <w:rPr>
                <w:rFonts w:ascii="Arial" w:cs="Arial" w:eastAsia="Arial" w:hAnsi="Arial"/>
                <w:sz w:val="18"/>
                <w:szCs w:val="18"/>
                <w:color w:val="auto"/>
              </w:rPr>
              <w:t>major  new  business</w:t>
            </w:r>
          </w:p>
        </w:tc>
        <w:tc>
          <w:tcPr>
            <w:tcW w:w="0" w:type="dxa"/>
            <w:vAlign w:val="bottom"/>
          </w:tcPr>
          <w:p>
            <w:pPr>
              <w:spacing w:after="0"/>
              <w:rPr>
                <w:sz w:val="1"/>
                <w:szCs w:val="1"/>
                <w:color w:val="auto"/>
              </w:rPr>
            </w:pPr>
          </w:p>
        </w:tc>
      </w:tr>
      <w:tr>
        <w:trPr>
          <w:trHeight w:val="116"/>
        </w:trPr>
        <w:tc>
          <w:tcPr>
            <w:tcW w:w="1460" w:type="dxa"/>
            <w:vAlign w:val="bottom"/>
            <w:vMerge w:val="restart"/>
          </w:tcPr>
          <w:p>
            <w:pPr>
              <w:spacing w:after="0"/>
              <w:rPr>
                <w:sz w:val="20"/>
                <w:szCs w:val="20"/>
                <w:color w:val="auto"/>
              </w:rPr>
            </w:pPr>
            <w:r>
              <w:rPr>
                <w:rFonts w:ascii="Arial" w:cs="Arial" w:eastAsia="Arial" w:hAnsi="Arial"/>
                <w:sz w:val="18"/>
                <w:szCs w:val="18"/>
                <w:color w:val="auto"/>
              </w:rPr>
              <w:t>Governance</w:t>
            </w:r>
          </w:p>
        </w:tc>
        <w:tc>
          <w:tcPr>
            <w:tcW w:w="160" w:type="dxa"/>
            <w:vAlign w:val="bottom"/>
            <w:tcBorders>
              <w:right w:val="single" w:sz="8" w:color="457157"/>
            </w:tcBorders>
          </w:tcPr>
          <w:p>
            <w:pPr>
              <w:spacing w:after="0"/>
              <w:rPr>
                <w:sz w:val="10"/>
                <w:szCs w:val="10"/>
                <w:color w:val="auto"/>
              </w:rPr>
            </w:pPr>
          </w:p>
        </w:tc>
        <w:tc>
          <w:tcPr>
            <w:tcW w:w="5540" w:type="dxa"/>
            <w:vAlign w:val="bottom"/>
            <w:vMerge w:val="continue"/>
          </w:tcPr>
          <w:p>
            <w:pPr>
              <w:spacing w:after="0"/>
              <w:rPr>
                <w:sz w:val="10"/>
                <w:szCs w:val="10"/>
                <w:color w:val="auto"/>
              </w:rPr>
            </w:pPr>
          </w:p>
        </w:tc>
        <w:tc>
          <w:tcPr>
            <w:tcW w:w="1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1460" w:type="dxa"/>
            <w:vAlign w:val="bottom"/>
            <w:vMerge w:val="continue"/>
          </w:tcPr>
          <w:p>
            <w:pPr>
              <w:spacing w:after="0"/>
              <w:rPr>
                <w:sz w:val="10"/>
                <w:szCs w:val="10"/>
                <w:color w:val="auto"/>
              </w:rPr>
            </w:pPr>
          </w:p>
        </w:tc>
        <w:tc>
          <w:tcPr>
            <w:tcW w:w="160" w:type="dxa"/>
            <w:vAlign w:val="bottom"/>
            <w:tcBorders>
              <w:right w:val="single" w:sz="8" w:color="457157"/>
            </w:tcBorders>
          </w:tcPr>
          <w:p>
            <w:pPr>
              <w:spacing w:after="0"/>
              <w:rPr>
                <w:sz w:val="10"/>
                <w:szCs w:val="10"/>
                <w:color w:val="auto"/>
              </w:rPr>
            </w:pPr>
          </w:p>
        </w:tc>
        <w:tc>
          <w:tcPr>
            <w:tcW w:w="7500" w:type="dxa"/>
            <w:vAlign w:val="bottom"/>
            <w:gridSpan w:val="3"/>
            <w:vMerge w:val="restart"/>
          </w:tcPr>
          <w:p>
            <w:pPr>
              <w:ind w:left="100"/>
              <w:spacing w:after="0"/>
              <w:rPr>
                <w:sz w:val="20"/>
                <w:szCs w:val="20"/>
                <w:color w:val="auto"/>
              </w:rPr>
            </w:pPr>
            <w:r>
              <w:rPr>
                <w:rFonts w:ascii="Arial" w:cs="Arial" w:eastAsia="Arial" w:hAnsi="Arial"/>
                <w:sz w:val="18"/>
                <w:szCs w:val="18"/>
                <w:color w:val="auto"/>
              </w:rPr>
              <w:t>opportunities,  increased  global  market  share,  secured  Sabre’s  position  as  the</w:t>
            </w:r>
          </w:p>
        </w:tc>
        <w:tc>
          <w:tcPr>
            <w:tcW w:w="0" w:type="dxa"/>
            <w:vAlign w:val="bottom"/>
          </w:tcPr>
          <w:p>
            <w:pPr>
              <w:spacing w:after="0"/>
              <w:rPr>
                <w:sz w:val="1"/>
                <w:szCs w:val="1"/>
                <w:color w:val="auto"/>
              </w:rPr>
            </w:pPr>
          </w:p>
        </w:tc>
      </w:tr>
      <w:tr>
        <w:trPr>
          <w:trHeight w:val="93"/>
        </w:trPr>
        <w:tc>
          <w:tcPr>
            <w:tcW w:w="1460" w:type="dxa"/>
            <w:vAlign w:val="bottom"/>
          </w:tcPr>
          <w:p>
            <w:pPr>
              <w:spacing w:after="0"/>
              <w:rPr>
                <w:sz w:val="8"/>
                <w:szCs w:val="8"/>
                <w:color w:val="auto"/>
              </w:rPr>
            </w:pPr>
          </w:p>
        </w:tc>
        <w:tc>
          <w:tcPr>
            <w:tcW w:w="160" w:type="dxa"/>
            <w:vAlign w:val="bottom"/>
            <w:tcBorders>
              <w:right w:val="single" w:sz="8" w:color="457157"/>
            </w:tcBorders>
          </w:tcPr>
          <w:p>
            <w:pPr>
              <w:spacing w:after="0"/>
              <w:rPr>
                <w:sz w:val="8"/>
                <w:szCs w:val="8"/>
                <w:color w:val="auto"/>
              </w:rPr>
            </w:pPr>
          </w:p>
        </w:tc>
        <w:tc>
          <w:tcPr>
            <w:tcW w:w="75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leading  global  distribution  system  in  North  America,  Latin  America  and  Asia-</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Pacific, and led innovation to enable sales of more customized fares and ancillary</w:t>
            </w:r>
          </w:p>
        </w:tc>
        <w:tc>
          <w:tcPr>
            <w:tcW w:w="0" w:type="dxa"/>
            <w:vAlign w:val="bottom"/>
          </w:tcPr>
          <w:p>
            <w:pPr>
              <w:spacing w:after="0"/>
              <w:rPr>
                <w:sz w:val="1"/>
                <w:szCs w:val="1"/>
                <w:color w:val="auto"/>
              </w:rPr>
            </w:pPr>
          </w:p>
        </w:tc>
      </w:tr>
      <w:tr>
        <w:trPr>
          <w:trHeight w:val="239"/>
        </w:trPr>
        <w:tc>
          <w:tcPr>
            <w:tcW w:w="1460" w:type="dxa"/>
            <w:vAlign w:val="bottom"/>
          </w:tcPr>
          <w:p>
            <w:pPr>
              <w:spacing w:after="0"/>
              <w:rPr>
                <w:sz w:val="20"/>
                <w:szCs w:val="20"/>
                <w:color w:val="auto"/>
              </w:rPr>
            </w:pPr>
          </w:p>
        </w:tc>
        <w:tc>
          <w:tcPr>
            <w:tcW w:w="160" w:type="dxa"/>
            <w:vAlign w:val="bottom"/>
            <w:tcBorders>
              <w:right w:val="single" w:sz="8" w:color="457157"/>
            </w:tcBorders>
          </w:tcPr>
          <w:p>
            <w:pPr>
              <w:spacing w:after="0"/>
              <w:rPr>
                <w:sz w:val="20"/>
                <w:szCs w:val="20"/>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products that help drive the changing travel industry landscape.</w:t>
            </w:r>
          </w:p>
        </w:tc>
        <w:tc>
          <w:tcPr>
            <w:tcW w:w="0" w:type="dxa"/>
            <w:vAlign w:val="bottom"/>
          </w:tcPr>
          <w:p>
            <w:pPr>
              <w:spacing w:after="0"/>
              <w:rPr>
                <w:sz w:val="1"/>
                <w:szCs w:val="1"/>
                <w:color w:val="auto"/>
              </w:rPr>
            </w:pPr>
          </w:p>
        </w:tc>
      </w:tr>
      <w:tr>
        <w:trPr>
          <w:trHeight w:val="301"/>
        </w:trPr>
        <w:tc>
          <w:tcPr>
            <w:tcW w:w="1460" w:type="dxa"/>
            <w:vAlign w:val="bottom"/>
          </w:tcPr>
          <w:p>
            <w:pPr>
              <w:spacing w:after="0"/>
              <w:rPr>
                <w:sz w:val="24"/>
                <w:szCs w:val="24"/>
                <w:color w:val="auto"/>
              </w:rPr>
            </w:pPr>
          </w:p>
        </w:tc>
        <w:tc>
          <w:tcPr>
            <w:tcW w:w="160" w:type="dxa"/>
            <w:vAlign w:val="bottom"/>
            <w:tcBorders>
              <w:right w:val="single" w:sz="8" w:color="457157"/>
            </w:tcBorders>
          </w:tcPr>
          <w:p>
            <w:pPr>
              <w:spacing w:after="0"/>
              <w:rPr>
                <w:sz w:val="24"/>
                <w:szCs w:val="24"/>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Before joining Sabre, Mr. Menke spent more than 20 years in executive leadership</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roles  in  the  airline  industry.  He  served  as  Chief  Executive  Officer  at  Frontier</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Airlines and at Pinnacle Airlines, and he held senior level marketing, operations,</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customer  experience,  strategy,  planning,  sales,  distribution  and  revenue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management  roles,  including  with  Air  Canada  and  Hawaiian  Airlines.  He  also</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served as Executive Vice President at IHS Inc., a global information technology</w:t>
            </w:r>
          </w:p>
        </w:tc>
        <w:tc>
          <w:tcPr>
            <w:tcW w:w="0" w:type="dxa"/>
            <w:vAlign w:val="bottom"/>
          </w:tcPr>
          <w:p>
            <w:pPr>
              <w:spacing w:after="0"/>
              <w:rPr>
                <w:sz w:val="1"/>
                <w:szCs w:val="1"/>
                <w:color w:val="auto"/>
              </w:rPr>
            </w:pPr>
          </w:p>
        </w:tc>
      </w:tr>
      <w:tr>
        <w:trPr>
          <w:trHeight w:val="239"/>
        </w:trPr>
        <w:tc>
          <w:tcPr>
            <w:tcW w:w="1460" w:type="dxa"/>
            <w:vAlign w:val="bottom"/>
          </w:tcPr>
          <w:p>
            <w:pPr>
              <w:spacing w:after="0"/>
              <w:rPr>
                <w:sz w:val="20"/>
                <w:szCs w:val="20"/>
                <w:color w:val="auto"/>
              </w:rPr>
            </w:pPr>
          </w:p>
        </w:tc>
        <w:tc>
          <w:tcPr>
            <w:tcW w:w="160" w:type="dxa"/>
            <w:vAlign w:val="bottom"/>
            <w:tcBorders>
              <w:right w:val="single" w:sz="8" w:color="457157"/>
            </w:tcBorders>
          </w:tcPr>
          <w:p>
            <w:pPr>
              <w:spacing w:after="0"/>
              <w:rPr>
                <w:sz w:val="20"/>
                <w:szCs w:val="20"/>
                <w:color w:val="auto"/>
              </w:rPr>
            </w:pPr>
          </w:p>
        </w:tc>
        <w:tc>
          <w:tcPr>
            <w:tcW w:w="5540" w:type="dxa"/>
            <w:vAlign w:val="bottom"/>
          </w:tcPr>
          <w:p>
            <w:pPr>
              <w:ind w:left="100"/>
              <w:spacing w:after="0"/>
              <w:rPr>
                <w:sz w:val="20"/>
                <w:szCs w:val="20"/>
                <w:color w:val="auto"/>
              </w:rPr>
            </w:pPr>
            <w:r>
              <w:rPr>
                <w:rFonts w:ascii="Arial" w:cs="Arial" w:eastAsia="Arial" w:hAnsi="Arial"/>
                <w:sz w:val="18"/>
                <w:szCs w:val="18"/>
                <w:color w:val="auto"/>
              </w:rPr>
              <w:t>company.</w:t>
            </w:r>
          </w:p>
        </w:tc>
        <w:tc>
          <w:tcPr>
            <w:tcW w:w="1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460" w:type="dxa"/>
            <w:vAlign w:val="bottom"/>
          </w:tcPr>
          <w:p>
            <w:pPr>
              <w:spacing w:after="0"/>
              <w:rPr>
                <w:sz w:val="24"/>
                <w:szCs w:val="24"/>
                <w:color w:val="auto"/>
              </w:rPr>
            </w:pPr>
          </w:p>
        </w:tc>
        <w:tc>
          <w:tcPr>
            <w:tcW w:w="160" w:type="dxa"/>
            <w:vAlign w:val="bottom"/>
            <w:tcBorders>
              <w:right w:val="single" w:sz="8" w:color="457157"/>
            </w:tcBorders>
          </w:tcPr>
          <w:p>
            <w:pPr>
              <w:spacing w:after="0"/>
              <w:rPr>
                <w:sz w:val="24"/>
                <w:szCs w:val="24"/>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Mr. Menke is a proven transformation leader, and uses his extensive experience in</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technology and transportation operations to bring together strategy and data to</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address complex issues as a member of the Board. His expertise in logistics and</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commitment   to   delivering   efficient,   customer-focused   innovation   through</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imaginative technology-led solutions helps advance our strategy to differentiate</w:t>
            </w:r>
          </w:p>
        </w:tc>
        <w:tc>
          <w:tcPr>
            <w:tcW w:w="0" w:type="dxa"/>
            <w:vAlign w:val="bottom"/>
          </w:tcPr>
          <w:p>
            <w:pPr>
              <w:spacing w:after="0"/>
              <w:rPr>
                <w:sz w:val="1"/>
                <w:szCs w:val="1"/>
                <w:color w:val="auto"/>
              </w:rPr>
            </w:pPr>
          </w:p>
        </w:tc>
      </w:tr>
      <w:tr>
        <w:trPr>
          <w:trHeight w:val="239"/>
        </w:trPr>
        <w:tc>
          <w:tcPr>
            <w:tcW w:w="1460" w:type="dxa"/>
            <w:vAlign w:val="bottom"/>
          </w:tcPr>
          <w:p>
            <w:pPr>
              <w:spacing w:after="0"/>
              <w:rPr>
                <w:sz w:val="20"/>
                <w:szCs w:val="20"/>
                <w:color w:val="auto"/>
              </w:rPr>
            </w:pPr>
          </w:p>
        </w:tc>
        <w:tc>
          <w:tcPr>
            <w:tcW w:w="160" w:type="dxa"/>
            <w:vAlign w:val="bottom"/>
            <w:tcBorders>
              <w:right w:val="single" w:sz="8" w:color="457157"/>
            </w:tcBorders>
          </w:tcPr>
          <w:p>
            <w:pPr>
              <w:spacing w:after="0"/>
              <w:rPr>
                <w:sz w:val="20"/>
                <w:szCs w:val="20"/>
                <w:color w:val="auto"/>
              </w:rPr>
            </w:pPr>
          </w:p>
        </w:tc>
        <w:tc>
          <w:tcPr>
            <w:tcW w:w="5540" w:type="dxa"/>
            <w:vAlign w:val="bottom"/>
          </w:tcPr>
          <w:p>
            <w:pPr>
              <w:ind w:left="100"/>
              <w:spacing w:after="0"/>
              <w:rPr>
                <w:sz w:val="20"/>
                <w:szCs w:val="20"/>
                <w:color w:val="auto"/>
              </w:rPr>
            </w:pPr>
            <w:r>
              <w:rPr>
                <w:rFonts w:ascii="Arial" w:cs="Arial" w:eastAsia="Arial" w:hAnsi="Arial"/>
                <w:sz w:val="18"/>
                <w:szCs w:val="18"/>
                <w:color w:val="auto"/>
              </w:rPr>
              <w:t>our services.</w:t>
            </w:r>
          </w:p>
        </w:tc>
        <w:tc>
          <w:tcPr>
            <w:tcW w:w="1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460" w:type="dxa"/>
            <w:vAlign w:val="bottom"/>
          </w:tcPr>
          <w:p>
            <w:pPr>
              <w:spacing w:after="0"/>
              <w:rPr>
                <w:sz w:val="24"/>
                <w:szCs w:val="24"/>
                <w:color w:val="auto"/>
              </w:rPr>
            </w:pPr>
          </w:p>
        </w:tc>
        <w:tc>
          <w:tcPr>
            <w:tcW w:w="160" w:type="dxa"/>
            <w:vAlign w:val="bottom"/>
            <w:tcBorders>
              <w:right w:val="single" w:sz="8" w:color="457157"/>
            </w:tcBorders>
          </w:tcPr>
          <w:p>
            <w:pPr>
              <w:spacing w:after="0"/>
              <w:rPr>
                <w:sz w:val="24"/>
                <w:szCs w:val="24"/>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Mr. Menke has extensive executive experience in technology-driven companies.</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He is aware of the importance and challenges of cybersecurity and privacy issues,</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and he has experience overseeing risk mitigation and implementing systems to</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protect major corporations. Mr. Menke shares with the Board his experience in the</w:t>
            </w:r>
          </w:p>
        </w:tc>
        <w:tc>
          <w:tcPr>
            <w:tcW w:w="0" w:type="dxa"/>
            <w:vAlign w:val="bottom"/>
          </w:tcPr>
          <w:p>
            <w:pPr>
              <w:spacing w:after="0"/>
              <w:rPr>
                <w:sz w:val="1"/>
                <w:szCs w:val="1"/>
                <w:color w:val="auto"/>
              </w:rPr>
            </w:pPr>
          </w:p>
        </w:tc>
      </w:tr>
      <w:tr>
        <w:trPr>
          <w:trHeight w:val="239"/>
        </w:trPr>
        <w:tc>
          <w:tcPr>
            <w:tcW w:w="1460" w:type="dxa"/>
            <w:vAlign w:val="bottom"/>
          </w:tcPr>
          <w:p>
            <w:pPr>
              <w:spacing w:after="0"/>
              <w:rPr>
                <w:sz w:val="20"/>
                <w:szCs w:val="20"/>
                <w:color w:val="auto"/>
              </w:rPr>
            </w:pPr>
          </w:p>
        </w:tc>
        <w:tc>
          <w:tcPr>
            <w:tcW w:w="160" w:type="dxa"/>
            <w:vAlign w:val="bottom"/>
            <w:tcBorders>
              <w:right w:val="single" w:sz="8" w:color="457157"/>
            </w:tcBorders>
          </w:tcPr>
          <w:p>
            <w:pPr>
              <w:spacing w:after="0"/>
              <w:rPr>
                <w:sz w:val="20"/>
                <w:szCs w:val="20"/>
                <w:color w:val="auto"/>
              </w:rPr>
            </w:pPr>
          </w:p>
        </w:tc>
        <w:tc>
          <w:tcPr>
            <w:tcW w:w="5540" w:type="dxa"/>
            <w:vAlign w:val="bottom"/>
          </w:tcPr>
          <w:p>
            <w:pPr>
              <w:ind w:left="100"/>
              <w:spacing w:after="0"/>
              <w:rPr>
                <w:sz w:val="20"/>
                <w:szCs w:val="20"/>
                <w:color w:val="auto"/>
              </w:rPr>
            </w:pPr>
            <w:r>
              <w:rPr>
                <w:rFonts w:ascii="Arial" w:cs="Arial" w:eastAsia="Arial" w:hAnsi="Arial"/>
                <w:sz w:val="18"/>
                <w:szCs w:val="18"/>
                <w:color w:val="auto"/>
              </w:rPr>
              <w:t>areas of cyber intrusion response planning and remediation.</w:t>
            </w:r>
          </w:p>
        </w:tc>
        <w:tc>
          <w:tcPr>
            <w:tcW w:w="1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460" w:type="dxa"/>
            <w:vAlign w:val="bottom"/>
          </w:tcPr>
          <w:p>
            <w:pPr>
              <w:spacing w:after="0"/>
              <w:rPr>
                <w:sz w:val="24"/>
                <w:szCs w:val="24"/>
                <w:color w:val="auto"/>
              </w:rPr>
            </w:pPr>
          </w:p>
        </w:tc>
        <w:tc>
          <w:tcPr>
            <w:tcW w:w="160" w:type="dxa"/>
            <w:vAlign w:val="bottom"/>
            <w:tcBorders>
              <w:right w:val="single" w:sz="8" w:color="457157"/>
            </w:tcBorders>
          </w:tcPr>
          <w:p>
            <w:pPr>
              <w:spacing w:after="0"/>
              <w:rPr>
                <w:sz w:val="24"/>
                <w:szCs w:val="24"/>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Mr. Menke holds a bachelor’s degree in economics and aviation management from</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60" w:type="dxa"/>
            <w:vAlign w:val="bottom"/>
            <w:tcBorders>
              <w:right w:val="single" w:sz="8" w:color="457157"/>
            </w:tcBorders>
          </w:tcPr>
          <w:p>
            <w:pPr>
              <w:spacing w:after="0"/>
              <w:rPr>
                <w:sz w:val="18"/>
                <w:szCs w:val="18"/>
                <w:color w:val="auto"/>
              </w:rPr>
            </w:pPr>
          </w:p>
        </w:tc>
        <w:tc>
          <w:tcPr>
            <w:tcW w:w="7500" w:type="dxa"/>
            <w:vAlign w:val="bottom"/>
            <w:gridSpan w:val="3"/>
          </w:tcPr>
          <w:p>
            <w:pPr>
              <w:ind w:left="100"/>
              <w:spacing w:after="0"/>
              <w:rPr>
                <w:sz w:val="20"/>
                <w:szCs w:val="20"/>
                <w:color w:val="auto"/>
              </w:rPr>
            </w:pPr>
            <w:r>
              <w:rPr>
                <w:rFonts w:ascii="Arial" w:cs="Arial" w:eastAsia="Arial" w:hAnsi="Arial"/>
                <w:sz w:val="18"/>
                <w:szCs w:val="18"/>
                <w:color w:val="auto"/>
              </w:rPr>
              <w:t>Ohio State University and a master’s degree in business administration from the</w:t>
            </w:r>
          </w:p>
        </w:tc>
        <w:tc>
          <w:tcPr>
            <w:tcW w:w="0" w:type="dxa"/>
            <w:vAlign w:val="bottom"/>
          </w:tcPr>
          <w:p>
            <w:pPr>
              <w:spacing w:after="0"/>
              <w:rPr>
                <w:sz w:val="1"/>
                <w:szCs w:val="1"/>
                <w:color w:val="auto"/>
              </w:rPr>
            </w:pPr>
          </w:p>
        </w:tc>
      </w:tr>
      <w:tr>
        <w:trPr>
          <w:trHeight w:val="239"/>
        </w:trPr>
        <w:tc>
          <w:tcPr>
            <w:tcW w:w="1460" w:type="dxa"/>
            <w:vAlign w:val="bottom"/>
          </w:tcPr>
          <w:p>
            <w:pPr>
              <w:spacing w:after="0"/>
              <w:rPr>
                <w:sz w:val="20"/>
                <w:szCs w:val="20"/>
                <w:color w:val="auto"/>
              </w:rPr>
            </w:pPr>
          </w:p>
        </w:tc>
        <w:tc>
          <w:tcPr>
            <w:tcW w:w="160" w:type="dxa"/>
            <w:vAlign w:val="bottom"/>
            <w:tcBorders>
              <w:right w:val="single" w:sz="8" w:color="457157"/>
            </w:tcBorders>
          </w:tcPr>
          <w:p>
            <w:pPr>
              <w:spacing w:after="0"/>
              <w:rPr>
                <w:sz w:val="20"/>
                <w:szCs w:val="20"/>
                <w:color w:val="auto"/>
              </w:rPr>
            </w:pPr>
          </w:p>
        </w:tc>
        <w:tc>
          <w:tcPr>
            <w:tcW w:w="5540" w:type="dxa"/>
            <w:vAlign w:val="bottom"/>
          </w:tcPr>
          <w:p>
            <w:pPr>
              <w:ind w:left="100"/>
              <w:spacing w:after="0"/>
              <w:rPr>
                <w:sz w:val="20"/>
                <w:szCs w:val="20"/>
                <w:color w:val="auto"/>
              </w:rPr>
            </w:pPr>
            <w:r>
              <w:rPr>
                <w:rFonts w:ascii="Arial" w:cs="Arial" w:eastAsia="Arial" w:hAnsi="Arial"/>
                <w:sz w:val="18"/>
                <w:szCs w:val="18"/>
                <w:color w:val="auto"/>
              </w:rPr>
              <w:t>University of Denver.</w:t>
            </w:r>
          </w:p>
        </w:tc>
        <w:tc>
          <w:tcPr>
            <w:tcW w:w="1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1460" w:type="dxa"/>
            <w:vAlign w:val="bottom"/>
          </w:tcPr>
          <w:p>
            <w:pPr>
              <w:spacing w:after="0"/>
              <w:rPr>
                <w:sz w:val="2"/>
                <w:szCs w:val="2"/>
                <w:color w:val="auto"/>
              </w:rPr>
            </w:pPr>
          </w:p>
        </w:tc>
        <w:tc>
          <w:tcPr>
            <w:tcW w:w="160" w:type="dxa"/>
            <w:vAlign w:val="bottom"/>
            <w:tcBorders>
              <w:right w:val="single" w:sz="8" w:color="457157"/>
            </w:tcBorders>
          </w:tcPr>
          <w:p>
            <w:pPr>
              <w:spacing w:after="0"/>
              <w:rPr>
                <w:sz w:val="2"/>
                <w:szCs w:val="2"/>
                <w:color w:val="auto"/>
              </w:rPr>
            </w:pPr>
          </w:p>
        </w:tc>
        <w:tc>
          <w:tcPr>
            <w:tcW w:w="5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-6043295</wp:posOffset>
            </wp:positionV>
            <wp:extent cx="960120" cy="12001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6012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r>
              <w:rPr>
                <w:rFonts w:ascii="Arial" w:cs="Arial" w:eastAsia="Arial" w:hAnsi="Arial"/>
                <w:sz w:val="20"/>
                <w:szCs w:val="20"/>
                <w:b w:val="1"/>
                <w:bCs w:val="1"/>
                <w:color w:val="auto"/>
              </w:rPr>
              <w:t>ELECTION OF DIRECTORS</w:t>
            </w:r>
            <w:r>
              <w:rPr>
                <w:rFonts w:ascii="Arial" w:cs="Arial" w:eastAsia="Arial" w:hAnsi="Arial"/>
                <w:sz w:val="17"/>
                <w:szCs w:val="17"/>
                <w:color w:val="auto"/>
              </w:rPr>
              <w:t>​</w:t>
            </w:r>
          </w:p>
        </w:tc>
        <w:tc>
          <w:tcPr>
            <w:tcW w:w="3200" w:type="dxa"/>
            <w:vAlign w:val="bottom"/>
            <w:vMerge w:val="restart"/>
          </w:tcPr>
          <w:p>
            <w:pPr>
              <w:ind w:left="314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20"/>
                <w:szCs w:val="20"/>
                <w:color w:val="auto"/>
              </w:rPr>
            </w:pPr>
            <w:r>
              <w:rPr>
                <w:rFonts w:ascii="Arial" w:cs="Arial" w:eastAsia="Arial" w:hAnsi="Arial"/>
                <w:sz w:val="16"/>
                <w:szCs w:val="16"/>
                <w:b w:val="1"/>
                <w:bCs w:val="1"/>
                <w:color w:val="auto"/>
              </w:rPr>
              <w:t>​</w:t>
            </w:r>
          </w:p>
        </w:tc>
        <w:tc>
          <w:tcPr>
            <w:tcW w:w="3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-158750</wp:posOffset>
            </wp:positionV>
            <wp:extent cx="57607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157" w:lineRule="exact"/>
        <w:rPr>
          <w:sz w:val="20"/>
          <w:szCs w:val="20"/>
          <w:color w:val="auto"/>
        </w:rPr>
      </w:pPr>
    </w:p>
    <w:tbl>
      <w:tblPr>
        <w:tblLayout w:type="fixed"/>
        <w:tblInd w:w="820" w:type="dxa"/>
        <w:tblCellMar>
          <w:top w:w="0" w:type="dxa"/>
          <w:left w:w="0" w:type="dxa"/>
          <w:bottom w:w="0" w:type="dxa"/>
          <w:right w:w="0" w:type="dxa"/>
        </w:tblCellMar>
      </w:tblPr>
      <w:tr>
        <w:trPr>
          <w:trHeight w:val="85"/>
        </w:trPr>
        <w:tc>
          <w:tcPr>
            <w:tcW w:w="1460" w:type="dxa"/>
            <w:vAlign w:val="bottom"/>
          </w:tcPr>
          <w:p>
            <w:pPr>
              <w:spacing w:after="0"/>
              <w:rPr>
                <w:sz w:val="7"/>
                <w:szCs w:val="7"/>
                <w:color w:val="auto"/>
              </w:rPr>
            </w:pPr>
          </w:p>
        </w:tc>
        <w:tc>
          <w:tcPr>
            <w:tcW w:w="5060" w:type="dxa"/>
            <w:vAlign w:val="bottom"/>
          </w:tcPr>
          <w:p>
            <w:pPr>
              <w:spacing w:after="0"/>
              <w:rPr>
                <w:sz w:val="7"/>
                <w:szCs w:val="7"/>
                <w:color w:val="auto"/>
              </w:rPr>
            </w:pPr>
          </w:p>
        </w:tc>
        <w:tc>
          <w:tcPr>
            <w:tcW w:w="254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203"/>
        </w:trPr>
        <w:tc>
          <w:tcPr>
            <w:tcW w:w="1460" w:type="dxa"/>
            <w:vAlign w:val="bottom"/>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t>
            </w:r>
          </w:p>
        </w:tc>
        <w:tc>
          <w:tcPr>
            <w:tcW w:w="5060" w:type="dxa"/>
            <w:vAlign w:val="bottom"/>
            <w:shd w:val="clear" w:color="auto" w:fill="457157"/>
          </w:tcPr>
          <w:p>
            <w:pPr>
              <w:spacing w:after="0"/>
              <w:rPr>
                <w:sz w:val="17"/>
                <w:szCs w:val="17"/>
                <w:color w:val="auto"/>
              </w:rPr>
            </w:pPr>
          </w:p>
        </w:tc>
        <w:tc>
          <w:tcPr>
            <w:tcW w:w="2540" w:type="dxa"/>
            <w:vAlign w:val="bottom"/>
            <w:shd w:val="clear" w:color="auto" w:fill="457157"/>
          </w:tcPr>
          <w:p>
            <w:pPr>
              <w:spacing w:after="0"/>
              <w:rPr>
                <w:sz w:val="17"/>
                <w:szCs w:val="17"/>
                <w:color w:val="auto"/>
              </w:rPr>
            </w:pP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20" w:type="dxa"/>
            <w:vAlign w:val="bottom"/>
            <w:gridSpan w:val="2"/>
            <w:shd w:val="clear" w:color="auto" w:fill="457157"/>
          </w:tcPr>
          <w:p>
            <w:pPr>
              <w:spacing w:after="0" w:line="202" w:lineRule="exact"/>
              <w:rPr>
                <w:sz w:val="20"/>
                <w:szCs w:val="20"/>
                <w:color w:val="auto"/>
              </w:rPr>
            </w:pPr>
            <w:r>
              <w:rPr>
                <w:rFonts w:ascii="Arial" w:cs="Arial" w:eastAsia="Arial" w:hAnsi="Arial"/>
                <w:sz w:val="23"/>
                <w:szCs w:val="23"/>
                <w:b w:val="1"/>
                <w:bCs w:val="1"/>
                <w:color w:val="FEFEFE"/>
              </w:rPr>
              <w:t>W</w:t>
            </w:r>
            <w:r>
              <w:rPr>
                <w:rFonts w:ascii="Arial" w:cs="Arial" w:eastAsia="Arial" w:hAnsi="Arial"/>
                <w:sz w:val="16"/>
                <w:szCs w:val="16"/>
                <w:b w:val="1"/>
                <w:bCs w:val="1"/>
                <w:color w:val="FEFEFE"/>
              </w:rPr>
              <w:t>ILLIAM</w:t>
            </w:r>
            <w:r>
              <w:rPr>
                <w:rFonts w:ascii="Arial" w:cs="Arial" w:eastAsia="Arial" w:hAnsi="Arial"/>
                <w:sz w:val="23"/>
                <w:szCs w:val="23"/>
                <w:b w:val="1"/>
                <w:bCs w:val="1"/>
                <w:color w:val="FEFEFE"/>
              </w:rPr>
              <w:t xml:space="preserve"> B. P</w:t>
            </w:r>
            <w:r>
              <w:rPr>
                <w:rFonts w:ascii="Arial" w:cs="Arial" w:eastAsia="Arial" w:hAnsi="Arial"/>
                <w:sz w:val="16"/>
                <w:szCs w:val="16"/>
                <w:b w:val="1"/>
                <w:bCs w:val="1"/>
                <w:color w:val="FEFEFE"/>
              </w:rPr>
              <w:t>LUMMER</w:t>
            </w:r>
            <w:r>
              <w:rPr>
                <w:rFonts w:ascii="Arial" w:cs="Arial" w:eastAsia="Arial" w:hAnsi="Arial"/>
                <w:sz w:val="18"/>
                <w:szCs w:val="18"/>
                <w:b w:val="1"/>
                <w:bCs w:val="1"/>
                <w:color w:val="FEFEFE"/>
              </w:rPr>
              <w:t>​</w:t>
            </w:r>
          </w:p>
        </w:tc>
        <w:tc>
          <w:tcPr>
            <w:tcW w:w="2540" w:type="dxa"/>
            <w:vAlign w:val="bottom"/>
            <w:shd w:val="clear" w:color="auto" w:fill="457157"/>
          </w:tcPr>
          <w:p>
            <w:pPr>
              <w:spacing w:after="0"/>
              <w:rPr>
                <w:sz w:val="17"/>
                <w:szCs w:val="1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3"/>
        </w:trPr>
        <w:tc>
          <w:tcPr>
            <w:tcW w:w="1460" w:type="dxa"/>
            <w:vAlign w:val="bottom"/>
          </w:tcPr>
          <w:p>
            <w:pPr>
              <w:spacing w:after="0"/>
              <w:rPr>
                <w:sz w:val="20"/>
                <w:szCs w:val="20"/>
                <w:color w:val="auto"/>
              </w:rPr>
            </w:pPr>
            <w:r>
              <w:rPr>
                <w:rFonts w:ascii="Arial" w:cs="Arial" w:eastAsia="Arial" w:hAnsi="Arial"/>
                <w:sz w:val="18"/>
                <w:szCs w:val="18"/>
                <w:color w:val="auto"/>
              </w:rPr>
              <w:t>​</w:t>
            </w:r>
          </w:p>
        </w:tc>
        <w:tc>
          <w:tcPr>
            <w:tcW w:w="5060" w:type="dxa"/>
            <w:vAlign w:val="bottom"/>
          </w:tcPr>
          <w:p>
            <w:pPr>
              <w:ind w:left="100"/>
              <w:spacing w:after="0"/>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254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460" w:type="dxa"/>
            <w:vAlign w:val="bottom"/>
          </w:tcPr>
          <w:p>
            <w:pPr>
              <w:spacing w:after="0"/>
              <w:rPr>
                <w:sz w:val="22"/>
                <w:szCs w:val="22"/>
                <w:color w:val="auto"/>
              </w:rPr>
            </w:pPr>
          </w:p>
        </w:tc>
        <w:tc>
          <w:tcPr>
            <w:tcW w:w="7660" w:type="dxa"/>
            <w:vAlign w:val="bottom"/>
            <w:gridSpan w:val="3"/>
          </w:tcPr>
          <w:p>
            <w:pPr>
              <w:ind w:left="260"/>
              <w:spacing w:after="0"/>
              <w:rPr>
                <w:sz w:val="20"/>
                <w:szCs w:val="20"/>
                <w:color w:val="auto"/>
              </w:rPr>
            </w:pPr>
            <w:r>
              <w:rPr>
                <w:rFonts w:ascii="Arial" w:cs="Arial" w:eastAsia="Arial" w:hAnsi="Arial"/>
                <w:sz w:val="18"/>
                <w:szCs w:val="18"/>
                <w:color w:val="auto"/>
              </w:rPr>
              <w:t>Retired Executive Vice President and Chief Financial Officer — United Rentals,</w:t>
            </w:r>
          </w:p>
        </w:tc>
        <w:tc>
          <w:tcPr>
            <w:tcW w:w="0" w:type="dxa"/>
            <w:vAlign w:val="bottom"/>
          </w:tcPr>
          <w:p>
            <w:pPr>
              <w:spacing w:after="0"/>
              <w:rPr>
                <w:sz w:val="1"/>
                <w:szCs w:val="1"/>
                <w:color w:val="auto"/>
              </w:rPr>
            </w:pPr>
          </w:p>
        </w:tc>
      </w:tr>
      <w:tr>
        <w:trPr>
          <w:trHeight w:val="239"/>
        </w:trPr>
        <w:tc>
          <w:tcPr>
            <w:tcW w:w="1460" w:type="dxa"/>
            <w:vAlign w:val="bottom"/>
          </w:tcPr>
          <w:p>
            <w:pPr>
              <w:spacing w:after="0"/>
              <w:rPr>
                <w:sz w:val="20"/>
                <w:szCs w:val="20"/>
                <w:color w:val="auto"/>
              </w:rPr>
            </w:pPr>
          </w:p>
        </w:tc>
        <w:tc>
          <w:tcPr>
            <w:tcW w:w="7660" w:type="dxa"/>
            <w:vAlign w:val="bottom"/>
            <w:gridSpan w:val="3"/>
          </w:tcPr>
          <w:p>
            <w:pPr>
              <w:ind w:left="260"/>
              <w:spacing w:after="0"/>
              <w:rPr>
                <w:sz w:val="20"/>
                <w:szCs w:val="20"/>
                <w:color w:val="auto"/>
              </w:rPr>
            </w:pPr>
            <w:r>
              <w:rPr>
                <w:rFonts w:ascii="Arial" w:cs="Arial" w:eastAsia="Arial" w:hAnsi="Arial"/>
                <w:sz w:val="18"/>
                <w:szCs w:val="18"/>
                <w:color w:val="auto"/>
              </w:rPr>
              <w:t>Inc. (world’s largest equipment rental company), served from 2008 to 2018.</w:t>
            </w:r>
          </w:p>
        </w:tc>
        <w:tc>
          <w:tcPr>
            <w:tcW w:w="0" w:type="dxa"/>
            <w:vAlign w:val="bottom"/>
          </w:tcPr>
          <w:p>
            <w:pPr>
              <w:spacing w:after="0"/>
              <w:rPr>
                <w:sz w:val="1"/>
                <w:szCs w:val="1"/>
                <w:color w:val="auto"/>
              </w:rPr>
            </w:pPr>
          </w:p>
        </w:tc>
      </w:tr>
      <w:tr>
        <w:trPr>
          <w:trHeight w:val="324"/>
        </w:trPr>
        <w:tc>
          <w:tcPr>
            <w:tcW w:w="1460" w:type="dxa"/>
            <w:vAlign w:val="bottom"/>
          </w:tcPr>
          <w:p>
            <w:pPr>
              <w:spacing w:after="0"/>
              <w:rPr>
                <w:sz w:val="24"/>
                <w:szCs w:val="24"/>
                <w:color w:val="auto"/>
              </w:rPr>
            </w:pPr>
          </w:p>
        </w:tc>
        <w:tc>
          <w:tcPr>
            <w:tcW w:w="5060" w:type="dxa"/>
            <w:vAlign w:val="bottom"/>
          </w:tcPr>
          <w:p>
            <w:pPr>
              <w:ind w:left="260"/>
              <w:spacing w:after="0"/>
              <w:rPr>
                <w:sz w:val="20"/>
                <w:szCs w:val="20"/>
                <w:color w:val="auto"/>
              </w:rPr>
            </w:pPr>
            <w:r>
              <w:rPr>
                <w:rFonts w:ascii="Arial" w:cs="Arial" w:eastAsia="Arial" w:hAnsi="Arial"/>
                <w:sz w:val="18"/>
                <w:szCs w:val="18"/>
                <w:color w:val="auto"/>
              </w:rPr>
              <w:t>Director of Global Payments Inc. since 2017.</w:t>
            </w:r>
          </w:p>
        </w:tc>
        <w:tc>
          <w:tcPr>
            <w:tcW w:w="2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460" w:type="dxa"/>
            <w:vAlign w:val="bottom"/>
          </w:tcPr>
          <w:p>
            <w:pPr>
              <w:spacing w:after="0"/>
              <w:rPr>
                <w:sz w:val="24"/>
                <w:szCs w:val="24"/>
                <w:color w:val="auto"/>
              </w:rPr>
            </w:pPr>
          </w:p>
        </w:tc>
        <w:tc>
          <w:tcPr>
            <w:tcW w:w="7660" w:type="dxa"/>
            <w:vAlign w:val="bottom"/>
            <w:gridSpan w:val="3"/>
          </w:tcPr>
          <w:p>
            <w:pPr>
              <w:ind w:left="260"/>
              <w:spacing w:after="0"/>
              <w:rPr>
                <w:sz w:val="20"/>
                <w:szCs w:val="20"/>
                <w:color w:val="auto"/>
              </w:rPr>
            </w:pPr>
            <w:r>
              <w:rPr>
                <w:rFonts w:ascii="Arial" w:cs="Arial" w:eastAsia="Arial" w:hAnsi="Arial"/>
                <w:sz w:val="18"/>
                <w:szCs w:val="18"/>
                <w:color w:val="auto"/>
              </w:rPr>
              <w:t>Director of Mason Industrial Technology, Inc. from February 2021 to</w:t>
            </w:r>
          </w:p>
        </w:tc>
        <w:tc>
          <w:tcPr>
            <w:tcW w:w="0" w:type="dxa"/>
            <w:vAlign w:val="bottom"/>
          </w:tcPr>
          <w:p>
            <w:pPr>
              <w:spacing w:after="0"/>
              <w:rPr>
                <w:sz w:val="1"/>
                <w:szCs w:val="1"/>
                <w:color w:val="auto"/>
              </w:rPr>
            </w:pPr>
          </w:p>
        </w:tc>
      </w:tr>
      <w:tr>
        <w:trPr>
          <w:trHeight w:val="239"/>
        </w:trPr>
        <w:tc>
          <w:tcPr>
            <w:tcW w:w="1460" w:type="dxa"/>
            <w:vAlign w:val="bottom"/>
          </w:tcPr>
          <w:p>
            <w:pPr>
              <w:spacing w:after="0"/>
              <w:rPr>
                <w:sz w:val="20"/>
                <w:szCs w:val="20"/>
                <w:color w:val="auto"/>
              </w:rPr>
            </w:pPr>
          </w:p>
        </w:tc>
        <w:tc>
          <w:tcPr>
            <w:tcW w:w="5060" w:type="dxa"/>
            <w:vAlign w:val="bottom"/>
          </w:tcPr>
          <w:p>
            <w:pPr>
              <w:ind w:left="260"/>
              <w:spacing w:after="0"/>
              <w:rPr>
                <w:sz w:val="20"/>
                <w:szCs w:val="20"/>
                <w:color w:val="auto"/>
              </w:rPr>
            </w:pPr>
            <w:r>
              <w:rPr>
                <w:rFonts w:ascii="Arial" w:cs="Arial" w:eastAsia="Arial" w:hAnsi="Arial"/>
                <w:sz w:val="18"/>
                <w:szCs w:val="18"/>
                <w:color w:val="auto"/>
              </w:rPr>
              <w:t>February 2023.</w:t>
            </w:r>
          </w:p>
        </w:tc>
        <w:tc>
          <w:tcPr>
            <w:tcW w:w="2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460" w:type="dxa"/>
            <w:vAlign w:val="bottom"/>
            <w:vMerge w:val="restart"/>
          </w:tcPr>
          <w:p>
            <w:pPr>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66</w:t>
            </w:r>
          </w:p>
        </w:tc>
        <w:tc>
          <w:tcPr>
            <w:tcW w:w="7660" w:type="dxa"/>
            <w:vAlign w:val="bottom"/>
            <w:gridSpan w:val="3"/>
          </w:tcPr>
          <w:p>
            <w:pPr>
              <w:ind w:left="260"/>
              <w:spacing w:after="0"/>
              <w:rPr>
                <w:sz w:val="20"/>
                <w:szCs w:val="20"/>
                <w:color w:val="auto"/>
              </w:rPr>
            </w:pPr>
            <w:r>
              <w:rPr>
                <w:rFonts w:ascii="Arial" w:cs="Arial" w:eastAsia="Arial" w:hAnsi="Arial"/>
                <w:sz w:val="18"/>
                <w:szCs w:val="18"/>
                <w:color w:val="auto"/>
              </w:rPr>
              <w:t>Director of Nesco Holdings, Inc. from July 2019 to March 2021.</w:t>
            </w:r>
          </w:p>
        </w:tc>
        <w:tc>
          <w:tcPr>
            <w:tcW w:w="0" w:type="dxa"/>
            <w:vAlign w:val="bottom"/>
          </w:tcPr>
          <w:p>
            <w:pPr>
              <w:spacing w:after="0"/>
              <w:rPr>
                <w:sz w:val="1"/>
                <w:szCs w:val="1"/>
                <w:color w:val="auto"/>
              </w:rPr>
            </w:pPr>
          </w:p>
        </w:tc>
      </w:tr>
      <w:tr>
        <w:trPr>
          <w:trHeight w:val="102"/>
        </w:trPr>
        <w:tc>
          <w:tcPr>
            <w:tcW w:w="1460" w:type="dxa"/>
            <w:vAlign w:val="bottom"/>
            <w:vMerge w:val="continue"/>
          </w:tcPr>
          <w:p>
            <w:pPr>
              <w:spacing w:after="0"/>
              <w:rPr>
                <w:sz w:val="8"/>
                <w:szCs w:val="8"/>
                <w:color w:val="auto"/>
              </w:rPr>
            </w:pPr>
          </w:p>
        </w:tc>
        <w:tc>
          <w:tcPr>
            <w:tcW w:w="5060" w:type="dxa"/>
            <w:vAlign w:val="bottom"/>
            <w:vMerge w:val="restart"/>
          </w:tcPr>
          <w:p>
            <w:pPr>
              <w:ind w:left="260"/>
              <w:spacing w:after="0"/>
              <w:rPr>
                <w:sz w:val="20"/>
                <w:szCs w:val="20"/>
                <w:color w:val="auto"/>
              </w:rPr>
            </w:pPr>
            <w:r>
              <w:rPr>
                <w:rFonts w:ascii="Arial" w:cs="Arial" w:eastAsia="Arial" w:hAnsi="Arial"/>
                <w:sz w:val="25"/>
                <w:szCs w:val="25"/>
                <w:b w:val="1"/>
                <w:bCs w:val="1"/>
                <w:color w:val="457157"/>
              </w:rPr>
              <w:t>Q</w:t>
            </w:r>
            <w:r>
              <w:rPr>
                <w:rFonts w:ascii="Arial" w:cs="Arial" w:eastAsia="Arial" w:hAnsi="Arial"/>
                <w:sz w:val="17"/>
                <w:szCs w:val="17"/>
                <w:b w:val="1"/>
                <w:bCs w:val="1"/>
                <w:color w:val="457157"/>
              </w:rPr>
              <w:t>UALIFICATIONS</w:t>
            </w:r>
          </w:p>
        </w:tc>
        <w:tc>
          <w:tcPr>
            <w:tcW w:w="2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5"/>
        </w:trPr>
        <w:tc>
          <w:tcPr>
            <w:tcW w:w="1460" w:type="dxa"/>
            <w:vAlign w:val="bottom"/>
          </w:tcPr>
          <w:p>
            <w:pPr>
              <w:spacing w:after="0"/>
              <w:rPr>
                <w:sz w:val="20"/>
                <w:szCs w:val="20"/>
                <w:color w:val="auto"/>
              </w:rPr>
            </w:pPr>
            <w:r>
              <w:rPr>
                <w:rFonts w:ascii="Arial" w:cs="Arial" w:eastAsia="Arial" w:hAnsi="Arial"/>
                <w:sz w:val="18"/>
                <w:szCs w:val="18"/>
                <w:b w:val="1"/>
                <w:bCs w:val="1"/>
                <w:color w:val="457157"/>
              </w:rPr>
              <w:t>Director since:</w:t>
            </w:r>
          </w:p>
        </w:tc>
        <w:tc>
          <w:tcPr>
            <w:tcW w:w="5060" w:type="dxa"/>
            <w:vAlign w:val="bottom"/>
            <w:vMerge w:val="continue"/>
          </w:tcPr>
          <w:p>
            <w:pPr>
              <w:spacing w:after="0"/>
              <w:rPr>
                <w:sz w:val="21"/>
                <w:szCs w:val="21"/>
                <w:color w:val="auto"/>
              </w:rPr>
            </w:pPr>
          </w:p>
        </w:tc>
        <w:tc>
          <w:tcPr>
            <w:tcW w:w="2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460" w:type="dxa"/>
            <w:vAlign w:val="bottom"/>
          </w:tcPr>
          <w:p>
            <w:pPr>
              <w:spacing w:after="0"/>
              <w:rPr>
                <w:sz w:val="20"/>
                <w:szCs w:val="20"/>
                <w:color w:val="auto"/>
              </w:rPr>
            </w:pPr>
            <w:r>
              <w:rPr>
                <w:rFonts w:ascii="Arial" w:cs="Arial" w:eastAsia="Arial" w:hAnsi="Arial"/>
                <w:sz w:val="18"/>
                <w:szCs w:val="18"/>
                <w:color w:val="auto"/>
              </w:rPr>
              <w:t>August 2019</w:t>
            </w:r>
          </w:p>
        </w:tc>
        <w:tc>
          <w:tcPr>
            <w:tcW w:w="7660" w:type="dxa"/>
            <w:vAlign w:val="bottom"/>
            <w:gridSpan w:val="3"/>
            <w:vMerge w:val="restart"/>
          </w:tcPr>
          <w:p>
            <w:pPr>
              <w:ind w:left="260"/>
              <w:spacing w:after="0"/>
              <w:rPr>
                <w:sz w:val="20"/>
                <w:szCs w:val="20"/>
                <w:color w:val="auto"/>
              </w:rPr>
            </w:pPr>
            <w:r>
              <w:rPr>
                <w:rFonts w:ascii="Arial" w:cs="Arial" w:eastAsia="Arial" w:hAnsi="Arial"/>
                <w:sz w:val="18"/>
                <w:szCs w:val="18"/>
                <w:color w:val="auto"/>
              </w:rPr>
              <w:t>William Plummer served as Executive Vice President and Chief Financial Officer</w:t>
            </w:r>
          </w:p>
        </w:tc>
        <w:tc>
          <w:tcPr>
            <w:tcW w:w="0" w:type="dxa"/>
            <w:vAlign w:val="bottom"/>
          </w:tcPr>
          <w:p>
            <w:pPr>
              <w:spacing w:after="0"/>
              <w:rPr>
                <w:sz w:val="1"/>
                <w:szCs w:val="1"/>
                <w:color w:val="auto"/>
              </w:rPr>
            </w:pPr>
          </w:p>
        </w:tc>
      </w:tr>
      <w:tr>
        <w:trPr>
          <w:trHeight w:val="134"/>
        </w:trPr>
        <w:tc>
          <w:tcPr>
            <w:tcW w:w="1460" w:type="dxa"/>
            <w:vAlign w:val="bottom"/>
            <w:vMerge w:val="restart"/>
          </w:tcPr>
          <w:p>
            <w:pPr>
              <w:spacing w:after="0"/>
              <w:rPr>
                <w:sz w:val="20"/>
                <w:szCs w:val="20"/>
                <w:color w:val="auto"/>
              </w:rPr>
            </w:pPr>
            <w:r>
              <w:rPr>
                <w:rFonts w:ascii="Arial" w:cs="Arial" w:eastAsia="Arial" w:hAnsi="Arial"/>
                <w:sz w:val="18"/>
                <w:szCs w:val="18"/>
                <w:b w:val="1"/>
                <w:bCs w:val="1"/>
                <w:color w:val="457157"/>
              </w:rPr>
              <w:t>Board</w:t>
            </w:r>
          </w:p>
        </w:tc>
        <w:tc>
          <w:tcPr>
            <w:tcW w:w="76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1460" w:type="dxa"/>
            <w:vAlign w:val="bottom"/>
            <w:vMerge w:val="continue"/>
          </w:tcPr>
          <w:p>
            <w:pPr>
              <w:spacing w:after="0"/>
              <w:rPr>
                <w:sz w:val="8"/>
                <w:szCs w:val="8"/>
                <w:color w:val="auto"/>
              </w:rPr>
            </w:pPr>
          </w:p>
        </w:tc>
        <w:tc>
          <w:tcPr>
            <w:tcW w:w="5060" w:type="dxa"/>
            <w:vAlign w:val="bottom"/>
            <w:vMerge w:val="restart"/>
          </w:tcPr>
          <w:p>
            <w:pPr>
              <w:ind w:left="260"/>
              <w:spacing w:after="0"/>
              <w:rPr>
                <w:sz w:val="20"/>
                <w:szCs w:val="20"/>
                <w:color w:val="auto"/>
              </w:rPr>
            </w:pPr>
            <w:r>
              <w:rPr>
                <w:rFonts w:ascii="Arial" w:cs="Arial" w:eastAsia="Arial" w:hAnsi="Arial"/>
                <w:sz w:val="18"/>
                <w:szCs w:val="18"/>
                <w:color w:val="auto"/>
              </w:rPr>
              <w:t>for United Rentals, Inc., where he was responsible</w:t>
            </w:r>
          </w:p>
        </w:tc>
        <w:tc>
          <w:tcPr>
            <w:tcW w:w="2600" w:type="dxa"/>
            <w:vAlign w:val="bottom"/>
            <w:gridSpan w:val="2"/>
            <w:vMerge w:val="restart"/>
          </w:tcPr>
          <w:p>
            <w:pPr>
              <w:jc w:val="right"/>
              <w:spacing w:after="0"/>
              <w:rPr>
                <w:sz w:val="20"/>
                <w:szCs w:val="20"/>
                <w:color w:val="auto"/>
              </w:rPr>
            </w:pPr>
            <w:r>
              <w:rPr>
                <w:rFonts w:ascii="Arial" w:cs="Arial" w:eastAsia="Arial" w:hAnsi="Arial"/>
                <w:sz w:val="18"/>
                <w:szCs w:val="18"/>
                <w:color w:val="auto"/>
              </w:rPr>
              <w:t>for the development of the</w:t>
            </w:r>
          </w:p>
        </w:tc>
        <w:tc>
          <w:tcPr>
            <w:tcW w:w="0" w:type="dxa"/>
            <w:vAlign w:val="bottom"/>
          </w:tcPr>
          <w:p>
            <w:pPr>
              <w:spacing w:after="0"/>
              <w:rPr>
                <w:sz w:val="1"/>
                <w:szCs w:val="1"/>
                <w:color w:val="auto"/>
              </w:rPr>
            </w:pPr>
          </w:p>
        </w:tc>
      </w:tr>
      <w:tr>
        <w:trPr>
          <w:trHeight w:val="116"/>
        </w:trPr>
        <w:tc>
          <w:tcPr>
            <w:tcW w:w="1460" w:type="dxa"/>
            <w:vAlign w:val="bottom"/>
            <w:vMerge w:val="restart"/>
          </w:tcPr>
          <w:p>
            <w:pPr>
              <w:spacing w:after="0" w:line="176" w:lineRule="exact"/>
              <w:rPr>
                <w:sz w:val="20"/>
                <w:szCs w:val="20"/>
                <w:color w:val="auto"/>
              </w:rPr>
            </w:pPr>
            <w:r>
              <w:rPr>
                <w:rFonts w:ascii="Arial" w:cs="Arial" w:eastAsia="Arial" w:hAnsi="Arial"/>
                <w:sz w:val="18"/>
                <w:szCs w:val="18"/>
                <w:b w:val="1"/>
                <w:bCs w:val="1"/>
                <w:color w:val="457157"/>
              </w:rPr>
              <w:t>Committees:</w:t>
            </w:r>
          </w:p>
        </w:tc>
        <w:tc>
          <w:tcPr>
            <w:tcW w:w="5060" w:type="dxa"/>
            <w:vAlign w:val="bottom"/>
            <w:vMerge w:val="continue"/>
          </w:tcPr>
          <w:p>
            <w:pPr>
              <w:spacing w:after="0"/>
              <w:rPr>
                <w:sz w:val="10"/>
                <w:szCs w:val="10"/>
                <w:color w:val="auto"/>
              </w:rPr>
            </w:pPr>
          </w:p>
        </w:tc>
        <w:tc>
          <w:tcPr>
            <w:tcW w:w="2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460" w:type="dxa"/>
            <w:vAlign w:val="bottom"/>
            <w:vMerge w:val="continue"/>
          </w:tcPr>
          <w:p>
            <w:pPr>
              <w:spacing w:after="0"/>
              <w:rPr>
                <w:sz w:val="5"/>
                <w:szCs w:val="5"/>
                <w:color w:val="auto"/>
              </w:rPr>
            </w:pPr>
          </w:p>
        </w:tc>
        <w:tc>
          <w:tcPr>
            <w:tcW w:w="7660" w:type="dxa"/>
            <w:vAlign w:val="bottom"/>
            <w:gridSpan w:val="3"/>
            <w:vMerge w:val="restart"/>
          </w:tcPr>
          <w:p>
            <w:pPr>
              <w:ind w:left="260"/>
              <w:spacing w:after="0"/>
              <w:rPr>
                <w:sz w:val="20"/>
                <w:szCs w:val="20"/>
                <w:color w:val="auto"/>
              </w:rPr>
            </w:pPr>
            <w:r>
              <w:rPr>
                <w:rFonts w:ascii="Arial" w:cs="Arial" w:eastAsia="Arial" w:hAnsi="Arial"/>
                <w:sz w:val="18"/>
                <w:szCs w:val="18"/>
                <w:color w:val="auto"/>
              </w:rPr>
              <w:t>company’s finance activities and investor relations, and he co-led its mergers,</w:t>
            </w:r>
          </w:p>
        </w:tc>
        <w:tc>
          <w:tcPr>
            <w:tcW w:w="0" w:type="dxa"/>
            <w:vAlign w:val="bottom"/>
          </w:tcPr>
          <w:p>
            <w:pPr>
              <w:spacing w:after="0"/>
              <w:rPr>
                <w:sz w:val="1"/>
                <w:szCs w:val="1"/>
                <w:color w:val="auto"/>
              </w:rPr>
            </w:pPr>
          </w:p>
        </w:tc>
      </w:tr>
      <w:tr>
        <w:trPr>
          <w:trHeight w:val="175"/>
        </w:trPr>
        <w:tc>
          <w:tcPr>
            <w:tcW w:w="1460" w:type="dxa"/>
            <w:vAlign w:val="bottom"/>
          </w:tcPr>
          <w:p>
            <w:pPr>
              <w:spacing w:after="0" w:line="175" w:lineRule="exact"/>
              <w:rPr>
                <w:sz w:val="20"/>
                <w:szCs w:val="20"/>
                <w:color w:val="auto"/>
              </w:rPr>
            </w:pPr>
            <w:r>
              <w:rPr>
                <w:rFonts w:ascii="Arial" w:cs="Arial" w:eastAsia="Arial" w:hAnsi="Arial"/>
                <w:sz w:val="18"/>
                <w:szCs w:val="18"/>
                <w:color w:val="auto"/>
              </w:rPr>
              <w:t>Audit (Chair)</w:t>
            </w:r>
          </w:p>
        </w:tc>
        <w:tc>
          <w:tcPr>
            <w:tcW w:w="76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line="190" w:lineRule="exact"/>
              <w:rPr>
                <w:sz w:val="20"/>
                <w:szCs w:val="20"/>
                <w:color w:val="auto"/>
              </w:rPr>
            </w:pPr>
            <w:r>
              <w:rPr>
                <w:rFonts w:ascii="Arial" w:cs="Arial" w:eastAsia="Arial" w:hAnsi="Arial"/>
                <w:sz w:val="18"/>
                <w:szCs w:val="18"/>
                <w:color w:val="auto"/>
              </w:rPr>
              <w:t>and</w:t>
            </w:r>
          </w:p>
        </w:tc>
        <w:tc>
          <w:tcPr>
            <w:tcW w:w="7660" w:type="dxa"/>
            <w:vAlign w:val="bottom"/>
            <w:gridSpan w:val="3"/>
          </w:tcPr>
          <w:p>
            <w:pPr>
              <w:ind w:left="260"/>
              <w:spacing w:after="0" w:line="190" w:lineRule="exact"/>
              <w:rPr>
                <w:sz w:val="20"/>
                <w:szCs w:val="20"/>
                <w:color w:val="auto"/>
              </w:rPr>
            </w:pPr>
            <w:r>
              <w:rPr>
                <w:rFonts w:ascii="Arial" w:cs="Arial" w:eastAsia="Arial" w:hAnsi="Arial"/>
                <w:sz w:val="18"/>
                <w:szCs w:val="18"/>
                <w:color w:val="auto"/>
              </w:rPr>
              <w:t>acquisitions and divestitures strategies. He also led the company’s safety function</w:t>
            </w:r>
          </w:p>
        </w:tc>
        <w:tc>
          <w:tcPr>
            <w:tcW w:w="0" w:type="dxa"/>
            <w:vAlign w:val="bottom"/>
          </w:tcPr>
          <w:p>
            <w:pPr>
              <w:spacing w:after="0"/>
              <w:rPr>
                <w:sz w:val="1"/>
                <w:szCs w:val="1"/>
                <w:color w:val="auto"/>
              </w:rPr>
            </w:pPr>
          </w:p>
        </w:tc>
      </w:tr>
      <w:tr>
        <w:trPr>
          <w:trHeight w:val="189"/>
        </w:trPr>
        <w:tc>
          <w:tcPr>
            <w:tcW w:w="1460" w:type="dxa"/>
            <w:vAlign w:val="bottom"/>
          </w:tcPr>
          <w:p>
            <w:pPr>
              <w:spacing w:after="0" w:line="189" w:lineRule="exact"/>
              <w:rPr>
                <w:sz w:val="20"/>
                <w:szCs w:val="20"/>
                <w:color w:val="auto"/>
              </w:rPr>
            </w:pPr>
            <w:r>
              <w:rPr>
                <w:rFonts w:ascii="Arial" w:cs="Arial" w:eastAsia="Arial" w:hAnsi="Arial"/>
                <w:sz w:val="18"/>
                <w:szCs w:val="18"/>
                <w:color w:val="auto"/>
              </w:rPr>
              <w:t>Management</w:t>
            </w:r>
          </w:p>
        </w:tc>
        <w:tc>
          <w:tcPr>
            <w:tcW w:w="7660" w:type="dxa"/>
            <w:vAlign w:val="bottom"/>
            <w:gridSpan w:val="3"/>
          </w:tcPr>
          <w:p>
            <w:pPr>
              <w:ind w:left="260"/>
              <w:spacing w:after="0" w:line="189" w:lineRule="exact"/>
              <w:rPr>
                <w:sz w:val="20"/>
                <w:szCs w:val="20"/>
                <w:color w:val="auto"/>
              </w:rPr>
            </w:pPr>
            <w:r>
              <w:rPr>
                <w:rFonts w:ascii="Arial" w:cs="Arial" w:eastAsia="Arial" w:hAnsi="Arial"/>
                <w:sz w:val="18"/>
                <w:szCs w:val="18"/>
                <w:color w:val="auto"/>
              </w:rPr>
              <w:t>and its data and analytics efforts. Mr. Plummer was instrumental in helping the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Development &amp;</w:t>
            </w:r>
          </w:p>
        </w:tc>
        <w:tc>
          <w:tcPr>
            <w:tcW w:w="5060" w:type="dxa"/>
            <w:vAlign w:val="bottom"/>
          </w:tcPr>
          <w:p>
            <w:pPr>
              <w:ind w:left="260"/>
              <w:spacing w:after="0"/>
              <w:rPr>
                <w:sz w:val="20"/>
                <w:szCs w:val="20"/>
                <w:color w:val="auto"/>
              </w:rPr>
            </w:pPr>
            <w:r>
              <w:rPr>
                <w:rFonts w:ascii="Arial" w:cs="Arial" w:eastAsia="Arial" w:hAnsi="Arial"/>
                <w:sz w:val="18"/>
                <w:szCs w:val="18"/>
                <w:color w:val="auto"/>
              </w:rPr>
              <w:t>company  execute  a  strategy  focused  on  improving</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the  profitability  of  its  core</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rPr>
              <w:t>Compensation</w:t>
            </w:r>
          </w:p>
        </w:tc>
        <w:tc>
          <w:tcPr>
            <w:tcW w:w="7660" w:type="dxa"/>
            <w:vAlign w:val="bottom"/>
            <w:gridSpan w:val="3"/>
            <w:vMerge w:val="restart"/>
          </w:tcPr>
          <w:p>
            <w:pPr>
              <w:ind w:left="260"/>
              <w:spacing w:after="0"/>
              <w:rPr>
                <w:sz w:val="20"/>
                <w:szCs w:val="20"/>
                <w:color w:val="auto"/>
              </w:rPr>
            </w:pPr>
            <w:r>
              <w:rPr>
                <w:rFonts w:ascii="Arial" w:cs="Arial" w:eastAsia="Arial" w:hAnsi="Arial"/>
                <w:sz w:val="18"/>
                <w:szCs w:val="18"/>
                <w:color w:val="auto"/>
              </w:rPr>
              <w:t>equipment rental business through revenue growth, margin expansion, operational</w:t>
            </w:r>
          </w:p>
        </w:tc>
        <w:tc>
          <w:tcPr>
            <w:tcW w:w="0" w:type="dxa"/>
            <w:vAlign w:val="bottom"/>
          </w:tcPr>
          <w:p>
            <w:pPr>
              <w:spacing w:after="0"/>
              <w:rPr>
                <w:sz w:val="1"/>
                <w:szCs w:val="1"/>
                <w:color w:val="auto"/>
              </w:rPr>
            </w:pPr>
          </w:p>
        </w:tc>
      </w:tr>
      <w:tr>
        <w:trPr>
          <w:trHeight w:val="35"/>
        </w:trPr>
        <w:tc>
          <w:tcPr>
            <w:tcW w:w="1460" w:type="dxa"/>
            <w:vAlign w:val="bottom"/>
          </w:tcPr>
          <w:p>
            <w:pPr>
              <w:spacing w:after="0"/>
              <w:rPr>
                <w:sz w:val="3"/>
                <w:szCs w:val="3"/>
                <w:color w:val="auto"/>
              </w:rPr>
            </w:pPr>
          </w:p>
        </w:tc>
        <w:tc>
          <w:tcPr>
            <w:tcW w:w="76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9"/>
        </w:trPr>
        <w:tc>
          <w:tcPr>
            <w:tcW w:w="1460" w:type="dxa"/>
            <w:vAlign w:val="bottom"/>
          </w:tcPr>
          <w:p>
            <w:pPr>
              <w:spacing w:after="0"/>
              <w:rPr>
                <w:sz w:val="20"/>
                <w:szCs w:val="20"/>
                <w:color w:val="auto"/>
              </w:rPr>
            </w:pPr>
          </w:p>
        </w:tc>
        <w:tc>
          <w:tcPr>
            <w:tcW w:w="5060" w:type="dxa"/>
            <w:vAlign w:val="bottom"/>
          </w:tcPr>
          <w:p>
            <w:pPr>
              <w:ind w:left="260"/>
              <w:spacing w:after="0"/>
              <w:rPr>
                <w:sz w:val="20"/>
                <w:szCs w:val="20"/>
                <w:color w:val="auto"/>
              </w:rPr>
            </w:pPr>
            <w:r>
              <w:rPr>
                <w:rFonts w:ascii="Arial" w:cs="Arial" w:eastAsia="Arial" w:hAnsi="Arial"/>
                <w:sz w:val="18"/>
                <w:szCs w:val="18"/>
                <w:color w:val="auto"/>
              </w:rPr>
              <w:t>efficiencies and acquisitions.</w:t>
            </w:r>
          </w:p>
        </w:tc>
        <w:tc>
          <w:tcPr>
            <w:tcW w:w="2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-2805430</wp:posOffset>
            </wp:positionV>
            <wp:extent cx="1028700" cy="61810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028700" cy="6181090"/>
                    </a:xfrm>
                    <a:prstGeom prst="rect">
                      <a:avLst/>
                    </a:prstGeom>
                    <a:noFill/>
                  </pic:spPr>
                </pic:pic>
              </a:graphicData>
            </a:graphic>
          </wp:anchor>
        </w:drawing>
      </w:r>
    </w:p>
    <w:p>
      <w:pPr>
        <w:spacing w:after="0" w:line="65" w:lineRule="exact"/>
        <w:rPr>
          <w:sz w:val="20"/>
          <w:szCs w:val="20"/>
          <w:color w:val="auto"/>
        </w:rPr>
      </w:pPr>
    </w:p>
    <w:p>
      <w:pPr>
        <w:jc w:val="both"/>
        <w:ind w:left="2540" w:right="80"/>
        <w:spacing w:after="0" w:line="255" w:lineRule="auto"/>
        <w:rPr>
          <w:sz w:val="20"/>
          <w:szCs w:val="20"/>
          <w:color w:val="auto"/>
        </w:rPr>
      </w:pPr>
      <w:r>
        <w:rPr>
          <w:rFonts w:ascii="Arial" w:cs="Arial" w:eastAsia="Arial" w:hAnsi="Arial"/>
          <w:sz w:val="18"/>
          <w:szCs w:val="18"/>
          <w:color w:val="auto"/>
        </w:rPr>
        <w:t>Mr. Plummer brought more than two decades of financial leadership experience when he joined United Rentals, having served in a several executive roles, including as Executive Vice President and Chief Financial Officer of Dow Jones &amp; Company, Inc., where he set policy for its global finance and corporate strategy functions. Prior to Dow Jones, Mr. Plummer was Vice President and Treasurer of Alcoa Inc., where he was responsible for global treasury policy and capital markets transactions. Mr. Plummer also held several executive positions at Mead Corporation, including President of its Gilbert Paper division, Vice President of Corporate Strategy and Planning, and Treasurer.</w:t>
      </w:r>
    </w:p>
    <w:p>
      <w:pPr>
        <w:spacing w:after="0" w:line="293" w:lineRule="exact"/>
        <w:rPr>
          <w:sz w:val="20"/>
          <w:szCs w:val="20"/>
          <w:color w:val="auto"/>
        </w:rPr>
      </w:pPr>
    </w:p>
    <w:p>
      <w:pPr>
        <w:jc w:val="both"/>
        <w:ind w:left="2540" w:right="80"/>
        <w:spacing w:after="0" w:line="254" w:lineRule="auto"/>
        <w:rPr>
          <w:sz w:val="20"/>
          <w:szCs w:val="20"/>
          <w:color w:val="auto"/>
        </w:rPr>
      </w:pPr>
      <w:r>
        <w:rPr>
          <w:rFonts w:ascii="Arial" w:cs="Arial" w:eastAsia="Arial" w:hAnsi="Arial"/>
          <w:sz w:val="18"/>
          <w:szCs w:val="18"/>
          <w:color w:val="auto"/>
        </w:rPr>
        <w:t>Mr. Plummer brings extensive accounting, audit, internal control, and risk management experience to the Board and as Chair of the Audit Committee. In particular, he has first-hand experience developing, enhancing and overseeing risk management programs at large public companies, including identification and oversight of risks related to human capital, climate, cybersecurity and information technology. He provides insight based on his broad and substantial background in finance, logistics, operational improvement, mergers and acquisitions and capital markets transactions. He also brings valuable experience executing a customer-focused strategy, driving organic revenue growth and improving free cash flow. Mr. Plummer is deeply engaged in advancing and overseeing results from our Company’s people-first strategic focus and diversity and inclusion initiatives.</w:t>
      </w:r>
    </w:p>
    <w:p>
      <w:pPr>
        <w:spacing w:after="0" w:line="293" w:lineRule="exact"/>
        <w:rPr>
          <w:sz w:val="20"/>
          <w:szCs w:val="20"/>
          <w:color w:val="auto"/>
        </w:rPr>
      </w:pPr>
    </w:p>
    <w:p>
      <w:pPr>
        <w:jc w:val="both"/>
        <w:ind w:left="2540" w:right="80"/>
        <w:spacing w:after="0" w:line="268" w:lineRule="auto"/>
        <w:rPr>
          <w:sz w:val="20"/>
          <w:szCs w:val="20"/>
          <w:color w:val="auto"/>
        </w:rPr>
      </w:pPr>
      <w:r>
        <w:rPr>
          <w:rFonts w:ascii="Arial" w:cs="Arial" w:eastAsia="Arial" w:hAnsi="Arial"/>
          <w:sz w:val="18"/>
          <w:szCs w:val="18"/>
          <w:color w:val="auto"/>
        </w:rPr>
        <w:t>Mr. Plummer holds bachelor’s and master’s degrees in aeronautics and astronautics from Massachusetts Institute of Technology and a master’s degree in business administration from Stanford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940"/>
          </w:cols>
          <w:pgMar w:left="580" w:top="97" w:right="1379" w:bottom="1440" w:gutter="0" w:footer="0" w:header="0"/>
        </w:sectPr>
      </w:pPr>
    </w:p>
    <w:p>
      <w:pPr>
        <w:spacing w:after="0" w:line="330"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w:t>
      </w:r>
    </w:p>
    <w:p>
      <w:pPr>
        <w:spacing w:after="0" w:line="145" w:lineRule="exact"/>
        <w:rPr>
          <w:sz w:val="20"/>
          <w:szCs w:val="20"/>
          <w:color w:val="auto"/>
        </w:rPr>
      </w:pPr>
    </w:p>
    <w:p>
      <w:pPr>
        <w:ind w:left="820"/>
        <w:spacing w:after="0"/>
        <w:rPr>
          <w:sz w:val="20"/>
          <w:szCs w:val="20"/>
          <w:color w:val="auto"/>
        </w:rPr>
      </w:pPr>
      <w:r>
        <w:rPr>
          <w:rFonts w:ascii="Arial" w:cs="Arial" w:eastAsia="Arial" w:hAnsi="Arial"/>
          <w:sz w:val="50"/>
          <w:szCs w:val="50"/>
          <w:b w:val="1"/>
          <w:bCs w:val="1"/>
          <w:color w:val="FEFEFE"/>
          <w:vertAlign w:val="superscript"/>
        </w:rPr>
        <w:t>​</w:t>
      </w:r>
      <w:r>
        <w:rPr>
          <w:rFonts w:ascii="Arial" w:cs="Arial" w:eastAsia="Arial" w:hAnsi="Arial"/>
          <w:sz w:val="25"/>
          <w:szCs w:val="25"/>
          <w:b w:val="1"/>
          <w:bCs w:val="1"/>
          <w:color w:val="FEFEFE"/>
        </w:rPr>
        <w:t>M</w:t>
      </w:r>
      <w:r>
        <w:rPr>
          <w:rFonts w:ascii="Arial" w:cs="Arial" w:eastAsia="Arial" w:hAnsi="Arial"/>
          <w:sz w:val="17"/>
          <w:szCs w:val="17"/>
          <w:b w:val="1"/>
          <w:bCs w:val="1"/>
          <w:color w:val="FEFEFE"/>
        </w:rPr>
        <w:t>ARYROSE</w:t>
      </w:r>
      <w:r>
        <w:rPr>
          <w:rFonts w:ascii="Arial" w:cs="Arial" w:eastAsia="Arial" w:hAnsi="Arial"/>
          <w:sz w:val="25"/>
          <w:szCs w:val="25"/>
          <w:b w:val="1"/>
          <w:bCs w:val="1"/>
          <w:color w:val="FEFEFE"/>
        </w:rPr>
        <w:t xml:space="preserve"> T.</w:t>
      </w:r>
    </w:p>
    <w:p>
      <w:pPr>
        <w:ind w:left="8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457157"/>
        </w:rPr>
        <w:t xml:space="preserve">Age: </w:t>
      </w:r>
      <w:r>
        <w:rPr>
          <w:rFonts w:ascii="Arial" w:cs="Arial" w:eastAsia="Arial" w:hAnsi="Arial"/>
          <w:sz w:val="18"/>
          <w:szCs w:val="18"/>
          <w:color w:val="000000"/>
        </w:rPr>
        <w:t>59</w:t>
      </w:r>
    </w:p>
    <w:p>
      <w:pPr>
        <w:spacing w:after="0" w:line="90"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457157"/>
        </w:rPr>
        <w:t>Director since:</w:t>
      </w:r>
    </w:p>
    <w:p>
      <w:pPr>
        <w:ind w:left="820"/>
        <w:spacing w:after="0"/>
        <w:rPr>
          <w:sz w:val="20"/>
          <w:szCs w:val="20"/>
          <w:color w:val="auto"/>
        </w:rPr>
      </w:pPr>
      <w:r>
        <w:rPr>
          <w:rFonts w:ascii="Arial" w:cs="Arial" w:eastAsia="Arial" w:hAnsi="Arial"/>
          <w:sz w:val="18"/>
          <w:szCs w:val="18"/>
          <w:color w:val="auto"/>
        </w:rPr>
        <w:t>March 2021</w:t>
      </w:r>
    </w:p>
    <w:p>
      <w:pPr>
        <w:spacing w:after="0" w:line="5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457157"/>
        </w:rPr>
        <w:t>Board</w:t>
      </w:r>
    </w:p>
    <w:p>
      <w:pPr>
        <w:ind w:left="820"/>
        <w:spacing w:after="0" w:line="203" w:lineRule="auto"/>
        <w:rPr>
          <w:sz w:val="20"/>
          <w:szCs w:val="20"/>
          <w:color w:val="auto"/>
        </w:rPr>
      </w:pPr>
      <w:r>
        <w:rPr>
          <w:rFonts w:ascii="Arial" w:cs="Arial" w:eastAsia="Arial" w:hAnsi="Arial"/>
          <w:sz w:val="18"/>
          <w:szCs w:val="18"/>
          <w:b w:val="1"/>
          <w:bCs w:val="1"/>
          <w:color w:val="457157"/>
        </w:rPr>
        <w:t>Committees:</w:t>
      </w:r>
    </w:p>
    <w:p>
      <w:pPr>
        <w:ind w:left="820"/>
        <w:spacing w:after="0" w:line="219" w:lineRule="auto"/>
        <w:rPr>
          <w:sz w:val="20"/>
          <w:szCs w:val="20"/>
          <w:color w:val="auto"/>
        </w:rPr>
      </w:pPr>
      <w:r>
        <w:rPr>
          <w:rFonts w:ascii="Arial" w:cs="Arial" w:eastAsia="Arial" w:hAnsi="Arial"/>
          <w:sz w:val="18"/>
          <w:szCs w:val="18"/>
          <w:color w:val="auto"/>
        </w:rPr>
        <w:t>Management</w:t>
      </w:r>
    </w:p>
    <w:p>
      <w:pPr>
        <w:spacing w:after="0" w:line="1" w:lineRule="exact"/>
        <w:rPr>
          <w:sz w:val="20"/>
          <w:szCs w:val="20"/>
          <w:color w:val="auto"/>
        </w:rPr>
      </w:pPr>
    </w:p>
    <w:p>
      <w:pPr>
        <w:jc w:val="both"/>
        <w:ind w:left="820" w:right="140"/>
        <w:spacing w:after="0" w:line="208" w:lineRule="auto"/>
        <w:rPr>
          <w:sz w:val="20"/>
          <w:szCs w:val="20"/>
          <w:color w:val="auto"/>
        </w:rPr>
      </w:pPr>
      <w:r>
        <w:rPr>
          <w:rFonts w:ascii="Arial" w:cs="Arial" w:eastAsia="Arial" w:hAnsi="Arial"/>
          <w:sz w:val="18"/>
          <w:szCs w:val="18"/>
          <w:color w:val="auto"/>
        </w:rPr>
        <w:t>Development &amp; Compensation and</w:t>
      </w:r>
    </w:p>
    <w:p>
      <w:pPr>
        <w:ind w:left="820"/>
        <w:spacing w:after="0" w:line="205" w:lineRule="auto"/>
        <w:rPr>
          <w:sz w:val="20"/>
          <w:szCs w:val="20"/>
          <w:color w:val="auto"/>
        </w:rPr>
      </w:pPr>
      <w:r>
        <w:rPr>
          <w:rFonts w:ascii="Arial" w:cs="Arial" w:eastAsia="Arial" w:hAnsi="Arial"/>
          <w:sz w:val="18"/>
          <w:szCs w:val="18"/>
          <w:color w:val="auto"/>
        </w:rPr>
        <w:t>Nominating &amp;</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Governance</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4500" w:type="dxa"/>
            <w:vAlign w:val="bottom"/>
          </w:tcPr>
          <w:p>
            <w:pPr>
              <w:spacing w:after="0"/>
              <w:rPr>
                <w:sz w:val="23"/>
                <w:szCs w:val="23"/>
                <w:color w:val="auto"/>
              </w:rPr>
            </w:pPr>
          </w:p>
        </w:tc>
        <w:tc>
          <w:tcPr>
            <w:tcW w:w="3060" w:type="dxa"/>
            <w:vAlign w:val="bottom"/>
          </w:tcPr>
          <w:p>
            <w:pPr>
              <w:ind w:left="280"/>
              <w:spacing w:after="0"/>
              <w:rPr>
                <w:sz w:val="20"/>
                <w:szCs w:val="20"/>
                <w:color w:val="auto"/>
              </w:rPr>
            </w:pPr>
            <w:r>
              <w:rPr>
                <w:rFonts w:ascii="Arial" w:cs="Arial" w:eastAsia="Arial" w:hAnsi="Arial"/>
                <w:sz w:val="20"/>
                <w:szCs w:val="20"/>
                <w:b w:val="1"/>
                <w:bCs w:val="1"/>
                <w:color w:val="auto"/>
              </w:rPr>
              <w:t>ELECTION OF DIRECTORS</w:t>
            </w: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547"/>
        </w:trPr>
        <w:tc>
          <w:tcPr>
            <w:tcW w:w="4500" w:type="dxa"/>
            <w:vAlign w:val="bottom"/>
            <w:vMerge w:val="restart"/>
          </w:tcPr>
          <w:p>
            <w:pPr>
              <w:ind w:left="20"/>
              <w:spacing w:after="0"/>
              <w:rPr>
                <w:sz w:val="20"/>
                <w:szCs w:val="20"/>
                <w:color w:val="auto"/>
              </w:rPr>
            </w:pPr>
            <w:r>
              <w:rPr>
                <w:rFonts w:ascii="Arial" w:cs="Arial" w:eastAsia="Arial" w:hAnsi="Arial"/>
                <w:sz w:val="25"/>
                <w:szCs w:val="25"/>
                <w:b w:val="1"/>
                <w:bCs w:val="1"/>
                <w:color w:val="FEFEFE"/>
              </w:rPr>
              <w:t>S</w:t>
            </w:r>
            <w:r>
              <w:rPr>
                <w:rFonts w:ascii="Arial" w:cs="Arial" w:eastAsia="Arial" w:hAnsi="Arial"/>
                <w:sz w:val="17"/>
                <w:szCs w:val="17"/>
                <w:b w:val="1"/>
                <w:bCs w:val="1"/>
                <w:color w:val="FEFEFE"/>
              </w:rPr>
              <w:t>YLVESTER</w:t>
            </w:r>
            <w:r>
              <w:rPr>
                <w:rFonts w:ascii="Arial" w:cs="Arial" w:eastAsia="Arial" w:hAnsi="Arial"/>
                <w:sz w:val="19"/>
                <w:szCs w:val="19"/>
                <w:b w:val="1"/>
                <w:bCs w:val="1"/>
                <w:color w:val="FEFEFE"/>
              </w:rPr>
              <w:t>​</w:t>
            </w:r>
          </w:p>
        </w:tc>
        <w:tc>
          <w:tcPr>
            <w:tcW w:w="3060" w:type="dxa"/>
            <w:vAlign w:val="bottom"/>
          </w:tcPr>
          <w:p>
            <w:pPr>
              <w:ind w:left="3000"/>
              <w:spacing w:after="0"/>
              <w:rPr>
                <w:sz w:val="20"/>
                <w:szCs w:val="20"/>
                <w:color w:val="auto"/>
              </w:rPr>
            </w:pPr>
            <w:r>
              <w:rPr>
                <w:rFonts w:ascii="Arial" w:cs="Arial" w:eastAsia="Arial" w:hAnsi="Arial"/>
                <w:sz w:val="25"/>
                <w:szCs w:val="25"/>
                <w:b w:val="1"/>
                <w:bCs w:val="1"/>
                <w:color w:val="FEFEFE"/>
              </w:rPr>
              <w:t>​</w:t>
            </w:r>
          </w:p>
        </w:tc>
        <w:tc>
          <w:tcPr>
            <w:tcW w:w="0" w:type="dxa"/>
            <w:vAlign w:val="bottom"/>
          </w:tcPr>
          <w:p>
            <w:pPr>
              <w:spacing w:after="0"/>
              <w:rPr>
                <w:sz w:val="1"/>
                <w:szCs w:val="1"/>
                <w:color w:val="auto"/>
              </w:rPr>
            </w:pPr>
          </w:p>
        </w:tc>
      </w:tr>
      <w:tr>
        <w:trPr>
          <w:trHeight w:val="90"/>
        </w:trPr>
        <w:tc>
          <w:tcPr>
            <w:tcW w:w="4500" w:type="dxa"/>
            <w:vAlign w:val="bottom"/>
            <w:vMerge w:val="continue"/>
          </w:tcPr>
          <w:p>
            <w:pPr>
              <w:spacing w:after="0"/>
              <w:rPr>
                <w:sz w:val="7"/>
                <w:szCs w:val="7"/>
                <w:color w:val="auto"/>
              </w:rPr>
            </w:pPr>
          </w:p>
        </w:tc>
        <w:tc>
          <w:tcPr>
            <w:tcW w:w="3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3"/>
        </w:trPr>
        <w:tc>
          <w:tcPr>
            <w:tcW w:w="4500" w:type="dxa"/>
            <w:vAlign w:val="bottom"/>
          </w:tcPr>
          <w:p>
            <w:pPr>
              <w:spacing w:after="0"/>
              <w:rPr>
                <w:sz w:val="20"/>
                <w:szCs w:val="20"/>
                <w:color w:val="auto"/>
              </w:rPr>
            </w:pPr>
            <w:r>
              <w:rPr>
                <w:rFonts w:ascii="Arial" w:cs="Arial" w:eastAsia="Arial" w:hAnsi="Arial"/>
                <w:sz w:val="35"/>
                <w:szCs w:val="35"/>
                <w:color w:val="000000"/>
                <w:vertAlign w:val="superscript"/>
              </w:rPr>
              <w:t>​ ​</w:t>
            </w:r>
            <w:r>
              <w:rPr>
                <w:rFonts w:ascii="Arial" w:cs="Arial" w:eastAsia="Arial" w:hAnsi="Arial"/>
                <w:sz w:val="25"/>
                <w:szCs w:val="25"/>
                <w:b w:val="1"/>
                <w:bCs w:val="1"/>
                <w:color w:val="457157"/>
              </w:rPr>
              <w:t>P</w:t>
            </w:r>
            <w:r>
              <w:rPr>
                <w:rFonts w:ascii="Arial" w:cs="Arial" w:eastAsia="Arial" w:hAnsi="Arial"/>
                <w:sz w:val="17"/>
                <w:szCs w:val="17"/>
                <w:b w:val="1"/>
                <w:bCs w:val="1"/>
                <w:color w:val="457157"/>
              </w:rPr>
              <w:t>OSITION AND</w:t>
            </w:r>
            <w:r>
              <w:rPr>
                <w:rFonts w:ascii="Arial" w:cs="Arial" w:eastAsia="Arial" w:hAnsi="Arial"/>
                <w:sz w:val="25"/>
                <w:szCs w:val="25"/>
                <w:b w:val="1"/>
                <w:bCs w:val="1"/>
                <w:color w:val="457157"/>
              </w:rPr>
              <w:t xml:space="preserve"> B</w:t>
            </w:r>
            <w:r>
              <w:rPr>
                <w:rFonts w:ascii="Arial" w:cs="Arial" w:eastAsia="Arial" w:hAnsi="Arial"/>
                <w:sz w:val="17"/>
                <w:szCs w:val="17"/>
                <w:b w:val="1"/>
                <w:bCs w:val="1"/>
                <w:color w:val="457157"/>
              </w:rPr>
              <w:t>USINESS</w:t>
            </w:r>
            <w:r>
              <w:rPr>
                <w:rFonts w:ascii="Arial" w:cs="Arial" w:eastAsia="Arial" w:hAnsi="Arial"/>
                <w:sz w:val="25"/>
                <w:szCs w:val="25"/>
                <w:b w:val="1"/>
                <w:bCs w:val="1"/>
                <w:color w:val="457157"/>
              </w:rPr>
              <w:t xml:space="preserve"> E</w:t>
            </w:r>
            <w:r>
              <w:rPr>
                <w:rFonts w:ascii="Arial" w:cs="Arial" w:eastAsia="Arial" w:hAnsi="Arial"/>
                <w:sz w:val="17"/>
                <w:szCs w:val="17"/>
                <w:b w:val="1"/>
                <w:bCs w:val="1"/>
                <w:color w:val="457157"/>
              </w:rPr>
              <w:t>XPERIENCE</w:t>
            </w:r>
          </w:p>
        </w:tc>
        <w:tc>
          <w:tcPr>
            <w:tcW w:w="3060" w:type="dxa"/>
            <w:vAlign w:val="bottom"/>
          </w:tcPr>
          <w:p>
            <w:pPr>
              <w:ind w:left="3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-876935</wp:posOffset>
            </wp:positionV>
            <wp:extent cx="5760720" cy="65576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60720" cy="6557645"/>
                    </a:xfrm>
                    <a:prstGeom prst="rect">
                      <a:avLst/>
                    </a:prstGeom>
                    <a:noFill/>
                  </pic:spPr>
                </pic:pic>
              </a:graphicData>
            </a:graphic>
          </wp:anchor>
        </w:drawing>
      </w:r>
    </w:p>
    <w:p>
      <w:pPr>
        <w:spacing w:after="0" w:line="37" w:lineRule="exact"/>
        <w:rPr>
          <w:sz w:val="20"/>
          <w:szCs w:val="20"/>
          <w:color w:val="auto"/>
        </w:rPr>
      </w:pPr>
    </w:p>
    <w:p>
      <w:pPr>
        <w:jc w:val="both"/>
        <w:ind w:left="160" w:right="80"/>
        <w:spacing w:after="0" w:line="268" w:lineRule="auto"/>
        <w:rPr>
          <w:sz w:val="20"/>
          <w:szCs w:val="20"/>
          <w:color w:val="auto"/>
        </w:rPr>
      </w:pPr>
      <w:r>
        <w:rPr>
          <w:rFonts w:ascii="Arial" w:cs="Arial" w:eastAsia="Arial" w:hAnsi="Arial"/>
          <w:sz w:val="18"/>
          <w:szCs w:val="18"/>
          <w:color w:val="auto"/>
        </w:rPr>
        <w:t>Retired U.S. Managing Director and U.S. Head of Electrification — ABB Ltd. (global technology company focused on electrification, robotics, power and automation), served from August 2019 to August 2020.</w:t>
      </w:r>
    </w:p>
    <w:p>
      <w:pPr>
        <w:spacing w:after="0" w:line="63" w:lineRule="exact"/>
        <w:rPr>
          <w:sz w:val="20"/>
          <w:szCs w:val="20"/>
          <w:color w:val="auto"/>
        </w:rPr>
      </w:pPr>
    </w:p>
    <w:p>
      <w:pPr>
        <w:jc w:val="both"/>
        <w:ind w:left="160" w:right="80"/>
        <w:spacing w:after="0" w:line="268" w:lineRule="auto"/>
        <w:rPr>
          <w:sz w:val="20"/>
          <w:szCs w:val="20"/>
          <w:color w:val="auto"/>
        </w:rPr>
      </w:pPr>
      <w:r>
        <w:rPr>
          <w:rFonts w:ascii="Arial" w:cs="Arial" w:eastAsia="Arial" w:hAnsi="Arial"/>
          <w:sz w:val="18"/>
          <w:szCs w:val="18"/>
          <w:color w:val="auto"/>
        </w:rPr>
        <w:t>Former President and Chief Executive Officer — Current, powered by GE (energy services and information technology subsidiary of General Electric subsequently acquired by private equity investors), served from 2015 to June 2019.</w:t>
      </w:r>
    </w:p>
    <w:p>
      <w:pPr>
        <w:spacing w:after="0" w:line="6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Director of Harley-Davidson, Inc. since 2016.</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Director of Vontier Corporation since March 2021.</w:t>
      </w:r>
    </w:p>
    <w:p>
      <w:pPr>
        <w:spacing w:after="0" w:line="11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Director of Flex Ltd. since September 2022.</w:t>
      </w:r>
    </w:p>
    <w:p>
      <w:pPr>
        <w:spacing w:after="0" w:line="144" w:lineRule="exact"/>
        <w:rPr>
          <w:sz w:val="20"/>
          <w:szCs w:val="20"/>
          <w:color w:val="auto"/>
        </w:rPr>
      </w:pPr>
    </w:p>
    <w:p>
      <w:pPr>
        <w:ind w:left="360" w:hanging="209"/>
        <w:spacing w:after="0"/>
        <w:tabs>
          <w:tab w:leader="none" w:pos="360" w:val="left"/>
        </w:tabs>
        <w:numPr>
          <w:ilvl w:val="0"/>
          <w:numId w:val="21"/>
        </w:numPr>
        <w:rPr>
          <w:rFonts w:ascii="Arial" w:cs="Arial" w:eastAsia="Arial" w:hAnsi="Arial"/>
          <w:sz w:val="25"/>
          <w:szCs w:val="25"/>
          <w:b w:val="1"/>
          <w:bCs w:val="1"/>
          <w:color w:val="457157"/>
        </w:rPr>
      </w:pPr>
      <w:r>
        <w:rPr>
          <w:rFonts w:ascii="Arial" w:cs="Arial" w:eastAsia="Arial" w:hAnsi="Arial"/>
          <w:sz w:val="18"/>
          <w:szCs w:val="18"/>
          <w:b w:val="1"/>
          <w:bCs w:val="1"/>
          <w:color w:val="457157"/>
        </w:rPr>
        <w:t>UALIFICATIONS</w:t>
      </w:r>
    </w:p>
    <w:p>
      <w:pPr>
        <w:spacing w:after="0" w:line="104" w:lineRule="exact"/>
        <w:rPr>
          <w:sz w:val="20"/>
          <w:szCs w:val="20"/>
          <w:color w:val="auto"/>
        </w:rPr>
      </w:pPr>
    </w:p>
    <w:p>
      <w:pPr>
        <w:jc w:val="both"/>
        <w:ind w:left="160" w:right="80"/>
        <w:spacing w:after="0" w:line="261" w:lineRule="auto"/>
        <w:rPr>
          <w:sz w:val="20"/>
          <w:szCs w:val="20"/>
          <w:color w:val="auto"/>
        </w:rPr>
      </w:pPr>
      <w:r>
        <w:rPr>
          <w:rFonts w:ascii="Arial" w:cs="Arial" w:eastAsia="Arial" w:hAnsi="Arial"/>
          <w:sz w:val="18"/>
          <w:szCs w:val="18"/>
          <w:color w:val="auto"/>
        </w:rPr>
        <w:t>As U.S. Managing Director and U.S. Head of Electrification for ABB Ltd., Maryrose Sylvester was responsible for ABB’s largest geographical market and the implementation of operational innovations. Ms. Sylvester also championed the company’s diversity and inclusion efforts and accelerated ABB’s Encompass Diversity program.</w:t>
      </w:r>
    </w:p>
    <w:p>
      <w:pPr>
        <w:spacing w:after="0" w:line="288" w:lineRule="exact"/>
        <w:rPr>
          <w:sz w:val="20"/>
          <w:szCs w:val="20"/>
          <w:color w:val="auto"/>
        </w:rPr>
      </w:pPr>
    </w:p>
    <w:p>
      <w:pPr>
        <w:jc w:val="both"/>
        <w:ind w:left="160" w:right="80"/>
        <w:spacing w:after="0" w:line="258" w:lineRule="auto"/>
        <w:rPr>
          <w:sz w:val="20"/>
          <w:szCs w:val="20"/>
          <w:color w:val="auto"/>
        </w:rPr>
      </w:pPr>
      <w:r>
        <w:rPr>
          <w:rFonts w:ascii="Arial" w:cs="Arial" w:eastAsia="Arial" w:hAnsi="Arial"/>
          <w:sz w:val="18"/>
          <w:szCs w:val="18"/>
          <w:color w:val="auto"/>
        </w:rPr>
        <w:t>Prior to joining ABB Ltd., Ms. Sylvester spent more than 30 years at General Electric, where she held a number of leadership roles, including serving as President and Chief Executive Officer of each of GE Lighting, GE Intelligent Platforms, which focused on industrial automation, and GE Current, a digital power service business that delivers integrated energy systems. Ms. Sylvester was instrumental in launching the GE Women’s Network.</w:t>
      </w:r>
    </w:p>
    <w:p>
      <w:pPr>
        <w:spacing w:after="0" w:line="291" w:lineRule="exact"/>
        <w:rPr>
          <w:sz w:val="20"/>
          <w:szCs w:val="20"/>
          <w:color w:val="auto"/>
        </w:rPr>
      </w:pPr>
    </w:p>
    <w:p>
      <w:pPr>
        <w:jc w:val="both"/>
        <w:ind w:left="160" w:right="80"/>
        <w:spacing w:after="0" w:line="253" w:lineRule="auto"/>
        <w:rPr>
          <w:sz w:val="20"/>
          <w:szCs w:val="20"/>
          <w:color w:val="auto"/>
        </w:rPr>
      </w:pPr>
      <w:r>
        <w:rPr>
          <w:rFonts w:ascii="Arial" w:cs="Arial" w:eastAsia="Arial" w:hAnsi="Arial"/>
          <w:sz w:val="18"/>
          <w:szCs w:val="18"/>
          <w:color w:val="auto"/>
        </w:rPr>
        <w:t>Ms. Sylvester is a strategic, growth-oriented leader with a focus on the areas of technology, innovation and automation. Through her prior experience, Ms. Sylvester has developed expertise in delivering technology-enabled and energy-efficient sustainable solutions. Ms. Sylvester provides experience and extensive knowledge of product development, marketing, technology and supply chain strategy to the Board. Ms. Sylvester has in -depth expertise in the area of improving energy efficiency in response to climate risk. Ms. Sylvester also shares insight from her prior experience to inform our strategy to improve processes and drive efficiency through automation. Ms. Sylvester is passionate about advancing diversity and inclusion and has expertise developing and driving such initiatives in the workplace. Ms. Sylvester also brings valuable governance experience from her service on the public company boards listed above.</w:t>
      </w:r>
    </w:p>
    <w:p>
      <w:pPr>
        <w:spacing w:after="0" w:line="300" w:lineRule="exact"/>
        <w:rPr>
          <w:sz w:val="20"/>
          <w:szCs w:val="20"/>
          <w:color w:val="auto"/>
        </w:rPr>
      </w:pPr>
    </w:p>
    <w:p>
      <w:pPr>
        <w:jc w:val="both"/>
        <w:ind w:left="160" w:right="80"/>
        <w:spacing w:after="0" w:line="268" w:lineRule="auto"/>
        <w:rPr>
          <w:sz w:val="20"/>
          <w:szCs w:val="20"/>
          <w:color w:val="auto"/>
        </w:rPr>
      </w:pPr>
      <w:r>
        <w:rPr>
          <w:rFonts w:ascii="Arial" w:cs="Arial" w:eastAsia="Arial" w:hAnsi="Arial"/>
          <w:sz w:val="18"/>
          <w:szCs w:val="18"/>
          <w:color w:val="auto"/>
        </w:rPr>
        <w:t>She holds a bachelor’s degree in procurement and production management from Bowling Green State University and a master’s degree in business administration from Cleveland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702945</wp:posOffset>
            </wp:positionV>
            <wp:extent cx="5220335" cy="4889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220335" cy="4889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300" w:space="80"/>
            <w:col w:w="7560"/>
          </w:cols>
          <w:pgMar w:left="580" w:top="97"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DIRECTOR AND OFFICER STOCK OWNERSHIP</w:t>
      </w:r>
    </w:p>
    <w:p>
      <w:pPr>
        <w:spacing w:after="0" w:line="118" w:lineRule="exact"/>
        <w:rPr>
          <w:sz w:val="20"/>
          <w:szCs w:val="20"/>
          <w:color w:val="auto"/>
        </w:rPr>
      </w:pPr>
    </w:p>
    <w:p>
      <w:pPr>
        <w:jc w:val="both"/>
        <w:ind w:left="820" w:right="40"/>
        <w:spacing w:after="0" w:line="262" w:lineRule="auto"/>
        <w:rPr>
          <w:sz w:val="20"/>
          <w:szCs w:val="20"/>
          <w:color w:val="auto"/>
        </w:rPr>
      </w:pPr>
      <w:r>
        <w:rPr>
          <w:rFonts w:ascii="Arial" w:cs="Arial" w:eastAsia="Arial" w:hAnsi="Arial"/>
          <w:sz w:val="18"/>
          <w:szCs w:val="18"/>
          <w:color w:val="auto"/>
        </w:rPr>
        <w:t>Our Board of Directors has adopted stock ownership guidelines for our non-employee directors based on the recommendation of the MD&amp;C Committee, as described in the Non-Employee Director Compensation discussion. Our executive officers, including Mr. Fish, are also subject to stock ownership guidelines, as described in the Compensation Discussion and Analysis.</w:t>
      </w:r>
    </w:p>
    <w:p>
      <w:pPr>
        <w:spacing w:after="0" w:line="68" w:lineRule="exact"/>
        <w:rPr>
          <w:sz w:val="20"/>
          <w:szCs w:val="20"/>
          <w:color w:val="auto"/>
        </w:rPr>
      </w:pPr>
    </w:p>
    <w:p>
      <w:pPr>
        <w:jc w:val="both"/>
        <w:ind w:left="820" w:right="40"/>
        <w:spacing w:after="0" w:line="261" w:lineRule="auto"/>
        <w:rPr>
          <w:sz w:val="20"/>
          <w:szCs w:val="20"/>
          <w:color w:val="auto"/>
        </w:rPr>
      </w:pPr>
      <w:r>
        <w:rPr>
          <w:rFonts w:ascii="Arial" w:cs="Arial" w:eastAsia="Arial" w:hAnsi="Arial"/>
          <w:sz w:val="18"/>
          <w:szCs w:val="18"/>
          <w:color w:val="auto"/>
        </w:rPr>
        <w:t>The Security Ownership of Management table below shows the number of shares of Common Stock each director and each executive officer named in the Summary Compensation Table beneficially owned as of March 18, 2025, as well as the number owned by all directors and executive officers as a group. These individuals, both individually and in the aggregate, own less than 1% of our outstanding shares as of the record date.</w:t>
      </w:r>
    </w:p>
    <w:p>
      <w:pPr>
        <w:spacing w:after="0" w:line="386"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SECURITY OWNERSHIP OF MANAGEMENT</w:t>
      </w:r>
    </w:p>
    <w:p>
      <w:pPr>
        <w:spacing w:after="0" w:line="141"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6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457157"/>
              </w:rPr>
              <w:t>Shares of Common</w:t>
            </w:r>
          </w:p>
        </w:tc>
        <w:tc>
          <w:tcPr>
            <w:tcW w:w="26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457157"/>
              </w:rPr>
              <w:t>Shares of Common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40" w:type="dxa"/>
            <w:vAlign w:val="bottom"/>
            <w:vMerge w:val="restart"/>
          </w:tcPr>
          <w:p>
            <w:pPr>
              <w:spacing w:after="0"/>
              <w:rPr>
                <w:sz w:val="20"/>
                <w:szCs w:val="20"/>
                <w:color w:val="auto"/>
              </w:rPr>
            </w:pPr>
            <w:r>
              <w:rPr>
                <w:rFonts w:ascii="Arial" w:cs="Arial" w:eastAsia="Arial" w:hAnsi="Arial"/>
                <w:sz w:val="14"/>
                <w:szCs w:val="14"/>
                <w:b w:val="1"/>
                <w:bCs w:val="1"/>
                <w:color w:val="457157"/>
              </w:rPr>
              <w:t>Name</w:t>
            </w:r>
          </w:p>
        </w:tc>
        <w:tc>
          <w:tcPr>
            <w:tcW w:w="168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457157"/>
              </w:rPr>
              <w:t>Stock Covered by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540" w:type="dxa"/>
            <w:vAlign w:val="bottom"/>
            <w:vMerge w:val="continue"/>
          </w:tcPr>
          <w:p>
            <w:pPr>
              <w:spacing w:after="0"/>
              <w:rPr>
                <w:sz w:val="11"/>
                <w:szCs w:val="11"/>
                <w:color w:val="auto"/>
              </w:rPr>
            </w:pPr>
          </w:p>
        </w:tc>
        <w:tc>
          <w:tcPr>
            <w:tcW w:w="42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457157"/>
              </w:rPr>
              <w:t>​​</w:t>
            </w:r>
          </w:p>
        </w:tc>
        <w:tc>
          <w:tcPr>
            <w:tcW w:w="3040" w:type="dxa"/>
            <w:vAlign w:val="bottom"/>
            <w:gridSpan w:val="5"/>
          </w:tcPr>
          <w:p>
            <w:pPr>
              <w:ind w:left="180"/>
              <w:spacing w:after="0" w:line="135" w:lineRule="exact"/>
              <w:rPr>
                <w:sz w:val="20"/>
                <w:szCs w:val="20"/>
                <w:color w:val="auto"/>
              </w:rPr>
            </w:pPr>
            <w:r>
              <w:rPr>
                <w:rFonts w:ascii="Arial" w:cs="Arial" w:eastAsia="Arial" w:hAnsi="Arial"/>
                <w:sz w:val="14"/>
                <w:szCs w:val="14"/>
                <w:b w:val="1"/>
                <w:bCs w:val="1"/>
                <w:color w:val="457157"/>
              </w:rPr>
              <w:t>Stock Owned</w:t>
            </w:r>
            <w:r>
              <w:rPr>
                <w:rFonts w:ascii="Arial" w:cs="Arial" w:eastAsia="Arial" w:hAnsi="Arial"/>
                <w:sz w:val="8"/>
                <w:szCs w:val="8"/>
                <w:b w:val="1"/>
                <w:bCs w:val="1"/>
                <w:color w:val="457157"/>
              </w:rPr>
              <w:t>(1)</w:t>
            </w:r>
            <w:r>
              <w:rPr>
                <w:rFonts w:ascii="Arial" w:cs="Arial" w:eastAsia="Arial" w:hAnsi="Arial"/>
                <w:sz w:val="14"/>
                <w:szCs w:val="14"/>
                <w:b w:val="1"/>
                <w:bCs w:val="1"/>
                <w:color w:val="457157"/>
              </w:rPr>
              <w:t xml:space="preserve">   Exercisable Options</w:t>
            </w:r>
            <w:r>
              <w:rPr>
                <w:rFonts w:ascii="Arial" w:cs="Arial" w:eastAsia="Arial" w:hAnsi="Arial"/>
                <w:sz w:val="8"/>
                <w:szCs w:val="8"/>
                <w:b w:val="1"/>
                <w:bCs w:val="1"/>
                <w:color w:val="457157"/>
              </w:rPr>
              <w:t>(2)</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68"/>
        </w:trPr>
        <w:tc>
          <w:tcPr>
            <w:tcW w:w="5540" w:type="dxa"/>
            <w:vAlign w:val="bottom"/>
            <w:tcBorders>
              <w:bottom w:val="single" w:sz="8" w:color="457157"/>
            </w:tcBorders>
          </w:tcPr>
          <w:p>
            <w:pPr>
              <w:spacing w:after="0" w:line="68" w:lineRule="exact"/>
              <w:rPr>
                <w:sz w:val="20"/>
                <w:szCs w:val="20"/>
                <w:color w:val="auto"/>
              </w:rPr>
            </w:pPr>
            <w:r>
              <w:rPr>
                <w:rFonts w:ascii="Arial" w:cs="Arial" w:eastAsia="Arial" w:hAnsi="Arial"/>
                <w:sz w:val="7"/>
                <w:szCs w:val="7"/>
                <w:b w:val="1"/>
                <w:bCs w:val="1"/>
                <w:color w:val="457157"/>
              </w:rPr>
              <w:t>​</w:t>
            </w:r>
          </w:p>
        </w:tc>
        <w:tc>
          <w:tcPr>
            <w:tcW w:w="420" w:type="dxa"/>
            <w:vAlign w:val="bottom"/>
            <w:tcBorders>
              <w:bottom w:val="single" w:sz="8" w:color="457157"/>
            </w:tcBorders>
            <w:vMerge w:val="continue"/>
          </w:tcPr>
          <w:p>
            <w:pPr>
              <w:spacing w:after="0"/>
              <w:rPr>
                <w:sz w:val="5"/>
                <w:szCs w:val="5"/>
                <w:color w:val="auto"/>
              </w:rPr>
            </w:pPr>
          </w:p>
        </w:tc>
        <w:tc>
          <w:tcPr>
            <w:tcW w:w="300" w:type="dxa"/>
            <w:vAlign w:val="bottom"/>
            <w:tcBorders>
              <w:bottom w:val="single" w:sz="8" w:color="457157"/>
            </w:tcBorders>
          </w:tcPr>
          <w:p>
            <w:pPr>
              <w:spacing w:after="0"/>
              <w:rPr>
                <w:sz w:val="5"/>
                <w:szCs w:val="5"/>
                <w:color w:val="auto"/>
              </w:rPr>
            </w:pPr>
          </w:p>
        </w:tc>
        <w:tc>
          <w:tcPr>
            <w:tcW w:w="960" w:type="dxa"/>
            <w:vAlign w:val="bottom"/>
            <w:tcBorders>
              <w:bottom w:val="single" w:sz="8" w:color="457157"/>
            </w:tcBorders>
          </w:tcPr>
          <w:p>
            <w:pPr>
              <w:spacing w:after="0"/>
              <w:rPr>
                <w:sz w:val="5"/>
                <w:szCs w:val="5"/>
                <w:color w:val="auto"/>
              </w:rPr>
            </w:pPr>
          </w:p>
        </w:tc>
        <w:tc>
          <w:tcPr>
            <w:tcW w:w="260" w:type="dxa"/>
            <w:vAlign w:val="bottom"/>
            <w:tcBorders>
              <w:bottom w:val="single" w:sz="8" w:color="457157"/>
            </w:tcBorders>
          </w:tcPr>
          <w:p>
            <w:pPr>
              <w:jc w:val="right"/>
              <w:spacing w:after="0" w:line="68" w:lineRule="exact"/>
              <w:rPr>
                <w:sz w:val="20"/>
                <w:szCs w:val="20"/>
                <w:color w:val="auto"/>
              </w:rPr>
            </w:pPr>
            <w:r>
              <w:rPr>
                <w:rFonts w:ascii="Arial" w:cs="Arial" w:eastAsia="Arial" w:hAnsi="Arial"/>
                <w:sz w:val="7"/>
                <w:szCs w:val="7"/>
                <w:b w:val="1"/>
                <w:bCs w:val="1"/>
                <w:color w:val="457157"/>
              </w:rPr>
              <w:t>​​</w:t>
            </w:r>
          </w:p>
        </w:tc>
        <w:tc>
          <w:tcPr>
            <w:tcW w:w="480" w:type="dxa"/>
            <w:vAlign w:val="bottom"/>
            <w:tcBorders>
              <w:bottom w:val="single" w:sz="8" w:color="457157"/>
            </w:tcBorders>
          </w:tcPr>
          <w:p>
            <w:pPr>
              <w:spacing w:after="0"/>
              <w:rPr>
                <w:sz w:val="5"/>
                <w:szCs w:val="5"/>
                <w:color w:val="auto"/>
              </w:rPr>
            </w:pPr>
          </w:p>
        </w:tc>
        <w:tc>
          <w:tcPr>
            <w:tcW w:w="1040" w:type="dxa"/>
            <w:vAlign w:val="bottom"/>
            <w:tcBorders>
              <w:bottom w:val="single" w:sz="8" w:color="457157"/>
            </w:tcBorders>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540" w:type="dxa"/>
            <w:vAlign w:val="bottom"/>
          </w:tcPr>
          <w:p>
            <w:pPr>
              <w:spacing w:after="0" w:line="210" w:lineRule="exact"/>
              <w:rPr>
                <w:sz w:val="20"/>
                <w:szCs w:val="20"/>
                <w:color w:val="auto"/>
              </w:rPr>
            </w:pPr>
            <w:r>
              <w:rPr>
                <w:rFonts w:ascii="Arial" w:cs="Arial" w:eastAsia="Arial" w:hAnsi="Arial"/>
                <w:sz w:val="18"/>
                <w:szCs w:val="18"/>
                <w:color w:val="auto"/>
              </w:rPr>
              <w:t>Thomas L. Bené</w:t>
            </w:r>
            <w:r>
              <w:rPr>
                <w:rFonts w:ascii="Arial" w:cs="Arial" w:eastAsia="Arial" w:hAnsi="Arial"/>
                <w:sz w:val="23"/>
                <w:szCs w:val="23"/>
                <w:color w:val="auto"/>
                <w:vertAlign w:val="superscript"/>
              </w:rPr>
              <w:t>(3)</w:t>
            </w:r>
          </w:p>
        </w:tc>
        <w:tc>
          <w:tcPr>
            <w:tcW w:w="42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1,430</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3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5540" w:type="dxa"/>
            <w:vAlign w:val="bottom"/>
          </w:tcPr>
          <w:p>
            <w:pPr>
              <w:spacing w:after="0" w:line="68" w:lineRule="exact"/>
              <w:rPr>
                <w:sz w:val="20"/>
                <w:szCs w:val="20"/>
                <w:color w:val="auto"/>
              </w:rPr>
            </w:pPr>
            <w:r>
              <w:rPr>
                <w:rFonts w:ascii="Arial" w:cs="Arial" w:eastAsia="Arial" w:hAnsi="Arial"/>
                <w:sz w:val="7"/>
                <w:szCs w:val="7"/>
                <w:color w:val="auto"/>
              </w:rPr>
              <w:t>​</w:t>
            </w:r>
          </w:p>
        </w:tc>
        <w:tc>
          <w:tcPr>
            <w:tcW w:w="420" w:type="dxa"/>
            <w:vAlign w:val="bottom"/>
            <w:vMerge w:val="continue"/>
          </w:tcPr>
          <w:p>
            <w:pPr>
              <w:spacing w:after="0"/>
              <w:rPr>
                <w:sz w:val="5"/>
                <w:szCs w:val="5"/>
                <w:color w:val="auto"/>
              </w:rPr>
            </w:pPr>
          </w:p>
        </w:tc>
        <w:tc>
          <w:tcPr>
            <w:tcW w:w="300" w:type="dxa"/>
            <w:vAlign w:val="bottom"/>
          </w:tcPr>
          <w:p>
            <w:pPr>
              <w:ind w:left="140"/>
              <w:spacing w:after="0" w:line="68" w:lineRule="exact"/>
              <w:rPr>
                <w:sz w:val="20"/>
                <w:szCs w:val="20"/>
                <w:color w:val="auto"/>
              </w:rPr>
            </w:pPr>
            <w:r>
              <w:rPr>
                <w:rFonts w:ascii="Arial" w:cs="Arial" w:eastAsia="Arial" w:hAnsi="Arial"/>
                <w:sz w:val="7"/>
                <w:szCs w:val="7"/>
                <w:color w:val="auto"/>
              </w:rPr>
              <w:t>​</w:t>
            </w:r>
          </w:p>
        </w:tc>
        <w:tc>
          <w:tcPr>
            <w:tcW w:w="96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480" w:type="dxa"/>
            <w:vAlign w:val="bottom"/>
          </w:tcPr>
          <w:p>
            <w:pPr>
              <w:ind w:left="320"/>
              <w:spacing w:after="0" w:line="68" w:lineRule="exact"/>
              <w:rPr>
                <w:sz w:val="20"/>
                <w:szCs w:val="20"/>
                <w:color w:val="auto"/>
              </w:rPr>
            </w:pPr>
            <w:r>
              <w:rPr>
                <w:rFonts w:ascii="Arial" w:cs="Arial" w:eastAsia="Arial" w:hAnsi="Arial"/>
                <w:sz w:val="7"/>
                <w:szCs w:val="7"/>
                <w:color w:val="auto"/>
              </w:rPr>
              <w:t>​</w:t>
            </w:r>
          </w:p>
        </w:tc>
        <w:tc>
          <w:tcPr>
            <w:tcW w:w="10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tcPr>
          <w:p>
            <w:pPr>
              <w:spacing w:after="0" w:line="183" w:lineRule="exact"/>
              <w:rPr>
                <w:sz w:val="20"/>
                <w:szCs w:val="20"/>
                <w:color w:val="auto"/>
              </w:rPr>
            </w:pPr>
            <w:r>
              <w:rPr>
                <w:rFonts w:ascii="Arial" w:cs="Arial" w:eastAsia="Arial" w:hAnsi="Arial"/>
                <w:sz w:val="17"/>
                <w:szCs w:val="17"/>
                <w:color w:val="auto"/>
              </w:rPr>
              <w:t>Bruce E. Chinn</w:t>
            </w:r>
            <w:r>
              <w:rPr>
                <w:rFonts w:ascii="Arial" w:cs="Arial" w:eastAsia="Arial" w:hAnsi="Arial"/>
                <w:sz w:val="21"/>
                <w:szCs w:val="21"/>
                <w:color w:val="auto"/>
                <w:vertAlign w:val="superscript"/>
              </w:rPr>
              <w:t>(4)</w:t>
            </w:r>
          </w:p>
        </w:tc>
        <w:tc>
          <w:tcPr>
            <w:tcW w:w="42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2,172</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34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line="182" w:lineRule="exact"/>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5540" w:type="dxa"/>
            <w:vAlign w:val="bottom"/>
          </w:tcPr>
          <w:p>
            <w:pPr>
              <w:spacing w:after="0" w:line="68" w:lineRule="exact"/>
              <w:rPr>
                <w:sz w:val="20"/>
                <w:szCs w:val="20"/>
                <w:color w:val="auto"/>
              </w:rPr>
            </w:pPr>
            <w:r>
              <w:rPr>
                <w:rFonts w:ascii="Arial" w:cs="Arial" w:eastAsia="Arial" w:hAnsi="Arial"/>
                <w:sz w:val="7"/>
                <w:szCs w:val="7"/>
                <w:color w:val="auto"/>
              </w:rPr>
              <w:t>​</w:t>
            </w:r>
          </w:p>
        </w:tc>
        <w:tc>
          <w:tcPr>
            <w:tcW w:w="420" w:type="dxa"/>
            <w:vAlign w:val="bottom"/>
            <w:vMerge w:val="continue"/>
          </w:tcPr>
          <w:p>
            <w:pPr>
              <w:spacing w:after="0"/>
              <w:rPr>
                <w:sz w:val="5"/>
                <w:szCs w:val="5"/>
                <w:color w:val="auto"/>
              </w:rPr>
            </w:pPr>
          </w:p>
        </w:tc>
        <w:tc>
          <w:tcPr>
            <w:tcW w:w="300" w:type="dxa"/>
            <w:vAlign w:val="bottom"/>
          </w:tcPr>
          <w:p>
            <w:pPr>
              <w:ind w:left="140"/>
              <w:spacing w:after="0" w:line="68" w:lineRule="exact"/>
              <w:rPr>
                <w:sz w:val="20"/>
                <w:szCs w:val="20"/>
                <w:color w:val="auto"/>
              </w:rPr>
            </w:pPr>
            <w:r>
              <w:rPr>
                <w:rFonts w:ascii="Arial" w:cs="Arial" w:eastAsia="Arial" w:hAnsi="Arial"/>
                <w:sz w:val="7"/>
                <w:szCs w:val="7"/>
                <w:color w:val="auto"/>
              </w:rPr>
              <w:t>​</w:t>
            </w:r>
          </w:p>
        </w:tc>
        <w:tc>
          <w:tcPr>
            <w:tcW w:w="96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480" w:type="dxa"/>
            <w:vAlign w:val="bottom"/>
          </w:tcPr>
          <w:p>
            <w:pPr>
              <w:ind w:left="320"/>
              <w:spacing w:after="0" w:line="68" w:lineRule="exact"/>
              <w:rPr>
                <w:sz w:val="20"/>
                <w:szCs w:val="20"/>
                <w:color w:val="auto"/>
              </w:rPr>
            </w:pPr>
            <w:r>
              <w:rPr>
                <w:rFonts w:ascii="Arial" w:cs="Arial" w:eastAsia="Arial" w:hAnsi="Arial"/>
                <w:sz w:val="7"/>
                <w:szCs w:val="7"/>
                <w:color w:val="auto"/>
              </w:rPr>
              <w:t>​</w:t>
            </w:r>
          </w:p>
        </w:tc>
        <w:tc>
          <w:tcPr>
            <w:tcW w:w="10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Andrés R. Gluski</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ind w:left="1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16,826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3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tcPr>
          <w:p>
            <w:pPr>
              <w:spacing w:after="0" w:line="183" w:lineRule="exact"/>
              <w:rPr>
                <w:sz w:val="20"/>
                <w:szCs w:val="20"/>
                <w:color w:val="auto"/>
              </w:rPr>
            </w:pPr>
            <w:r>
              <w:rPr>
                <w:rFonts w:ascii="Arial" w:cs="Arial" w:eastAsia="Arial" w:hAnsi="Arial"/>
                <w:sz w:val="17"/>
                <w:szCs w:val="17"/>
                <w:color w:val="auto"/>
              </w:rPr>
              <w:t>Victoria M. Holt</w:t>
            </w:r>
            <w:r>
              <w:rPr>
                <w:rFonts w:ascii="Arial" w:cs="Arial" w:eastAsia="Arial" w:hAnsi="Arial"/>
                <w:sz w:val="21"/>
                <w:szCs w:val="21"/>
                <w:color w:val="auto"/>
                <w:vertAlign w:val="superscript"/>
              </w:rPr>
              <w:t>(5)</w:t>
            </w:r>
          </w:p>
        </w:tc>
        <w:tc>
          <w:tcPr>
            <w:tcW w:w="42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22,324</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34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line="182" w:lineRule="exact"/>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5540" w:type="dxa"/>
            <w:vAlign w:val="bottom"/>
          </w:tcPr>
          <w:p>
            <w:pPr>
              <w:spacing w:after="0" w:line="68" w:lineRule="exact"/>
              <w:rPr>
                <w:sz w:val="20"/>
                <w:szCs w:val="20"/>
                <w:color w:val="auto"/>
              </w:rPr>
            </w:pPr>
            <w:r>
              <w:rPr>
                <w:rFonts w:ascii="Arial" w:cs="Arial" w:eastAsia="Arial" w:hAnsi="Arial"/>
                <w:sz w:val="7"/>
                <w:szCs w:val="7"/>
                <w:color w:val="auto"/>
              </w:rPr>
              <w:t>​</w:t>
            </w:r>
          </w:p>
        </w:tc>
        <w:tc>
          <w:tcPr>
            <w:tcW w:w="420" w:type="dxa"/>
            <w:vAlign w:val="bottom"/>
            <w:vMerge w:val="continue"/>
          </w:tcPr>
          <w:p>
            <w:pPr>
              <w:spacing w:after="0"/>
              <w:rPr>
                <w:sz w:val="5"/>
                <w:szCs w:val="5"/>
                <w:color w:val="auto"/>
              </w:rPr>
            </w:pPr>
          </w:p>
        </w:tc>
        <w:tc>
          <w:tcPr>
            <w:tcW w:w="300" w:type="dxa"/>
            <w:vAlign w:val="bottom"/>
          </w:tcPr>
          <w:p>
            <w:pPr>
              <w:ind w:left="140"/>
              <w:spacing w:after="0" w:line="68" w:lineRule="exact"/>
              <w:rPr>
                <w:sz w:val="20"/>
                <w:szCs w:val="20"/>
                <w:color w:val="auto"/>
              </w:rPr>
            </w:pPr>
            <w:r>
              <w:rPr>
                <w:rFonts w:ascii="Arial" w:cs="Arial" w:eastAsia="Arial" w:hAnsi="Arial"/>
                <w:sz w:val="7"/>
                <w:szCs w:val="7"/>
                <w:color w:val="auto"/>
              </w:rPr>
              <w:t>​</w:t>
            </w:r>
          </w:p>
        </w:tc>
        <w:tc>
          <w:tcPr>
            <w:tcW w:w="96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480" w:type="dxa"/>
            <w:vAlign w:val="bottom"/>
          </w:tcPr>
          <w:p>
            <w:pPr>
              <w:ind w:left="320"/>
              <w:spacing w:after="0" w:line="68" w:lineRule="exact"/>
              <w:rPr>
                <w:sz w:val="20"/>
                <w:szCs w:val="20"/>
                <w:color w:val="auto"/>
              </w:rPr>
            </w:pPr>
            <w:r>
              <w:rPr>
                <w:rFonts w:ascii="Arial" w:cs="Arial" w:eastAsia="Arial" w:hAnsi="Arial"/>
                <w:sz w:val="7"/>
                <w:szCs w:val="7"/>
                <w:color w:val="auto"/>
              </w:rPr>
              <w:t>​</w:t>
            </w:r>
          </w:p>
        </w:tc>
        <w:tc>
          <w:tcPr>
            <w:tcW w:w="10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540" w:type="dxa"/>
            <w:vAlign w:val="bottom"/>
          </w:tcPr>
          <w:p>
            <w:pPr>
              <w:spacing w:after="0" w:line="183" w:lineRule="exact"/>
              <w:rPr>
                <w:sz w:val="20"/>
                <w:szCs w:val="20"/>
                <w:color w:val="auto"/>
              </w:rPr>
            </w:pPr>
            <w:r>
              <w:rPr>
                <w:rFonts w:ascii="Arial" w:cs="Arial" w:eastAsia="Arial" w:hAnsi="Arial"/>
                <w:sz w:val="17"/>
                <w:szCs w:val="17"/>
                <w:color w:val="auto"/>
              </w:rPr>
              <w:t>Kathleen M. Mazzarella</w:t>
            </w:r>
            <w:r>
              <w:rPr>
                <w:rFonts w:ascii="Arial" w:cs="Arial" w:eastAsia="Arial" w:hAnsi="Arial"/>
                <w:sz w:val="21"/>
                <w:szCs w:val="21"/>
                <w:color w:val="auto"/>
                <w:vertAlign w:val="superscript"/>
              </w:rPr>
              <w:t>(6)</w:t>
            </w:r>
          </w:p>
        </w:tc>
        <w:tc>
          <w:tcPr>
            <w:tcW w:w="42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15,899</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34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line="182" w:lineRule="exact"/>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5540" w:type="dxa"/>
            <w:vAlign w:val="bottom"/>
          </w:tcPr>
          <w:p>
            <w:pPr>
              <w:spacing w:after="0" w:line="68" w:lineRule="exact"/>
              <w:rPr>
                <w:sz w:val="20"/>
                <w:szCs w:val="20"/>
                <w:color w:val="auto"/>
              </w:rPr>
            </w:pPr>
            <w:r>
              <w:rPr>
                <w:rFonts w:ascii="Arial" w:cs="Arial" w:eastAsia="Arial" w:hAnsi="Arial"/>
                <w:sz w:val="7"/>
                <w:szCs w:val="7"/>
                <w:color w:val="auto"/>
              </w:rPr>
              <w:t>​</w:t>
            </w:r>
          </w:p>
        </w:tc>
        <w:tc>
          <w:tcPr>
            <w:tcW w:w="420" w:type="dxa"/>
            <w:vAlign w:val="bottom"/>
            <w:vMerge w:val="continue"/>
          </w:tcPr>
          <w:p>
            <w:pPr>
              <w:spacing w:after="0"/>
              <w:rPr>
                <w:sz w:val="5"/>
                <w:szCs w:val="5"/>
                <w:color w:val="auto"/>
              </w:rPr>
            </w:pPr>
          </w:p>
        </w:tc>
        <w:tc>
          <w:tcPr>
            <w:tcW w:w="300" w:type="dxa"/>
            <w:vAlign w:val="bottom"/>
          </w:tcPr>
          <w:p>
            <w:pPr>
              <w:ind w:left="140"/>
              <w:spacing w:after="0" w:line="68" w:lineRule="exact"/>
              <w:rPr>
                <w:sz w:val="20"/>
                <w:szCs w:val="20"/>
                <w:color w:val="auto"/>
              </w:rPr>
            </w:pPr>
            <w:r>
              <w:rPr>
                <w:rFonts w:ascii="Arial" w:cs="Arial" w:eastAsia="Arial" w:hAnsi="Arial"/>
                <w:sz w:val="7"/>
                <w:szCs w:val="7"/>
                <w:color w:val="auto"/>
              </w:rPr>
              <w:t>​</w:t>
            </w:r>
          </w:p>
        </w:tc>
        <w:tc>
          <w:tcPr>
            <w:tcW w:w="96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480" w:type="dxa"/>
            <w:vAlign w:val="bottom"/>
          </w:tcPr>
          <w:p>
            <w:pPr>
              <w:ind w:left="320"/>
              <w:spacing w:after="0" w:line="68" w:lineRule="exact"/>
              <w:rPr>
                <w:sz w:val="20"/>
                <w:szCs w:val="20"/>
                <w:color w:val="auto"/>
              </w:rPr>
            </w:pPr>
            <w:r>
              <w:rPr>
                <w:rFonts w:ascii="Arial" w:cs="Arial" w:eastAsia="Arial" w:hAnsi="Arial"/>
                <w:sz w:val="7"/>
                <w:szCs w:val="7"/>
                <w:color w:val="auto"/>
              </w:rPr>
              <w:t>​</w:t>
            </w:r>
          </w:p>
        </w:tc>
        <w:tc>
          <w:tcPr>
            <w:tcW w:w="10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Sean E. Menke</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ind w:left="14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4,618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320"/>
              <w:spacing w:after="0" w:line="250"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tcPr>
          <w:p>
            <w:pPr>
              <w:spacing w:after="0" w:line="183" w:lineRule="exact"/>
              <w:rPr>
                <w:sz w:val="20"/>
                <w:szCs w:val="20"/>
                <w:color w:val="auto"/>
              </w:rPr>
            </w:pPr>
            <w:r>
              <w:rPr>
                <w:rFonts w:ascii="Arial" w:cs="Arial" w:eastAsia="Arial" w:hAnsi="Arial"/>
                <w:sz w:val="17"/>
                <w:szCs w:val="17"/>
                <w:color w:val="auto"/>
              </w:rPr>
              <w:t>William B. Plummer</w:t>
            </w:r>
            <w:r>
              <w:rPr>
                <w:rFonts w:ascii="Arial" w:cs="Arial" w:eastAsia="Arial" w:hAnsi="Arial"/>
                <w:sz w:val="21"/>
                <w:szCs w:val="21"/>
                <w:color w:val="auto"/>
                <w:vertAlign w:val="superscript"/>
              </w:rPr>
              <w:t>(7)</w:t>
            </w:r>
          </w:p>
        </w:tc>
        <w:tc>
          <w:tcPr>
            <w:tcW w:w="42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ind w:left="16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line="182" w:lineRule="exact"/>
              <w:rPr>
                <w:sz w:val="20"/>
                <w:szCs w:val="20"/>
                <w:color w:val="auto"/>
              </w:rPr>
            </w:pPr>
            <w:r>
              <w:rPr>
                <w:rFonts w:ascii="Arial" w:cs="Arial" w:eastAsia="Arial" w:hAnsi="Arial"/>
                <w:sz w:val="18"/>
                <w:szCs w:val="18"/>
                <w:color w:val="auto"/>
              </w:rPr>
              <w:t>6,843</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340"/>
              <w:spacing w:after="0" w:line="18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30"/>
              <w:spacing w:after="0" w:line="182" w:lineRule="exact"/>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5540" w:type="dxa"/>
            <w:vAlign w:val="bottom"/>
          </w:tcPr>
          <w:p>
            <w:pPr>
              <w:spacing w:after="0" w:line="68" w:lineRule="exact"/>
              <w:rPr>
                <w:sz w:val="20"/>
                <w:szCs w:val="20"/>
                <w:color w:val="auto"/>
              </w:rPr>
            </w:pPr>
            <w:r>
              <w:rPr>
                <w:rFonts w:ascii="Arial" w:cs="Arial" w:eastAsia="Arial" w:hAnsi="Arial"/>
                <w:sz w:val="7"/>
                <w:szCs w:val="7"/>
                <w:color w:val="auto"/>
              </w:rPr>
              <w:t>​</w:t>
            </w:r>
          </w:p>
        </w:tc>
        <w:tc>
          <w:tcPr>
            <w:tcW w:w="420" w:type="dxa"/>
            <w:vAlign w:val="bottom"/>
            <w:vMerge w:val="continue"/>
          </w:tcPr>
          <w:p>
            <w:pPr>
              <w:spacing w:after="0"/>
              <w:rPr>
                <w:sz w:val="5"/>
                <w:szCs w:val="5"/>
                <w:color w:val="auto"/>
              </w:rPr>
            </w:pPr>
          </w:p>
        </w:tc>
        <w:tc>
          <w:tcPr>
            <w:tcW w:w="300" w:type="dxa"/>
            <w:vAlign w:val="bottom"/>
          </w:tcPr>
          <w:p>
            <w:pPr>
              <w:ind w:left="140"/>
              <w:spacing w:after="0" w:line="68" w:lineRule="exact"/>
              <w:rPr>
                <w:sz w:val="20"/>
                <w:szCs w:val="20"/>
                <w:color w:val="auto"/>
              </w:rPr>
            </w:pPr>
            <w:r>
              <w:rPr>
                <w:rFonts w:ascii="Arial" w:cs="Arial" w:eastAsia="Arial" w:hAnsi="Arial"/>
                <w:sz w:val="7"/>
                <w:szCs w:val="7"/>
                <w:color w:val="auto"/>
              </w:rPr>
              <w:t>​</w:t>
            </w:r>
          </w:p>
        </w:tc>
        <w:tc>
          <w:tcPr>
            <w:tcW w:w="96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480" w:type="dxa"/>
            <w:vAlign w:val="bottom"/>
          </w:tcPr>
          <w:p>
            <w:pPr>
              <w:ind w:left="320"/>
              <w:spacing w:after="0" w:line="68" w:lineRule="exact"/>
              <w:rPr>
                <w:sz w:val="20"/>
                <w:szCs w:val="20"/>
                <w:color w:val="auto"/>
              </w:rPr>
            </w:pPr>
            <w:r>
              <w:rPr>
                <w:rFonts w:ascii="Arial" w:cs="Arial" w:eastAsia="Arial" w:hAnsi="Arial"/>
                <w:sz w:val="7"/>
                <w:szCs w:val="7"/>
                <w:color w:val="auto"/>
              </w:rPr>
              <w:t>​</w:t>
            </w:r>
          </w:p>
        </w:tc>
        <w:tc>
          <w:tcPr>
            <w:tcW w:w="10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Maryrose T. Sylvester</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ind w:left="1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4,308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3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1260" w:type="dxa"/>
            <w:vAlign w:val="bottom"/>
            <w:gridSpan w:val="2"/>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520" w:type="dxa"/>
            <w:vAlign w:val="bottom"/>
            <w:gridSpan w:val="2"/>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tcPr>
          <w:p>
            <w:pPr>
              <w:spacing w:after="0" w:line="183" w:lineRule="exact"/>
              <w:rPr>
                <w:sz w:val="20"/>
                <w:szCs w:val="20"/>
                <w:color w:val="auto"/>
              </w:rPr>
            </w:pPr>
            <w:r>
              <w:rPr>
                <w:rFonts w:ascii="Arial" w:cs="Arial" w:eastAsia="Arial" w:hAnsi="Arial"/>
                <w:sz w:val="17"/>
                <w:szCs w:val="17"/>
                <w:color w:val="auto"/>
              </w:rPr>
              <w:t>James C. Fish, Jr.</w:t>
            </w:r>
            <w:r>
              <w:rPr>
                <w:rFonts w:ascii="Arial" w:cs="Arial" w:eastAsia="Arial" w:hAnsi="Arial"/>
                <w:sz w:val="21"/>
                <w:szCs w:val="21"/>
                <w:color w:val="auto"/>
                <w:vertAlign w:val="superscript"/>
              </w:rPr>
              <w:t>(8)</w:t>
            </w:r>
          </w:p>
        </w:tc>
        <w:tc>
          <w:tcPr>
            <w:tcW w:w="42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30"/>
              <w:spacing w:after="0" w:line="182" w:lineRule="exact"/>
              <w:rPr>
                <w:sz w:val="20"/>
                <w:szCs w:val="20"/>
                <w:color w:val="auto"/>
              </w:rPr>
            </w:pPr>
            <w:r>
              <w:rPr>
                <w:rFonts w:ascii="Arial" w:cs="Arial" w:eastAsia="Arial" w:hAnsi="Arial"/>
                <w:sz w:val="18"/>
                <w:szCs w:val="18"/>
                <w:color w:val="auto"/>
              </w:rPr>
              <w:t>​ 320,342</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30"/>
              <w:spacing w:after="0" w:line="182" w:lineRule="exact"/>
              <w:rPr>
                <w:sz w:val="20"/>
                <w:szCs w:val="20"/>
                <w:color w:val="auto"/>
              </w:rPr>
            </w:pPr>
            <w:r>
              <w:rPr>
                <w:rFonts w:ascii="Arial" w:cs="Arial" w:eastAsia="Arial" w:hAnsi="Arial"/>
                <w:sz w:val="18"/>
                <w:szCs w:val="18"/>
                <w:color w:val="auto"/>
              </w:rPr>
              <w:t>​ 115,734</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5540" w:type="dxa"/>
            <w:vAlign w:val="bottom"/>
          </w:tcPr>
          <w:p>
            <w:pPr>
              <w:spacing w:after="0" w:line="68" w:lineRule="exact"/>
              <w:rPr>
                <w:sz w:val="20"/>
                <w:szCs w:val="20"/>
                <w:color w:val="auto"/>
              </w:rPr>
            </w:pPr>
            <w:r>
              <w:rPr>
                <w:rFonts w:ascii="Arial" w:cs="Arial" w:eastAsia="Arial" w:hAnsi="Arial"/>
                <w:sz w:val="7"/>
                <w:szCs w:val="7"/>
                <w:color w:val="auto"/>
              </w:rPr>
              <w:t>​</w:t>
            </w:r>
          </w:p>
        </w:tc>
        <w:tc>
          <w:tcPr>
            <w:tcW w:w="420" w:type="dxa"/>
            <w:vAlign w:val="bottom"/>
            <w:vMerge w:val="continue"/>
          </w:tcPr>
          <w:p>
            <w:pPr>
              <w:spacing w:after="0"/>
              <w:rPr>
                <w:sz w:val="5"/>
                <w:szCs w:val="5"/>
                <w:color w:val="auto"/>
              </w:rPr>
            </w:pPr>
          </w:p>
        </w:tc>
        <w:tc>
          <w:tcPr>
            <w:tcW w:w="300" w:type="dxa"/>
            <w:vAlign w:val="bottom"/>
          </w:tcPr>
          <w:p>
            <w:pPr>
              <w:ind w:left="140"/>
              <w:spacing w:after="0" w:line="68" w:lineRule="exact"/>
              <w:rPr>
                <w:sz w:val="20"/>
                <w:szCs w:val="20"/>
                <w:color w:val="auto"/>
              </w:rPr>
            </w:pPr>
            <w:r>
              <w:rPr>
                <w:rFonts w:ascii="Arial" w:cs="Arial" w:eastAsia="Arial" w:hAnsi="Arial"/>
                <w:sz w:val="7"/>
                <w:szCs w:val="7"/>
                <w:color w:val="auto"/>
              </w:rPr>
              <w:t>​</w:t>
            </w:r>
          </w:p>
        </w:tc>
        <w:tc>
          <w:tcPr>
            <w:tcW w:w="96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480" w:type="dxa"/>
            <w:vAlign w:val="bottom"/>
          </w:tcPr>
          <w:p>
            <w:pPr>
              <w:ind w:left="320"/>
              <w:spacing w:after="0" w:line="68" w:lineRule="exact"/>
              <w:rPr>
                <w:sz w:val="20"/>
                <w:szCs w:val="20"/>
                <w:color w:val="auto"/>
              </w:rPr>
            </w:pPr>
            <w:r>
              <w:rPr>
                <w:rFonts w:ascii="Arial" w:cs="Arial" w:eastAsia="Arial" w:hAnsi="Arial"/>
                <w:sz w:val="7"/>
                <w:szCs w:val="7"/>
                <w:color w:val="auto"/>
              </w:rPr>
              <w:t>​</w:t>
            </w:r>
          </w:p>
        </w:tc>
        <w:tc>
          <w:tcPr>
            <w:tcW w:w="10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520" w:type="dxa"/>
            <w:vAlign w:val="bottom"/>
            <w:gridSpan w:val="2"/>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Devina A. Rankin</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ind w:left="1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62,639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3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102,367</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John J. Morris, Jr.</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ind w:left="1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87,663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3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62,907</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Tara J. Hemmer</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ind w:left="1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53,663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3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82,551</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Pr>
          <w:p>
            <w:pPr>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Rafael E. Carrasco</w:t>
            </w:r>
          </w:p>
        </w:tc>
        <w:tc>
          <w:tcPr>
            <w:tcW w:w="4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ind w:left="1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16,398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ind w:left="3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w:t>
            </w:r>
          </w:p>
        </w:tc>
        <w:tc>
          <w:tcPr>
            <w:tcW w:w="1040" w:type="dxa"/>
            <w:vAlign w:val="bottom"/>
          </w:tcPr>
          <w:p>
            <w:pPr>
              <w:jc w:val="right"/>
              <w:ind w:right="330"/>
              <w:spacing w:after="0"/>
              <w:rPr>
                <w:sz w:val="20"/>
                <w:szCs w:val="20"/>
                <w:color w:val="auto"/>
              </w:rPr>
            </w:pPr>
            <w:r>
              <w:rPr>
                <w:rFonts w:ascii="Arial" w:cs="Arial" w:eastAsia="Arial" w:hAnsi="Arial"/>
                <w:sz w:val="18"/>
                <w:szCs w:val="18"/>
                <w:color w:val="auto"/>
              </w:rPr>
              <w:t>48,992</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1260" w:type="dxa"/>
            <w:vAlign w:val="bottom"/>
            <w:gridSpan w:val="2"/>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520" w:type="dxa"/>
            <w:vAlign w:val="bottom"/>
            <w:gridSpan w:val="2"/>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540" w:type="dxa"/>
            <w:vAlign w:val="bottom"/>
          </w:tcPr>
          <w:p>
            <w:pPr>
              <w:spacing w:after="0" w:line="183" w:lineRule="exact"/>
              <w:rPr>
                <w:sz w:val="20"/>
                <w:szCs w:val="20"/>
                <w:color w:val="auto"/>
              </w:rPr>
            </w:pPr>
            <w:r>
              <w:rPr>
                <w:rFonts w:ascii="Arial" w:cs="Arial" w:eastAsia="Arial" w:hAnsi="Arial"/>
                <w:sz w:val="17"/>
                <w:szCs w:val="17"/>
                <w:color w:val="auto"/>
              </w:rPr>
              <w:t>All directors and executive officers as a group (20 persons)</w:t>
            </w:r>
            <w:r>
              <w:rPr>
                <w:rFonts w:ascii="Arial" w:cs="Arial" w:eastAsia="Arial" w:hAnsi="Arial"/>
                <w:sz w:val="21"/>
                <w:szCs w:val="21"/>
                <w:color w:val="auto"/>
                <w:vertAlign w:val="superscript"/>
              </w:rPr>
              <w:t>(9)</w:t>
            </w:r>
          </w:p>
        </w:tc>
        <w:tc>
          <w:tcPr>
            <w:tcW w:w="420" w:type="dxa"/>
            <w:vAlign w:val="bottom"/>
            <w:vMerge w:val="restart"/>
          </w:tcPr>
          <w:p>
            <w:pPr>
              <w:jc w:val="right"/>
              <w:ind w:right="7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30"/>
              <w:spacing w:after="0" w:line="182" w:lineRule="exact"/>
              <w:rPr>
                <w:sz w:val="20"/>
                <w:szCs w:val="20"/>
                <w:color w:val="auto"/>
              </w:rPr>
            </w:pPr>
            <w:r>
              <w:rPr>
                <w:rFonts w:ascii="Arial" w:cs="Arial" w:eastAsia="Arial" w:hAnsi="Arial"/>
                <w:sz w:val="18"/>
                <w:szCs w:val="18"/>
                <w:color w:val="auto"/>
              </w:rPr>
              <w:t>​ 741,463</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30"/>
              <w:spacing w:after="0" w:line="182" w:lineRule="exact"/>
              <w:rPr>
                <w:sz w:val="20"/>
                <w:szCs w:val="20"/>
                <w:color w:val="auto"/>
              </w:rPr>
            </w:pPr>
            <w:r>
              <w:rPr>
                <w:rFonts w:ascii="Arial" w:cs="Arial" w:eastAsia="Arial" w:hAnsi="Arial"/>
                <w:sz w:val="18"/>
                <w:szCs w:val="18"/>
                <w:color w:val="auto"/>
              </w:rPr>
              <w:t>​ 649,317</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5540" w:type="dxa"/>
            <w:vAlign w:val="bottom"/>
          </w:tcPr>
          <w:p>
            <w:pPr>
              <w:spacing w:after="0" w:line="68" w:lineRule="exact"/>
              <w:rPr>
                <w:sz w:val="20"/>
                <w:szCs w:val="20"/>
                <w:color w:val="auto"/>
              </w:rPr>
            </w:pPr>
            <w:r>
              <w:rPr>
                <w:rFonts w:ascii="Arial" w:cs="Arial" w:eastAsia="Arial" w:hAnsi="Arial"/>
                <w:sz w:val="7"/>
                <w:szCs w:val="7"/>
                <w:color w:val="auto"/>
              </w:rPr>
              <w:t>​</w:t>
            </w:r>
          </w:p>
        </w:tc>
        <w:tc>
          <w:tcPr>
            <w:tcW w:w="420" w:type="dxa"/>
            <w:vAlign w:val="bottom"/>
            <w:vMerge w:val="continue"/>
          </w:tcPr>
          <w:p>
            <w:pPr>
              <w:spacing w:after="0"/>
              <w:rPr>
                <w:sz w:val="5"/>
                <w:szCs w:val="5"/>
                <w:color w:val="auto"/>
              </w:rPr>
            </w:pPr>
          </w:p>
        </w:tc>
        <w:tc>
          <w:tcPr>
            <w:tcW w:w="300" w:type="dxa"/>
            <w:vAlign w:val="bottom"/>
          </w:tcPr>
          <w:p>
            <w:pPr>
              <w:ind w:left="140"/>
              <w:spacing w:after="0" w:line="68" w:lineRule="exact"/>
              <w:rPr>
                <w:sz w:val="20"/>
                <w:szCs w:val="20"/>
                <w:color w:val="auto"/>
              </w:rPr>
            </w:pPr>
            <w:r>
              <w:rPr>
                <w:rFonts w:ascii="Arial" w:cs="Arial" w:eastAsia="Arial" w:hAnsi="Arial"/>
                <w:sz w:val="7"/>
                <w:szCs w:val="7"/>
                <w:color w:val="auto"/>
              </w:rPr>
              <w:t>​</w:t>
            </w:r>
          </w:p>
        </w:tc>
        <w:tc>
          <w:tcPr>
            <w:tcW w:w="96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480" w:type="dxa"/>
            <w:vAlign w:val="bottom"/>
          </w:tcPr>
          <w:p>
            <w:pPr>
              <w:ind w:left="320"/>
              <w:spacing w:after="0" w:line="68" w:lineRule="exact"/>
              <w:rPr>
                <w:sz w:val="20"/>
                <w:szCs w:val="20"/>
                <w:color w:val="auto"/>
              </w:rPr>
            </w:pPr>
            <w:r>
              <w:rPr>
                <w:rFonts w:ascii="Arial" w:cs="Arial" w:eastAsia="Arial" w:hAnsi="Arial"/>
                <w:sz w:val="7"/>
                <w:szCs w:val="7"/>
                <w:color w:val="auto"/>
              </w:rPr>
              <w:t>​</w:t>
            </w:r>
          </w:p>
        </w:tc>
        <w:tc>
          <w:tcPr>
            <w:tcW w:w="104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540" w:type="dxa"/>
            <w:vAlign w:val="bottom"/>
            <w:shd w:val="clear" w:color="auto" w:fill="457157"/>
          </w:tcPr>
          <w:p>
            <w:pPr>
              <w:spacing w:after="0" w:line="20" w:lineRule="exact"/>
              <w:rPr>
                <w:sz w:val="1"/>
                <w:szCs w:val="1"/>
                <w:color w:val="auto"/>
              </w:rPr>
            </w:pPr>
          </w:p>
        </w:tc>
        <w:tc>
          <w:tcPr>
            <w:tcW w:w="4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80" w:type="dxa"/>
            <w:vAlign w:val="bottom"/>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-2425065</wp:posOffset>
            </wp:positionV>
            <wp:extent cx="5760720" cy="1885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60720" cy="1885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-2065020</wp:posOffset>
            </wp:positionV>
            <wp:extent cx="5760720" cy="171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-1722120</wp:posOffset>
            </wp:positionV>
            <wp:extent cx="5760720"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-1379855</wp:posOffset>
            </wp:positionV>
            <wp:extent cx="5760720" cy="1714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-1036320</wp:posOffset>
            </wp:positionV>
            <wp:extent cx="576072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-693420</wp:posOffset>
            </wp:positionV>
            <wp:extent cx="576072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-350520</wp:posOffset>
            </wp:positionV>
            <wp:extent cx="576072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60720" cy="171450"/>
                    </a:xfrm>
                    <a:prstGeom prst="rect">
                      <a:avLst/>
                    </a:prstGeom>
                    <a:noFill/>
                  </pic:spPr>
                </pic:pic>
              </a:graphicData>
            </a:graphic>
          </wp:anchor>
        </w:drawing>
      </w:r>
    </w:p>
    <w:p>
      <w:pPr>
        <w:spacing w:after="0" w:line="15" w:lineRule="exact"/>
        <w:rPr>
          <w:sz w:val="20"/>
          <w:szCs w:val="20"/>
          <w:color w:val="auto"/>
        </w:rPr>
      </w:pPr>
    </w:p>
    <w:p>
      <w:pPr>
        <w:jc w:val="both"/>
        <w:ind w:left="1180" w:right="40" w:hanging="364"/>
        <w:spacing w:after="0" w:line="256"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table reports beneficial ownership in accordance with Rule 13d-3 under the Exchange Act. The amounts reported above include 4,278 stock equivalents attributed to Mr. Fish and 2,406 stock equivalents attributed to Mr. Morris, based on their holdings in the Company’s 401(k) Retirement Savings Plan stock fund. The amounts reported above also include 94,844 shares of Common Stock deferred by Mr. Fish. Deferred shares were earned on account of vested equity awards and pay out in shares of Common Stock after the executive’s departure from the Company pursuant to the Company’s 409A Deferral Savings Plan (“409A Deferral Plan”).</w:t>
      </w:r>
    </w:p>
    <w:p>
      <w:pPr>
        <w:spacing w:after="0" w:line="34" w:lineRule="exact"/>
        <w:rPr>
          <w:rFonts w:ascii="Arial" w:cs="Arial" w:eastAsia="Arial" w:hAnsi="Arial"/>
          <w:sz w:val="18"/>
          <w:szCs w:val="18"/>
          <w:color w:val="auto"/>
        </w:rPr>
      </w:pPr>
    </w:p>
    <w:p>
      <w:pPr>
        <w:jc w:val="both"/>
        <w:ind w:left="1180" w:right="40"/>
        <w:spacing w:after="0" w:line="257" w:lineRule="auto"/>
        <w:rPr>
          <w:rFonts w:ascii="Arial" w:cs="Arial" w:eastAsia="Arial" w:hAnsi="Arial"/>
          <w:sz w:val="18"/>
          <w:szCs w:val="18"/>
          <w:color w:val="auto"/>
        </w:rPr>
      </w:pPr>
      <w:r>
        <w:rPr>
          <w:rFonts w:ascii="Arial" w:cs="Arial" w:eastAsia="Arial" w:hAnsi="Arial"/>
          <w:sz w:val="18"/>
          <w:szCs w:val="18"/>
          <w:color w:val="auto"/>
        </w:rPr>
        <w:t>Executive officers may choose a Waste Management stock fund as an investment option for deferred cash compensation under the Company’s 409A Deferral Plan. Interests in the fund are considered phantom stock because they are equal in value to shares of our Common Stock, but these amounts are not invested in stock or funds. Phantom stock is not included in the table above, but it represents an investment risk based on the performance of our Common Stock. Mr. Morris has 2,612 phantom stock equivalents under the 409A Deferral Plan.</w:t>
      </w:r>
    </w:p>
    <w:p>
      <w:pPr>
        <w:spacing w:after="0" w:line="74" w:lineRule="exact"/>
        <w:rPr>
          <w:rFonts w:ascii="Arial" w:cs="Arial" w:eastAsia="Arial" w:hAnsi="Arial"/>
          <w:sz w:val="18"/>
          <w:szCs w:val="18"/>
          <w:color w:val="auto"/>
        </w:rPr>
      </w:pPr>
    </w:p>
    <w:p>
      <w:pPr>
        <w:ind w:left="1180" w:right="40" w:hanging="364"/>
        <w:spacing w:after="0" w:line="28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the number of options currently exercisable and options that will become exercisable within 60 days of the record date.</w:t>
      </w:r>
    </w:p>
    <w:p>
      <w:pPr>
        <w:spacing w:after="0" w:line="44" w:lineRule="exact"/>
        <w:rPr>
          <w:rFonts w:ascii="Arial" w:cs="Arial" w:eastAsia="Arial" w:hAnsi="Arial"/>
          <w:sz w:val="18"/>
          <w:szCs w:val="18"/>
          <w:color w:val="auto"/>
        </w:rPr>
      </w:pPr>
    </w:p>
    <w:p>
      <w:pPr>
        <w:ind w:left="1180" w:right="40" w:hanging="364"/>
        <w:spacing w:after="0" w:line="28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Shares are held by the Thomas L. Bené and Susannah Harkins Bené Revocable Trust, for which Mr. Bené and his wife serve as trustees.</w:t>
      </w:r>
    </w:p>
    <w:p>
      <w:pPr>
        <w:spacing w:after="0" w:line="44" w:lineRule="exact"/>
        <w:rPr>
          <w:rFonts w:ascii="Arial" w:cs="Arial" w:eastAsia="Arial" w:hAnsi="Arial"/>
          <w:sz w:val="18"/>
          <w:szCs w:val="18"/>
          <w:color w:val="auto"/>
        </w:rPr>
      </w:pPr>
    </w:p>
    <w:p>
      <w:pPr>
        <w:ind w:left="1180" w:hanging="364"/>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Shares are held by the Chinn Family Trust, for which Mr. Chinn and his wife serve as trustees.</w:t>
      </w:r>
    </w:p>
    <w:p>
      <w:pPr>
        <w:spacing w:after="0" w:line="117" w:lineRule="exact"/>
        <w:rPr>
          <w:rFonts w:ascii="Arial" w:cs="Arial" w:eastAsia="Arial" w:hAnsi="Arial"/>
          <w:sz w:val="18"/>
          <w:szCs w:val="18"/>
          <w:color w:val="auto"/>
        </w:rPr>
      </w:pPr>
    </w:p>
    <w:p>
      <w:pPr>
        <w:ind w:left="1180" w:right="760" w:hanging="364"/>
        <w:spacing w:after="0" w:line="263"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Shares are held by the Victoria M. Holt Trust, for which Ms. Holt and her husband serve as trustees.</w:t>
      </w:r>
    </w:p>
    <w:p>
      <w:pPr>
        <w:spacing w:after="0" w:line="200" w:lineRule="exact"/>
        <w:rPr>
          <w:sz w:val="20"/>
          <w:szCs w:val="20"/>
          <w:color w:val="auto"/>
        </w:rPr>
      </w:pPr>
    </w:p>
    <w:p>
      <w:pPr>
        <w:spacing w:after="0" w:line="291"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20"/>
          </w:cols>
          <w:pgMar w:left="580" w:top="97" w:right="1399"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51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DIRECTOR AND OFFICER STOCK OWNERSHIP</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ind w:left="1180" w:right="260" w:hanging="364"/>
        <w:spacing w:after="0" w:line="28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Shares are held by the Mazzarella Living Trust, for which Ms. Mazzarella and her husband serve as trustees.</w:t>
      </w:r>
    </w:p>
    <w:p>
      <w:pPr>
        <w:spacing w:after="0" w:line="44" w:lineRule="exact"/>
        <w:rPr>
          <w:rFonts w:ascii="Arial" w:cs="Arial" w:eastAsia="Arial" w:hAnsi="Arial"/>
          <w:sz w:val="18"/>
          <w:szCs w:val="18"/>
          <w:color w:val="auto"/>
        </w:rPr>
      </w:pPr>
    </w:p>
    <w:p>
      <w:pPr>
        <w:ind w:left="1180" w:right="80" w:hanging="364"/>
        <w:spacing w:after="0" w:line="287"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Of this total, 2,474 shares are held by TPO Collectibles LLC, an entity wholly-owned and controlled by Mr. Plummer and his wife.</w:t>
      </w:r>
    </w:p>
    <w:p>
      <w:pPr>
        <w:spacing w:after="0" w:line="44" w:lineRule="exact"/>
        <w:rPr>
          <w:rFonts w:ascii="Arial" w:cs="Arial" w:eastAsia="Arial" w:hAnsi="Arial"/>
          <w:sz w:val="18"/>
          <w:szCs w:val="18"/>
          <w:color w:val="auto"/>
        </w:rPr>
      </w:pPr>
    </w:p>
    <w:p>
      <w:pPr>
        <w:ind w:left="1180" w:hanging="364"/>
        <w:spacing w:after="0"/>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95,977 shares held in trusts for the benefit of Mr. Fish’s children.</w:t>
      </w:r>
    </w:p>
    <w:p>
      <w:pPr>
        <w:spacing w:after="0" w:line="117" w:lineRule="exact"/>
        <w:rPr>
          <w:rFonts w:ascii="Arial" w:cs="Arial" w:eastAsia="Arial" w:hAnsi="Arial"/>
          <w:sz w:val="18"/>
          <w:szCs w:val="18"/>
          <w:color w:val="auto"/>
        </w:rPr>
      </w:pPr>
    </w:p>
    <w:p>
      <w:pPr>
        <w:jc w:val="both"/>
        <w:ind w:left="1180" w:right="60" w:hanging="364"/>
        <w:spacing w:after="0" w:line="278" w:lineRule="auto"/>
        <w:tabs>
          <w:tab w:leader="none" w:pos="11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Included in the “All directors and executive officers as a group” are 13,912 stock equivalents attributable to the executive officers’ collective holdings in the Company’s 401(k) Retirement Savings Plan stock fund.</w:t>
      </w:r>
    </w:p>
    <w:p>
      <w:pPr>
        <w:spacing w:after="0" w:line="365" w:lineRule="exact"/>
        <w:rPr>
          <w:sz w:val="20"/>
          <w:szCs w:val="20"/>
          <w:color w:val="auto"/>
        </w:rPr>
      </w:pPr>
    </w:p>
    <w:p>
      <w:pPr>
        <w:ind w:left="820" w:right="460"/>
        <w:spacing w:after="0" w:line="275" w:lineRule="auto"/>
        <w:rPr>
          <w:sz w:val="20"/>
          <w:szCs w:val="20"/>
          <w:color w:val="auto"/>
        </w:rPr>
      </w:pPr>
      <w:r>
        <w:rPr>
          <w:rFonts w:ascii="Arial" w:cs="Arial" w:eastAsia="Arial" w:hAnsi="Arial"/>
          <w:sz w:val="33"/>
          <w:szCs w:val="33"/>
          <w:b w:val="1"/>
          <w:bCs w:val="1"/>
          <w:color w:val="457157"/>
        </w:rPr>
        <w:t>SECURITY OWNERSHIP OF CERTAIN BENEFICIAL OWNERS</w:t>
      </w:r>
    </w:p>
    <w:p>
      <w:pPr>
        <w:ind w:left="820" w:right="80"/>
        <w:spacing w:after="0" w:line="287" w:lineRule="auto"/>
        <w:rPr>
          <w:sz w:val="20"/>
          <w:szCs w:val="20"/>
          <w:color w:val="auto"/>
        </w:rPr>
      </w:pPr>
      <w:r>
        <w:rPr>
          <w:rFonts w:ascii="Arial" w:cs="Arial" w:eastAsia="Arial" w:hAnsi="Arial"/>
          <w:sz w:val="18"/>
          <w:szCs w:val="18"/>
          <w:color w:val="auto"/>
        </w:rPr>
        <w:t>The table below shows information for persons known to us to beneficially own more than 5% of our Common Stock based on their filings with the SEC through March 18, 2025.</w:t>
      </w:r>
    </w:p>
    <w:p>
      <w:pPr>
        <w:spacing w:after="0" w:line="65"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3"/>
          </w:tcPr>
          <w:p>
            <w:pPr>
              <w:ind w:left="120"/>
              <w:spacing w:after="0"/>
              <w:rPr>
                <w:sz w:val="20"/>
                <w:szCs w:val="20"/>
                <w:color w:val="auto"/>
              </w:rPr>
            </w:pPr>
            <w:r>
              <w:rPr>
                <w:rFonts w:ascii="Arial" w:cs="Arial" w:eastAsia="Arial" w:hAnsi="Arial"/>
                <w:sz w:val="14"/>
                <w:szCs w:val="14"/>
                <w:b w:val="1"/>
                <w:bCs w:val="1"/>
                <w:color w:val="457157"/>
              </w:rPr>
              <w:t>Shares Beneficially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20" w:type="dxa"/>
            <w:vAlign w:val="bottom"/>
          </w:tcPr>
          <w:p>
            <w:pPr>
              <w:jc w:val="center"/>
              <w:ind w:right="5156"/>
              <w:spacing w:after="0"/>
              <w:rPr>
                <w:sz w:val="20"/>
                <w:szCs w:val="20"/>
                <w:color w:val="auto"/>
              </w:rPr>
            </w:pPr>
            <w:r>
              <w:rPr>
                <w:rFonts w:ascii="Arial" w:cs="Arial" w:eastAsia="Arial" w:hAnsi="Arial"/>
                <w:sz w:val="14"/>
                <w:szCs w:val="14"/>
                <w:b w:val="1"/>
                <w:bCs w:val="1"/>
                <w:color w:val="457157"/>
              </w:rPr>
              <w:t>​​</w:t>
            </w:r>
          </w:p>
        </w:tc>
        <w:tc>
          <w:tcPr>
            <w:tcW w:w="1840" w:type="dxa"/>
            <w:vAlign w:val="bottom"/>
            <w:gridSpan w:val="2"/>
          </w:tcPr>
          <w:p>
            <w:pPr>
              <w:ind w:left="1520"/>
              <w:spacing w:after="0"/>
              <w:rPr>
                <w:sz w:val="20"/>
                <w:szCs w:val="20"/>
                <w:color w:val="auto"/>
              </w:rPr>
            </w:pPr>
            <w:r>
              <w:rPr>
                <w:rFonts w:ascii="Arial" w:cs="Arial" w:eastAsia="Arial" w:hAnsi="Arial"/>
                <w:sz w:val="14"/>
                <w:szCs w:val="14"/>
                <w:b w:val="1"/>
                <w:bCs w:val="1"/>
                <w:color w:val="457157"/>
              </w:rPr>
              <w:t>​ ​</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457157"/>
              </w:rPr>
              <w:t>Owned</w:t>
            </w:r>
          </w:p>
        </w:tc>
        <w:tc>
          <w:tcPr>
            <w:tcW w:w="7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20" w:type="dxa"/>
            <w:vAlign w:val="bottom"/>
          </w:tcPr>
          <w:p>
            <w:pPr>
              <w:ind w:left="40"/>
              <w:spacing w:after="0"/>
              <w:rPr>
                <w:sz w:val="20"/>
                <w:szCs w:val="20"/>
                <w:color w:val="auto"/>
              </w:rPr>
            </w:pPr>
            <w:r>
              <w:rPr>
                <w:rFonts w:ascii="Arial" w:cs="Arial" w:eastAsia="Arial" w:hAnsi="Arial"/>
                <w:sz w:val="14"/>
                <w:szCs w:val="14"/>
                <w:b w:val="1"/>
                <w:bCs w:val="1"/>
                <w:color w:val="457157"/>
              </w:rPr>
              <w:t>Name and Address</w:t>
            </w:r>
          </w:p>
        </w:tc>
        <w:tc>
          <w:tcPr>
            <w:tcW w:w="1840" w:type="dxa"/>
            <w:vAlign w:val="bottom"/>
            <w:gridSpan w:val="2"/>
            <w:vMerge w:val="restart"/>
          </w:tcPr>
          <w:p>
            <w:pPr>
              <w:ind w:left="1580"/>
              <w:spacing w:after="0"/>
              <w:rPr>
                <w:sz w:val="20"/>
                <w:szCs w:val="20"/>
                <w:color w:val="auto"/>
              </w:rPr>
            </w:pPr>
            <w:r>
              <w:rPr>
                <w:rFonts w:ascii="Arial" w:cs="Arial" w:eastAsia="Arial" w:hAnsi="Arial"/>
                <w:sz w:val="14"/>
                <w:szCs w:val="14"/>
                <w:b w:val="1"/>
                <w:bCs w:val="1"/>
                <w:color w:val="457157"/>
              </w:rPr>
              <w:t>​ ​</w:t>
            </w:r>
          </w:p>
        </w:tc>
        <w:tc>
          <w:tcPr>
            <w:tcW w:w="840" w:type="dxa"/>
            <w:vAlign w:val="bottom"/>
          </w:tcPr>
          <w:p>
            <w:pPr>
              <w:ind w:left="120"/>
              <w:spacing w:after="0"/>
              <w:rPr>
                <w:sz w:val="20"/>
                <w:szCs w:val="20"/>
                <w:color w:val="auto"/>
              </w:rPr>
            </w:pPr>
            <w:r>
              <w:rPr>
                <w:rFonts w:ascii="Arial" w:cs="Arial" w:eastAsia="Arial" w:hAnsi="Arial"/>
                <w:sz w:val="14"/>
                <w:szCs w:val="14"/>
                <w:b w:val="1"/>
                <w:bCs w:val="1"/>
                <w:color w:val="457157"/>
              </w:rPr>
              <w:t>Number</w:t>
            </w: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700" w:type="dxa"/>
            <w:vAlign w:val="bottom"/>
          </w:tcPr>
          <w:p>
            <w:pPr>
              <w:spacing w:after="0" w:line="183" w:lineRule="exact"/>
              <w:rPr>
                <w:sz w:val="20"/>
                <w:szCs w:val="20"/>
                <w:color w:val="auto"/>
              </w:rPr>
            </w:pPr>
            <w:r>
              <w:rPr>
                <w:rFonts w:ascii="Arial" w:cs="Arial" w:eastAsia="Arial" w:hAnsi="Arial"/>
                <w:sz w:val="14"/>
                <w:szCs w:val="14"/>
                <w:b w:val="1"/>
                <w:bCs w:val="1"/>
                <w:color w:val="457157"/>
              </w:rPr>
              <w:t>Percent</w:t>
            </w:r>
            <w:r>
              <w:rPr>
                <w:rFonts w:ascii="Arial" w:cs="Arial" w:eastAsia="Arial" w:hAnsi="Arial"/>
                <w:sz w:val="17"/>
                <w:szCs w:val="17"/>
                <w:b w:val="1"/>
                <w:bCs w:val="1"/>
                <w:color w:val="457157"/>
                <w:vertAlign w:val="superscript"/>
              </w:rPr>
              <w:t>(1)</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68"/>
        </w:trPr>
        <w:tc>
          <w:tcPr>
            <w:tcW w:w="5320" w:type="dxa"/>
            <w:vAlign w:val="bottom"/>
          </w:tcPr>
          <w:p>
            <w:pPr>
              <w:jc w:val="center"/>
              <w:ind w:right="5156"/>
              <w:spacing w:after="0" w:line="68" w:lineRule="exact"/>
              <w:rPr>
                <w:sz w:val="20"/>
                <w:szCs w:val="20"/>
                <w:color w:val="auto"/>
              </w:rPr>
            </w:pPr>
            <w:r>
              <w:rPr>
                <w:rFonts w:ascii="Arial" w:cs="Arial" w:eastAsia="Arial" w:hAnsi="Arial"/>
                <w:sz w:val="7"/>
                <w:szCs w:val="7"/>
                <w:b w:val="1"/>
                <w:bCs w:val="1"/>
                <w:color w:val="457157"/>
              </w:rPr>
              <w:t>​</w:t>
            </w:r>
          </w:p>
        </w:tc>
        <w:tc>
          <w:tcPr>
            <w:tcW w:w="184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320" w:type="dxa"/>
            <w:vAlign w:val="bottom"/>
            <w:shd w:val="clear" w:color="auto" w:fill="457157"/>
          </w:tcPr>
          <w:p>
            <w:pPr>
              <w:spacing w:after="0" w:line="20" w:lineRule="exact"/>
              <w:rPr>
                <w:sz w:val="1"/>
                <w:szCs w:val="1"/>
                <w:color w:val="auto"/>
              </w:rPr>
            </w:pPr>
          </w:p>
        </w:tc>
        <w:tc>
          <w:tcPr>
            <w:tcW w:w="1620" w:type="dxa"/>
            <w:vAlign w:val="bottom"/>
            <w:shd w:val="clear" w:color="auto" w:fill="457157"/>
          </w:tcPr>
          <w:p>
            <w:pPr>
              <w:spacing w:after="0" w:line="20" w:lineRule="exact"/>
              <w:rPr>
                <w:sz w:val="1"/>
                <w:szCs w:val="1"/>
                <w:color w:val="auto"/>
              </w:rPr>
            </w:pPr>
          </w:p>
        </w:tc>
        <w:tc>
          <w:tcPr>
            <w:tcW w:w="1360" w:type="dxa"/>
            <w:vAlign w:val="bottom"/>
            <w:gridSpan w:val="3"/>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320" w:type="dxa"/>
            <w:vAlign w:val="bottom"/>
          </w:tcPr>
          <w:p>
            <w:pPr>
              <w:ind w:left="20"/>
              <w:spacing w:after="0"/>
              <w:rPr>
                <w:sz w:val="20"/>
                <w:szCs w:val="20"/>
                <w:color w:val="auto"/>
              </w:rPr>
            </w:pPr>
            <w:r>
              <w:rPr>
                <w:rFonts w:ascii="Arial" w:cs="Arial" w:eastAsia="Arial" w:hAnsi="Arial"/>
                <w:sz w:val="18"/>
                <w:szCs w:val="18"/>
                <w:color w:val="auto"/>
              </w:rPr>
              <w:t>​The Vanguard Group</w:t>
            </w:r>
          </w:p>
        </w:tc>
        <w:tc>
          <w:tcPr>
            <w:tcW w:w="2980" w:type="dxa"/>
            <w:vAlign w:val="bottom"/>
            <w:gridSpan w:val="4"/>
          </w:tcPr>
          <w:p>
            <w:pPr>
              <w:ind w:left="1580"/>
              <w:spacing w:after="0" w:line="218" w:lineRule="exact"/>
              <w:rPr>
                <w:sz w:val="20"/>
                <w:szCs w:val="20"/>
                <w:color w:val="auto"/>
              </w:rPr>
            </w:pPr>
            <w:r>
              <w:rPr>
                <w:rFonts w:ascii="Arial" w:cs="Arial" w:eastAsia="Arial" w:hAnsi="Arial"/>
                <w:sz w:val="18"/>
                <w:szCs w:val="18"/>
                <w:color w:val="auto"/>
              </w:rPr>
              <w:t>​ ​​36,159,856</w:t>
            </w:r>
            <w:r>
              <w:rPr>
                <w:rFonts w:ascii="Arial" w:cs="Arial" w:eastAsia="Arial" w:hAnsi="Arial"/>
                <w:sz w:val="23"/>
                <w:szCs w:val="23"/>
                <w:color w:val="auto"/>
                <w:vertAlign w:val="superscript"/>
              </w:rPr>
              <w:t>(2)</w:t>
            </w:r>
            <w:r>
              <w:rPr>
                <w:rFonts w:ascii="Arial" w:cs="Arial" w:eastAsia="Arial" w:hAnsi="Arial"/>
                <w:sz w:val="18"/>
                <w:szCs w:val="18"/>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​9.0% ​​</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100 Vanguard Boulevard</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20"/>
              <w:spacing w:after="0"/>
              <w:rPr>
                <w:sz w:val="20"/>
                <w:szCs w:val="20"/>
                <w:color w:val="auto"/>
              </w:rPr>
            </w:pPr>
            <w:r>
              <w:rPr>
                <w:rFonts w:ascii="Arial" w:cs="Arial" w:eastAsia="Arial" w:hAnsi="Arial"/>
                <w:sz w:val="18"/>
                <w:szCs w:val="18"/>
                <w:color w:val="auto"/>
              </w:rPr>
              <w:t>Malvern, PA 19355</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5320" w:type="dxa"/>
            <w:vAlign w:val="bottom"/>
            <w:tcBorders>
              <w:bottom w:val="single" w:sz="8" w:color="457157"/>
            </w:tcBorders>
          </w:tcPr>
          <w:p>
            <w:pPr>
              <w:spacing w:after="0"/>
              <w:rPr>
                <w:sz w:val="2"/>
                <w:szCs w:val="2"/>
                <w:color w:val="auto"/>
              </w:rPr>
            </w:pPr>
          </w:p>
        </w:tc>
        <w:tc>
          <w:tcPr>
            <w:tcW w:w="1620" w:type="dxa"/>
            <w:vAlign w:val="bottom"/>
            <w:tcBorders>
              <w:bottom w:val="single" w:sz="8" w:color="457157"/>
            </w:tcBorders>
          </w:tcPr>
          <w:p>
            <w:pPr>
              <w:spacing w:after="0"/>
              <w:rPr>
                <w:sz w:val="2"/>
                <w:szCs w:val="2"/>
                <w:color w:val="auto"/>
              </w:rPr>
            </w:pPr>
          </w:p>
        </w:tc>
        <w:tc>
          <w:tcPr>
            <w:tcW w:w="1360" w:type="dxa"/>
            <w:vAlign w:val="bottom"/>
            <w:tcBorders>
              <w:bottom w:val="single" w:sz="8" w:color="457157"/>
            </w:tcBorders>
            <w:gridSpan w:val="3"/>
          </w:tcPr>
          <w:p>
            <w:pPr>
              <w:spacing w:after="0"/>
              <w:rPr>
                <w:sz w:val="2"/>
                <w:szCs w:val="2"/>
                <w:color w:val="auto"/>
              </w:rPr>
            </w:pPr>
          </w:p>
        </w:tc>
        <w:tc>
          <w:tcPr>
            <w:tcW w:w="700" w:type="dxa"/>
            <w:vAlign w:val="bottom"/>
            <w:tcBorders>
              <w:bottom w:val="single" w:sz="8" w:color="45715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320" w:type="dxa"/>
            <w:vAlign w:val="bottom"/>
          </w:tcPr>
          <w:p>
            <w:pPr>
              <w:ind w:left="20"/>
              <w:spacing w:after="0"/>
              <w:rPr>
                <w:sz w:val="20"/>
                <w:szCs w:val="20"/>
                <w:color w:val="auto"/>
              </w:rPr>
            </w:pPr>
            <w:r>
              <w:rPr>
                <w:rFonts w:ascii="Arial" w:cs="Arial" w:eastAsia="Arial" w:hAnsi="Arial"/>
                <w:sz w:val="18"/>
                <w:szCs w:val="18"/>
                <w:color w:val="auto"/>
              </w:rPr>
              <w:t>​Melinda French Gates; William H. Gates III</w:t>
            </w:r>
          </w:p>
        </w:tc>
        <w:tc>
          <w:tcPr>
            <w:tcW w:w="2980" w:type="dxa"/>
            <w:vAlign w:val="bottom"/>
            <w:gridSpan w:val="4"/>
          </w:tcPr>
          <w:p>
            <w:pPr>
              <w:ind w:left="1580"/>
              <w:spacing w:after="0" w:line="218" w:lineRule="exact"/>
              <w:rPr>
                <w:sz w:val="20"/>
                <w:szCs w:val="20"/>
                <w:color w:val="auto"/>
              </w:rPr>
            </w:pPr>
            <w:r>
              <w:rPr>
                <w:rFonts w:ascii="Arial" w:cs="Arial" w:eastAsia="Arial" w:hAnsi="Arial"/>
                <w:sz w:val="18"/>
                <w:szCs w:val="18"/>
                <w:color w:val="auto"/>
              </w:rPr>
              <w:t>​ ​​35,238,154</w:t>
            </w:r>
            <w:r>
              <w:rPr>
                <w:rFonts w:ascii="Arial" w:cs="Arial" w:eastAsia="Arial" w:hAnsi="Arial"/>
                <w:sz w:val="23"/>
                <w:szCs w:val="23"/>
                <w:color w:val="auto"/>
                <w:vertAlign w:val="superscript"/>
              </w:rPr>
              <w:t>(3)</w:t>
            </w:r>
            <w:r>
              <w:rPr>
                <w:rFonts w:ascii="Arial" w:cs="Arial" w:eastAsia="Arial" w:hAnsi="Arial"/>
                <w:sz w:val="18"/>
                <w:szCs w:val="18"/>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500 Fifth Avenue North</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20"/>
              <w:spacing w:after="0"/>
              <w:rPr>
                <w:sz w:val="20"/>
                <w:szCs w:val="20"/>
                <w:color w:val="auto"/>
              </w:rPr>
            </w:pPr>
            <w:r>
              <w:rPr>
                <w:rFonts w:ascii="Arial" w:cs="Arial" w:eastAsia="Arial" w:hAnsi="Arial"/>
                <w:sz w:val="18"/>
                <w:szCs w:val="18"/>
                <w:color w:val="auto"/>
              </w:rPr>
              <w:t>Seattle, WA 98109</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320" w:type="dxa"/>
            <w:vAlign w:val="bottom"/>
          </w:tcPr>
          <w:p>
            <w:pPr>
              <w:ind w:left="40"/>
              <w:spacing w:after="0"/>
              <w:rPr>
                <w:sz w:val="20"/>
                <w:szCs w:val="20"/>
                <w:color w:val="auto"/>
              </w:rPr>
            </w:pPr>
            <w:r>
              <w:rPr>
                <w:rFonts w:ascii="Arial" w:cs="Arial" w:eastAsia="Arial" w:hAnsi="Arial"/>
                <w:sz w:val="18"/>
                <w:szCs w:val="18"/>
                <w:color w:val="auto"/>
              </w:rPr>
              <w:t>Bill &amp; Melinda Gates Foundation Trust</w:t>
            </w:r>
          </w:p>
        </w:tc>
        <w:tc>
          <w:tcPr>
            <w:tcW w:w="1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2365 Carillon Point</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20"/>
              <w:spacing w:after="0"/>
              <w:rPr>
                <w:sz w:val="20"/>
                <w:szCs w:val="20"/>
                <w:color w:val="auto"/>
              </w:rPr>
            </w:pPr>
            <w:r>
              <w:rPr>
                <w:rFonts w:ascii="Arial" w:cs="Arial" w:eastAsia="Arial" w:hAnsi="Arial"/>
                <w:sz w:val="18"/>
                <w:szCs w:val="18"/>
                <w:color w:val="auto"/>
              </w:rPr>
              <w:t>Kirkland, WA 98033</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
        </w:trPr>
        <w:tc>
          <w:tcPr>
            <w:tcW w:w="5320" w:type="dxa"/>
            <w:vAlign w:val="bottom"/>
            <w:tcBorders>
              <w:bottom w:val="single" w:sz="8" w:color="457157"/>
            </w:tcBorders>
          </w:tcPr>
          <w:p>
            <w:pPr>
              <w:spacing w:after="0"/>
              <w:rPr>
                <w:sz w:val="3"/>
                <w:szCs w:val="3"/>
                <w:color w:val="auto"/>
              </w:rPr>
            </w:pPr>
          </w:p>
        </w:tc>
        <w:tc>
          <w:tcPr>
            <w:tcW w:w="1620" w:type="dxa"/>
            <w:vAlign w:val="bottom"/>
            <w:tcBorders>
              <w:bottom w:val="single" w:sz="8" w:color="457157"/>
            </w:tcBorders>
          </w:tcPr>
          <w:p>
            <w:pPr>
              <w:spacing w:after="0"/>
              <w:rPr>
                <w:sz w:val="3"/>
                <w:szCs w:val="3"/>
                <w:color w:val="auto"/>
              </w:rPr>
            </w:pPr>
          </w:p>
        </w:tc>
        <w:tc>
          <w:tcPr>
            <w:tcW w:w="1360" w:type="dxa"/>
            <w:vAlign w:val="bottom"/>
            <w:tcBorders>
              <w:bottom w:val="single" w:sz="8" w:color="457157"/>
            </w:tcBorders>
            <w:gridSpan w:val="3"/>
          </w:tcPr>
          <w:p>
            <w:pPr>
              <w:spacing w:after="0"/>
              <w:rPr>
                <w:sz w:val="3"/>
                <w:szCs w:val="3"/>
                <w:color w:val="auto"/>
              </w:rPr>
            </w:pPr>
          </w:p>
        </w:tc>
        <w:tc>
          <w:tcPr>
            <w:tcW w:w="700" w:type="dxa"/>
            <w:vAlign w:val="bottom"/>
            <w:tcBorders>
              <w:bottom w:val="single" w:sz="8" w:color="457157"/>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5320" w:type="dxa"/>
            <w:vAlign w:val="bottom"/>
          </w:tcPr>
          <w:p>
            <w:pPr>
              <w:ind w:left="20"/>
              <w:spacing w:after="0"/>
              <w:rPr>
                <w:sz w:val="20"/>
                <w:szCs w:val="20"/>
                <w:color w:val="auto"/>
              </w:rPr>
            </w:pPr>
            <w:r>
              <w:rPr>
                <w:rFonts w:ascii="Arial" w:cs="Arial" w:eastAsia="Arial" w:hAnsi="Arial"/>
                <w:sz w:val="18"/>
                <w:szCs w:val="18"/>
                <w:color w:val="auto"/>
              </w:rPr>
              <w:t>​BlackRock, Inc.</w:t>
            </w:r>
          </w:p>
        </w:tc>
        <w:tc>
          <w:tcPr>
            <w:tcW w:w="2980" w:type="dxa"/>
            <w:vAlign w:val="bottom"/>
            <w:gridSpan w:val="4"/>
          </w:tcPr>
          <w:p>
            <w:pPr>
              <w:ind w:left="1580"/>
              <w:spacing w:after="0" w:line="218" w:lineRule="exact"/>
              <w:rPr>
                <w:sz w:val="20"/>
                <w:szCs w:val="20"/>
                <w:color w:val="auto"/>
              </w:rPr>
            </w:pPr>
            <w:r>
              <w:rPr>
                <w:rFonts w:ascii="Arial" w:cs="Arial" w:eastAsia="Arial" w:hAnsi="Arial"/>
                <w:sz w:val="18"/>
                <w:szCs w:val="18"/>
                <w:color w:val="auto"/>
              </w:rPr>
              <w:t>​ ​​28,665,838</w:t>
            </w:r>
            <w:r>
              <w:rPr>
                <w:rFonts w:ascii="Arial" w:cs="Arial" w:eastAsia="Arial" w:hAnsi="Arial"/>
                <w:sz w:val="23"/>
                <w:szCs w:val="23"/>
                <w:color w:val="auto"/>
                <w:vertAlign w:val="superscript"/>
              </w:rPr>
              <w:t>(4)</w:t>
            </w:r>
            <w:r>
              <w:rPr>
                <w:rFonts w:ascii="Arial" w:cs="Arial" w:eastAsia="Arial" w:hAnsi="Arial"/>
                <w:sz w:val="18"/>
                <w:szCs w:val="18"/>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50 Hudson Yards</w:t>
            </w: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320" w:type="dxa"/>
            <w:vAlign w:val="bottom"/>
          </w:tcPr>
          <w:p>
            <w:pPr>
              <w:ind w:left="220"/>
              <w:spacing w:after="0"/>
              <w:rPr>
                <w:sz w:val="20"/>
                <w:szCs w:val="20"/>
                <w:color w:val="auto"/>
              </w:rPr>
            </w:pPr>
            <w:r>
              <w:rPr>
                <w:rFonts w:ascii="Arial" w:cs="Arial" w:eastAsia="Arial" w:hAnsi="Arial"/>
                <w:sz w:val="18"/>
                <w:szCs w:val="18"/>
                <w:color w:val="auto"/>
              </w:rPr>
              <w:t>New York, NY 10001</w:t>
            </w: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5320" w:type="dxa"/>
            <w:vAlign w:val="bottom"/>
            <w:tcBorders>
              <w:bottom w:val="single" w:sz="8" w:color="457157"/>
            </w:tcBorders>
          </w:tcPr>
          <w:p>
            <w:pPr>
              <w:spacing w:after="0"/>
              <w:rPr>
                <w:sz w:val="2"/>
                <w:szCs w:val="2"/>
                <w:color w:val="auto"/>
              </w:rPr>
            </w:pPr>
          </w:p>
        </w:tc>
        <w:tc>
          <w:tcPr>
            <w:tcW w:w="1620" w:type="dxa"/>
            <w:vAlign w:val="bottom"/>
            <w:tcBorders>
              <w:bottom w:val="single" w:sz="8" w:color="457157"/>
            </w:tcBorders>
          </w:tcPr>
          <w:p>
            <w:pPr>
              <w:spacing w:after="0"/>
              <w:rPr>
                <w:sz w:val="2"/>
                <w:szCs w:val="2"/>
                <w:color w:val="auto"/>
              </w:rPr>
            </w:pPr>
          </w:p>
        </w:tc>
        <w:tc>
          <w:tcPr>
            <w:tcW w:w="220" w:type="dxa"/>
            <w:vAlign w:val="bottom"/>
            <w:tcBorders>
              <w:bottom w:val="single" w:sz="8" w:color="457157"/>
            </w:tcBorders>
          </w:tcPr>
          <w:p>
            <w:pPr>
              <w:spacing w:after="0"/>
              <w:rPr>
                <w:sz w:val="2"/>
                <w:szCs w:val="2"/>
                <w:color w:val="auto"/>
              </w:rPr>
            </w:pPr>
          </w:p>
        </w:tc>
        <w:tc>
          <w:tcPr>
            <w:tcW w:w="840" w:type="dxa"/>
            <w:vAlign w:val="bottom"/>
            <w:tcBorders>
              <w:bottom w:val="single" w:sz="8" w:color="457157"/>
            </w:tcBorders>
          </w:tcPr>
          <w:p>
            <w:pPr>
              <w:spacing w:after="0"/>
              <w:rPr>
                <w:sz w:val="2"/>
                <w:szCs w:val="2"/>
                <w:color w:val="auto"/>
              </w:rPr>
            </w:pPr>
          </w:p>
        </w:tc>
        <w:tc>
          <w:tcPr>
            <w:tcW w:w="300" w:type="dxa"/>
            <w:vAlign w:val="bottom"/>
            <w:tcBorders>
              <w:bottom w:val="single" w:sz="8" w:color="457157"/>
            </w:tcBorders>
          </w:tcPr>
          <w:p>
            <w:pPr>
              <w:spacing w:after="0"/>
              <w:rPr>
                <w:sz w:val="2"/>
                <w:szCs w:val="2"/>
                <w:color w:val="auto"/>
              </w:rPr>
            </w:pPr>
          </w:p>
        </w:tc>
        <w:tc>
          <w:tcPr>
            <w:tcW w:w="700" w:type="dxa"/>
            <w:vAlign w:val="bottom"/>
            <w:tcBorders>
              <w:bottom w:val="single" w:sz="8" w:color="457157"/>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-1842770</wp:posOffset>
            </wp:positionV>
            <wp:extent cx="5760720" cy="4546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60720" cy="45466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-462280</wp:posOffset>
            </wp:positionV>
            <wp:extent cx="5760720" cy="45402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760720" cy="454025"/>
                    </a:xfrm>
                    <a:prstGeom prst="rect">
                      <a:avLst/>
                    </a:prstGeom>
                    <a:noFill/>
                  </pic:spPr>
                </pic:pic>
              </a:graphicData>
            </a:graphic>
          </wp:anchor>
        </w:drawing>
      </w:r>
    </w:p>
    <w:p>
      <w:pPr>
        <w:spacing w:after="0" w:line="56" w:lineRule="exact"/>
        <w:rPr>
          <w:sz w:val="20"/>
          <w:szCs w:val="20"/>
          <w:color w:val="auto"/>
        </w:rPr>
      </w:pPr>
    </w:p>
    <w:p>
      <w:pPr>
        <w:ind w:left="1180" w:right="100" w:hanging="364"/>
        <w:spacing w:after="0" w:line="263"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Percentage is calculated based on 402,332,424 shares of Common Stock outstanding as of March 18, 2025.</w:t>
      </w:r>
    </w:p>
    <w:p>
      <w:pPr>
        <w:spacing w:after="0" w:line="313" w:lineRule="exact"/>
        <w:rPr>
          <w:rFonts w:ascii="Arial" w:cs="Arial" w:eastAsia="Arial" w:hAnsi="Arial"/>
          <w:sz w:val="18"/>
          <w:szCs w:val="18"/>
          <w:color w:val="auto"/>
        </w:rPr>
      </w:pPr>
    </w:p>
    <w:p>
      <w:pPr>
        <w:jc w:val="both"/>
        <w:ind w:left="1180" w:right="60" w:hanging="364"/>
        <w:spacing w:after="0" w:line="259"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13, 2024, which is the most recent Schedule 13G filed by the investor with respect to ownership of our Common Stock. The Vanguard Group reports that it has shared voting power over 521,224 shares of Common Stock, shared dispositive power over 1,655,291 shares of Common Stock and sole dispositive power over 34,504,565 shares of Common Stock beneficially owned.</w:t>
      </w:r>
    </w:p>
    <w:p>
      <w:pPr>
        <w:spacing w:after="0" w:line="71" w:lineRule="exact"/>
        <w:rPr>
          <w:rFonts w:ascii="Arial" w:cs="Arial" w:eastAsia="Arial" w:hAnsi="Arial"/>
          <w:sz w:val="18"/>
          <w:szCs w:val="18"/>
          <w:color w:val="auto"/>
        </w:rPr>
      </w:pPr>
    </w:p>
    <w:p>
      <w:pPr>
        <w:jc w:val="both"/>
        <w:ind w:left="1180" w:right="60" w:hanging="364"/>
        <w:spacing w:after="0" w:line="258"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10, 2023, which is the most recent Schedule 13G filed by the investor with respect to ownership of our Common Stock. Ms. Gates, Mr. Gates and the Bill &amp; Melinda Gates Foundation Trust each report shared voting and dispositive power over 35,234,344 shares of Common Stock beneficially owned. Ms. Gates also reports sole voting and dispositive power of 3,810 additional shares of Common Stock beneficially owned.</w:t>
      </w:r>
    </w:p>
    <w:p>
      <w:pPr>
        <w:spacing w:after="0" w:line="291" w:lineRule="exact"/>
        <w:rPr>
          <w:rFonts w:ascii="Arial" w:cs="Arial" w:eastAsia="Arial" w:hAnsi="Arial"/>
          <w:sz w:val="18"/>
          <w:szCs w:val="18"/>
          <w:color w:val="auto"/>
        </w:rPr>
      </w:pPr>
    </w:p>
    <w:p>
      <w:pPr>
        <w:jc w:val="both"/>
        <w:ind w:left="1180" w:right="60" w:hanging="364"/>
        <w:spacing w:after="0" w:line="262" w:lineRule="auto"/>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January 26, 2024, which is the most recent Schedule 13G filed by the investor with respect to ownership of our Common Stock. BlackRock, Inc. reports that it has sole voting power over 25,826,390 shares of Common Stock and sole dispositive power over 28,665,838 shares of Common Stock beneficially owned.</w:t>
      </w:r>
    </w:p>
    <w:p>
      <w:pPr>
        <w:spacing w:after="0" w:line="200" w:lineRule="exact"/>
        <w:rPr>
          <w:sz w:val="20"/>
          <w:szCs w:val="20"/>
          <w:color w:val="auto"/>
        </w:rPr>
      </w:pPr>
    </w:p>
    <w:p>
      <w:pPr>
        <w:spacing w:after="0" w:line="397"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EXECUTIVE OFFICERS</w:t>
      </w:r>
    </w:p>
    <w:p>
      <w:pPr>
        <w:spacing w:after="0" w:line="118" w:lineRule="exact"/>
        <w:rPr>
          <w:sz w:val="20"/>
          <w:szCs w:val="20"/>
          <w:color w:val="auto"/>
        </w:rPr>
      </w:pPr>
    </w:p>
    <w:p>
      <w:pPr>
        <w:jc w:val="both"/>
        <w:ind w:left="820" w:right="20"/>
        <w:spacing w:after="0" w:line="265" w:lineRule="auto"/>
        <w:rPr>
          <w:sz w:val="20"/>
          <w:szCs w:val="20"/>
          <w:color w:val="auto"/>
        </w:rPr>
      </w:pPr>
      <w:r>
        <w:rPr>
          <w:rFonts w:ascii="Arial" w:cs="Arial" w:eastAsia="Arial" w:hAnsi="Arial"/>
          <w:sz w:val="18"/>
          <w:szCs w:val="18"/>
          <w:color w:val="auto"/>
        </w:rPr>
        <w:t>The following is a listing of our current executive officers, their ages and their business experience for the past five years (other than Mr. Fish, whose age, experience and qualifications are included in the director nominees section of this Proxy Statement). All prior positions listed below were with our Company.</w:t>
      </w:r>
    </w:p>
    <w:p>
      <w:pPr>
        <w:spacing w:after="0" w:line="199" w:lineRule="exact"/>
        <w:rPr>
          <w:sz w:val="20"/>
          <w:szCs w:val="20"/>
          <w:color w:val="auto"/>
        </w:rPr>
      </w:pPr>
    </w:p>
    <w:tbl>
      <w:tblPr>
        <w:tblLayout w:type="fixed"/>
        <w:tblInd w:w="820" w:type="dxa"/>
        <w:tblCellMar>
          <w:top w:w="0" w:type="dxa"/>
          <w:left w:w="0" w:type="dxa"/>
          <w:bottom w:w="0" w:type="dxa"/>
          <w:right w:w="0" w:type="dxa"/>
        </w:tblCellMar>
      </w:tblPr>
      <w:tr>
        <w:trPr>
          <w:trHeight w:val="322"/>
        </w:trPr>
        <w:tc>
          <w:tcPr>
            <w:tcW w:w="2040" w:type="dxa"/>
            <w:vAlign w:val="bottom"/>
          </w:tcPr>
          <w:p>
            <w:pPr>
              <w:ind w:left="2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w:t>
            </w:r>
          </w:p>
        </w:tc>
        <w:tc>
          <w:tcPr>
            <w:tcW w:w="1000" w:type="dxa"/>
            <w:vAlign w:val="bottom"/>
          </w:tcPr>
          <w:p>
            <w:pPr>
              <w:jc w:val="right"/>
              <w:ind w:right="34"/>
              <w:spacing w:after="0"/>
              <w:rPr>
                <w:sz w:val="20"/>
                <w:szCs w:val="20"/>
                <w:color w:val="auto"/>
              </w:rPr>
            </w:pPr>
            <w:r>
              <w:rPr>
                <w:rFonts w:ascii="Arial" w:cs="Arial" w:eastAsia="Arial" w:hAnsi="Arial"/>
                <w:sz w:val="14"/>
                <w:szCs w:val="14"/>
                <w:b w:val="1"/>
                <w:bCs w:val="1"/>
                <w:color w:val="457157"/>
              </w:rPr>
              <w:t>​ ​</w:t>
            </w:r>
            <w:r>
              <w:rPr>
                <w:rFonts w:ascii="Arial" w:cs="Arial" w:eastAsia="Arial" w:hAnsi="Arial"/>
                <w:sz w:val="28"/>
                <w:szCs w:val="28"/>
                <w:b w:val="1"/>
                <w:bCs w:val="1"/>
                <w:color w:val="457157"/>
                <w:vertAlign w:val="superscript"/>
              </w:rPr>
              <w:t>Age</w:t>
            </w:r>
            <w:r>
              <w:rPr>
                <w:rFonts w:ascii="Arial" w:cs="Arial" w:eastAsia="Arial" w:hAnsi="Arial"/>
                <w:sz w:val="14"/>
                <w:szCs w:val="14"/>
                <w:b w:val="1"/>
                <w:bCs w:val="1"/>
                <w:color w:val="457157"/>
              </w:rPr>
              <w:t xml:space="preserve"> ​ ​</w:t>
            </w:r>
          </w:p>
        </w:tc>
        <w:tc>
          <w:tcPr>
            <w:tcW w:w="5960" w:type="dxa"/>
            <w:vAlign w:val="bottom"/>
          </w:tcPr>
          <w:p>
            <w:pPr>
              <w:ind w:left="660"/>
              <w:spacing w:after="0"/>
              <w:rPr>
                <w:sz w:val="20"/>
                <w:szCs w:val="20"/>
                <w:color w:val="auto"/>
              </w:rPr>
            </w:pPr>
            <w:r>
              <w:rPr>
                <w:rFonts w:ascii="Arial" w:cs="Arial" w:eastAsia="Arial" w:hAnsi="Arial"/>
                <w:sz w:val="14"/>
                <w:szCs w:val="14"/>
                <w:b w:val="1"/>
                <w:bCs w:val="1"/>
                <w:color w:val="457157"/>
              </w:rPr>
              <w:t>Positions Held and Business Experience for Past Five Years</w:t>
            </w:r>
          </w:p>
        </w:tc>
        <w:tc>
          <w:tcPr>
            <w:tcW w:w="80" w:type="dxa"/>
            <w:vAlign w:val="bottom"/>
            <w:gridSpan w:val="2"/>
          </w:tcPr>
          <w:p>
            <w:pPr>
              <w:jc w:val="right"/>
              <w:spacing w:after="0"/>
              <w:rPr>
                <w:sz w:val="20"/>
                <w:szCs w:val="20"/>
                <w:color w:val="auto"/>
              </w:rPr>
            </w:pPr>
            <w:r>
              <w:rPr>
                <w:rFonts w:ascii="Arial" w:cs="Arial" w:eastAsia="Arial" w:hAnsi="Arial"/>
                <w:sz w:val="14"/>
                <w:szCs w:val="14"/>
                <w:b w:val="1"/>
                <w:bCs w:val="1"/>
                <w:color w:val="457157"/>
              </w:rPr>
              <w:t>​</w:t>
            </w:r>
          </w:p>
        </w:tc>
      </w:tr>
      <w:tr>
        <w:trPr>
          <w:trHeight w:val="312"/>
        </w:trPr>
        <w:tc>
          <w:tcPr>
            <w:tcW w:w="2040" w:type="dxa"/>
            <w:vAlign w:val="bottom"/>
            <w:tcBorders>
              <w:top w:val="single" w:sz="8" w:color="457157"/>
            </w:tcBorders>
          </w:tcPr>
          <w:p>
            <w:pPr>
              <w:spacing w:after="0" w:line="312"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Charles C. Boettcher</w:t>
            </w:r>
          </w:p>
        </w:tc>
        <w:tc>
          <w:tcPr>
            <w:tcW w:w="1000" w:type="dxa"/>
            <w:vAlign w:val="bottom"/>
            <w:tcBorders>
              <w:top w:val="single" w:sz="8" w:color="457157"/>
            </w:tcBorders>
          </w:tcPr>
          <w:p>
            <w:pPr>
              <w:jc w:val="right"/>
              <w:spacing w:after="0" w:line="312"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51 </w:t>
            </w:r>
            <w:r>
              <w:rPr>
                <w:rFonts w:ascii="Arial" w:cs="Arial" w:eastAsia="Arial" w:hAnsi="Arial"/>
                <w:sz w:val="35"/>
                <w:szCs w:val="35"/>
                <w:color w:val="auto"/>
                <w:vertAlign w:val="superscript"/>
              </w:rPr>
              <w:t>​ ​</w:t>
            </w:r>
            <w:r>
              <w:rPr>
                <w:rFonts w:ascii="Arial" w:cs="Arial" w:eastAsia="Arial" w:hAnsi="Arial"/>
                <w:sz w:val="18"/>
                <w:szCs w:val="18"/>
                <w:color w:val="auto"/>
              </w:rPr>
              <w:t xml:space="preserve"> </w:t>
            </w:r>
            <w:r>
              <w:rPr>
                <w:rFonts w:ascii="Arial" w:cs="Arial" w:eastAsia="Arial" w:hAnsi="Arial"/>
                <w:sz w:val="18"/>
                <w:szCs w:val="18"/>
                <w:color w:val="457157"/>
              </w:rPr>
              <w:t>•</w:t>
            </w:r>
          </w:p>
        </w:tc>
        <w:tc>
          <w:tcPr>
            <w:tcW w:w="596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Executive Vice President and Chief Legal officer since July 2024.</w:t>
            </w:r>
          </w:p>
        </w:tc>
        <w:tc>
          <w:tcPr>
            <w:tcW w:w="60" w:type="dxa"/>
            <w:vAlign w:val="bottom"/>
            <w:tcBorders>
              <w:top w:val="single" w:sz="8" w:color="457157"/>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03"/>
        </w:trPr>
        <w:tc>
          <w:tcPr>
            <w:tcW w:w="204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457157"/>
              </w:rPr>
              <w:t>•</w:t>
            </w:r>
          </w:p>
        </w:tc>
        <w:tc>
          <w:tcPr>
            <w:tcW w:w="5960" w:type="dxa"/>
            <w:vAlign w:val="bottom"/>
          </w:tcPr>
          <w:p>
            <w:pPr>
              <w:ind w:left="60"/>
              <w:spacing w:after="0" w:line="202" w:lineRule="exact"/>
              <w:rPr>
                <w:sz w:val="20"/>
                <w:szCs w:val="20"/>
                <w:color w:val="auto"/>
              </w:rPr>
            </w:pPr>
            <w:r>
              <w:rPr>
                <w:rFonts w:ascii="Arial" w:cs="Arial" w:eastAsia="Arial" w:hAnsi="Arial"/>
                <w:sz w:val="18"/>
                <w:szCs w:val="18"/>
                <w:color w:val="auto"/>
              </w:rPr>
              <w:t>Executive Vice President, Corporate Development and Chief Legal</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5"/>
        </w:trPr>
        <w:tc>
          <w:tcPr>
            <w:tcW w:w="2040" w:type="dxa"/>
            <w:vAlign w:val="bottom"/>
            <w:tcBorders>
              <w:bottom w:val="single" w:sz="8" w:color="457157"/>
            </w:tcBorders>
          </w:tcPr>
          <w:p>
            <w:pPr>
              <w:spacing w:after="0"/>
              <w:rPr>
                <w:sz w:val="20"/>
                <w:szCs w:val="20"/>
                <w:color w:val="auto"/>
              </w:rPr>
            </w:pPr>
          </w:p>
        </w:tc>
        <w:tc>
          <w:tcPr>
            <w:tcW w:w="1000" w:type="dxa"/>
            <w:vAlign w:val="bottom"/>
            <w:tcBorders>
              <w:bottom w:val="single" w:sz="8" w:color="457157"/>
            </w:tcBorders>
          </w:tcPr>
          <w:p>
            <w:pPr>
              <w:spacing w:after="0"/>
              <w:rPr>
                <w:sz w:val="20"/>
                <w:szCs w:val="20"/>
                <w:color w:val="auto"/>
              </w:rPr>
            </w:pP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Officer from 2020 to July 2024.</w:t>
            </w:r>
          </w:p>
        </w:tc>
        <w:tc>
          <w:tcPr>
            <w:tcW w:w="60" w:type="dxa"/>
            <w:vAlign w:val="bottom"/>
            <w:tcBorders>
              <w:bottom w:val="single" w:sz="8" w:color="457157"/>
            </w:tcBorders>
          </w:tcPr>
          <w:p>
            <w:pPr>
              <w:spacing w:after="0"/>
              <w:rPr>
                <w:sz w:val="20"/>
                <w:szCs w:val="20"/>
                <w:color w:val="auto"/>
              </w:rPr>
            </w:pPr>
          </w:p>
        </w:tc>
        <w:tc>
          <w:tcPr>
            <w:tcW w:w="20" w:type="dxa"/>
            <w:vAlign w:val="bottom"/>
          </w:tcPr>
          <w:p>
            <w:pPr>
              <w:spacing w:after="0"/>
              <w:rPr>
                <w:sz w:val="20"/>
                <w:szCs w:val="20"/>
                <w:color w:val="auto"/>
              </w:rPr>
            </w:pPr>
          </w:p>
        </w:tc>
      </w:tr>
      <w:tr>
        <w:trPr>
          <w:trHeight w:val="231"/>
        </w:trPr>
        <w:tc>
          <w:tcPr>
            <w:tcW w:w="2040" w:type="dxa"/>
            <w:vAlign w:val="bottom"/>
          </w:tcPr>
          <w:p>
            <w:pPr>
              <w:spacing w:after="0" w:line="231"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5"/>
                <w:szCs w:val="15"/>
                <w:color w:val="auto"/>
              </w:rPr>
              <w:t>Rafael E. Carrasco</w:t>
            </w:r>
          </w:p>
        </w:tc>
        <w:tc>
          <w:tcPr>
            <w:tcW w:w="1000" w:type="dxa"/>
            <w:vAlign w:val="bottom"/>
          </w:tcPr>
          <w:p>
            <w:pPr>
              <w:jc w:val="right"/>
              <w:spacing w:after="0" w:line="231"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6"/>
                <w:szCs w:val="26"/>
                <w:color w:val="auto"/>
                <w:vertAlign w:val="subscript"/>
              </w:rPr>
              <w:t>53</w:t>
            </w:r>
            <w:r>
              <w:rPr>
                <w:rFonts w:ascii="Arial" w:cs="Arial" w:eastAsia="Arial" w:hAnsi="Arial"/>
                <w:sz w:val="15"/>
                <w:szCs w:val="15"/>
                <w:color w:val="auto"/>
              </w:rPr>
              <w:t xml:space="preserve"> ​ ​ </w:t>
            </w:r>
            <w:r>
              <w:rPr>
                <w:rFonts w:ascii="Arial" w:cs="Arial" w:eastAsia="Arial" w:hAnsi="Arial"/>
                <w:sz w:val="26"/>
                <w:szCs w:val="26"/>
                <w:color w:val="457157"/>
                <w:vertAlign w:val="subscript"/>
              </w:rPr>
              <w:t>•</w:t>
            </w:r>
          </w:p>
        </w:tc>
        <w:tc>
          <w:tcPr>
            <w:tcW w:w="6020" w:type="dxa"/>
            <w:vAlign w:val="bottom"/>
            <w:gridSpan w:val="2"/>
          </w:tcPr>
          <w:p>
            <w:pPr>
              <w:ind w:left="60"/>
              <w:spacing w:after="0" w:line="231" w:lineRule="exact"/>
              <w:rPr>
                <w:sz w:val="20"/>
                <w:szCs w:val="20"/>
                <w:color w:val="auto"/>
              </w:rPr>
            </w:pPr>
            <w:r>
              <w:rPr>
                <w:rFonts w:ascii="Arial" w:cs="Arial" w:eastAsia="Arial" w:hAnsi="Arial"/>
                <w:sz w:val="15"/>
                <w:szCs w:val="15"/>
                <w:color w:val="auto"/>
              </w:rPr>
              <w:t>Senior Vice President — Enterprise Strategy and President — WM</w:t>
            </w:r>
            <w:r>
              <w:rPr>
                <w:rFonts w:ascii="Arial" w:cs="Arial" w:eastAsia="Arial" w:hAnsi="Arial"/>
                <w:sz w:val="26"/>
                <w:szCs w:val="26"/>
                <w:color w:val="auto"/>
                <w:vertAlign w:val="superscript"/>
              </w:rPr>
              <w:t>​</w:t>
            </w:r>
          </w:p>
        </w:tc>
        <w:tc>
          <w:tcPr>
            <w:tcW w:w="20" w:type="dxa"/>
            <w:vAlign w:val="bottom"/>
          </w:tcPr>
          <w:p>
            <w:pPr>
              <w:spacing w:after="0"/>
              <w:rPr>
                <w:sz w:val="20"/>
                <w:szCs w:val="20"/>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Healthcare Solutions since November 2024.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4"/>
        </w:trPr>
        <w:tc>
          <w:tcPr>
            <w:tcW w:w="20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 Enterprise Strategy from September 2023</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to November 2024.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66"/>
        </w:trPr>
        <w:tc>
          <w:tcPr>
            <w:tcW w:w="20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Senior Vice President — Operations from July 2021 to</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September 2023.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5"/>
        </w:trPr>
        <w:tc>
          <w:tcPr>
            <w:tcW w:w="20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Area Vice President — Greater Mid-Atlantic Area from 2017 to</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1"/>
        </w:trPr>
        <w:tc>
          <w:tcPr>
            <w:tcW w:w="2040" w:type="dxa"/>
            <w:vAlign w:val="bottom"/>
            <w:tcBorders>
              <w:bottom w:val="single" w:sz="8" w:color="457157"/>
            </w:tcBorders>
          </w:tcPr>
          <w:p>
            <w:pPr>
              <w:spacing w:after="0"/>
              <w:rPr>
                <w:sz w:val="19"/>
                <w:szCs w:val="19"/>
                <w:color w:val="auto"/>
              </w:rPr>
            </w:pPr>
          </w:p>
        </w:tc>
        <w:tc>
          <w:tcPr>
            <w:tcW w:w="1000" w:type="dxa"/>
            <w:vAlign w:val="bottom"/>
            <w:tcBorders>
              <w:bottom w:val="single" w:sz="8" w:color="457157"/>
            </w:tcBorders>
          </w:tcPr>
          <w:p>
            <w:pPr>
              <w:spacing w:after="0"/>
              <w:rPr>
                <w:sz w:val="19"/>
                <w:szCs w:val="19"/>
                <w:color w:val="auto"/>
              </w:rPr>
            </w:pPr>
          </w:p>
        </w:tc>
        <w:tc>
          <w:tcPr>
            <w:tcW w:w="596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June 2021.</w:t>
            </w:r>
          </w:p>
        </w:tc>
        <w:tc>
          <w:tcPr>
            <w:tcW w:w="60" w:type="dxa"/>
            <w:vAlign w:val="bottom"/>
            <w:tcBorders>
              <w:bottom w:val="single" w:sz="8" w:color="457157"/>
            </w:tcBorders>
          </w:tcPr>
          <w:p>
            <w:pPr>
              <w:spacing w:after="0"/>
              <w:rPr>
                <w:sz w:val="19"/>
                <w:szCs w:val="19"/>
                <w:color w:val="auto"/>
              </w:rPr>
            </w:pPr>
          </w:p>
        </w:tc>
        <w:tc>
          <w:tcPr>
            <w:tcW w:w="20" w:type="dxa"/>
            <w:vAlign w:val="bottom"/>
          </w:tcPr>
          <w:p>
            <w:pPr>
              <w:spacing w:after="0"/>
              <w:rPr>
                <w:sz w:val="19"/>
                <w:szCs w:val="19"/>
                <w:color w:val="auto"/>
              </w:rPr>
            </w:pPr>
          </w:p>
        </w:tc>
      </w:tr>
      <w:tr>
        <w:trPr>
          <w:trHeight w:val="326"/>
        </w:trPr>
        <w:tc>
          <w:tcPr>
            <w:tcW w:w="2040" w:type="dxa"/>
            <w:vAlign w:val="bottom"/>
          </w:tcPr>
          <w:p>
            <w:pPr>
              <w:spacing w:after="0" w:line="326"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John A. Carroll</w:t>
            </w:r>
          </w:p>
        </w:tc>
        <w:tc>
          <w:tcPr>
            <w:tcW w:w="1000" w:type="dxa"/>
            <w:vAlign w:val="bottom"/>
          </w:tcPr>
          <w:p>
            <w:pPr>
              <w:jc w:val="right"/>
              <w:spacing w:after="0" w:line="326"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52 </w:t>
            </w:r>
            <w:r>
              <w:rPr>
                <w:rFonts w:ascii="Arial" w:cs="Arial" w:eastAsia="Arial" w:hAnsi="Arial"/>
                <w:sz w:val="35"/>
                <w:szCs w:val="35"/>
                <w:color w:val="auto"/>
                <w:vertAlign w:val="superscript"/>
              </w:rPr>
              <w:t>​ ​</w:t>
            </w:r>
            <w:r>
              <w:rPr>
                <w:rFonts w:ascii="Arial" w:cs="Arial" w:eastAsia="Arial" w:hAnsi="Arial"/>
                <w:sz w:val="18"/>
                <w:szCs w:val="18"/>
                <w:color w:val="auto"/>
              </w:rPr>
              <w:t xml:space="preserve"> </w:t>
            </w:r>
            <w:r>
              <w:rPr>
                <w:rFonts w:ascii="Arial" w:cs="Arial" w:eastAsia="Arial" w:hAnsi="Arial"/>
                <w:sz w:val="18"/>
                <w:szCs w:val="18"/>
                <w:color w:val="457157"/>
              </w:rPr>
              <w:t>•</w:t>
            </w:r>
          </w:p>
        </w:tc>
        <w:tc>
          <w:tcPr>
            <w:tcW w:w="5960" w:type="dxa"/>
            <w:vAlign w:val="bottom"/>
          </w:tcPr>
          <w:p>
            <w:pPr>
              <w:ind w:left="60"/>
              <w:spacing w:after="0"/>
              <w:rPr>
                <w:sz w:val="20"/>
                <w:szCs w:val="20"/>
                <w:color w:val="auto"/>
              </w:rPr>
            </w:pPr>
            <w:r>
              <w:rPr>
                <w:rFonts w:ascii="Arial" w:cs="Arial" w:eastAsia="Arial" w:hAnsi="Arial"/>
                <w:sz w:val="18"/>
                <w:szCs w:val="18"/>
                <w:color w:val="auto"/>
              </w:rPr>
              <w:t>Vice President and Chief Accounting Officer since March 2023.</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181"/>
        </w:trPr>
        <w:tc>
          <w:tcPr>
            <w:tcW w:w="2040" w:type="dxa"/>
            <w:vAlign w:val="bottom"/>
          </w:tcPr>
          <w:p>
            <w:pPr>
              <w:spacing w:after="0"/>
              <w:rPr>
                <w:sz w:val="15"/>
                <w:szCs w:val="15"/>
                <w:color w:val="auto"/>
              </w:rPr>
            </w:pPr>
          </w:p>
        </w:tc>
        <w:tc>
          <w:tcPr>
            <w:tcW w:w="1000" w:type="dxa"/>
            <w:vAlign w:val="bottom"/>
          </w:tcPr>
          <w:p>
            <w:pPr>
              <w:jc w:val="right"/>
              <w:spacing w:after="0" w:line="181" w:lineRule="exact"/>
              <w:rPr>
                <w:sz w:val="20"/>
                <w:szCs w:val="20"/>
                <w:color w:val="auto"/>
              </w:rPr>
            </w:pPr>
            <w:r>
              <w:rPr>
                <w:rFonts w:ascii="Arial" w:cs="Arial" w:eastAsia="Arial" w:hAnsi="Arial"/>
                <w:sz w:val="18"/>
                <w:szCs w:val="18"/>
                <w:color w:val="457157"/>
              </w:rPr>
              <w:t>•</w:t>
            </w:r>
          </w:p>
        </w:tc>
        <w:tc>
          <w:tcPr>
            <w:tcW w:w="5960" w:type="dxa"/>
            <w:vAlign w:val="bottom"/>
          </w:tcPr>
          <w:p>
            <w:pPr>
              <w:ind w:left="60"/>
              <w:spacing w:after="0" w:line="181" w:lineRule="exact"/>
              <w:rPr>
                <w:sz w:val="20"/>
                <w:szCs w:val="20"/>
                <w:color w:val="auto"/>
              </w:rPr>
            </w:pPr>
            <w:r>
              <w:rPr>
                <w:rFonts w:ascii="Arial" w:cs="Arial" w:eastAsia="Arial" w:hAnsi="Arial"/>
                <w:sz w:val="18"/>
                <w:szCs w:val="18"/>
                <w:color w:val="auto"/>
              </w:rPr>
              <w:t>Vice President, Internal Audit and Controls from 2018 to</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9"/>
        </w:trPr>
        <w:tc>
          <w:tcPr>
            <w:tcW w:w="20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960" w:type="dxa"/>
            <w:vAlign w:val="bottom"/>
          </w:tcPr>
          <w:p>
            <w:pPr>
              <w:ind w:left="60"/>
              <w:spacing w:after="0"/>
              <w:rPr>
                <w:sz w:val="20"/>
                <w:szCs w:val="20"/>
                <w:color w:val="auto"/>
              </w:rPr>
            </w:pPr>
            <w:r>
              <w:rPr>
                <w:rFonts w:ascii="Arial" w:cs="Arial" w:eastAsia="Arial" w:hAnsi="Arial"/>
                <w:sz w:val="18"/>
                <w:szCs w:val="18"/>
                <w:color w:val="auto"/>
              </w:rPr>
              <w:t>March 2023.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-5080</wp:posOffset>
            </wp:positionV>
            <wp:extent cx="57607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sectPr>
      </w:pPr>
    </w:p>
    <w:tbl>
      <w:tblPr>
        <w:tblLayout w:type="fixed"/>
        <w:tblInd w:w="820" w:type="dxa"/>
        <w:tblCellMar>
          <w:top w:w="0" w:type="dxa"/>
          <w:left w:w="0" w:type="dxa"/>
          <w:bottom w:w="0" w:type="dxa"/>
          <w:right w:w="0" w:type="dxa"/>
        </w:tblCellMar>
      </w:tblPr>
      <w:tr>
        <w:trPr>
          <w:trHeight w:val="336"/>
        </w:trPr>
        <w:tc>
          <w:tcPr>
            <w:tcW w:w="2660" w:type="dxa"/>
            <w:vAlign w:val="bottom"/>
            <w:gridSpan w:val="2"/>
          </w:tcPr>
          <w:p>
            <w:pPr>
              <w:spacing w:after="0" w:line="336"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Christopher P. DeSantis </w:t>
            </w:r>
            <w:r>
              <w:rPr>
                <w:rFonts w:ascii="Arial" w:cs="Arial" w:eastAsia="Arial" w:hAnsi="Arial"/>
                <w:sz w:val="35"/>
                <w:szCs w:val="35"/>
                <w:color w:val="auto"/>
                <w:vertAlign w:val="superscript"/>
              </w:rPr>
              <w:t>​ ​</w:t>
            </w:r>
            <w:r>
              <w:rPr>
                <w:rFonts w:ascii="Arial" w:cs="Arial" w:eastAsia="Arial" w:hAnsi="Arial"/>
                <w:sz w:val="18"/>
                <w:szCs w:val="18"/>
                <w:color w:val="auto"/>
              </w:rPr>
              <w:t xml:space="preserve"> 61</w:t>
            </w:r>
          </w:p>
        </w:tc>
        <w:tc>
          <w:tcPr>
            <w:tcW w:w="380" w:type="dxa"/>
            <w:vAlign w:val="bottom"/>
          </w:tcPr>
          <w:p>
            <w:pPr>
              <w:jc w:val="right"/>
              <w:spacing w:after="0" w:line="336" w:lineRule="exact"/>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color w:val="457157"/>
                <w:vertAlign w:val="subscript"/>
              </w:rPr>
              <w:t>•</w:t>
            </w:r>
          </w:p>
        </w:tc>
        <w:tc>
          <w:tcPr>
            <w:tcW w:w="5820" w:type="dxa"/>
            <w:vAlign w:val="bottom"/>
          </w:tcPr>
          <w:p>
            <w:pPr>
              <w:ind w:left="60"/>
              <w:spacing w:after="0"/>
              <w:rPr>
                <w:sz w:val="20"/>
                <w:szCs w:val="20"/>
                <w:color w:val="auto"/>
              </w:rPr>
            </w:pPr>
            <w:r>
              <w:rPr>
                <w:rFonts w:ascii="Arial" w:cs="Arial" w:eastAsia="Arial" w:hAnsi="Arial"/>
                <w:sz w:val="18"/>
                <w:szCs w:val="18"/>
                <w:color w:val="auto"/>
              </w:rPr>
              <w:t>Senior Vice President — Operations since October 2023</w:t>
            </w:r>
          </w:p>
        </w:tc>
      </w:tr>
      <w:tr>
        <w:trPr>
          <w:trHeight w:val="216"/>
        </w:trPr>
        <w:tc>
          <w:tcPr>
            <w:tcW w:w="1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57157"/>
              </w:rPr>
              <w:t>•</w:t>
            </w:r>
          </w:p>
        </w:tc>
        <w:tc>
          <w:tcPr>
            <w:tcW w:w="5820" w:type="dxa"/>
            <w:vAlign w:val="bottom"/>
          </w:tcPr>
          <w:p>
            <w:pPr>
              <w:ind w:left="60"/>
              <w:spacing w:after="0"/>
              <w:rPr>
                <w:sz w:val="20"/>
                <w:szCs w:val="20"/>
                <w:color w:val="auto"/>
              </w:rPr>
            </w:pPr>
            <w:r>
              <w:rPr>
                <w:rFonts w:ascii="Arial" w:cs="Arial" w:eastAsia="Arial" w:hAnsi="Arial"/>
                <w:sz w:val="18"/>
                <w:szCs w:val="18"/>
                <w:color w:val="auto"/>
              </w:rPr>
              <w:t>Area Vice President — New England from 2009 to October 2023.</w:t>
            </w:r>
          </w:p>
        </w:tc>
      </w:tr>
      <w:tr>
        <w:trPr>
          <w:trHeight w:val="235"/>
        </w:trPr>
        <w:tc>
          <w:tcPr>
            <w:tcW w:w="1900" w:type="dxa"/>
            <w:vAlign w:val="bottom"/>
          </w:tcPr>
          <w:p>
            <w:pPr>
              <w:spacing w:after="0" w:line="235" w:lineRule="exact"/>
              <w:rPr>
                <w:sz w:val="20"/>
                <w:szCs w:val="20"/>
                <w:color w:val="auto"/>
              </w:rPr>
            </w:pPr>
            <w:r>
              <w:rPr>
                <w:rFonts w:ascii="Arial" w:cs="Arial" w:eastAsia="Arial" w:hAnsi="Arial"/>
                <w:sz w:val="27"/>
                <w:szCs w:val="27"/>
                <w:color w:val="auto"/>
                <w:vertAlign w:val="superscript"/>
              </w:rPr>
              <w:t>​</w:t>
            </w:r>
            <w:r>
              <w:rPr>
                <w:rFonts w:ascii="Arial" w:cs="Arial" w:eastAsia="Arial" w:hAnsi="Arial"/>
                <w:sz w:val="15"/>
                <w:szCs w:val="15"/>
                <w:color w:val="auto"/>
              </w:rPr>
              <w:t>Tara J. Hemmer</w:t>
            </w:r>
          </w:p>
        </w:tc>
        <w:tc>
          <w:tcPr>
            <w:tcW w:w="760" w:type="dxa"/>
            <w:vAlign w:val="bottom"/>
          </w:tcPr>
          <w:p>
            <w:pPr>
              <w:ind w:left="300"/>
              <w:spacing w:after="0" w:line="235"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7"/>
                <w:szCs w:val="27"/>
                <w:color w:val="auto"/>
                <w:vertAlign w:val="subscript"/>
              </w:rPr>
              <w:t>52</w:t>
            </w:r>
          </w:p>
        </w:tc>
        <w:tc>
          <w:tcPr>
            <w:tcW w:w="380" w:type="dxa"/>
            <w:vAlign w:val="bottom"/>
          </w:tcPr>
          <w:p>
            <w:pPr>
              <w:jc w:val="right"/>
              <w:spacing w:after="0" w:line="235"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7"/>
                <w:szCs w:val="27"/>
                <w:color w:val="457157"/>
                <w:vertAlign w:val="subscript"/>
              </w:rPr>
              <w:t>•</w:t>
            </w:r>
          </w:p>
        </w:tc>
        <w:tc>
          <w:tcPr>
            <w:tcW w:w="5820" w:type="dxa"/>
            <w:vAlign w:val="bottom"/>
          </w:tcPr>
          <w:p>
            <w:pPr>
              <w:ind w:left="60"/>
              <w:spacing w:after="0"/>
              <w:rPr>
                <w:sz w:val="20"/>
                <w:szCs w:val="20"/>
                <w:color w:val="auto"/>
              </w:rPr>
            </w:pPr>
            <w:r>
              <w:rPr>
                <w:rFonts w:ascii="Arial" w:cs="Arial" w:eastAsia="Arial" w:hAnsi="Arial"/>
                <w:sz w:val="18"/>
                <w:szCs w:val="18"/>
                <w:color w:val="auto"/>
              </w:rPr>
              <w:t>Senior Vice President and Chief Sustainability Officer since</w:t>
            </w:r>
          </w:p>
        </w:tc>
      </w:tr>
      <w:tr>
        <w:trPr>
          <w:trHeight w:val="239"/>
        </w:trPr>
        <w:tc>
          <w:tcPr>
            <w:tcW w:w="1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20" w:type="dxa"/>
            <w:vAlign w:val="bottom"/>
          </w:tcPr>
          <w:p>
            <w:pPr>
              <w:ind w:left="60"/>
              <w:spacing w:after="0"/>
              <w:rPr>
                <w:sz w:val="20"/>
                <w:szCs w:val="20"/>
                <w:color w:val="auto"/>
              </w:rPr>
            </w:pPr>
            <w:r>
              <w:rPr>
                <w:rFonts w:ascii="Arial" w:cs="Arial" w:eastAsia="Arial" w:hAnsi="Arial"/>
                <w:sz w:val="18"/>
                <w:szCs w:val="18"/>
                <w:color w:val="auto"/>
              </w:rPr>
              <w:t>July 2021.</w:t>
            </w:r>
          </w:p>
        </w:tc>
      </w:tr>
      <w:tr>
        <w:trPr>
          <w:trHeight w:val="282"/>
        </w:trPr>
        <w:tc>
          <w:tcPr>
            <w:tcW w:w="1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457157"/>
              </w:rPr>
              <w:t>•</w:t>
            </w:r>
          </w:p>
        </w:tc>
        <w:tc>
          <w:tcPr>
            <w:tcW w:w="5820" w:type="dxa"/>
            <w:vAlign w:val="bottom"/>
          </w:tcPr>
          <w:p>
            <w:pPr>
              <w:ind w:left="60"/>
              <w:spacing w:after="0"/>
              <w:rPr>
                <w:sz w:val="20"/>
                <w:szCs w:val="20"/>
                <w:color w:val="auto"/>
              </w:rPr>
            </w:pPr>
            <w:r>
              <w:rPr>
                <w:rFonts w:ascii="Arial" w:cs="Arial" w:eastAsia="Arial" w:hAnsi="Arial"/>
                <w:sz w:val="18"/>
                <w:szCs w:val="18"/>
                <w:color w:val="auto"/>
              </w:rPr>
              <w:t>Senior Vice President — Operations from 2019 to June 2021.</w:t>
            </w:r>
          </w:p>
        </w:tc>
      </w:tr>
      <w:tr>
        <w:trPr>
          <w:trHeight w:val="483"/>
        </w:trPr>
        <w:tc>
          <w:tcPr>
            <w:tcW w:w="1900" w:type="dxa"/>
            <w:vAlign w:val="bottom"/>
          </w:tcPr>
          <w:p>
            <w:pPr>
              <w:spacing w:after="0"/>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John J. Morris, Jr.</w:t>
            </w:r>
          </w:p>
        </w:tc>
        <w:tc>
          <w:tcPr>
            <w:tcW w:w="760" w:type="dxa"/>
            <w:vAlign w:val="bottom"/>
          </w:tcPr>
          <w:p>
            <w:pPr>
              <w:ind w:left="30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color w:val="auto"/>
                <w:vertAlign w:val="subscript"/>
              </w:rPr>
              <w:t>55</w:t>
            </w:r>
          </w:p>
        </w:tc>
        <w:tc>
          <w:tcPr>
            <w:tcW w:w="380" w:type="dxa"/>
            <w:vAlign w:val="bottom"/>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color w:val="457157"/>
                <w:vertAlign w:val="subscript"/>
              </w:rPr>
              <w:t>•</w:t>
            </w:r>
          </w:p>
        </w:tc>
        <w:tc>
          <w:tcPr>
            <w:tcW w:w="5820" w:type="dxa"/>
            <w:vAlign w:val="bottom"/>
          </w:tcPr>
          <w:p>
            <w:pPr>
              <w:ind w:left="60"/>
              <w:spacing w:after="0"/>
              <w:rPr>
                <w:sz w:val="20"/>
                <w:szCs w:val="20"/>
                <w:color w:val="auto"/>
              </w:rPr>
            </w:pPr>
            <w:r>
              <w:rPr>
                <w:rFonts w:ascii="Arial" w:cs="Arial" w:eastAsia="Arial" w:hAnsi="Arial"/>
                <w:sz w:val="18"/>
                <w:szCs w:val="18"/>
                <w:color w:val="auto"/>
              </w:rPr>
              <w:t>Executive Vice President and Chief Operating Officer since 2019.</w:t>
            </w:r>
          </w:p>
        </w:tc>
      </w:tr>
      <w:tr>
        <w:trPr>
          <w:trHeight w:val="354"/>
        </w:trPr>
        <w:tc>
          <w:tcPr>
            <w:tcW w:w="1900" w:type="dxa"/>
            <w:vAlign w:val="bottom"/>
          </w:tcPr>
          <w:p>
            <w:pPr>
              <w:spacing w:after="0" w:line="354"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Devina A. Rankin</w:t>
            </w:r>
          </w:p>
        </w:tc>
        <w:tc>
          <w:tcPr>
            <w:tcW w:w="760" w:type="dxa"/>
            <w:vAlign w:val="bottom"/>
          </w:tcPr>
          <w:p>
            <w:pPr>
              <w:ind w:left="300"/>
              <w:spacing w:after="0" w:line="354"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49</w:t>
            </w:r>
          </w:p>
        </w:tc>
        <w:tc>
          <w:tcPr>
            <w:tcW w:w="380" w:type="dxa"/>
            <w:vAlign w:val="bottom"/>
          </w:tcPr>
          <w:p>
            <w:pPr>
              <w:jc w:val="right"/>
              <w:spacing w:after="0" w:line="354" w:lineRule="exact"/>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color w:val="457157"/>
                <w:vertAlign w:val="subscript"/>
              </w:rPr>
              <w:t>•</w:t>
            </w:r>
          </w:p>
        </w:tc>
        <w:tc>
          <w:tcPr>
            <w:tcW w:w="5820" w:type="dxa"/>
            <w:vAlign w:val="bottom"/>
          </w:tcPr>
          <w:p>
            <w:pPr>
              <w:ind w:left="60"/>
              <w:spacing w:after="0"/>
              <w:rPr>
                <w:sz w:val="20"/>
                <w:szCs w:val="20"/>
                <w:color w:val="auto"/>
              </w:rPr>
            </w:pPr>
            <w:r>
              <w:rPr>
                <w:rFonts w:ascii="Arial" w:cs="Arial" w:eastAsia="Arial" w:hAnsi="Arial"/>
                <w:sz w:val="18"/>
                <w:szCs w:val="18"/>
                <w:color w:val="auto"/>
              </w:rPr>
              <w:t>Executive Vice President and Chief Financial Officer since 2020.</w:t>
            </w:r>
          </w:p>
        </w:tc>
      </w:tr>
      <w:tr>
        <w:trPr>
          <w:trHeight w:val="181"/>
        </w:trPr>
        <w:tc>
          <w:tcPr>
            <w:tcW w:w="1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457157"/>
              </w:rPr>
              <w:t>•</w:t>
            </w:r>
          </w:p>
        </w:tc>
        <w:tc>
          <w:tcPr>
            <w:tcW w:w="5820" w:type="dxa"/>
            <w:vAlign w:val="bottom"/>
          </w:tcPr>
          <w:p>
            <w:pPr>
              <w:ind w:left="60"/>
              <w:spacing w:after="0" w:line="181" w:lineRule="exact"/>
              <w:rPr>
                <w:sz w:val="20"/>
                <w:szCs w:val="20"/>
                <w:color w:val="auto"/>
              </w:rPr>
            </w:pPr>
            <w:r>
              <w:rPr>
                <w:rFonts w:ascii="Arial" w:cs="Arial" w:eastAsia="Arial" w:hAnsi="Arial"/>
                <w:sz w:val="18"/>
                <w:szCs w:val="18"/>
                <w:color w:val="auto"/>
              </w:rPr>
              <w:t>Senior Vice President and Chief Financial Officer from 2017 to</w:t>
            </w:r>
          </w:p>
        </w:tc>
      </w:tr>
      <w:tr>
        <w:trPr>
          <w:trHeight w:val="230"/>
        </w:trPr>
        <w:tc>
          <w:tcPr>
            <w:tcW w:w="1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20" w:type="dxa"/>
            <w:vAlign w:val="bottom"/>
          </w:tcPr>
          <w:p>
            <w:pPr>
              <w:ind w:left="60"/>
              <w:spacing w:after="0"/>
              <w:rPr>
                <w:sz w:val="20"/>
                <w:szCs w:val="20"/>
                <w:color w:val="auto"/>
              </w:rPr>
            </w:pPr>
            <w:r>
              <w:rPr>
                <w:rFonts w:ascii="Arial" w:cs="Arial" w:eastAsia="Arial" w:hAnsi="Arial"/>
                <w:sz w:val="18"/>
                <w:szCs w:val="18"/>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-479425</wp:posOffset>
            </wp:positionV>
            <wp:extent cx="57607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-788035</wp:posOffset>
            </wp:positionV>
            <wp:extent cx="57607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60720" cy="889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-1268095</wp:posOffset>
            </wp:positionV>
            <wp:extent cx="57607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555" w:lineRule="exact"/>
        <w:rPr>
          <w:sz w:val="20"/>
          <w:szCs w:val="20"/>
          <w:color w:val="auto"/>
        </w:rPr>
      </w:pPr>
    </w:p>
    <w:p>
      <w:pPr>
        <w:sectPr>
          <w:pgSz w:w="11900" w:h="16838" w:orient="portrait"/>
          <w:cols w:equalWidth="0" w:num="2">
            <w:col w:w="9680" w:space="160"/>
            <w:col w:w="60"/>
          </w:cols>
          <w:pgMar w:left="580" w:top="97" w:right="1419" w:bottom="1440" w:gutter="0" w:footer="0" w:header="0"/>
          <w:type w:val="continuous"/>
        </w:sectPr>
      </w:pPr>
    </w:p>
    <w:tbl>
      <w:tblPr>
        <w:tblLayout w:type="fixed"/>
        <w:tblInd w:w="820" w:type="dxa"/>
        <w:tblCellMar>
          <w:top w:w="0" w:type="dxa"/>
          <w:left w:w="0" w:type="dxa"/>
          <w:bottom w:w="0" w:type="dxa"/>
          <w:right w:w="0" w:type="dxa"/>
        </w:tblCellMar>
      </w:tblPr>
      <w:tr>
        <w:trPr>
          <w:trHeight w:val="326"/>
        </w:trPr>
        <w:tc>
          <w:tcPr>
            <w:tcW w:w="1860" w:type="dxa"/>
            <w:vAlign w:val="bottom"/>
            <w:tcBorders>
              <w:top w:val="single" w:sz="8" w:color="457157"/>
            </w:tcBorders>
          </w:tcPr>
          <w:p>
            <w:pPr>
              <w:spacing w:after="0" w:line="326"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Donald J. Smith</w:t>
            </w:r>
          </w:p>
        </w:tc>
        <w:tc>
          <w:tcPr>
            <w:tcW w:w="800" w:type="dxa"/>
            <w:vAlign w:val="bottom"/>
            <w:tcBorders>
              <w:top w:val="single" w:sz="8" w:color="457157"/>
            </w:tcBorders>
          </w:tcPr>
          <w:p>
            <w:pPr>
              <w:ind w:left="340"/>
              <w:spacing w:after="0" w:line="326" w:lineRule="exact"/>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color w:val="auto"/>
                <w:vertAlign w:val="subscript"/>
              </w:rPr>
              <w:t>58</w:t>
            </w:r>
          </w:p>
        </w:tc>
        <w:tc>
          <w:tcPr>
            <w:tcW w:w="380" w:type="dxa"/>
            <w:vAlign w:val="bottom"/>
            <w:tcBorders>
              <w:top w:val="single" w:sz="8" w:color="457157"/>
            </w:tcBorders>
          </w:tcPr>
          <w:p>
            <w:pPr>
              <w:jc w:val="right"/>
              <w:spacing w:after="0" w:line="326" w:lineRule="exact"/>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color w:val="457157"/>
                <w:vertAlign w:val="subscript"/>
              </w:rPr>
              <w:t>•</w:t>
            </w:r>
          </w:p>
        </w:tc>
        <w:tc>
          <w:tcPr>
            <w:tcW w:w="568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Senior Vice President — Operations since January 2023.</w:t>
            </w:r>
          </w:p>
        </w:tc>
        <w:tc>
          <w:tcPr>
            <w:tcW w:w="340" w:type="dxa"/>
            <w:vAlign w:val="bottom"/>
            <w:tcBorders>
              <w:top w:val="single" w:sz="8" w:color="457157"/>
            </w:tcBorders>
          </w:tcPr>
          <w:p>
            <w:pPr>
              <w:ind w:left="300"/>
              <w:spacing w:after="0"/>
              <w:rPr>
                <w:sz w:val="20"/>
                <w:szCs w:val="20"/>
                <w:color w:val="auto"/>
              </w:rPr>
            </w:pPr>
            <w:r>
              <w:rPr>
                <w:rFonts w:ascii="Arial" w:cs="Arial" w:eastAsia="Arial" w:hAnsi="Arial"/>
                <w:sz w:val="18"/>
                <w:szCs w:val="18"/>
                <w:color w:val="auto"/>
              </w:rPr>
              <w:t>​</w:t>
            </w:r>
          </w:p>
        </w:tc>
      </w:tr>
      <w:tr>
        <w:trPr>
          <w:trHeight w:val="181"/>
        </w:trPr>
        <w:tc>
          <w:tcPr>
            <w:tcW w:w="1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jc w:val="right"/>
              <w:spacing w:after="0" w:line="181" w:lineRule="exact"/>
              <w:rPr>
                <w:sz w:val="20"/>
                <w:szCs w:val="20"/>
                <w:color w:val="auto"/>
              </w:rPr>
            </w:pPr>
            <w:r>
              <w:rPr>
                <w:rFonts w:ascii="Arial" w:cs="Arial" w:eastAsia="Arial" w:hAnsi="Arial"/>
                <w:sz w:val="18"/>
                <w:szCs w:val="18"/>
                <w:color w:val="457157"/>
              </w:rPr>
              <w:t>•</w:t>
            </w:r>
          </w:p>
        </w:tc>
        <w:tc>
          <w:tcPr>
            <w:tcW w:w="5680" w:type="dxa"/>
            <w:vAlign w:val="bottom"/>
          </w:tcPr>
          <w:p>
            <w:pPr>
              <w:ind w:left="60"/>
              <w:spacing w:after="0" w:line="181" w:lineRule="exact"/>
              <w:rPr>
                <w:sz w:val="20"/>
                <w:szCs w:val="20"/>
                <w:color w:val="auto"/>
              </w:rPr>
            </w:pPr>
            <w:r>
              <w:rPr>
                <w:rFonts w:ascii="Arial" w:cs="Arial" w:eastAsia="Arial" w:hAnsi="Arial"/>
                <w:sz w:val="18"/>
                <w:szCs w:val="18"/>
                <w:color w:val="auto"/>
              </w:rPr>
              <w:t>Area Vice President — Texas &amp; Oklahoma Area from 2012 to</w:t>
            </w:r>
          </w:p>
        </w:tc>
        <w:tc>
          <w:tcPr>
            <w:tcW w:w="340" w:type="dxa"/>
            <w:vAlign w:val="bottom"/>
          </w:tcPr>
          <w:p>
            <w:pPr>
              <w:spacing w:after="0"/>
              <w:rPr>
                <w:sz w:val="15"/>
                <w:szCs w:val="15"/>
                <w:color w:val="auto"/>
              </w:rPr>
            </w:pPr>
          </w:p>
        </w:tc>
      </w:tr>
      <w:tr>
        <w:trPr>
          <w:trHeight w:val="230"/>
        </w:trPr>
        <w:tc>
          <w:tcPr>
            <w:tcW w:w="1860" w:type="dxa"/>
            <w:vAlign w:val="bottom"/>
            <w:tcBorders>
              <w:bottom w:val="single" w:sz="8" w:color="457157"/>
            </w:tcBorders>
          </w:tcPr>
          <w:p>
            <w:pPr>
              <w:spacing w:after="0"/>
              <w:rPr>
                <w:sz w:val="19"/>
                <w:szCs w:val="19"/>
                <w:color w:val="auto"/>
              </w:rPr>
            </w:pPr>
          </w:p>
        </w:tc>
        <w:tc>
          <w:tcPr>
            <w:tcW w:w="800" w:type="dxa"/>
            <w:vAlign w:val="bottom"/>
            <w:tcBorders>
              <w:bottom w:val="single" w:sz="8" w:color="457157"/>
            </w:tcBorders>
          </w:tcPr>
          <w:p>
            <w:pPr>
              <w:spacing w:after="0"/>
              <w:rPr>
                <w:sz w:val="19"/>
                <w:szCs w:val="19"/>
                <w:color w:val="auto"/>
              </w:rPr>
            </w:pPr>
          </w:p>
        </w:tc>
        <w:tc>
          <w:tcPr>
            <w:tcW w:w="380" w:type="dxa"/>
            <w:vAlign w:val="bottom"/>
            <w:tcBorders>
              <w:bottom w:val="single" w:sz="8" w:color="457157"/>
            </w:tcBorders>
          </w:tcPr>
          <w:p>
            <w:pPr>
              <w:spacing w:after="0"/>
              <w:rPr>
                <w:sz w:val="19"/>
                <w:szCs w:val="19"/>
                <w:color w:val="auto"/>
              </w:rPr>
            </w:pPr>
          </w:p>
        </w:tc>
        <w:tc>
          <w:tcPr>
            <w:tcW w:w="5680" w:type="dxa"/>
            <w:vAlign w:val="bottom"/>
            <w:tcBorders>
              <w:bottom w:val="single" w:sz="8" w:color="457157"/>
            </w:tcBorders>
          </w:tcPr>
          <w:p>
            <w:pPr>
              <w:ind w:left="60"/>
              <w:spacing w:after="0"/>
              <w:rPr>
                <w:sz w:val="20"/>
                <w:szCs w:val="20"/>
                <w:color w:val="auto"/>
              </w:rPr>
            </w:pPr>
            <w:r>
              <w:rPr>
                <w:rFonts w:ascii="Arial" w:cs="Arial" w:eastAsia="Arial" w:hAnsi="Arial"/>
                <w:sz w:val="18"/>
                <w:szCs w:val="18"/>
                <w:color w:val="auto"/>
              </w:rPr>
              <w:t>December 2022.</w:t>
            </w:r>
          </w:p>
        </w:tc>
        <w:tc>
          <w:tcPr>
            <w:tcW w:w="340" w:type="dxa"/>
            <w:vAlign w:val="bottom"/>
            <w:tcBorders>
              <w:bottom w:val="single" w:sz="8" w:color="457157"/>
            </w:tcBorders>
          </w:tcPr>
          <w:p>
            <w:pPr>
              <w:spacing w:after="0"/>
              <w:rPr>
                <w:sz w:val="19"/>
                <w:szCs w:val="19"/>
                <w:color w:val="auto"/>
              </w:rPr>
            </w:pPr>
          </w:p>
        </w:tc>
      </w:tr>
      <w:tr>
        <w:trPr>
          <w:trHeight w:val="231"/>
        </w:trPr>
        <w:tc>
          <w:tcPr>
            <w:tcW w:w="1860" w:type="dxa"/>
            <w:vAlign w:val="bottom"/>
          </w:tcPr>
          <w:p>
            <w:pPr>
              <w:spacing w:after="0" w:line="231"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5"/>
                <w:szCs w:val="15"/>
                <w:color w:val="auto"/>
              </w:rPr>
              <w:t>Kimberly G. Stith</w:t>
            </w:r>
          </w:p>
        </w:tc>
        <w:tc>
          <w:tcPr>
            <w:tcW w:w="800" w:type="dxa"/>
            <w:vAlign w:val="bottom"/>
          </w:tcPr>
          <w:p>
            <w:pPr>
              <w:ind w:left="340"/>
              <w:spacing w:after="0" w:line="231"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6"/>
                <w:szCs w:val="26"/>
                <w:color w:val="auto"/>
                <w:vertAlign w:val="subscript"/>
              </w:rPr>
              <w:t>59</w:t>
            </w:r>
          </w:p>
        </w:tc>
        <w:tc>
          <w:tcPr>
            <w:tcW w:w="380" w:type="dxa"/>
            <w:vAlign w:val="bottom"/>
          </w:tcPr>
          <w:p>
            <w:pPr>
              <w:jc w:val="right"/>
              <w:spacing w:after="0" w:line="231"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6"/>
                <w:szCs w:val="26"/>
                <w:color w:val="457157"/>
                <w:vertAlign w:val="subscript"/>
              </w:rPr>
              <w:t>•</w:t>
            </w:r>
          </w:p>
        </w:tc>
        <w:tc>
          <w:tcPr>
            <w:tcW w:w="6020" w:type="dxa"/>
            <w:vAlign w:val="bottom"/>
            <w:gridSpan w:val="2"/>
          </w:tcPr>
          <w:p>
            <w:pPr>
              <w:ind w:left="60"/>
              <w:spacing w:after="0" w:line="231" w:lineRule="exact"/>
              <w:rPr>
                <w:sz w:val="20"/>
                <w:szCs w:val="20"/>
                <w:color w:val="auto"/>
              </w:rPr>
            </w:pPr>
            <w:r>
              <w:rPr>
                <w:rFonts w:ascii="Arial" w:cs="Arial" w:eastAsia="Arial" w:hAnsi="Arial"/>
                <w:sz w:val="15"/>
                <w:szCs w:val="15"/>
                <w:color w:val="auto"/>
              </w:rPr>
              <w:t>Senior Vice President and Chief Human Resources Officer since</w:t>
            </w:r>
            <w:r>
              <w:rPr>
                <w:rFonts w:ascii="Arial" w:cs="Arial" w:eastAsia="Arial" w:hAnsi="Arial"/>
                <w:sz w:val="26"/>
                <w:szCs w:val="26"/>
                <w:color w:val="auto"/>
                <w:vertAlign w:val="superscript"/>
              </w:rPr>
              <w:t>​</w:t>
            </w:r>
          </w:p>
        </w:tc>
      </w:tr>
      <w:tr>
        <w:trPr>
          <w:trHeight w:val="239"/>
        </w:trPr>
        <w:tc>
          <w:tcPr>
            <w:tcW w:w="1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80" w:type="dxa"/>
            <w:vAlign w:val="bottom"/>
          </w:tcPr>
          <w:p>
            <w:pPr>
              <w:ind w:left="60"/>
              <w:spacing w:after="0"/>
              <w:rPr>
                <w:sz w:val="20"/>
                <w:szCs w:val="20"/>
                <w:color w:val="auto"/>
              </w:rPr>
            </w:pPr>
            <w:r>
              <w:rPr>
                <w:rFonts w:ascii="Arial" w:cs="Arial" w:eastAsia="Arial" w:hAnsi="Arial"/>
                <w:sz w:val="18"/>
                <w:szCs w:val="18"/>
                <w:color w:val="auto"/>
              </w:rPr>
              <w:t>September 2024.</w:t>
            </w:r>
          </w:p>
        </w:tc>
        <w:tc>
          <w:tcPr>
            <w:tcW w:w="340" w:type="dxa"/>
            <w:vAlign w:val="bottom"/>
          </w:tcPr>
          <w:p>
            <w:pPr>
              <w:spacing w:after="0"/>
              <w:rPr>
                <w:sz w:val="20"/>
                <w:szCs w:val="20"/>
                <w:color w:val="auto"/>
              </w:rPr>
            </w:pPr>
          </w:p>
        </w:tc>
      </w:tr>
    </w:tbl>
    <w:p>
      <w:pPr>
        <w:spacing w:after="0" w:line="72" w:lineRule="exact"/>
        <w:rPr>
          <w:sz w:val="20"/>
          <w:szCs w:val="20"/>
          <w:color w:val="auto"/>
        </w:rPr>
      </w:pPr>
    </w:p>
    <w:p>
      <w:pPr>
        <w:ind w:left="3920" w:right="80" w:hanging="174"/>
        <w:spacing w:after="0" w:line="265" w:lineRule="auto"/>
        <w:tabs>
          <w:tab w:leader="none" w:pos="3920" w:val="left"/>
        </w:tabs>
        <w:numPr>
          <w:ilvl w:val="0"/>
          <w:numId w:val="25"/>
        </w:numPr>
        <w:rPr>
          <w:rFonts w:ascii="Arial" w:cs="Arial" w:eastAsia="Arial" w:hAnsi="Arial"/>
          <w:sz w:val="18"/>
          <w:szCs w:val="18"/>
          <w:color w:val="457157"/>
        </w:rPr>
      </w:pPr>
      <w:r>
        <w:rPr>
          <w:rFonts w:ascii="Arial" w:cs="Arial" w:eastAsia="Arial" w:hAnsi="Arial"/>
          <w:sz w:val="18"/>
          <w:szCs w:val="18"/>
          <w:color w:val="auto"/>
        </w:rPr>
        <w:t>Vice President, General Counsel — Employment &amp; Benefits from 2012 to September 2024.</w:t>
      </w:r>
    </w:p>
    <w:tbl>
      <w:tblPr>
        <w:tblLayout w:type="fixed"/>
        <w:tblInd w:w="820" w:type="dxa"/>
        <w:tblCellMar>
          <w:top w:w="0" w:type="dxa"/>
          <w:left w:w="0" w:type="dxa"/>
          <w:bottom w:w="0" w:type="dxa"/>
          <w:right w:w="0" w:type="dxa"/>
        </w:tblCellMar>
      </w:tblPr>
      <w:tr>
        <w:trPr>
          <w:trHeight w:val="190"/>
        </w:trPr>
        <w:tc>
          <w:tcPr>
            <w:tcW w:w="1820" w:type="dxa"/>
            <w:vAlign w:val="bottom"/>
            <w:tcBorders>
              <w:top w:val="single" w:sz="8" w:color="457157"/>
            </w:tcBorders>
          </w:tcPr>
          <w:p>
            <w:pPr>
              <w:spacing w:after="0" w:line="190"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3"/>
                <w:szCs w:val="13"/>
                <w:color w:val="auto"/>
              </w:rPr>
              <w:t>Johnson Varkey</w:t>
            </w:r>
          </w:p>
        </w:tc>
        <w:tc>
          <w:tcPr>
            <w:tcW w:w="840" w:type="dxa"/>
            <w:vAlign w:val="bottom"/>
            <w:tcBorders>
              <w:top w:val="single" w:sz="8" w:color="457157"/>
            </w:tcBorders>
          </w:tcPr>
          <w:p>
            <w:pPr>
              <w:ind w:left="380"/>
              <w:spacing w:after="0" w:line="190"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3"/>
                <w:szCs w:val="13"/>
                <w:color w:val="auto"/>
              </w:rPr>
              <w:t xml:space="preserve"> 53</w:t>
            </w:r>
          </w:p>
        </w:tc>
        <w:tc>
          <w:tcPr>
            <w:tcW w:w="5920" w:type="dxa"/>
            <w:vAlign w:val="bottom"/>
            <w:tcBorders>
              <w:top w:val="single" w:sz="8" w:color="457157"/>
            </w:tcBorders>
          </w:tcPr>
          <w:p>
            <w:pPr>
              <w:ind w:left="40"/>
              <w:spacing w:after="0" w:line="190" w:lineRule="exact"/>
              <w:rPr>
                <w:sz w:val="20"/>
                <w:szCs w:val="20"/>
                <w:color w:val="auto"/>
              </w:rPr>
            </w:pPr>
            <w:r>
              <w:rPr>
                <w:rFonts w:ascii="Arial" w:cs="Arial" w:eastAsia="Arial" w:hAnsi="Arial"/>
                <w:sz w:val="22"/>
                <w:szCs w:val="22"/>
                <w:color w:val="000000"/>
                <w:vertAlign w:val="superscript"/>
              </w:rPr>
              <w:t>​ ​</w:t>
            </w:r>
            <w:r>
              <w:rPr>
                <w:rFonts w:ascii="Arial" w:cs="Arial" w:eastAsia="Arial" w:hAnsi="Arial"/>
                <w:sz w:val="13"/>
                <w:szCs w:val="13"/>
                <w:color w:val="457157"/>
              </w:rPr>
              <w:t xml:space="preserve"> • </w:t>
            </w:r>
            <w:r>
              <w:rPr>
                <w:rFonts w:ascii="Arial" w:cs="Arial" w:eastAsia="Arial" w:hAnsi="Arial"/>
                <w:sz w:val="13"/>
                <w:szCs w:val="13"/>
                <w:color w:val="000000"/>
              </w:rPr>
              <w:t>Senior Vice President and Chief Information Officer since</w:t>
            </w:r>
          </w:p>
        </w:tc>
        <w:tc>
          <w:tcPr>
            <w:tcW w:w="480" w:type="dxa"/>
            <w:vAlign w:val="bottom"/>
            <w:tcBorders>
              <w:top w:val="single" w:sz="8" w:color="457157"/>
            </w:tcBorders>
          </w:tcPr>
          <w:p>
            <w:pPr>
              <w:ind w:left="440"/>
              <w:spacing w:after="0" w:line="190" w:lineRule="exact"/>
              <w:rPr>
                <w:sz w:val="20"/>
                <w:szCs w:val="20"/>
                <w:color w:val="auto"/>
              </w:rPr>
            </w:pPr>
            <w:r>
              <w:rPr>
                <w:rFonts w:ascii="Arial" w:cs="Arial" w:eastAsia="Arial" w:hAnsi="Arial"/>
                <w:sz w:val="18"/>
                <w:szCs w:val="18"/>
                <w:color w:val="auto"/>
              </w:rPr>
              <w:t>​</w:t>
            </w:r>
          </w:p>
        </w:tc>
      </w:tr>
      <w:tr>
        <w:trPr>
          <w:trHeight w:val="239"/>
        </w:trPr>
        <w:tc>
          <w:tcPr>
            <w:tcW w:w="1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920" w:type="dxa"/>
            <w:vAlign w:val="bottom"/>
          </w:tcPr>
          <w:p>
            <w:pPr>
              <w:ind w:left="440"/>
              <w:spacing w:after="0"/>
              <w:rPr>
                <w:sz w:val="20"/>
                <w:szCs w:val="20"/>
                <w:color w:val="auto"/>
              </w:rPr>
            </w:pPr>
            <w:r>
              <w:rPr>
                <w:rFonts w:ascii="Arial" w:cs="Arial" w:eastAsia="Arial" w:hAnsi="Arial"/>
                <w:sz w:val="18"/>
                <w:szCs w:val="18"/>
                <w:color w:val="auto"/>
              </w:rPr>
              <w:t>January 2024.</w:t>
            </w:r>
          </w:p>
        </w:tc>
        <w:tc>
          <w:tcPr>
            <w:tcW w:w="480" w:type="dxa"/>
            <w:vAlign w:val="bottom"/>
          </w:tcPr>
          <w:p>
            <w:pPr>
              <w:spacing w:after="0"/>
              <w:rPr>
                <w:sz w:val="20"/>
                <w:szCs w:val="20"/>
                <w:color w:val="auto"/>
              </w:rPr>
            </w:pPr>
          </w:p>
        </w:tc>
      </w:tr>
    </w:tbl>
    <w:p>
      <w:pPr>
        <w:spacing w:after="0" w:line="53" w:lineRule="exact"/>
        <w:rPr>
          <w:sz w:val="20"/>
          <w:szCs w:val="20"/>
          <w:color w:val="auto"/>
        </w:rPr>
      </w:pPr>
    </w:p>
    <w:p>
      <w:pPr>
        <w:ind w:left="3920" w:right="80" w:hanging="174"/>
        <w:spacing w:after="0" w:line="271" w:lineRule="auto"/>
        <w:tabs>
          <w:tab w:leader="none" w:pos="3920" w:val="left"/>
        </w:tabs>
        <w:numPr>
          <w:ilvl w:val="0"/>
          <w:numId w:val="26"/>
        </w:numPr>
        <w:rPr>
          <w:rFonts w:ascii="Arial" w:cs="Arial" w:eastAsia="Arial" w:hAnsi="Arial"/>
          <w:sz w:val="18"/>
          <w:szCs w:val="18"/>
          <w:color w:val="457157"/>
        </w:rPr>
      </w:pPr>
      <w:r>
        <w:rPr>
          <w:rFonts w:ascii="Arial" w:cs="Arial" w:eastAsia="Arial" w:hAnsi="Arial"/>
          <w:sz w:val="18"/>
          <w:szCs w:val="18"/>
          <w:color w:val="auto"/>
        </w:rPr>
        <w:t>Vice President and Chief Information Officer from March 2023 to December 2023.</w:t>
      </w:r>
    </w:p>
    <w:p>
      <w:pPr>
        <w:spacing w:after="0" w:line="45" w:lineRule="exact"/>
        <w:rPr>
          <w:rFonts w:ascii="Arial" w:cs="Arial" w:eastAsia="Arial" w:hAnsi="Arial"/>
          <w:sz w:val="18"/>
          <w:szCs w:val="18"/>
          <w:color w:val="457157"/>
        </w:rPr>
      </w:pPr>
    </w:p>
    <w:p>
      <w:pPr>
        <w:ind w:left="3920" w:right="900" w:hanging="174"/>
        <w:spacing w:after="0" w:line="237" w:lineRule="auto"/>
        <w:tabs>
          <w:tab w:leader="none" w:pos="3920" w:val="left"/>
        </w:tabs>
        <w:numPr>
          <w:ilvl w:val="0"/>
          <w:numId w:val="26"/>
        </w:numPr>
        <w:rPr>
          <w:rFonts w:ascii="Arial" w:cs="Arial" w:eastAsia="Arial" w:hAnsi="Arial"/>
          <w:sz w:val="18"/>
          <w:szCs w:val="18"/>
          <w:color w:val="457157"/>
        </w:rPr>
      </w:pPr>
      <w:r>
        <w:rPr>
          <w:rFonts w:ascii="Arial" w:cs="Arial" w:eastAsia="Arial" w:hAnsi="Arial"/>
          <w:sz w:val="18"/>
          <w:szCs w:val="18"/>
          <w:color w:val="auto"/>
        </w:rPr>
        <w:t>Vice President — Enterprise Digital Services from 2019 to March 2023.</w:t>
      </w:r>
    </w:p>
    <w:p>
      <w:pPr>
        <w:spacing w:after="0" w:line="2" w:lineRule="exact"/>
        <w:rPr>
          <w:sz w:val="20"/>
          <w:szCs w:val="20"/>
          <w:color w:val="auto"/>
        </w:rPr>
      </w:pPr>
    </w:p>
    <w:tbl>
      <w:tblPr>
        <w:tblLayout w:type="fixed"/>
        <w:tblInd w:w="820" w:type="dxa"/>
        <w:tblCellMar>
          <w:top w:w="0" w:type="dxa"/>
          <w:left w:w="0" w:type="dxa"/>
          <w:bottom w:w="0" w:type="dxa"/>
          <w:right w:w="0" w:type="dxa"/>
        </w:tblCellMar>
      </w:tblPr>
      <w:tr>
        <w:trPr>
          <w:trHeight w:val="231"/>
        </w:trPr>
        <w:tc>
          <w:tcPr>
            <w:tcW w:w="1920" w:type="dxa"/>
            <w:vAlign w:val="bottom"/>
            <w:tcBorders>
              <w:top w:val="single" w:sz="8" w:color="457157"/>
            </w:tcBorders>
          </w:tcPr>
          <w:p>
            <w:pPr>
              <w:spacing w:after="0" w:line="231"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5"/>
                <w:szCs w:val="15"/>
                <w:color w:val="auto"/>
              </w:rPr>
              <w:t>Michael J. Watson</w:t>
            </w:r>
          </w:p>
        </w:tc>
        <w:tc>
          <w:tcPr>
            <w:tcW w:w="6860" w:type="dxa"/>
            <w:vAlign w:val="bottom"/>
            <w:tcBorders>
              <w:top w:val="single" w:sz="8" w:color="457157"/>
            </w:tcBorders>
          </w:tcPr>
          <w:p>
            <w:pPr>
              <w:ind w:left="280"/>
              <w:spacing w:after="0" w:line="231"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 xml:space="preserve"> 55 </w:t>
            </w:r>
            <w:r>
              <w:rPr>
                <w:rFonts w:ascii="Arial" w:cs="Arial" w:eastAsia="Arial" w:hAnsi="Arial"/>
                <w:sz w:val="26"/>
                <w:szCs w:val="26"/>
                <w:color w:val="auto"/>
                <w:vertAlign w:val="superscript"/>
              </w:rPr>
              <w:t>​ ​</w:t>
            </w:r>
            <w:r>
              <w:rPr>
                <w:rFonts w:ascii="Arial" w:cs="Arial" w:eastAsia="Arial" w:hAnsi="Arial"/>
                <w:sz w:val="15"/>
                <w:szCs w:val="15"/>
                <w:color w:val="auto"/>
              </w:rPr>
              <w:t xml:space="preserve"> </w:t>
            </w:r>
            <w:r>
              <w:rPr>
                <w:rFonts w:ascii="Arial" w:cs="Arial" w:eastAsia="Arial" w:hAnsi="Arial"/>
                <w:sz w:val="15"/>
                <w:szCs w:val="15"/>
                <w:color w:val="457157"/>
              </w:rPr>
              <w:t>•</w:t>
            </w:r>
            <w:r>
              <w:rPr>
                <w:rFonts w:ascii="Arial" w:cs="Arial" w:eastAsia="Arial" w:hAnsi="Arial"/>
                <w:sz w:val="15"/>
                <w:szCs w:val="15"/>
                <w:color w:val="auto"/>
              </w:rPr>
              <w:t xml:space="preserve"> Senior Vice President and Chief Customer Officer since 2018.</w:t>
            </w:r>
          </w:p>
        </w:tc>
        <w:tc>
          <w:tcPr>
            <w:tcW w:w="280" w:type="dxa"/>
            <w:vAlign w:val="bottom"/>
            <w:tcBorders>
              <w:top w:val="single" w:sz="8" w:color="457157"/>
            </w:tcBorders>
          </w:tcPr>
          <w:p>
            <w:pPr>
              <w:ind w:left="240"/>
              <w:spacing w:after="0"/>
              <w:rPr>
                <w:sz w:val="20"/>
                <w:szCs w:val="20"/>
                <w:color w:val="auto"/>
              </w:rPr>
            </w:pPr>
            <w:r>
              <w:rPr>
                <w:rFonts w:ascii="Arial" w:cs="Arial" w:eastAsia="Arial" w:hAnsi="Arial"/>
                <w:sz w:val="18"/>
                <w:szCs w:val="18"/>
                <w:color w:val="auto"/>
              </w:rPr>
              <w:t>​</w:t>
            </w:r>
          </w:p>
        </w:tc>
      </w:tr>
      <w:tr>
        <w:trPr>
          <w:trHeight w:val="235"/>
        </w:trPr>
        <w:tc>
          <w:tcPr>
            <w:tcW w:w="1920" w:type="dxa"/>
            <w:vAlign w:val="bottom"/>
            <w:tcBorders>
              <w:bottom w:val="single" w:sz="8" w:color="457157"/>
            </w:tcBorders>
          </w:tcPr>
          <w:p>
            <w:pPr>
              <w:ind w:left="40"/>
              <w:spacing w:after="0"/>
              <w:rPr>
                <w:sz w:val="20"/>
                <w:szCs w:val="20"/>
                <w:color w:val="auto"/>
              </w:rPr>
            </w:pPr>
            <w:r>
              <w:rPr>
                <w:rFonts w:ascii="Arial" w:cs="Arial" w:eastAsia="Arial" w:hAnsi="Arial"/>
                <w:sz w:val="18"/>
                <w:szCs w:val="18"/>
                <w:color w:val="auto"/>
              </w:rPr>
              <w:t> </w:t>
            </w:r>
          </w:p>
        </w:tc>
        <w:tc>
          <w:tcPr>
            <w:tcW w:w="6860" w:type="dxa"/>
            <w:vAlign w:val="bottom"/>
            <w:tcBorders>
              <w:bottom w:val="single" w:sz="8" w:color="457157"/>
            </w:tcBorders>
          </w:tcPr>
          <w:p>
            <w:pPr>
              <w:spacing w:after="0"/>
              <w:rPr>
                <w:sz w:val="20"/>
                <w:szCs w:val="20"/>
                <w:color w:val="auto"/>
              </w:rPr>
            </w:pPr>
          </w:p>
        </w:tc>
        <w:tc>
          <w:tcPr>
            <w:tcW w:w="280" w:type="dxa"/>
            <w:vAlign w:val="bottom"/>
            <w:tcBorders>
              <w:bottom w:val="single" w:sz="8" w:color="457157"/>
            </w:tcBorders>
          </w:tcPr>
          <w:p>
            <w:pPr>
              <w:spacing w:after="0"/>
              <w:rPr>
                <w:sz w:val="20"/>
                <w:szCs w:val="20"/>
                <w:color w:val="auto"/>
              </w:rPr>
            </w:pPr>
          </w:p>
        </w:tc>
      </w:tr>
    </w:tbl>
    <w:p>
      <w:pPr>
        <w:spacing w:after="0" w:line="200" w:lineRule="exact"/>
        <w:rPr>
          <w:sz w:val="20"/>
          <w:szCs w:val="20"/>
          <w:color w:val="auto"/>
        </w:rPr>
      </w:pPr>
    </w:p>
    <w:p>
      <w:pPr>
        <w:spacing w:after="0" w:line="229"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30</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00"/>
          </w:cols>
          <w:pgMar w:left="580" w:top="97" w:right="1419"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357"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EXECUTIVE COMPENSATION</w:t>
      </w:r>
      <w:r>
        <w:rPr>
          <w:rFonts w:ascii="Times New Roman" w:cs="Times New Roman" w:eastAsia="Times New Roman" w:hAnsi="Times New Roman"/>
          <w:sz w:val="64"/>
          <w:szCs w:val="64"/>
          <w:color w:val="000000"/>
        </w:rPr>
        <w:t>​</w:t>
      </w:r>
    </w:p>
    <w:p>
      <w:pPr>
        <w:spacing w:after="0" w:line="95" w:lineRule="exact"/>
        <w:rPr>
          <w:sz w:val="20"/>
          <w:szCs w:val="20"/>
          <w:color w:val="auto"/>
        </w:rPr>
      </w:pPr>
    </w:p>
    <w:p>
      <w:pPr>
        <w:ind w:left="820" w:right="3940"/>
        <w:spacing w:after="0" w:line="339" w:lineRule="auto"/>
        <w:rPr>
          <w:sz w:val="20"/>
          <w:szCs w:val="20"/>
          <w:color w:val="auto"/>
        </w:rPr>
      </w:pPr>
      <w:r>
        <w:rPr>
          <w:rFonts w:ascii="Arial" w:cs="Arial" w:eastAsia="Arial" w:hAnsi="Arial"/>
          <w:sz w:val="22"/>
          <w:szCs w:val="22"/>
          <w:b w:val="1"/>
          <w:bCs w:val="1"/>
          <w:color w:val="457157"/>
        </w:rPr>
        <w:t>COMPENSATION DISCUSSION AND ANALYSIS Introduction</w:t>
      </w:r>
    </w:p>
    <w:p>
      <w:pPr>
        <w:spacing w:after="0" w:line="2"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The Company’s Compensation Discussion and Analysis provides information about the Company’s executive compensation philosophy and the components of its compensation programs. This includes information about how compensation of the Company’s named executive officers for the fiscal year ended December 31, 2024 aligned with the Company’s 2024 financial goals and performance. The Compensation Discussion and Analysis helps readers better understand the information found in the Summary Compensation Table and other accompanying tables included in this Proxy Statement.</w:t>
      </w:r>
    </w:p>
    <w:p>
      <w:pPr>
        <w:spacing w:after="0" w:line="74" w:lineRule="exact"/>
        <w:rPr>
          <w:sz w:val="20"/>
          <w:szCs w:val="20"/>
          <w:color w:val="auto"/>
        </w:rPr>
      </w:pPr>
    </w:p>
    <w:p>
      <w:pPr>
        <w:jc w:val="both"/>
        <w:ind w:left="820" w:right="60"/>
        <w:spacing w:after="0" w:line="278" w:lineRule="auto"/>
        <w:rPr>
          <w:sz w:val="20"/>
          <w:szCs w:val="20"/>
          <w:color w:val="auto"/>
        </w:rPr>
      </w:pPr>
      <w:r>
        <w:rPr>
          <w:rFonts w:ascii="Arial" w:cs="Arial" w:eastAsia="Arial" w:hAnsi="Arial"/>
          <w:sz w:val="18"/>
          <w:szCs w:val="18"/>
          <w:color w:val="auto"/>
        </w:rPr>
        <w:t>This Compensation Discussion and Analysis focuses on our executive pay program as it relates to the following executive officers during 2024, whom we refer to as the “named executive officers” or “named executives”:</w:t>
      </w:r>
    </w:p>
    <w:p>
      <w:pPr>
        <w:spacing w:after="0" w:line="276" w:lineRule="exact"/>
        <w:rPr>
          <w:sz w:val="20"/>
          <w:szCs w:val="20"/>
          <w:color w:val="auto"/>
        </w:rPr>
      </w:pPr>
    </w:p>
    <w:p>
      <w:pPr>
        <w:ind w:left="1360" w:hanging="184"/>
        <w:spacing w:after="0"/>
        <w:tabs>
          <w:tab w:leader="none" w:pos="1360" w:val="left"/>
        </w:tabs>
        <w:numPr>
          <w:ilvl w:val="0"/>
          <w:numId w:val="27"/>
        </w:numPr>
        <w:rPr>
          <w:rFonts w:ascii="Arial" w:cs="Arial" w:eastAsia="Arial" w:hAnsi="Arial"/>
          <w:sz w:val="18"/>
          <w:szCs w:val="18"/>
          <w:color w:val="457157"/>
        </w:rPr>
      </w:pPr>
      <w:r>
        <w:rPr>
          <w:rFonts w:ascii="Arial" w:cs="Arial" w:eastAsia="Arial" w:hAnsi="Arial"/>
          <w:sz w:val="18"/>
          <w:szCs w:val="18"/>
          <w:color w:val="auto"/>
        </w:rPr>
        <w:t>Mr. James C. Fish, Jr. — President and Chief Executive Officer since November 2016.</w:t>
      </w:r>
    </w:p>
    <w:p>
      <w:pPr>
        <w:spacing w:after="0" w:line="117" w:lineRule="exact"/>
        <w:rPr>
          <w:rFonts w:ascii="Arial" w:cs="Arial" w:eastAsia="Arial" w:hAnsi="Arial"/>
          <w:sz w:val="18"/>
          <w:szCs w:val="18"/>
          <w:color w:val="457157"/>
        </w:rPr>
      </w:pPr>
    </w:p>
    <w:p>
      <w:pPr>
        <w:ind w:left="1360" w:right="1260" w:hanging="184"/>
        <w:spacing w:after="0" w:line="287" w:lineRule="auto"/>
        <w:tabs>
          <w:tab w:leader="none" w:pos="1360" w:val="left"/>
        </w:tabs>
        <w:numPr>
          <w:ilvl w:val="0"/>
          <w:numId w:val="27"/>
        </w:numPr>
        <w:rPr>
          <w:rFonts w:ascii="Arial" w:cs="Arial" w:eastAsia="Arial" w:hAnsi="Arial"/>
          <w:sz w:val="18"/>
          <w:szCs w:val="18"/>
          <w:color w:val="457157"/>
        </w:rPr>
      </w:pPr>
      <w:r>
        <w:rPr>
          <w:rFonts w:ascii="Arial" w:cs="Arial" w:eastAsia="Arial" w:hAnsi="Arial"/>
          <w:sz w:val="18"/>
          <w:szCs w:val="18"/>
          <w:color w:val="auto"/>
        </w:rPr>
        <w:t>Ms. Devina A. Rankin — Executive Vice President and Chief Financial Officer since February 2020.</w:t>
      </w:r>
    </w:p>
    <w:p>
      <w:pPr>
        <w:spacing w:after="0" w:line="44" w:lineRule="exact"/>
        <w:rPr>
          <w:rFonts w:ascii="Arial" w:cs="Arial" w:eastAsia="Arial" w:hAnsi="Arial"/>
          <w:sz w:val="18"/>
          <w:szCs w:val="18"/>
          <w:color w:val="457157"/>
        </w:rPr>
      </w:pPr>
    </w:p>
    <w:p>
      <w:pPr>
        <w:ind w:left="1360" w:right="1180" w:hanging="184"/>
        <w:spacing w:after="0" w:line="287" w:lineRule="auto"/>
        <w:tabs>
          <w:tab w:leader="none" w:pos="1360" w:val="left"/>
        </w:tabs>
        <w:numPr>
          <w:ilvl w:val="0"/>
          <w:numId w:val="27"/>
        </w:numPr>
        <w:rPr>
          <w:rFonts w:ascii="Arial" w:cs="Arial" w:eastAsia="Arial" w:hAnsi="Arial"/>
          <w:sz w:val="18"/>
          <w:szCs w:val="18"/>
          <w:color w:val="457157"/>
        </w:rPr>
      </w:pPr>
      <w:r>
        <w:rPr>
          <w:rFonts w:ascii="Arial" w:cs="Arial" w:eastAsia="Arial" w:hAnsi="Arial"/>
          <w:sz w:val="18"/>
          <w:szCs w:val="18"/>
          <w:color w:val="auto"/>
        </w:rPr>
        <w:t>Mr. John J. Morris, Jr. — Executive Vice President and Chief Operating Officer since January 2019.</w:t>
      </w:r>
    </w:p>
    <w:p>
      <w:pPr>
        <w:spacing w:after="0" w:line="44" w:lineRule="exact"/>
        <w:rPr>
          <w:rFonts w:ascii="Arial" w:cs="Arial" w:eastAsia="Arial" w:hAnsi="Arial"/>
          <w:sz w:val="18"/>
          <w:szCs w:val="18"/>
          <w:color w:val="457157"/>
        </w:rPr>
      </w:pPr>
    </w:p>
    <w:p>
      <w:pPr>
        <w:ind w:left="1360" w:hanging="184"/>
        <w:spacing w:after="0"/>
        <w:tabs>
          <w:tab w:leader="none" w:pos="1360" w:val="left"/>
        </w:tabs>
        <w:numPr>
          <w:ilvl w:val="0"/>
          <w:numId w:val="27"/>
        </w:numPr>
        <w:rPr>
          <w:rFonts w:ascii="Arial" w:cs="Arial" w:eastAsia="Arial" w:hAnsi="Arial"/>
          <w:sz w:val="18"/>
          <w:szCs w:val="18"/>
          <w:color w:val="457157"/>
        </w:rPr>
      </w:pPr>
      <w:r>
        <w:rPr>
          <w:rFonts w:ascii="Arial" w:cs="Arial" w:eastAsia="Arial" w:hAnsi="Arial"/>
          <w:sz w:val="18"/>
          <w:szCs w:val="18"/>
          <w:color w:val="auto"/>
        </w:rPr>
        <w:t>Ms. Tara J. Hemmer — Senior Vice President and Chief Sustainability Officer since July 2021.</w:t>
      </w:r>
    </w:p>
    <w:p>
      <w:pPr>
        <w:spacing w:after="0" w:line="117"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27"/>
        </w:numPr>
        <w:rPr>
          <w:rFonts w:ascii="Arial" w:cs="Arial" w:eastAsia="Arial" w:hAnsi="Arial"/>
          <w:sz w:val="18"/>
          <w:szCs w:val="18"/>
          <w:color w:val="457157"/>
        </w:rPr>
      </w:pPr>
      <w:r>
        <w:rPr>
          <w:rFonts w:ascii="Arial" w:cs="Arial" w:eastAsia="Arial" w:hAnsi="Arial"/>
          <w:sz w:val="18"/>
          <w:szCs w:val="18"/>
          <w:color w:val="auto"/>
        </w:rPr>
        <w:t>Mr. Rafael E. Carrasco — Senior Vice President — Enterprise Strategy since September 2023, and President — WM Healthcare Solutions since November 2024.</w:t>
      </w:r>
    </w:p>
    <w:p>
      <w:pPr>
        <w:spacing w:after="0" w:line="45" w:lineRule="exact"/>
        <w:rPr>
          <w:sz w:val="20"/>
          <w:szCs w:val="20"/>
          <w:color w:val="auto"/>
        </w:rPr>
      </w:pPr>
    </w:p>
    <w:p>
      <w:pPr>
        <w:jc w:val="both"/>
        <w:ind w:left="820" w:right="80"/>
        <w:spacing w:after="0" w:line="287" w:lineRule="auto"/>
        <w:rPr>
          <w:sz w:val="20"/>
          <w:szCs w:val="20"/>
          <w:color w:val="auto"/>
        </w:rPr>
      </w:pPr>
      <w:r>
        <w:rPr>
          <w:rFonts w:ascii="Arial" w:cs="Arial" w:eastAsia="Arial" w:hAnsi="Arial"/>
          <w:sz w:val="18"/>
          <w:szCs w:val="18"/>
          <w:color w:val="auto"/>
        </w:rPr>
        <w:t>For additional information about the named executives’ background and prior experience with the Company, see “Executive Officers” above.</w:t>
      </w:r>
    </w:p>
    <w:p>
      <w:pPr>
        <w:spacing w:after="0" w:line="14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Executive Summary</w:t>
      </w:r>
    </w:p>
    <w:p>
      <w:pPr>
        <w:spacing w:after="0" w:line="126"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color w:val="auto"/>
        </w:rPr>
        <w:t>The objective of our executive compensation program is to attract, retain, reward and incentivize talented employees who will lead the Company in the successful execution of our strategy. The Company seeks to accomplish this goal by designing a compensation program that is supportive of and aligns with the strategy of the Company and the creation of stockholder value, while discouraging excessive risk-taking.</w:t>
      </w:r>
    </w:p>
    <w:p>
      <w:pPr>
        <w:spacing w:after="0" w:line="288"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We have enabled a people-first, technology-led focus to deliver on our brand promise, ALWAYS WORKING FOR A SUSTAINABLE TOMORROW®. Our strategy leverages and sustains the strongest asset network in the industry to drive best in class customer experience and growth. As North America’s leading provider of comprehensive waste management environmental services, sustainability and environmental stewardship are embedded in all that we do. As a result, we believe that positive financial results, including the results for the performance measures on which our executives are compensated, are naturally aligned with the successful execution of our goals to put our people first and position them to serve and care for our customers, the environment, the communities in which we work and our stockholders. We believe our Company would not be successful, on financial performance measures or otherwise, without our industry-leading focus on sustainability.</w:t>
      </w:r>
    </w:p>
    <w:p>
      <w:pPr>
        <w:spacing w:after="0" w:line="200" w:lineRule="exact"/>
        <w:rPr>
          <w:sz w:val="20"/>
          <w:szCs w:val="20"/>
          <w:color w:val="auto"/>
        </w:rPr>
      </w:pPr>
    </w:p>
    <w:p>
      <w:pPr>
        <w:spacing w:after="0" w:line="312" w:lineRule="exact"/>
        <w:rPr>
          <w:sz w:val="20"/>
          <w:szCs w:val="20"/>
          <w:color w:val="auto"/>
        </w:rPr>
      </w:pPr>
    </w:p>
    <w:p>
      <w:pPr>
        <w:jc w:val="both"/>
        <w:ind w:left="820" w:right="60"/>
        <w:spacing w:after="0" w:line="263" w:lineRule="auto"/>
        <w:rPr>
          <w:sz w:val="20"/>
          <w:szCs w:val="20"/>
          <w:color w:val="auto"/>
        </w:rPr>
      </w:pPr>
      <w:r>
        <w:rPr>
          <w:rFonts w:ascii="Arial" w:cs="Arial" w:eastAsia="Arial" w:hAnsi="Arial"/>
          <w:sz w:val="18"/>
          <w:szCs w:val="18"/>
          <w:color w:val="auto"/>
        </w:rPr>
        <w:t>The following key structural elements and policies further the objective of our executive compensation program:</w:t>
      </w:r>
    </w:p>
    <w:p>
      <w:pPr>
        <w:spacing w:after="0" w:line="313" w:lineRule="exact"/>
        <w:rPr>
          <w:sz w:val="20"/>
          <w:szCs w:val="20"/>
          <w:color w:val="auto"/>
        </w:rPr>
      </w:pPr>
    </w:p>
    <w:p>
      <w:pPr>
        <w:jc w:val="both"/>
        <w:ind w:left="1360" w:right="60" w:hanging="184"/>
        <w:spacing w:after="0" w:line="259" w:lineRule="auto"/>
        <w:tabs>
          <w:tab w:leader="none" w:pos="1360" w:val="left"/>
        </w:tabs>
        <w:numPr>
          <w:ilvl w:val="0"/>
          <w:numId w:val="28"/>
        </w:numPr>
        <w:rPr>
          <w:rFonts w:ascii="Arial" w:cs="Arial" w:eastAsia="Arial" w:hAnsi="Arial"/>
          <w:sz w:val="18"/>
          <w:szCs w:val="18"/>
          <w:color w:val="457157"/>
        </w:rPr>
      </w:pPr>
      <w:r>
        <w:rPr>
          <w:rFonts w:ascii="Arial" w:cs="Arial" w:eastAsia="Arial" w:hAnsi="Arial"/>
          <w:sz w:val="18"/>
          <w:szCs w:val="18"/>
          <w:color w:val="auto"/>
        </w:rPr>
        <w:t>a substantial majority of executive compensation is linked to Company performance, through annual cash incentive performance criteria and long-term equity-based incentive awards. As a result, our executive compensation program provides for notably higher total compensation in periods of above-target Company performance, as we saw with respect to equity awards with a three-year performance period ended 2024 and the 2024 annual cash incentive award;</w:t>
      </w:r>
    </w:p>
    <w:p>
      <w:pPr>
        <w:spacing w:after="0" w:line="71" w:lineRule="exact"/>
        <w:rPr>
          <w:rFonts w:ascii="Arial" w:cs="Arial" w:eastAsia="Arial" w:hAnsi="Arial"/>
          <w:sz w:val="18"/>
          <w:szCs w:val="18"/>
          <w:color w:val="457157"/>
        </w:rPr>
      </w:pPr>
    </w:p>
    <w:p>
      <w:pPr>
        <w:jc w:val="both"/>
        <w:ind w:left="1360" w:right="60" w:hanging="184"/>
        <w:spacing w:after="0" w:line="265" w:lineRule="auto"/>
        <w:tabs>
          <w:tab w:leader="none" w:pos="1360" w:val="left"/>
        </w:tabs>
        <w:numPr>
          <w:ilvl w:val="0"/>
          <w:numId w:val="28"/>
        </w:numPr>
        <w:rPr>
          <w:rFonts w:ascii="Arial" w:cs="Arial" w:eastAsia="Arial" w:hAnsi="Arial"/>
          <w:sz w:val="18"/>
          <w:szCs w:val="18"/>
          <w:color w:val="457157"/>
        </w:rPr>
      </w:pPr>
      <w:r>
        <w:rPr>
          <w:rFonts w:ascii="Arial" w:cs="Arial" w:eastAsia="Arial" w:hAnsi="Arial"/>
          <w:sz w:val="18"/>
          <w:szCs w:val="18"/>
          <w:color w:val="auto"/>
        </w:rPr>
        <w:t>at target, 72% of total compensation of our President and Chief Executive Officer was tied to long-term equity awards, and 61% of total compensation of our other named executives, on average, was tied to long-term equity awards, which aligns executives’ interests with those of stockholders;</w:t>
      </w:r>
    </w:p>
    <w:p>
      <w:pPr>
        <w:spacing w:after="0" w:line="200" w:lineRule="exact"/>
        <w:rPr>
          <w:sz w:val="20"/>
          <w:szCs w:val="20"/>
          <w:color w:val="auto"/>
        </w:rPr>
      </w:pPr>
    </w:p>
    <w:p>
      <w:pPr>
        <w:spacing w:after="0" w:line="264"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00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-158750</wp:posOffset>
            </wp:positionV>
            <wp:extent cx="57607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ind w:left="1360" w:right="60" w:hanging="184"/>
        <w:spacing w:after="0" w:line="287" w:lineRule="auto"/>
        <w:tabs>
          <w:tab w:leader="none" w:pos="1360" w:val="left"/>
        </w:tabs>
        <w:numPr>
          <w:ilvl w:val="0"/>
          <w:numId w:val="29"/>
        </w:numPr>
        <w:rPr>
          <w:rFonts w:ascii="Arial" w:cs="Arial" w:eastAsia="Arial" w:hAnsi="Arial"/>
          <w:sz w:val="18"/>
          <w:szCs w:val="18"/>
          <w:color w:val="457157"/>
        </w:rPr>
      </w:pPr>
      <w:r>
        <w:rPr>
          <w:rFonts w:ascii="Arial" w:cs="Arial" w:eastAsia="Arial" w:hAnsi="Arial"/>
          <w:sz w:val="18"/>
          <w:szCs w:val="18"/>
          <w:color w:val="auto"/>
        </w:rPr>
        <w:t>our total direct compensation opportunities for named executive officers are targeted to fall in a range around the competitive median;</w:t>
      </w:r>
    </w:p>
    <w:p>
      <w:pPr>
        <w:spacing w:after="0" w:line="44"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29"/>
        </w:numPr>
        <w:rPr>
          <w:rFonts w:ascii="Arial" w:cs="Arial" w:eastAsia="Arial" w:hAnsi="Arial"/>
          <w:sz w:val="18"/>
          <w:szCs w:val="18"/>
          <w:color w:val="457157"/>
        </w:rPr>
      </w:pPr>
      <w:r>
        <w:rPr>
          <w:rFonts w:ascii="Arial" w:cs="Arial" w:eastAsia="Arial" w:hAnsi="Arial"/>
          <w:sz w:val="18"/>
          <w:szCs w:val="18"/>
          <w:color w:val="auto"/>
        </w:rPr>
        <w:t>performance-based awards include threshold, target and maximum payouts correlating to a range of performance outcomes and are based on a variety of indicators of performance, which limits risk-taking behavior;</w:t>
      </w:r>
    </w:p>
    <w:p>
      <w:pPr>
        <w:spacing w:after="0" w:line="76"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29"/>
        </w:numPr>
        <w:rPr>
          <w:rFonts w:ascii="Arial" w:cs="Arial" w:eastAsia="Arial" w:hAnsi="Arial"/>
          <w:sz w:val="18"/>
          <w:szCs w:val="18"/>
          <w:color w:val="457157"/>
        </w:rPr>
      </w:pPr>
      <w:r>
        <w:rPr>
          <w:rFonts w:ascii="Arial" w:cs="Arial" w:eastAsia="Arial" w:hAnsi="Arial"/>
          <w:sz w:val="18"/>
          <w:szCs w:val="18"/>
          <w:color w:val="auto"/>
        </w:rPr>
        <w:t>performance stock units with a three-year performance period, as well as stock options that vest over a three-year period, link executives’ interests with long-term performance and reduce incentives to maximize performance in any one year at the expense of future years;</w:t>
      </w:r>
    </w:p>
    <w:p>
      <w:pPr>
        <w:spacing w:after="0" w:line="62"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29"/>
        </w:numPr>
        <w:rPr>
          <w:rFonts w:ascii="Arial" w:cs="Arial" w:eastAsia="Arial" w:hAnsi="Arial"/>
          <w:sz w:val="18"/>
          <w:szCs w:val="18"/>
          <w:color w:val="457157"/>
        </w:rPr>
      </w:pPr>
      <w:r>
        <w:rPr>
          <w:rFonts w:ascii="Arial" w:cs="Arial" w:eastAsia="Arial" w:hAnsi="Arial"/>
          <w:sz w:val="18"/>
          <w:szCs w:val="18"/>
          <w:color w:val="auto"/>
        </w:rPr>
        <w:t>all of our executive officers are subject to stock ownership guidelines, which we believe demonstrates a commitment to, and confidence in, the Company’s long-term prospects;</w:t>
      </w:r>
    </w:p>
    <w:p>
      <w:pPr>
        <w:spacing w:after="0" w:line="44" w:lineRule="exact"/>
        <w:rPr>
          <w:rFonts w:ascii="Arial" w:cs="Arial" w:eastAsia="Arial" w:hAnsi="Arial"/>
          <w:sz w:val="18"/>
          <w:szCs w:val="18"/>
          <w:color w:val="457157"/>
        </w:rPr>
      </w:pPr>
    </w:p>
    <w:p>
      <w:pPr>
        <w:jc w:val="both"/>
        <w:ind w:left="1360" w:right="60" w:hanging="184"/>
        <w:spacing w:after="0" w:line="261" w:lineRule="auto"/>
        <w:tabs>
          <w:tab w:leader="none" w:pos="1360" w:val="left"/>
        </w:tabs>
        <w:numPr>
          <w:ilvl w:val="0"/>
          <w:numId w:val="29"/>
        </w:numPr>
        <w:rPr>
          <w:rFonts w:ascii="Arial" w:cs="Arial" w:eastAsia="Arial" w:hAnsi="Arial"/>
          <w:sz w:val="18"/>
          <w:szCs w:val="18"/>
          <w:color w:val="457157"/>
        </w:rPr>
      </w:pPr>
      <w:r>
        <w:rPr>
          <w:rFonts w:ascii="Arial" w:cs="Arial" w:eastAsia="Arial" w:hAnsi="Arial"/>
          <w:sz w:val="18"/>
          <w:szCs w:val="18"/>
          <w:color w:val="auto"/>
        </w:rPr>
        <w:t>in addition to adoption of the executive compensation clawback policy mandated by the New York Stock Exchange in 2023, the Company has clawback provisions in its equity award agreements and executive officer employment agreements, and has adopted a clawback policy applicable to annual incentive compensation, designed to recoup compensation when cause and/or misconduct are found;</w:t>
      </w:r>
    </w:p>
    <w:p>
      <w:pPr>
        <w:spacing w:after="0" w:line="287" w:lineRule="exact"/>
        <w:rPr>
          <w:rFonts w:ascii="Arial" w:cs="Arial" w:eastAsia="Arial" w:hAnsi="Arial"/>
          <w:sz w:val="18"/>
          <w:szCs w:val="18"/>
          <w:color w:val="457157"/>
        </w:rPr>
      </w:pPr>
    </w:p>
    <w:p>
      <w:pPr>
        <w:jc w:val="both"/>
        <w:ind w:left="1360" w:right="60" w:hanging="184"/>
        <w:spacing w:after="0" w:line="278" w:lineRule="auto"/>
        <w:tabs>
          <w:tab w:leader="none" w:pos="1360" w:val="left"/>
        </w:tabs>
        <w:numPr>
          <w:ilvl w:val="0"/>
          <w:numId w:val="29"/>
        </w:numPr>
        <w:rPr>
          <w:rFonts w:ascii="Arial" w:cs="Arial" w:eastAsia="Arial" w:hAnsi="Arial"/>
          <w:sz w:val="18"/>
          <w:szCs w:val="18"/>
          <w:color w:val="457157"/>
        </w:rPr>
      </w:pPr>
      <w:r>
        <w:rPr>
          <w:rFonts w:ascii="Arial" w:cs="Arial" w:eastAsia="Arial" w:hAnsi="Arial"/>
          <w:sz w:val="18"/>
          <w:szCs w:val="18"/>
          <w:color w:val="auto"/>
        </w:rPr>
        <w:t>our executive officer severance policy implemented a limitation on the amount of benefits the Company may provide to its executive officers under severance agreements (the “Severance Limitation Policy”); and</w:t>
      </w:r>
    </w:p>
    <w:p>
      <w:pPr>
        <w:spacing w:after="0" w:line="276"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29"/>
        </w:numPr>
        <w:rPr>
          <w:rFonts w:ascii="Arial" w:cs="Arial" w:eastAsia="Arial" w:hAnsi="Arial"/>
          <w:sz w:val="18"/>
          <w:szCs w:val="18"/>
          <w:color w:val="457157"/>
        </w:rPr>
      </w:pPr>
      <w:r>
        <w:rPr>
          <w:rFonts w:ascii="Arial" w:cs="Arial" w:eastAsia="Arial" w:hAnsi="Arial"/>
          <w:sz w:val="18"/>
          <w:szCs w:val="18"/>
          <w:color w:val="auto"/>
        </w:rPr>
        <w:t>the Company has adopted a policy that prohibits it from entering into agreements with executive officers that provide for certain death benefits or tax gross-up payments.</w:t>
      </w:r>
    </w:p>
    <w:p>
      <w:pPr>
        <w:spacing w:after="0" w:line="14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2024 Compensation Program Results and Company Performance</w:t>
      </w:r>
    </w:p>
    <w:p>
      <w:pPr>
        <w:spacing w:after="0" w:line="112"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During 2024, we continued to focus on our priorities to advance our strategy — enhancing employee engagement, reducing our cost to serve through the use of technology and automation, and investing in growth through acquisitions and our recycling processing and sales and renewable energy businesses. We invested approximately $8 billion, with $7.5 billion funded in cash and $500 million as the assumption of debt, on acquisitions in 2024, including completion of our acquisition of Stericycle in early November. We remain diligent in offering competitive and differentiated services that meet the needs of our customers, and we are focused on driving operating efficiencies and reducing discretionary spend. We continue to invest in our people by paying a competitive market wage, investing in our digital platform and providing training for our team members. We also continue to make investments in automation and optimization to enhance our operational efficiency and improve labor productivity for all lines of business. This strategic focus, combined with strong operational execution, resulted in increased revenue, income from operations and income from operations margin in 2024 when compared to the prior year. During 2024, the Company allocated $3.231 billion of available cash to capital expenditures. We also allocated $1.472 billion of available cash to our stockholders during 2024 through dividends and Common Stock repurchases.</w:t>
      </w:r>
    </w:p>
    <w:p>
      <w:pPr>
        <w:spacing w:after="0" w:line="293" w:lineRule="exact"/>
        <w:rPr>
          <w:sz w:val="20"/>
          <w:szCs w:val="20"/>
          <w:color w:val="auto"/>
        </w:rPr>
      </w:pPr>
    </w:p>
    <w:p>
      <w:pPr>
        <w:jc w:val="both"/>
        <w:ind w:left="820" w:right="60"/>
        <w:spacing w:after="0" w:line="262" w:lineRule="auto"/>
        <w:rPr>
          <w:sz w:val="20"/>
          <w:szCs w:val="20"/>
          <w:color w:val="auto"/>
        </w:rPr>
      </w:pPr>
      <w:r>
        <w:rPr>
          <w:rFonts w:ascii="Arial" w:cs="Arial" w:eastAsia="Arial" w:hAnsi="Arial"/>
          <w:sz w:val="18"/>
          <w:szCs w:val="18"/>
          <w:color w:val="auto"/>
        </w:rPr>
        <w:t>Following is a summary of the 2024 compensation program results. Incentive compensation measures presented in this proxy statement are defined differently than corresponding measures reported in the Company’s quarterly earnings press release. See Appendix A for additional information and reconciliations of non-GAAP measures to the most comparable GAAP measures.</w:t>
      </w:r>
    </w:p>
    <w:p>
      <w:pPr>
        <w:spacing w:after="0" w:line="178"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Total Shareholder Return</w:t>
      </w:r>
    </w:p>
    <w:p>
      <w:pPr>
        <w:spacing w:after="0" w:line="115"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With respect to the half of the performance share units (“PSUs”) granted in 2022 with a three-year performance period ended December 31, 2024 that was subject to total shareholder return relative to the S&amp;P 500 (“TSR PSUs”), the performance of the Company’s Common Stock on this measure translated into a percentile rank relative to the S&amp;P 500 of 66.80%, resulting in a 167.22% payout on these PSUs in shares of Common Stock. This performance directly benefited our stockholders, delivering total shareholder return of 35.73% over the three-year performance period.</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Cash Flow Generation</w:t>
      </w:r>
    </w:p>
    <w:p>
      <w:pPr>
        <w:spacing w:after="0" w:line="115" w:lineRule="exact"/>
        <w:rPr>
          <w:sz w:val="20"/>
          <w:szCs w:val="20"/>
          <w:color w:val="auto"/>
        </w:rPr>
      </w:pPr>
    </w:p>
    <w:p>
      <w:pPr>
        <w:jc w:val="both"/>
        <w:ind w:left="820" w:right="60"/>
        <w:spacing w:after="0" w:line="262" w:lineRule="auto"/>
        <w:rPr>
          <w:sz w:val="20"/>
          <w:szCs w:val="20"/>
          <w:color w:val="auto"/>
        </w:rPr>
      </w:pPr>
      <w:r>
        <w:rPr>
          <w:rFonts w:ascii="Arial" w:cs="Arial" w:eastAsia="Arial" w:hAnsi="Arial"/>
          <w:sz w:val="18"/>
          <w:szCs w:val="18"/>
          <w:color w:val="auto"/>
        </w:rPr>
        <w:t>The Company generated net cash flow from operating activities, less capital expenditures, for purposes of the performance goal associated with the other half of our PSUs (“Cash Flow PSUs”) granted in 2022, of $6.847 billion, exceeding the target performance level of $6.634 billion for the three-year performance period ended December 31,</w:t>
      </w:r>
    </w:p>
    <w:p>
      <w:pPr>
        <w:spacing w:after="0" w:line="246"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color w:val="auto"/>
        </w:rPr>
        <w:t>2024. This performance resulted in a 135.56% payout on these PSUs in shares of Common Stock. The three-year cash flow targets established in 2022 were lower compared to the prior year, as they were reflective of intentional increases in capital spending that were publicly announced in the first quarter of 2022 to accelerate our sustainability growth strategy. The Company subsequently announced additional increases in capital spending commitments to further expand and accelerate our sustainability growth strategy that includes significant previous and on-going investments in our renewable energy and recycling processing and sales businesses. Accordingly, as discussed in last year’s 2024 Compensation Program Preview, the performance results for the Cash Flow PSUs granted in 2022 exclude the impact of $700 million of aggregate incremental sustainability growth investments in 2022, 2023 and 2024 that were not contemplated at the time this performance measure was established but were subsequently approved by our Board in furtherance of the Company’s strategy. The incremental benefits from these strategic investments that were not contemplated at the time the performance measure was established did not materially impact the calculated results for executive compensation performance measures in 2024. Additionally, the calculation of performance on the cash flow measure excludes the benefits of investment tax credits that were not contemplated at the time this performance measure was established, the two months of post-closing contributions from the acquired Stericycle business, and transaction and integration costs related to the Stericycle acquisition. See “Named Executives’ 2024 Compensation Program and Results — Long-Term Equity Incentives — Payout on PSUs for the Performance Period Ended December 31, 2024” below and Appendix A for additional information about the calculation of these results. The robust cash flow generation of our business over the three-year performance period has allowed the Company to fulfill its priorities of investing in and growing the business, funding acquisitions with strong returns, and returning available cash to stockholders through dividend growth and Common Stock repurchases.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Annual Cash Incentive Performance Measures</w:t>
      </w:r>
    </w:p>
    <w:p>
      <w:pPr>
        <w:spacing w:after="0" w:line="115" w:lineRule="exact"/>
        <w:rPr>
          <w:sz w:val="20"/>
          <w:szCs w:val="20"/>
          <w:color w:val="auto"/>
        </w:rPr>
      </w:pPr>
    </w:p>
    <w:p>
      <w:pPr>
        <w:jc w:val="both"/>
        <w:ind w:left="820" w:right="60"/>
        <w:spacing w:after="0" w:line="258" w:lineRule="auto"/>
        <w:rPr>
          <w:sz w:val="20"/>
          <w:szCs w:val="20"/>
          <w:color w:val="auto"/>
        </w:rPr>
      </w:pPr>
      <w:r>
        <w:rPr>
          <w:rFonts w:ascii="Arial" w:cs="Arial" w:eastAsia="Arial" w:hAnsi="Arial"/>
          <w:sz w:val="18"/>
          <w:szCs w:val="18"/>
          <w:color w:val="auto"/>
        </w:rPr>
        <w:t>Company performance on annual cash incentive performance measures for named executive officers is set forth below. For additional information about the definition and calculation of these performance measures, see “Named Executives’ 2024 Compensation Program and Results — Annual Cash Incentive” below and Appendix A. Based on these financial results, the named executives earned an annual cash incentive payment for 2024 equal to 133.08% of target, before application of the sustainability modifier and the individual performance modifier.</w:t>
      </w:r>
    </w:p>
    <w:p>
      <w:pPr>
        <w:spacing w:after="0" w:line="291" w:lineRule="exact"/>
        <w:rPr>
          <w:sz w:val="20"/>
          <w:szCs w:val="20"/>
          <w:color w:val="auto"/>
        </w:rPr>
      </w:pPr>
    </w:p>
    <w:p>
      <w:pPr>
        <w:jc w:val="both"/>
        <w:ind w:left="1180" w:right="60"/>
        <w:spacing w:after="0" w:line="261" w:lineRule="auto"/>
        <w:rPr>
          <w:sz w:val="20"/>
          <w:szCs w:val="20"/>
          <w:color w:val="auto"/>
        </w:rPr>
      </w:pPr>
      <w:r>
        <w:rPr>
          <w:rFonts w:ascii="Arial" w:cs="Arial" w:eastAsia="Arial" w:hAnsi="Arial"/>
          <w:sz w:val="18"/>
          <w:szCs w:val="18"/>
          <w:b w:val="1"/>
          <w:bCs w:val="1"/>
          <w:i w:val="1"/>
          <w:iCs w:val="1"/>
          <w:color w:val="auto"/>
        </w:rPr>
        <w:t xml:space="preserve">Operating EBITDA </w:t>
      </w:r>
      <w:r>
        <w:rPr>
          <w:rFonts w:ascii="Arial" w:cs="Arial" w:eastAsia="Arial" w:hAnsi="Arial"/>
          <w:sz w:val="18"/>
          <w:szCs w:val="18"/>
          <w:color w:val="auto"/>
        </w:rPr>
        <w:t>(generally defined as the Company’s income from operations, excluding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depreciation, depletion and amortization, “Restructuring” and “(Gain) Loss from Divestitures, Asset Impairments and Unusual Items, Net” reported in our Annual Report on Form 10- K, and also excluding the impacts of our recycling brokerage business) — </w:t>
      </w:r>
      <w:r>
        <w:rPr>
          <w:rFonts w:ascii="Arial" w:cs="Arial" w:eastAsia="Arial" w:hAnsi="Arial"/>
          <w:sz w:val="18"/>
          <w:szCs w:val="18"/>
          <w:i w:val="1"/>
          <w:iCs w:val="1"/>
          <w:color w:val="auto"/>
        </w:rPr>
        <w:t>$6.472 billion, yielding a payout of</w:t>
      </w:r>
      <w:r>
        <w:rPr>
          <w:rFonts w:ascii="Arial" w:cs="Arial" w:eastAsia="Arial" w:hAnsi="Arial"/>
          <w:sz w:val="18"/>
          <w:szCs w:val="18"/>
          <w:color w:val="auto"/>
        </w:rPr>
        <w:t xml:space="preserve"> </w:t>
      </w:r>
      <w:r>
        <w:rPr>
          <w:rFonts w:ascii="Arial" w:cs="Arial" w:eastAsia="Arial" w:hAnsi="Arial"/>
          <w:sz w:val="18"/>
          <w:szCs w:val="18"/>
          <w:i w:val="1"/>
          <w:iCs w:val="1"/>
          <w:color w:val="auto"/>
        </w:rPr>
        <w:t>140.51%</w:t>
      </w:r>
    </w:p>
    <w:p>
      <w:pPr>
        <w:spacing w:after="0" w:line="288" w:lineRule="exact"/>
        <w:rPr>
          <w:sz w:val="20"/>
          <w:szCs w:val="20"/>
          <w:color w:val="auto"/>
        </w:rPr>
      </w:pPr>
    </w:p>
    <w:p>
      <w:pPr>
        <w:jc w:val="both"/>
        <w:ind w:left="1180" w:right="60"/>
        <w:spacing w:after="0" w:line="259" w:lineRule="auto"/>
        <w:rPr>
          <w:sz w:val="20"/>
          <w:szCs w:val="20"/>
          <w:color w:val="auto"/>
        </w:rPr>
      </w:pPr>
      <w:r>
        <w:rPr>
          <w:rFonts w:ascii="Arial" w:cs="Arial" w:eastAsia="Arial" w:hAnsi="Arial"/>
          <w:sz w:val="18"/>
          <w:szCs w:val="18"/>
          <w:b w:val="1"/>
          <w:bCs w:val="1"/>
          <w:i w:val="1"/>
          <w:iCs w:val="1"/>
          <w:color w:val="auto"/>
        </w:rPr>
        <w:t xml:space="preserve">Income from Operations Margin </w:t>
      </w:r>
      <w:r>
        <w:rPr>
          <w:rFonts w:ascii="Arial" w:cs="Arial" w:eastAsia="Arial" w:hAnsi="Arial"/>
          <w:sz w:val="18"/>
          <w:szCs w:val="18"/>
          <w:color w:val="auto"/>
        </w:rPr>
        <w:t>(generally defined as the Company’s income from operations,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excluding “Restructuring” and “(Gain) Loss from Divestitures, Asset Impairments and Unusual Items, Net” reported in our Annual Report on Form 10- K, as a percentage of revenue, also excluding the impacts of our recycling brokerage business from both income from operations and revenue) —  </w:t>
      </w:r>
      <w:r>
        <w:rPr>
          <w:rFonts w:ascii="Arial" w:cs="Arial" w:eastAsia="Arial" w:hAnsi="Arial"/>
          <w:sz w:val="18"/>
          <w:szCs w:val="18"/>
          <w:i w:val="1"/>
          <w:iCs w:val="1"/>
          <w:color w:val="auto"/>
        </w:rPr>
        <w:t>20.50%, yielding a payout of 180.71%</w:t>
      </w:r>
    </w:p>
    <w:p>
      <w:pPr>
        <w:spacing w:after="0" w:line="71" w:lineRule="exact"/>
        <w:rPr>
          <w:sz w:val="20"/>
          <w:szCs w:val="20"/>
          <w:color w:val="auto"/>
        </w:rPr>
      </w:pPr>
    </w:p>
    <w:p>
      <w:pPr>
        <w:jc w:val="both"/>
        <w:ind w:left="1180" w:right="60"/>
        <w:spacing w:after="0" w:line="268" w:lineRule="auto"/>
        <w:rPr>
          <w:sz w:val="20"/>
          <w:szCs w:val="20"/>
          <w:color w:val="auto"/>
        </w:rPr>
      </w:pPr>
      <w:r>
        <w:rPr>
          <w:rFonts w:ascii="Arial" w:cs="Arial" w:eastAsia="Arial" w:hAnsi="Arial"/>
          <w:sz w:val="18"/>
          <w:szCs w:val="18"/>
          <w:b w:val="1"/>
          <w:bCs w:val="1"/>
          <w:i w:val="1"/>
          <w:iCs w:val="1"/>
          <w:color w:val="auto"/>
        </w:rPr>
        <w:t xml:space="preserve">Internal Revenue Growth </w:t>
      </w:r>
      <w:r>
        <w:rPr>
          <w:rFonts w:ascii="Arial" w:cs="Arial" w:eastAsia="Arial" w:hAnsi="Arial"/>
          <w:sz w:val="18"/>
          <w:szCs w:val="18"/>
          <w:color w:val="auto"/>
        </w:rPr>
        <w:t>(defined as internal revenue growth from yield, plus internal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growth from volume, at the consolidated level for the collection and disposal business) — </w:t>
      </w:r>
      <w:r>
        <w:rPr>
          <w:rFonts w:ascii="Arial" w:cs="Arial" w:eastAsia="Arial" w:hAnsi="Arial"/>
          <w:sz w:val="18"/>
          <w:szCs w:val="18"/>
          <w:i w:val="1"/>
          <w:iCs w:val="1"/>
          <w:color w:val="auto"/>
        </w:rPr>
        <w:t>4.57%,</w:t>
      </w:r>
      <w:r>
        <w:rPr>
          <w:rFonts w:ascii="Arial" w:cs="Arial" w:eastAsia="Arial" w:hAnsi="Arial"/>
          <w:sz w:val="18"/>
          <w:szCs w:val="18"/>
          <w:color w:val="auto"/>
        </w:rPr>
        <w:t xml:space="preserve"> </w:t>
      </w:r>
      <w:r>
        <w:rPr>
          <w:rFonts w:ascii="Arial" w:cs="Arial" w:eastAsia="Arial" w:hAnsi="Arial"/>
          <w:sz w:val="18"/>
          <w:szCs w:val="18"/>
          <w:i w:val="1"/>
          <w:iCs w:val="1"/>
          <w:color w:val="auto"/>
        </w:rPr>
        <w:t>yielding a payout of 70.58%.</w:t>
      </w:r>
    </w:p>
    <w:p>
      <w:pPr>
        <w:spacing w:after="0" w:line="173"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u w:val="single" w:color="auto"/>
          <w:color w:val="auto"/>
        </w:rPr>
        <w:t>Sustainability Modifier to Annual Cash Incentive Awards</w:t>
      </w:r>
    </w:p>
    <w:p>
      <w:pPr>
        <w:spacing w:after="0" w:line="115" w:lineRule="exact"/>
        <w:rPr>
          <w:sz w:val="20"/>
          <w:szCs w:val="20"/>
          <w:color w:val="auto"/>
        </w:rPr>
      </w:pPr>
    </w:p>
    <w:p>
      <w:pPr>
        <w:jc w:val="both"/>
        <w:ind w:left="820" w:right="60"/>
        <w:spacing w:after="0" w:line="245" w:lineRule="auto"/>
        <w:rPr>
          <w:sz w:val="20"/>
          <w:szCs w:val="20"/>
          <w:color w:val="auto"/>
        </w:rPr>
      </w:pPr>
      <w:r>
        <w:rPr>
          <w:rFonts w:ascii="Arial" w:cs="Arial" w:eastAsia="Arial" w:hAnsi="Arial"/>
          <w:sz w:val="18"/>
          <w:szCs w:val="18"/>
          <w:color w:val="auto"/>
        </w:rPr>
        <w:t>Since 2023, the MD&amp;C Committee has incorporated a sustainability modifier into the annual cash incentive program. As a result, annual cash incentive payouts to executive officers for 2024 were eligible to be increased, or decreased, up to 10% depending on achievement calculated using a sustainability scorecard, an increase from the 5% weighting of the sustainability modifier in 2023. The 2024 sustainability scorecard contained quantifiable performance measures in the areas of safety; employee engagement; circularity and climate. As discussed further below under “Named Executives’ 2024 Compensation Program and Results — Annual Cash Incentive,” the Company earned sufficient</w:t>
      </w:r>
    </w:p>
    <w:p>
      <w:pPr>
        <w:spacing w:after="0" w:line="2" w:lineRule="exact"/>
        <w:rPr>
          <w:sz w:val="20"/>
          <w:szCs w:val="20"/>
          <w:color w:val="auto"/>
        </w:rPr>
      </w:pPr>
    </w:p>
    <w:p>
      <w:pPr>
        <w:ind w:left="820"/>
        <w:spacing w:after="0" w:line="202" w:lineRule="auto"/>
        <w:rPr>
          <w:sz w:val="20"/>
          <w:szCs w:val="20"/>
          <w:color w:val="auto"/>
        </w:rPr>
      </w:pPr>
      <w:r>
        <w:rPr>
          <w:rFonts w:ascii="Arial" w:cs="Arial" w:eastAsia="Arial" w:hAnsi="Arial"/>
          <w:sz w:val="18"/>
          <w:szCs w:val="18"/>
          <w:color w:val="auto"/>
        </w:rPr>
        <w:t>points on the sustainability scorecard to correlate to a 3% increase to2025theProxyannualStatementcashincentive</w:t>
      </w:r>
      <w:r>
        <w:rPr>
          <w:rFonts w:ascii="Arial" w:cs="Arial" w:eastAsia="Arial" w:hAnsi="Arial"/>
          <w:sz w:val="32"/>
          <w:szCs w:val="32"/>
          <w:b w:val="1"/>
          <w:bCs w:val="1"/>
          <w:color w:val="457157"/>
        </w:rPr>
        <w:t>|</w:t>
      </w:r>
      <w:r>
        <w:rPr>
          <w:rFonts w:ascii="Arial" w:cs="Arial" w:eastAsia="Arial" w:hAnsi="Arial"/>
          <w:sz w:val="18"/>
          <w:szCs w:val="18"/>
          <w:color w:val="auto"/>
        </w:rPr>
        <w:t>33​ payment for 2024 otherwise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354965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-257810</wp:posOffset>
            </wp:positionV>
            <wp:extent cx="471805"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-158750</wp:posOffset>
            </wp:positionV>
            <wp:extent cx="57607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585470</wp:posOffset>
            </wp:positionH>
            <wp:positionV relativeFrom="paragraph">
              <wp:posOffset>166370</wp:posOffset>
            </wp:positionV>
            <wp:extent cx="5631815" cy="29832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631815"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left="820" w:right="60"/>
        <w:spacing w:after="0" w:line="263" w:lineRule="auto"/>
        <w:rPr>
          <w:sz w:val="20"/>
          <w:szCs w:val="20"/>
          <w:color w:val="auto"/>
        </w:rPr>
      </w:pPr>
      <w:r>
        <w:rPr>
          <w:rFonts w:ascii="Arial" w:cs="Arial" w:eastAsia="Arial" w:hAnsi="Arial"/>
          <w:sz w:val="18"/>
          <w:szCs w:val="18"/>
          <w:color w:val="auto"/>
        </w:rPr>
        <w:t>In 2024, each of the executive compensation incentive awards continued to demonstrate strong alignment between executive pay and Company performance. The payouts on the PSUs granted in 2022 correlate with outstanding cash flow generation and total shareholder return over the three-year performance period. Additionally, the above-target combined results on our annual cash incentive performance measures are reflective of another year of strong business growth and overall financial performance. The Company’s incentive compensation results evidence that our executives have taken the right actions to deliver on operational, strategic and financial priorities in the face of broader macroeconomic pressures, including inflation, supply chain disruption, labor market constraints, rising interest rates and commodity price volatility. Management continues to successfully develop and advance strategic initiatives to grow our business while driving efficiencies. As a result, both stockholders and executives were rewarded by above-target results on executive compensation financial performance measures in 2024, coupled with positive results on the sustainability scorecard.</w:t>
      </w:r>
    </w:p>
    <w:p>
      <w:pPr>
        <w:spacing w:after="0" w:line="295"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Consideration of Stockholder Advisory Vote</w:t>
      </w:r>
    </w:p>
    <w:p>
      <w:pPr>
        <w:spacing w:after="0" w:line="112" w:lineRule="exact"/>
        <w:rPr>
          <w:sz w:val="20"/>
          <w:szCs w:val="20"/>
          <w:color w:val="auto"/>
        </w:rPr>
      </w:pPr>
    </w:p>
    <w:p>
      <w:pPr>
        <w:jc w:val="both"/>
        <w:ind w:left="820" w:right="60"/>
        <w:spacing w:after="0" w:line="267" w:lineRule="auto"/>
        <w:rPr>
          <w:sz w:val="20"/>
          <w:szCs w:val="20"/>
          <w:color w:val="auto"/>
        </w:rPr>
      </w:pPr>
      <w:r>
        <w:rPr>
          <w:rFonts w:ascii="Arial" w:cs="Arial" w:eastAsia="Arial" w:hAnsi="Arial"/>
          <w:sz w:val="18"/>
          <w:szCs w:val="18"/>
          <w:color w:val="auto"/>
        </w:rPr>
        <w:t>When establishing 2024 compensation for the named executives, the MD&amp;C Committee noted the results of the 2023 advisory stockholder vote on executive compensation, with approximately 94% of shares present and entitled to vote at the annual meeting voting in favor of the Company’s executive compensation. Accordingly, the results of the stockholder advisory vote did not cause the MD&amp;C Committee to make any changes to executive compensation practices for 2024, although the MD&amp;C Committee does consider feedback received by the Company through stockholder engagement throughout the year.</w:t>
      </w:r>
    </w:p>
    <w:p>
      <w:pPr>
        <w:spacing w:after="0" w:line="274"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2025 Compensation Program Preview</w:t>
      </w:r>
    </w:p>
    <w:p>
      <w:pPr>
        <w:spacing w:after="0" w:line="126"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The MD&amp;C Committee continually reviews our compensation program to ensure it is clearly aligned with the business strategy and best supports the accomplishment of our goals. The MD&amp;C Committee also believes that consistency in program design reinforces its efforts to maintain a compensation program that is straightforward, easy to communicate and readily translates into actionable goals. The MD&amp;C Committee’s choice of long-term performance measures and respective weighting has been consistent since 2016, and the MD&amp;C Committee is pleased with the financial results and stockholder value that has been generated. Accordingly, the MD&amp;C Committee has approved keeping the 2025 long-term incentive program design for executive officers, comprised of stock options and PSUs, consistent with prior years.</w:t>
      </w:r>
    </w:p>
    <w:p>
      <w:pPr>
        <w:spacing w:after="0" w:line="206"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428625</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With respect to the Cash Flow PSUs granted in 2023 with a performance period ended December 31, 2025, the MD&amp;C Committee anticipates that it will be appropriate to calculate the cash flow generation performance results consistent with the 2024 Cash Flow PSU Definition discussed below, which was updated last year to proactively address considerations related to the Company’s growth through strategic investments and acquisitions. The 2024 Cash Flow PSU Definition excludes impacts from discrete growth capital investment projects made to support the long-term organic growth of the business that were not planned for when the performance measures were established and impacts and costs from the acquisition of Stericycle, which also were not contemplated when the performance measures were established. The MD&amp;C Committee believes that these exclusions are supportive of positive actions by management to advance sustainable growth.</w:t>
      </w:r>
    </w:p>
    <w:p>
      <w:pPr>
        <w:spacing w:after="0" w:line="296"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color w:val="auto"/>
        </w:rPr>
        <w:t>The MD&amp;C Committee has approved an annual cash incentive program for 2025 with the same performance measures and weighting as the 2024 annual cash incentive program, except that the Income from Operations Margin performance measure has been replaced with an income from operations excluding depreciation and amortization margin performance measure, maintaining its 25% weighting. This temporary change in the performance measure is primarily a response to our acquisition of Stericycle, consistent with actions we took after our 2020 acquisition of Advanced Disposal, Inc. (“Advanced Disposal”), and is intended to encourage responsible, high margin revenue growth and cost management, while removing variability that may be caused by Stericycle purchase price accounting.</w:t>
      </w:r>
    </w:p>
    <w:p>
      <w:pPr>
        <w:spacing w:after="0" w:line="293"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8"/>
          <w:szCs w:val="18"/>
          <w:color w:val="auto"/>
        </w:rPr>
        <w:t>The MD&amp;C Committee has also approved continued use of a sustainability modifier applicable to this program. Annual cash incentive payouts to executive officers for 2025 may be increased, or decreased, up to 10% depending on achievement calculated using the 2025 sustainability scorecard. The 2025 sustainability scorecard contains quantifiable performance measures in the areas of safety; employee engagement; circularity and climate. The MD&amp;C Committee believes that these performance measures align with the Company’s commitments and values, sustainability growth strategy and 2030 goals presented in the Company’s Sustainability Report.</w:t>
      </w:r>
    </w:p>
    <w:p>
      <w:pPr>
        <w:spacing w:after="0" w:line="5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Our Compensation Philosophy for Named Executive Officers</w:t>
      </w:r>
    </w:p>
    <w:p>
      <w:pPr>
        <w:spacing w:after="0" w:line="9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Company’s compensation philosophy is designed to:</w:t>
      </w:r>
    </w:p>
    <w:p>
      <w:pPr>
        <w:spacing w:after="0" w:line="104" w:lineRule="exact"/>
        <w:rPr>
          <w:sz w:val="20"/>
          <w:szCs w:val="20"/>
          <w:color w:val="auto"/>
        </w:rPr>
      </w:pPr>
    </w:p>
    <w:p>
      <w:pPr>
        <w:ind w:left="1360" w:hanging="184"/>
        <w:spacing w:after="0"/>
        <w:tabs>
          <w:tab w:leader="none" w:pos="1360" w:val="left"/>
        </w:tabs>
        <w:numPr>
          <w:ilvl w:val="0"/>
          <w:numId w:val="30"/>
        </w:numPr>
        <w:rPr>
          <w:rFonts w:ascii="Arial" w:cs="Arial" w:eastAsia="Arial" w:hAnsi="Arial"/>
          <w:sz w:val="18"/>
          <w:szCs w:val="18"/>
          <w:color w:val="457157"/>
        </w:rPr>
      </w:pPr>
      <w:r>
        <w:rPr>
          <w:rFonts w:ascii="Arial" w:cs="Arial" w:eastAsia="Arial" w:hAnsi="Arial"/>
          <w:sz w:val="18"/>
          <w:szCs w:val="18"/>
          <w:color w:val="auto"/>
        </w:rPr>
        <w:t>Attract and retain exceptional employees through competitive compensation opportunities;</w:t>
      </w:r>
    </w:p>
    <w:p>
      <w:pPr>
        <w:spacing w:after="0" w:line="90"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30"/>
        </w:numPr>
        <w:rPr>
          <w:rFonts w:ascii="Arial" w:cs="Arial" w:eastAsia="Arial" w:hAnsi="Arial"/>
          <w:sz w:val="18"/>
          <w:szCs w:val="18"/>
          <w:color w:val="457157"/>
        </w:rPr>
      </w:pPr>
      <w:r>
        <w:rPr>
          <w:rFonts w:ascii="Arial" w:cs="Arial" w:eastAsia="Arial" w:hAnsi="Arial"/>
          <w:sz w:val="18"/>
          <w:szCs w:val="18"/>
          <w:color w:val="auto"/>
        </w:rPr>
        <w:t>Encourage and reward performance through substantial at-risk performance-based compensation, while discouraging excessive risk-taking behavior; and</w:t>
      </w:r>
    </w:p>
    <w:p>
      <w:pPr>
        <w:spacing w:after="0" w:line="31"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30"/>
        </w:numPr>
        <w:rPr>
          <w:rFonts w:ascii="Arial" w:cs="Arial" w:eastAsia="Arial" w:hAnsi="Arial"/>
          <w:sz w:val="18"/>
          <w:szCs w:val="18"/>
          <w:color w:val="457157"/>
        </w:rPr>
      </w:pPr>
      <w:r>
        <w:rPr>
          <w:rFonts w:ascii="Arial" w:cs="Arial" w:eastAsia="Arial" w:hAnsi="Arial"/>
          <w:sz w:val="18"/>
          <w:szCs w:val="18"/>
          <w:color w:val="auto"/>
        </w:rPr>
        <w:t>Align our decision makers’ long-term interests with those of our stockholders through emphasis on equity ownership.</w:t>
      </w:r>
    </w:p>
    <w:p>
      <w:pPr>
        <w:spacing w:after="0" w:line="45" w:lineRule="exact"/>
        <w:rPr>
          <w:sz w:val="20"/>
          <w:szCs w:val="20"/>
          <w:color w:val="auto"/>
        </w:rPr>
      </w:pPr>
    </w:p>
    <w:p>
      <w:pPr>
        <w:jc w:val="both"/>
        <w:ind w:left="820" w:right="80"/>
        <w:spacing w:after="0" w:line="278" w:lineRule="auto"/>
        <w:rPr>
          <w:sz w:val="20"/>
          <w:szCs w:val="20"/>
          <w:color w:val="auto"/>
        </w:rPr>
      </w:pPr>
      <w:r>
        <w:rPr>
          <w:rFonts w:ascii="Arial" w:cs="Arial" w:eastAsia="Arial" w:hAnsi="Arial"/>
          <w:sz w:val="18"/>
          <w:szCs w:val="18"/>
          <w:color w:val="auto"/>
        </w:rPr>
        <w:t>Additionally, our compensation philosophy is intended to encourage executives to embrace the Company’s strategy and to lead the Company in setting aspirations that will continue to drive exemplary performance.</w:t>
      </w:r>
    </w:p>
    <w:p>
      <w:pPr>
        <w:spacing w:after="0" w:line="276" w:lineRule="exact"/>
        <w:rPr>
          <w:sz w:val="20"/>
          <w:szCs w:val="20"/>
          <w:color w:val="auto"/>
        </w:rPr>
      </w:pPr>
    </w:p>
    <w:p>
      <w:pPr>
        <w:jc w:val="both"/>
        <w:ind w:left="820" w:right="80"/>
        <w:spacing w:after="0" w:line="278" w:lineRule="auto"/>
        <w:rPr>
          <w:sz w:val="20"/>
          <w:szCs w:val="20"/>
          <w:color w:val="auto"/>
        </w:rPr>
      </w:pPr>
      <w:r>
        <w:rPr>
          <w:rFonts w:ascii="Arial" w:cs="Arial" w:eastAsia="Arial" w:hAnsi="Arial"/>
          <w:sz w:val="18"/>
          <w:szCs w:val="18"/>
          <w:color w:val="auto"/>
        </w:rPr>
        <w:t>With respect to our named executive officers, the MD&amp;C Committee believes that total direct compensation at target should generally be in a range around the competitive median according to the following:</w:t>
      </w:r>
    </w:p>
    <w:p>
      <w:pPr>
        <w:spacing w:after="0" w:line="263" w:lineRule="exact"/>
        <w:rPr>
          <w:sz w:val="20"/>
          <w:szCs w:val="20"/>
          <w:color w:val="auto"/>
        </w:rPr>
      </w:pPr>
    </w:p>
    <w:p>
      <w:pPr>
        <w:jc w:val="both"/>
        <w:ind w:left="1360" w:right="60" w:hanging="184"/>
        <w:spacing w:after="0" w:line="268" w:lineRule="auto"/>
        <w:tabs>
          <w:tab w:leader="none" w:pos="1360" w:val="left"/>
        </w:tabs>
        <w:numPr>
          <w:ilvl w:val="0"/>
          <w:numId w:val="31"/>
        </w:numPr>
        <w:rPr>
          <w:rFonts w:ascii="Arial" w:cs="Arial" w:eastAsia="Arial" w:hAnsi="Arial"/>
          <w:sz w:val="18"/>
          <w:szCs w:val="18"/>
          <w:color w:val="457157"/>
        </w:rPr>
      </w:pPr>
      <w:r>
        <w:rPr>
          <w:rFonts w:ascii="Arial" w:cs="Arial" w:eastAsia="Arial" w:hAnsi="Arial"/>
          <w:sz w:val="18"/>
          <w:szCs w:val="18"/>
          <w:color w:val="auto"/>
        </w:rPr>
        <w:t>Base salaries should be paid within a range of plus or minus 10% around the competitive median, with attention given to individual circumstances, including strategic importance of the named executive’s role, the executive’s experience and individual performance;</w:t>
      </w:r>
    </w:p>
    <w:p>
      <w:pPr>
        <w:spacing w:after="0" w:line="35"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31"/>
        </w:numPr>
        <w:rPr>
          <w:rFonts w:ascii="Arial" w:cs="Arial" w:eastAsia="Arial" w:hAnsi="Arial"/>
          <w:sz w:val="18"/>
          <w:szCs w:val="18"/>
          <w:color w:val="457157"/>
        </w:rPr>
      </w:pPr>
      <w:r>
        <w:rPr>
          <w:rFonts w:ascii="Arial" w:cs="Arial" w:eastAsia="Arial" w:hAnsi="Arial"/>
          <w:sz w:val="18"/>
          <w:szCs w:val="18"/>
          <w:color w:val="auto"/>
        </w:rPr>
        <w:t>Target short-term and long-term incentive opportunities should generally be set at the competitive median; and</w:t>
      </w:r>
    </w:p>
    <w:p>
      <w:pPr>
        <w:spacing w:after="0" w:line="31"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31"/>
        </w:numPr>
        <w:rPr>
          <w:rFonts w:ascii="Arial" w:cs="Arial" w:eastAsia="Arial" w:hAnsi="Arial"/>
          <w:sz w:val="18"/>
          <w:szCs w:val="18"/>
          <w:color w:val="457157"/>
        </w:rPr>
      </w:pPr>
      <w:r>
        <w:rPr>
          <w:rFonts w:ascii="Arial" w:cs="Arial" w:eastAsia="Arial" w:hAnsi="Arial"/>
          <w:sz w:val="18"/>
          <w:szCs w:val="18"/>
          <w:color w:val="auto"/>
        </w:rPr>
        <w:t>Total direct compensation opportunities should generally be within a range of plus or minus 20% around the competitive median.</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-158750</wp:posOffset>
            </wp:positionV>
            <wp:extent cx="57607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18"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Overview of Elements of Our 2024 Executive Compensation Program</w:t>
      </w:r>
    </w:p>
    <w:p>
      <w:pPr>
        <w:sectPr>
          <w:pgSz w:w="11900" w:h="16838" w:orient="portrait"/>
          <w:cols w:equalWidth="0" w:num="1">
            <w:col w:w="9940"/>
          </w:cols>
          <w:pgMar w:left="580" w:top="97" w:right="1379" w:bottom="1440" w:gutter="0" w:footer="0" w:header="0"/>
        </w:sectPr>
      </w:pPr>
    </w:p>
    <w:p>
      <w:pPr>
        <w:spacing w:after="0" w:line="25" w:lineRule="exact"/>
        <w:rPr>
          <w:sz w:val="20"/>
          <w:szCs w:val="20"/>
          <w:color w:val="auto"/>
        </w:rPr>
      </w:pPr>
    </w:p>
    <w:tbl>
      <w:tblPr>
        <w:tblLayout w:type="fixed"/>
        <w:tblInd w:w="820" w:type="dxa"/>
        <w:tblCellMar>
          <w:top w:w="0" w:type="dxa"/>
          <w:left w:w="0" w:type="dxa"/>
          <w:bottom w:w="0" w:type="dxa"/>
          <w:right w:w="0" w:type="dxa"/>
        </w:tblCellMar>
      </w:tblPr>
      <w:tr>
        <w:trPr>
          <w:trHeight w:val="322"/>
        </w:trPr>
        <w:tc>
          <w:tcPr>
            <w:tcW w:w="980" w:type="dxa"/>
            <w:vAlign w:val="bottom"/>
          </w:tcPr>
          <w:p>
            <w:pPr>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Timing</w:t>
            </w:r>
          </w:p>
        </w:tc>
        <w:tc>
          <w:tcPr>
            <w:tcW w:w="1660" w:type="dxa"/>
            <w:vAlign w:val="bottom"/>
            <w:gridSpan w:val="2"/>
          </w:tcPr>
          <w:p>
            <w:pPr>
              <w:ind w:left="360"/>
              <w:spacing w:after="0"/>
              <w:rPr>
                <w:sz w:val="20"/>
                <w:szCs w:val="20"/>
                <w:color w:val="auto"/>
              </w:rPr>
            </w:pPr>
            <w:r>
              <w:rPr>
                <w:rFonts w:ascii="Arial" w:cs="Arial" w:eastAsia="Arial" w:hAnsi="Arial"/>
                <w:sz w:val="28"/>
                <w:szCs w:val="28"/>
                <w:b w:val="1"/>
                <w:bCs w:val="1"/>
                <w:color w:val="457157"/>
                <w:vertAlign w:val="subscript"/>
              </w:rPr>
              <w:t>​ ​</w:t>
            </w:r>
            <w:r>
              <w:rPr>
                <w:rFonts w:ascii="Arial" w:cs="Arial" w:eastAsia="Arial" w:hAnsi="Arial"/>
                <w:sz w:val="14"/>
                <w:szCs w:val="14"/>
                <w:b w:val="1"/>
                <w:bCs w:val="1"/>
                <w:color w:val="457157"/>
              </w:rPr>
              <w:t xml:space="preserve"> Component</w:t>
            </w:r>
          </w:p>
        </w:tc>
        <w:tc>
          <w:tcPr>
            <w:tcW w:w="400" w:type="dxa"/>
            <w:vAlign w:val="bottom"/>
            <w:gridSpan w:val="2"/>
          </w:tcPr>
          <w:p>
            <w:pPr>
              <w:ind w:left="220"/>
              <w:spacing w:after="0"/>
              <w:rPr>
                <w:sz w:val="20"/>
                <w:szCs w:val="20"/>
                <w:color w:val="auto"/>
              </w:rPr>
            </w:pPr>
            <w:r>
              <w:rPr>
                <w:rFonts w:ascii="Arial" w:cs="Arial" w:eastAsia="Arial" w:hAnsi="Arial"/>
                <w:sz w:val="14"/>
                <w:szCs w:val="14"/>
                <w:b w:val="1"/>
                <w:bCs w:val="1"/>
                <w:color w:val="457157"/>
              </w:rPr>
              <w:t>​ ​</w:t>
            </w:r>
          </w:p>
        </w:tc>
        <w:tc>
          <w:tcPr>
            <w:tcW w:w="1700" w:type="dxa"/>
            <w:vAlign w:val="bottom"/>
          </w:tcPr>
          <w:p>
            <w:pPr>
              <w:ind w:left="40"/>
              <w:spacing w:after="0"/>
              <w:rPr>
                <w:sz w:val="20"/>
                <w:szCs w:val="20"/>
                <w:color w:val="auto"/>
              </w:rPr>
            </w:pPr>
            <w:r>
              <w:rPr>
                <w:rFonts w:ascii="Arial" w:cs="Arial" w:eastAsia="Arial" w:hAnsi="Arial"/>
                <w:sz w:val="14"/>
                <w:szCs w:val="14"/>
                <w:b w:val="1"/>
                <w:bCs w:val="1"/>
                <w:color w:val="457157"/>
              </w:rPr>
              <w:t>Purpose</w:t>
            </w:r>
          </w:p>
        </w:tc>
        <w:tc>
          <w:tcPr>
            <w:tcW w:w="420" w:type="dxa"/>
            <w:vAlign w:val="bottom"/>
            <w:gridSpan w:val="2"/>
          </w:tcPr>
          <w:p>
            <w:pPr>
              <w:ind w:left="240"/>
              <w:spacing w:after="0"/>
              <w:rPr>
                <w:sz w:val="20"/>
                <w:szCs w:val="20"/>
                <w:color w:val="auto"/>
              </w:rPr>
            </w:pPr>
            <w:r>
              <w:rPr>
                <w:rFonts w:ascii="Arial" w:cs="Arial" w:eastAsia="Arial" w:hAnsi="Arial"/>
                <w:sz w:val="14"/>
                <w:szCs w:val="14"/>
                <w:b w:val="1"/>
                <w:bCs w:val="1"/>
                <w:color w:val="457157"/>
              </w:rPr>
              <w:t>​ ​</w:t>
            </w:r>
          </w:p>
        </w:tc>
        <w:tc>
          <w:tcPr>
            <w:tcW w:w="3680" w:type="dxa"/>
            <w:vAlign w:val="bottom"/>
          </w:tcPr>
          <w:p>
            <w:pPr>
              <w:ind w:left="40"/>
              <w:spacing w:after="0"/>
              <w:rPr>
                <w:sz w:val="20"/>
                <w:szCs w:val="20"/>
                <w:color w:val="auto"/>
              </w:rPr>
            </w:pPr>
            <w:r>
              <w:rPr>
                <w:rFonts w:ascii="Arial" w:cs="Arial" w:eastAsia="Arial" w:hAnsi="Arial"/>
                <w:sz w:val="14"/>
                <w:szCs w:val="14"/>
                <w:b w:val="1"/>
                <w:bCs w:val="1"/>
                <w:color w:val="457157"/>
              </w:rPr>
              <w:t>Key Features</w:t>
            </w:r>
          </w:p>
        </w:tc>
      </w:tr>
      <w:tr>
        <w:trPr>
          <w:trHeight w:val="180"/>
        </w:trPr>
        <w:tc>
          <w:tcPr>
            <w:tcW w:w="980" w:type="dxa"/>
            <w:vAlign w:val="bottom"/>
            <w:shd w:val="clear" w:color="auto" w:fill="E5E5E5"/>
          </w:tcPr>
          <w:p>
            <w:pPr>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b w:val="1"/>
                <w:bCs w:val="1"/>
                <w:color w:val="auto"/>
              </w:rPr>
              <w:t>Current</w:t>
            </w:r>
          </w:p>
        </w:tc>
        <w:tc>
          <w:tcPr>
            <w:tcW w:w="480" w:type="dxa"/>
            <w:vAlign w:val="bottom"/>
            <w:shd w:val="clear" w:color="auto" w:fill="E5E5E5"/>
          </w:tcPr>
          <w:p>
            <w:pPr>
              <w:ind w:left="360"/>
              <w:spacing w:after="0"/>
              <w:rPr>
                <w:sz w:val="20"/>
                <w:szCs w:val="20"/>
                <w:color w:val="auto"/>
              </w:rPr>
            </w:pPr>
            <w:r>
              <w:rPr>
                <w:rFonts w:ascii="Arial" w:cs="Arial" w:eastAsia="Arial" w:hAnsi="Arial"/>
                <w:sz w:val="14"/>
                <w:szCs w:val="14"/>
                <w:color w:val="auto"/>
              </w:rPr>
              <w:t>​</w:t>
            </w:r>
          </w:p>
        </w:tc>
        <w:tc>
          <w:tcPr>
            <w:tcW w:w="1180" w:type="dxa"/>
            <w:vAlign w:val="bottom"/>
          </w:tcPr>
          <w:p>
            <w:pPr>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 xml:space="preserve"> Base Salary</w:t>
            </w:r>
          </w:p>
        </w:tc>
        <w:tc>
          <w:tcPr>
            <w:tcW w:w="320" w:type="dxa"/>
            <w:vAlign w:val="bottom"/>
          </w:tcPr>
          <w:p>
            <w:pPr>
              <w:ind w:left="220"/>
              <w:spacing w:after="0"/>
              <w:rPr>
                <w:sz w:val="20"/>
                <w:szCs w:val="20"/>
                <w:color w:val="auto"/>
              </w:rPr>
            </w:pPr>
            <w:r>
              <w:rPr>
                <w:rFonts w:ascii="Arial" w:cs="Arial" w:eastAsia="Arial" w:hAnsi="Arial"/>
                <w:sz w:val="14"/>
                <w:szCs w:val="14"/>
                <w:color w:val="auto"/>
              </w:rPr>
              <w:t>​</w:t>
            </w:r>
          </w:p>
        </w:tc>
        <w:tc>
          <w:tcPr>
            <w:tcW w:w="1780" w:type="dxa"/>
            <w:vAlign w:val="bottom"/>
            <w:gridSpan w:val="2"/>
            <w:shd w:val="clear" w:color="auto" w:fill="E5E5E5"/>
          </w:tcPr>
          <w:p>
            <w:pPr>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 xml:space="preserve"> To attract and retain</w:t>
            </w:r>
          </w:p>
        </w:tc>
        <w:tc>
          <w:tcPr>
            <w:tcW w:w="340" w:type="dxa"/>
            <w:vAlign w:val="bottom"/>
            <w:shd w:val="clear" w:color="auto" w:fill="E5E5E5"/>
          </w:tcPr>
          <w:p>
            <w:pPr>
              <w:ind w:left="240"/>
              <w:spacing w:after="0"/>
              <w:rPr>
                <w:sz w:val="20"/>
                <w:szCs w:val="20"/>
                <w:color w:val="auto"/>
              </w:rPr>
            </w:pPr>
            <w:r>
              <w:rPr>
                <w:rFonts w:ascii="Arial" w:cs="Arial" w:eastAsia="Arial" w:hAnsi="Arial"/>
                <w:sz w:val="14"/>
                <w:szCs w:val="14"/>
                <w:color w:val="auto"/>
              </w:rPr>
              <w:t>​</w:t>
            </w:r>
          </w:p>
        </w:tc>
        <w:tc>
          <w:tcPr>
            <w:tcW w:w="3760" w:type="dxa"/>
            <w:vAlign w:val="bottom"/>
            <w:gridSpan w:val="2"/>
          </w:tcPr>
          <w:p>
            <w:pPr>
              <w:spacing w:after="0" w:line="180"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2"/>
                <w:szCs w:val="12"/>
                <w:color w:val="auto"/>
              </w:rPr>
              <w:t xml:space="preserve"> Adjustments to base salary primarily consider</w:t>
            </w:r>
          </w:p>
        </w:tc>
      </w:tr>
      <w:tr>
        <w:trPr>
          <w:trHeight w:val="162"/>
        </w:trPr>
        <w:tc>
          <w:tcPr>
            <w:tcW w:w="980" w:type="dxa"/>
            <w:vAlign w:val="bottom"/>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700" w:type="dxa"/>
            <w:vAlign w:val="bottom"/>
            <w:shd w:val="clear" w:color="auto" w:fill="E5E5E5"/>
          </w:tcPr>
          <w:p>
            <w:pPr>
              <w:ind w:left="40"/>
              <w:spacing w:after="0"/>
              <w:rPr>
                <w:sz w:val="20"/>
                <w:szCs w:val="20"/>
                <w:color w:val="auto"/>
              </w:rPr>
            </w:pPr>
            <w:r>
              <w:rPr>
                <w:rFonts w:ascii="Arial" w:cs="Arial" w:eastAsia="Arial" w:hAnsi="Arial"/>
                <w:sz w:val="14"/>
                <w:szCs w:val="14"/>
                <w:color w:val="auto"/>
              </w:rPr>
              <w:t>executives with a</w:t>
            </w:r>
          </w:p>
        </w:tc>
        <w:tc>
          <w:tcPr>
            <w:tcW w:w="340" w:type="dxa"/>
            <w:vAlign w:val="bottom"/>
            <w:shd w:val="clear" w:color="auto" w:fill="E5E5E5"/>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ind w:left="40"/>
              <w:spacing w:after="0"/>
              <w:rPr>
                <w:sz w:val="20"/>
                <w:szCs w:val="20"/>
                <w:color w:val="auto"/>
              </w:rPr>
            </w:pPr>
            <w:r>
              <w:rPr>
                <w:rFonts w:ascii="Arial" w:cs="Arial" w:eastAsia="Arial" w:hAnsi="Arial"/>
                <w:sz w:val="14"/>
                <w:szCs w:val="14"/>
                <w:color w:val="auto"/>
              </w:rPr>
              <w:t>competitive market data and the executive’s tenure,</w:t>
            </w:r>
          </w:p>
        </w:tc>
      </w:tr>
      <w:tr>
        <w:trPr>
          <w:trHeight w:val="162"/>
        </w:trPr>
        <w:tc>
          <w:tcPr>
            <w:tcW w:w="980" w:type="dxa"/>
            <w:vAlign w:val="bottom"/>
            <w:shd w:val="clear" w:color="auto" w:fill="E5E5E5"/>
          </w:tcPr>
          <w:p>
            <w:pPr>
              <w:spacing w:after="0"/>
              <w:rPr>
                <w:sz w:val="14"/>
                <w:szCs w:val="14"/>
                <w:color w:val="auto"/>
              </w:rPr>
            </w:pPr>
          </w:p>
        </w:tc>
        <w:tc>
          <w:tcPr>
            <w:tcW w:w="480" w:type="dxa"/>
            <w:vAlign w:val="bottom"/>
            <w:shd w:val="clear" w:color="auto" w:fill="E5E5E5"/>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shd w:val="clear" w:color="auto" w:fill="E5E5E5"/>
          </w:tcPr>
          <w:p>
            <w:pPr>
              <w:spacing w:after="0"/>
              <w:rPr>
                <w:sz w:val="14"/>
                <w:szCs w:val="14"/>
                <w:color w:val="auto"/>
              </w:rPr>
            </w:pPr>
          </w:p>
        </w:tc>
        <w:tc>
          <w:tcPr>
            <w:tcW w:w="1700" w:type="dxa"/>
            <w:vAlign w:val="bottom"/>
            <w:shd w:val="clear" w:color="auto" w:fill="E5E5E5"/>
          </w:tcPr>
          <w:p>
            <w:pPr>
              <w:ind w:left="40"/>
              <w:spacing w:after="0"/>
              <w:rPr>
                <w:sz w:val="20"/>
                <w:szCs w:val="20"/>
                <w:color w:val="auto"/>
              </w:rPr>
            </w:pPr>
            <w:r>
              <w:rPr>
                <w:rFonts w:ascii="Arial" w:cs="Arial" w:eastAsia="Arial" w:hAnsi="Arial"/>
                <w:sz w:val="14"/>
                <w:szCs w:val="14"/>
                <w:color w:val="auto"/>
              </w:rPr>
              <w:t>competitive level of</w:t>
            </w:r>
          </w:p>
        </w:tc>
        <w:tc>
          <w:tcPr>
            <w:tcW w:w="340" w:type="dxa"/>
            <w:vAlign w:val="bottom"/>
            <w:shd w:val="clear" w:color="auto" w:fill="E5E5E5"/>
          </w:tcPr>
          <w:p>
            <w:pPr>
              <w:spacing w:after="0"/>
              <w:rPr>
                <w:sz w:val="14"/>
                <w:szCs w:val="14"/>
                <w:color w:val="auto"/>
              </w:rPr>
            </w:pPr>
          </w:p>
        </w:tc>
        <w:tc>
          <w:tcPr>
            <w:tcW w:w="80" w:type="dxa"/>
            <w:vAlign w:val="bottom"/>
          </w:tcPr>
          <w:p>
            <w:pPr>
              <w:spacing w:after="0"/>
              <w:rPr>
                <w:sz w:val="14"/>
                <w:szCs w:val="14"/>
                <w:color w:val="auto"/>
              </w:rPr>
            </w:pPr>
          </w:p>
        </w:tc>
        <w:tc>
          <w:tcPr>
            <w:tcW w:w="3680" w:type="dxa"/>
            <w:vAlign w:val="bottom"/>
          </w:tcPr>
          <w:p>
            <w:pPr>
              <w:ind w:left="40"/>
              <w:spacing w:after="0"/>
              <w:rPr>
                <w:sz w:val="20"/>
                <w:szCs w:val="20"/>
                <w:color w:val="auto"/>
              </w:rPr>
            </w:pPr>
            <w:r>
              <w:rPr>
                <w:rFonts w:ascii="Arial" w:cs="Arial" w:eastAsia="Arial" w:hAnsi="Arial"/>
                <w:sz w:val="14"/>
                <w:szCs w:val="14"/>
                <w:color w:val="auto"/>
              </w:rPr>
              <w:t>individual performance and responsibilities.</w:t>
            </w:r>
          </w:p>
        </w:tc>
      </w:tr>
      <w:tr>
        <w:trPr>
          <w:trHeight w:val="198"/>
        </w:trPr>
        <w:tc>
          <w:tcPr>
            <w:tcW w:w="980" w:type="dxa"/>
            <w:vAlign w:val="bottom"/>
            <w:shd w:val="clear" w:color="auto" w:fill="E5E5E5"/>
          </w:tcPr>
          <w:p>
            <w:pPr>
              <w:spacing w:after="0"/>
              <w:rPr>
                <w:sz w:val="17"/>
                <w:szCs w:val="17"/>
                <w:color w:val="auto"/>
              </w:rPr>
            </w:pPr>
          </w:p>
        </w:tc>
        <w:tc>
          <w:tcPr>
            <w:tcW w:w="480" w:type="dxa"/>
            <w:vAlign w:val="bottom"/>
            <w:shd w:val="clear" w:color="auto" w:fill="E5E5E5"/>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shd w:val="clear" w:color="auto" w:fill="E5E5E5"/>
          </w:tcPr>
          <w:p>
            <w:pPr>
              <w:spacing w:after="0"/>
              <w:rPr>
                <w:sz w:val="17"/>
                <w:szCs w:val="17"/>
                <w:color w:val="auto"/>
              </w:rPr>
            </w:pPr>
          </w:p>
        </w:tc>
        <w:tc>
          <w:tcPr>
            <w:tcW w:w="1700" w:type="dxa"/>
            <w:vAlign w:val="bottom"/>
            <w:shd w:val="clear" w:color="auto" w:fill="E5E5E5"/>
          </w:tcPr>
          <w:p>
            <w:pPr>
              <w:ind w:left="40"/>
              <w:spacing w:after="0"/>
              <w:rPr>
                <w:sz w:val="20"/>
                <w:szCs w:val="20"/>
                <w:color w:val="auto"/>
              </w:rPr>
            </w:pPr>
            <w:r>
              <w:rPr>
                <w:rFonts w:ascii="Arial" w:cs="Arial" w:eastAsia="Arial" w:hAnsi="Arial"/>
                <w:sz w:val="14"/>
                <w:szCs w:val="14"/>
                <w:color w:val="auto"/>
              </w:rPr>
              <w:t>regular income</w:t>
            </w:r>
          </w:p>
        </w:tc>
        <w:tc>
          <w:tcPr>
            <w:tcW w:w="340" w:type="dxa"/>
            <w:vAlign w:val="bottom"/>
            <w:shd w:val="clear" w:color="auto" w:fill="E5E5E5"/>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-445135</wp:posOffset>
            </wp:positionV>
            <wp:extent cx="5760720" cy="78695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60720" cy="78695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color w:val="457157"/>
        </w:rPr>
        <w:t>​</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537" w:lineRule="exact"/>
        <w:rPr>
          <w:sz w:val="20"/>
          <w:szCs w:val="20"/>
          <w:color w:val="auto"/>
        </w:rPr>
      </w:pPr>
    </w:p>
    <w:p>
      <w:pPr>
        <w:sectPr>
          <w:pgSz w:w="11900" w:h="16838" w:orient="portrait"/>
          <w:cols w:equalWidth="0" w:num="2">
            <w:col w:w="9660" w:space="160"/>
            <w:col w:w="120"/>
          </w:cols>
          <w:pgMar w:left="580" w:top="97" w:right="1379" w:bottom="1440" w:gutter="0" w:footer="0" w:header="0"/>
          <w:type w:val="continuous"/>
        </w:sectPr>
      </w:pPr>
    </w:p>
    <w:tbl>
      <w:tblPr>
        <w:tblLayout w:type="fixed"/>
        <w:tblInd w:w="820" w:type="dxa"/>
        <w:tblCellMar>
          <w:top w:w="0" w:type="dxa"/>
          <w:left w:w="0" w:type="dxa"/>
          <w:bottom w:w="0" w:type="dxa"/>
          <w:right w:w="0" w:type="dxa"/>
        </w:tblCellMar>
      </w:tblPr>
      <w:tr>
        <w:trPr>
          <w:trHeight w:val="133"/>
        </w:trPr>
        <w:tc>
          <w:tcPr>
            <w:tcW w:w="40" w:type="dxa"/>
            <w:vAlign w:val="bottom"/>
            <w:tcBorders>
              <w:top w:val="single" w:sz="8" w:color="457157"/>
            </w:tcBorders>
          </w:tcPr>
          <w:p>
            <w:pPr>
              <w:spacing w:after="0" w:line="133" w:lineRule="exact"/>
              <w:rPr>
                <w:sz w:val="20"/>
                <w:szCs w:val="20"/>
                <w:color w:val="auto"/>
              </w:rPr>
            </w:pPr>
            <w:r>
              <w:rPr>
                <w:rFonts w:ascii="Arial" w:cs="Arial" w:eastAsia="Arial" w:hAnsi="Arial"/>
                <w:sz w:val="14"/>
                <w:szCs w:val="14"/>
                <w:color w:val="auto"/>
              </w:rPr>
              <w:t>​</w:t>
            </w:r>
          </w:p>
        </w:tc>
        <w:tc>
          <w:tcPr>
            <w:tcW w:w="1140" w:type="dxa"/>
            <w:vAlign w:val="bottom"/>
            <w:tcBorders>
              <w:top w:val="single" w:sz="8" w:color="457157"/>
            </w:tcBorders>
            <w:shd w:val="clear" w:color="auto" w:fill="E5E5E5"/>
          </w:tcPr>
          <w:p>
            <w:pPr>
              <w:ind w:left="20"/>
              <w:spacing w:after="0" w:line="133" w:lineRule="exact"/>
              <w:rPr>
                <w:sz w:val="20"/>
                <w:szCs w:val="20"/>
                <w:color w:val="auto"/>
              </w:rPr>
            </w:pPr>
            <w:r>
              <w:rPr>
                <w:rFonts w:ascii="Arial" w:cs="Arial" w:eastAsia="Arial" w:hAnsi="Arial"/>
                <w:sz w:val="14"/>
                <w:szCs w:val="14"/>
                <w:b w:val="1"/>
                <w:bCs w:val="1"/>
                <w:color w:val="auto"/>
              </w:rPr>
              <w:t>Short-Term</w:t>
            </w:r>
          </w:p>
        </w:tc>
        <w:tc>
          <w:tcPr>
            <w:tcW w:w="280" w:type="dxa"/>
            <w:vAlign w:val="bottom"/>
            <w:tcBorders>
              <w:top w:val="single" w:sz="8" w:color="457157"/>
            </w:tcBorders>
            <w:shd w:val="clear" w:color="auto" w:fill="E5E5E5"/>
          </w:tcPr>
          <w:p>
            <w:pPr>
              <w:ind w:left="160"/>
              <w:spacing w:after="0" w:line="133"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457157"/>
            </w:tcBorders>
          </w:tcPr>
          <w:p>
            <w:pPr>
              <w:spacing w:after="0" w:line="133" w:lineRule="exact"/>
              <w:rPr>
                <w:sz w:val="20"/>
                <w:szCs w:val="20"/>
                <w:color w:val="auto"/>
              </w:rPr>
            </w:pPr>
            <w:r>
              <w:rPr>
                <w:rFonts w:ascii="Arial" w:cs="Arial" w:eastAsia="Arial" w:hAnsi="Arial"/>
                <w:sz w:val="14"/>
                <w:szCs w:val="14"/>
                <w:color w:val="auto"/>
              </w:rPr>
              <w:t>​ Annual Cash</w:t>
            </w:r>
          </w:p>
        </w:tc>
        <w:tc>
          <w:tcPr>
            <w:tcW w:w="380" w:type="dxa"/>
            <w:vAlign w:val="bottom"/>
            <w:tcBorders>
              <w:top w:val="single" w:sz="8" w:color="457157"/>
            </w:tcBorders>
          </w:tcPr>
          <w:p>
            <w:pPr>
              <w:ind w:left="160"/>
              <w:spacing w:after="0" w:line="133" w:lineRule="exact"/>
              <w:rPr>
                <w:sz w:val="20"/>
                <w:szCs w:val="20"/>
                <w:color w:val="auto"/>
              </w:rPr>
            </w:pPr>
            <w:r>
              <w:rPr>
                <w:rFonts w:ascii="Arial" w:cs="Arial" w:eastAsia="Arial" w:hAnsi="Arial"/>
                <w:sz w:val="14"/>
                <w:szCs w:val="14"/>
                <w:color w:val="auto"/>
              </w:rPr>
              <w:t>​ ​</w:t>
            </w:r>
          </w:p>
        </w:tc>
        <w:tc>
          <w:tcPr>
            <w:tcW w:w="1900" w:type="dxa"/>
            <w:vAlign w:val="bottom"/>
            <w:tcBorders>
              <w:top w:val="single" w:sz="8" w:color="457157"/>
            </w:tcBorders>
            <w:shd w:val="clear" w:color="auto" w:fill="E5E5E5"/>
          </w:tcPr>
          <w:p>
            <w:pPr>
              <w:spacing w:after="0" w:line="133" w:lineRule="exact"/>
              <w:rPr>
                <w:sz w:val="20"/>
                <w:szCs w:val="20"/>
                <w:color w:val="auto"/>
              </w:rPr>
            </w:pPr>
            <w:r>
              <w:rPr>
                <w:rFonts w:ascii="Arial" w:cs="Arial" w:eastAsia="Arial" w:hAnsi="Arial"/>
                <w:sz w:val="14"/>
                <w:szCs w:val="14"/>
                <w:color w:val="auto"/>
              </w:rPr>
              <w:t>To encourage and reward</w:t>
            </w:r>
          </w:p>
        </w:tc>
        <w:tc>
          <w:tcPr>
            <w:tcW w:w="100" w:type="dxa"/>
            <w:vAlign w:val="bottom"/>
            <w:tcBorders>
              <w:top w:val="single" w:sz="8" w:color="457157"/>
            </w:tcBorders>
            <w:shd w:val="clear" w:color="auto" w:fill="E5E5E5"/>
          </w:tcPr>
          <w:p>
            <w:pPr>
              <w:spacing w:after="0" w:line="133" w:lineRule="exact"/>
              <w:rPr>
                <w:sz w:val="20"/>
                <w:szCs w:val="20"/>
                <w:color w:val="auto"/>
              </w:rPr>
            </w:pPr>
            <w:r>
              <w:rPr>
                <w:rFonts w:ascii="Arial" w:cs="Arial" w:eastAsia="Arial" w:hAnsi="Arial"/>
                <w:sz w:val="14"/>
                <w:szCs w:val="14"/>
                <w:color w:val="auto"/>
              </w:rPr>
              <w:t>​</w:t>
            </w:r>
          </w:p>
        </w:tc>
        <w:tc>
          <w:tcPr>
            <w:tcW w:w="3980" w:type="dxa"/>
            <w:vAlign w:val="bottom"/>
            <w:tcBorders>
              <w:top w:val="single" w:sz="8" w:color="457157"/>
            </w:tcBorders>
            <w:gridSpan w:val="2"/>
          </w:tcPr>
          <w:p>
            <w:pPr>
              <w:spacing w:after="0" w:line="133" w:lineRule="exact"/>
              <w:rPr>
                <w:sz w:val="20"/>
                <w:szCs w:val="20"/>
                <w:color w:val="auto"/>
              </w:rPr>
            </w:pPr>
            <w:r>
              <w:rPr>
                <w:rFonts w:ascii="Arial" w:cs="Arial" w:eastAsia="Arial" w:hAnsi="Arial"/>
                <w:sz w:val="14"/>
                <w:szCs w:val="14"/>
                <w:color w:val="auto"/>
              </w:rPr>
              <w:t>​ Cash incentives are targeted at a percentage of base ​</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14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Performance</w:t>
            </w:r>
          </w:p>
        </w:tc>
        <w:tc>
          <w:tcPr>
            <w:tcW w:w="280" w:type="dxa"/>
            <w:vAlign w:val="bottom"/>
            <w:shd w:val="clear" w:color="auto" w:fill="E5E5E5"/>
          </w:tcPr>
          <w:p>
            <w:pPr>
              <w:spacing w:after="0"/>
              <w:rPr>
                <w:sz w:val="15"/>
                <w:szCs w:val="15"/>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Incentive</w:t>
            </w:r>
          </w:p>
        </w:tc>
        <w:tc>
          <w:tcPr>
            <w:tcW w:w="380" w:type="dxa"/>
            <w:vAlign w:val="bottom"/>
          </w:tcPr>
          <w:p>
            <w:pPr>
              <w:spacing w:after="0"/>
              <w:rPr>
                <w:sz w:val="15"/>
                <w:szCs w:val="15"/>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contributions to our annual</w:t>
            </w:r>
          </w:p>
        </w:tc>
        <w:tc>
          <w:tcPr>
            <w:tcW w:w="100" w:type="dxa"/>
            <w:vAlign w:val="bottom"/>
            <w:shd w:val="clear" w:color="auto" w:fill="E5E5E5"/>
          </w:tcPr>
          <w:p>
            <w:pPr>
              <w:spacing w:after="0"/>
              <w:rPr>
                <w:sz w:val="15"/>
                <w:szCs w:val="15"/>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salary and range from zero to 200% of target based</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ind w:left="20"/>
              <w:spacing w:after="0"/>
              <w:rPr>
                <w:sz w:val="20"/>
                <w:szCs w:val="20"/>
                <w:color w:val="auto"/>
              </w:rPr>
            </w:pPr>
            <w:r>
              <w:rPr>
                <w:rFonts w:ascii="Arial" w:cs="Arial" w:eastAsia="Arial" w:hAnsi="Arial"/>
                <w:sz w:val="14"/>
                <w:szCs w:val="14"/>
                <w:b w:val="1"/>
                <w:bCs w:val="1"/>
                <w:color w:val="auto"/>
              </w:rPr>
              <w:t>Incentive</w:t>
            </w: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financial objectives</w:t>
            </w:r>
          </w:p>
        </w:tc>
        <w:tc>
          <w:tcPr>
            <w:tcW w:w="100" w:type="dxa"/>
            <w:vAlign w:val="bottom"/>
            <w:shd w:val="clear" w:color="auto" w:fill="E5E5E5"/>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on the following performance measures:</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through performance-</w:t>
            </w:r>
          </w:p>
        </w:tc>
        <w:tc>
          <w:tcPr>
            <w:tcW w:w="100" w:type="dxa"/>
            <w:vAlign w:val="bottom"/>
            <w:shd w:val="clear" w:color="auto" w:fill="E5E5E5"/>
          </w:tcPr>
          <w:p>
            <w:pPr>
              <w:spacing w:after="0"/>
              <w:rPr>
                <w:sz w:val="14"/>
                <w:szCs w:val="14"/>
                <w:color w:val="auto"/>
              </w:rPr>
            </w:pPr>
          </w:p>
        </w:tc>
        <w:tc>
          <w:tcPr>
            <w:tcW w:w="220" w:type="dxa"/>
            <w:vAlign w:val="bottom"/>
            <w:vMerge w:val="restart"/>
          </w:tcPr>
          <w:p>
            <w:pPr>
              <w:ind w:left="120"/>
              <w:spacing w:after="0"/>
              <w:rPr>
                <w:sz w:val="20"/>
                <w:szCs w:val="20"/>
                <w:color w:val="auto"/>
              </w:rPr>
            </w:pPr>
            <w:r>
              <w:rPr>
                <w:rFonts w:ascii="Arial" w:cs="Arial" w:eastAsia="Arial" w:hAnsi="Arial"/>
                <w:sz w:val="14"/>
                <w:szCs w:val="14"/>
                <w:color w:val="457157"/>
              </w:rPr>
              <w:t>•</w:t>
            </w:r>
          </w:p>
        </w:tc>
        <w:tc>
          <w:tcPr>
            <w:tcW w:w="3760" w:type="dxa"/>
            <w:vAlign w:val="bottom"/>
            <w:vMerge w:val="restart"/>
          </w:tcPr>
          <w:p>
            <w:pPr>
              <w:ind w:left="40"/>
              <w:spacing w:after="0"/>
              <w:rPr>
                <w:sz w:val="20"/>
                <w:szCs w:val="20"/>
                <w:color w:val="auto"/>
              </w:rPr>
            </w:pPr>
            <w:r>
              <w:rPr>
                <w:rFonts w:ascii="Arial" w:cs="Arial" w:eastAsia="Arial" w:hAnsi="Arial"/>
                <w:sz w:val="14"/>
                <w:szCs w:val="14"/>
                <w:color w:val="auto"/>
              </w:rPr>
              <w:t>Operating EBITDA — designed to encourage</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1140" w:type="dxa"/>
            <w:vAlign w:val="bottom"/>
            <w:shd w:val="clear" w:color="auto" w:fill="E5E5E5"/>
          </w:tcPr>
          <w:p>
            <w:pPr>
              <w:spacing w:after="0"/>
              <w:rPr>
                <w:sz w:val="12"/>
                <w:szCs w:val="12"/>
                <w:color w:val="auto"/>
              </w:rPr>
            </w:pPr>
          </w:p>
        </w:tc>
        <w:tc>
          <w:tcPr>
            <w:tcW w:w="280" w:type="dxa"/>
            <w:vAlign w:val="bottom"/>
            <w:shd w:val="clear" w:color="auto" w:fill="E5E5E5"/>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shd w:val="clear" w:color="auto" w:fill="E5E5E5"/>
          </w:tcPr>
          <w:p>
            <w:pPr>
              <w:spacing w:after="0" w:line="145" w:lineRule="exact"/>
              <w:rPr>
                <w:sz w:val="20"/>
                <w:szCs w:val="20"/>
                <w:color w:val="auto"/>
              </w:rPr>
            </w:pPr>
            <w:r>
              <w:rPr>
                <w:rFonts w:ascii="Arial" w:cs="Arial" w:eastAsia="Arial" w:hAnsi="Arial"/>
                <w:sz w:val="14"/>
                <w:szCs w:val="14"/>
                <w:color w:val="auto"/>
              </w:rPr>
              <w:t>based compensation</w:t>
            </w:r>
          </w:p>
        </w:tc>
        <w:tc>
          <w:tcPr>
            <w:tcW w:w="100" w:type="dxa"/>
            <w:vAlign w:val="bottom"/>
            <w:shd w:val="clear" w:color="auto" w:fill="E5E5E5"/>
          </w:tcPr>
          <w:p>
            <w:pPr>
              <w:spacing w:after="0"/>
              <w:rPr>
                <w:sz w:val="12"/>
                <w:szCs w:val="12"/>
                <w:color w:val="auto"/>
              </w:rPr>
            </w:pPr>
          </w:p>
        </w:tc>
        <w:tc>
          <w:tcPr>
            <w:tcW w:w="220" w:type="dxa"/>
            <w:vAlign w:val="bottom"/>
            <w:vMerge w:val="continue"/>
          </w:tcPr>
          <w:p>
            <w:pPr>
              <w:spacing w:after="0"/>
              <w:rPr>
                <w:sz w:val="12"/>
                <w:szCs w:val="12"/>
                <w:color w:val="auto"/>
              </w:rPr>
            </w:pPr>
          </w:p>
        </w:tc>
        <w:tc>
          <w:tcPr>
            <w:tcW w:w="3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subject to challenging, yet</w:t>
            </w:r>
          </w:p>
        </w:tc>
        <w:tc>
          <w:tcPr>
            <w:tcW w:w="1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balanced growth and profitability and assess the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attainable, objective and</w:t>
            </w:r>
          </w:p>
        </w:tc>
        <w:tc>
          <w:tcPr>
            <w:tcW w:w="1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financial outcome from execution of strategic</w:t>
            </w: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1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shd w:val="clear" w:color="auto" w:fill="E5E5E5"/>
          </w:tcPr>
          <w:p>
            <w:pPr>
              <w:spacing w:after="0"/>
              <w:rPr>
                <w:sz w:val="20"/>
                <w:szCs w:val="20"/>
                <w:color w:val="auto"/>
              </w:rPr>
            </w:pPr>
            <w:r>
              <w:rPr>
                <w:rFonts w:ascii="Arial" w:cs="Arial" w:eastAsia="Arial" w:hAnsi="Arial"/>
                <w:sz w:val="14"/>
                <w:szCs w:val="14"/>
                <w:color w:val="auto"/>
              </w:rPr>
              <w:t>transparent metrics</w:t>
            </w:r>
          </w:p>
        </w:tc>
        <w:tc>
          <w:tcPr>
            <w:tcW w:w="100" w:type="dxa"/>
            <w:vAlign w:val="bottom"/>
            <w:shd w:val="clear" w:color="auto" w:fill="E5E5E5"/>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priorities (weighted 50%);</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114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457157"/>
              </w:rPr>
              <w:t>•</w:t>
            </w:r>
          </w:p>
        </w:tc>
        <w:tc>
          <w:tcPr>
            <w:tcW w:w="3760" w:type="dxa"/>
            <w:vAlign w:val="bottom"/>
          </w:tcPr>
          <w:p>
            <w:pPr>
              <w:ind w:left="40"/>
              <w:spacing w:after="0"/>
              <w:rPr>
                <w:sz w:val="20"/>
                <w:szCs w:val="20"/>
                <w:color w:val="auto"/>
              </w:rPr>
            </w:pPr>
            <w:r>
              <w:rPr>
                <w:rFonts w:ascii="Arial" w:cs="Arial" w:eastAsia="Arial" w:hAnsi="Arial"/>
                <w:sz w:val="14"/>
                <w:szCs w:val="14"/>
                <w:color w:val="auto"/>
              </w:rPr>
              <w:t>Income from Operations Margin — designed to</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motivate pursuit of high margin revenue growth</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while also controlling costs and operating efficiently</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tcPr>
          <w:p>
            <w:pPr>
              <w:spacing w:after="0"/>
              <w:rPr>
                <w:sz w:val="16"/>
                <w:szCs w:val="16"/>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(weighted 25%); and</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1140" w:type="dxa"/>
            <w:vAlign w:val="bottom"/>
            <w:shd w:val="clear" w:color="auto" w:fill="E5E5E5"/>
          </w:tcPr>
          <w:p>
            <w:pPr>
              <w:spacing w:after="0"/>
              <w:rPr>
                <w:sz w:val="22"/>
                <w:szCs w:val="22"/>
                <w:color w:val="auto"/>
              </w:rPr>
            </w:pPr>
          </w:p>
        </w:tc>
        <w:tc>
          <w:tcPr>
            <w:tcW w:w="280" w:type="dxa"/>
            <w:vAlign w:val="bottom"/>
            <w:shd w:val="clear" w:color="auto" w:fill="E5E5E5"/>
          </w:tcPr>
          <w:p>
            <w:pPr>
              <w:spacing w:after="0"/>
              <w:rPr>
                <w:sz w:val="22"/>
                <w:szCs w:val="22"/>
                <w:color w:val="auto"/>
              </w:rPr>
            </w:pPr>
          </w:p>
        </w:tc>
        <w:tc>
          <w:tcPr>
            <w:tcW w:w="1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00" w:type="dxa"/>
            <w:vAlign w:val="bottom"/>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220" w:type="dxa"/>
            <w:vAlign w:val="bottom"/>
          </w:tcPr>
          <w:p>
            <w:pPr>
              <w:ind w:left="120"/>
              <w:spacing w:after="0"/>
              <w:rPr>
                <w:sz w:val="20"/>
                <w:szCs w:val="20"/>
                <w:color w:val="auto"/>
              </w:rPr>
            </w:pPr>
            <w:r>
              <w:rPr>
                <w:rFonts w:ascii="Arial" w:cs="Arial" w:eastAsia="Arial" w:hAnsi="Arial"/>
                <w:sz w:val="14"/>
                <w:szCs w:val="14"/>
                <w:color w:val="457157"/>
              </w:rPr>
              <w:t>•</w:t>
            </w:r>
          </w:p>
        </w:tc>
        <w:tc>
          <w:tcPr>
            <w:tcW w:w="3760" w:type="dxa"/>
            <w:vAlign w:val="bottom"/>
          </w:tcPr>
          <w:p>
            <w:pPr>
              <w:ind w:left="40"/>
              <w:spacing w:after="0"/>
              <w:rPr>
                <w:sz w:val="20"/>
                <w:szCs w:val="20"/>
                <w:color w:val="auto"/>
              </w:rPr>
            </w:pPr>
            <w:r>
              <w:rPr>
                <w:rFonts w:ascii="Arial" w:cs="Arial" w:eastAsia="Arial" w:hAnsi="Arial"/>
                <w:sz w:val="14"/>
                <w:szCs w:val="14"/>
                <w:color w:val="auto"/>
              </w:rPr>
              <w:t>Internal Revenue Growth — targeted at executing</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on pricing strategy and appropriate volume growth</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220" w:type="dxa"/>
            <w:vAlign w:val="bottom"/>
          </w:tcPr>
          <w:p>
            <w:pPr>
              <w:spacing w:after="0"/>
              <w:rPr>
                <w:sz w:val="16"/>
                <w:szCs w:val="16"/>
                <w:color w:val="auto"/>
              </w:rPr>
            </w:pPr>
          </w:p>
        </w:tc>
        <w:tc>
          <w:tcPr>
            <w:tcW w:w="3760" w:type="dxa"/>
            <w:vAlign w:val="bottom"/>
          </w:tcPr>
          <w:p>
            <w:pPr>
              <w:ind w:left="40"/>
              <w:spacing w:after="0"/>
              <w:rPr>
                <w:sz w:val="20"/>
                <w:szCs w:val="20"/>
                <w:color w:val="auto"/>
              </w:rPr>
            </w:pPr>
            <w:r>
              <w:rPr>
                <w:rFonts w:ascii="Arial" w:cs="Arial" w:eastAsia="Arial" w:hAnsi="Arial"/>
                <w:sz w:val="14"/>
                <w:szCs w:val="14"/>
                <w:color w:val="auto"/>
              </w:rPr>
              <w:t>aligned with strategic growth goals (weighted 25%).</w:t>
            </w:r>
          </w:p>
        </w:tc>
        <w:tc>
          <w:tcPr>
            <w:tcW w:w="0" w:type="dxa"/>
            <w:vAlign w:val="bottom"/>
          </w:tcPr>
          <w:p>
            <w:pPr>
              <w:spacing w:after="0"/>
              <w:rPr>
                <w:sz w:val="1"/>
                <w:szCs w:val="1"/>
                <w:color w:val="auto"/>
              </w:rPr>
            </w:pPr>
          </w:p>
        </w:tc>
      </w:tr>
      <w:tr>
        <w:trPr>
          <w:trHeight w:val="255"/>
        </w:trPr>
        <w:tc>
          <w:tcPr>
            <w:tcW w:w="40" w:type="dxa"/>
            <w:vAlign w:val="bottom"/>
          </w:tcPr>
          <w:p>
            <w:pPr>
              <w:spacing w:after="0"/>
              <w:rPr>
                <w:sz w:val="22"/>
                <w:szCs w:val="22"/>
                <w:color w:val="auto"/>
              </w:rPr>
            </w:pPr>
          </w:p>
        </w:tc>
        <w:tc>
          <w:tcPr>
            <w:tcW w:w="1140" w:type="dxa"/>
            <w:vAlign w:val="bottom"/>
            <w:shd w:val="clear" w:color="auto" w:fill="E5E5E5"/>
          </w:tcPr>
          <w:p>
            <w:pPr>
              <w:spacing w:after="0"/>
              <w:rPr>
                <w:sz w:val="22"/>
                <w:szCs w:val="22"/>
                <w:color w:val="auto"/>
              </w:rPr>
            </w:pPr>
          </w:p>
        </w:tc>
        <w:tc>
          <w:tcPr>
            <w:tcW w:w="280" w:type="dxa"/>
            <w:vAlign w:val="bottom"/>
            <w:shd w:val="clear" w:color="auto" w:fill="E5E5E5"/>
          </w:tcPr>
          <w:p>
            <w:pPr>
              <w:spacing w:after="0"/>
              <w:rPr>
                <w:sz w:val="22"/>
                <w:szCs w:val="22"/>
                <w:color w:val="auto"/>
              </w:rPr>
            </w:pPr>
          </w:p>
        </w:tc>
        <w:tc>
          <w:tcPr>
            <w:tcW w:w="1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00" w:type="dxa"/>
            <w:vAlign w:val="bottom"/>
            <w:shd w:val="clear" w:color="auto" w:fill="E5E5E5"/>
          </w:tcPr>
          <w:p>
            <w:pPr>
              <w:spacing w:after="0"/>
              <w:rPr>
                <w:sz w:val="22"/>
                <w:szCs w:val="22"/>
                <w:color w:val="auto"/>
              </w:rPr>
            </w:pPr>
          </w:p>
        </w:tc>
        <w:tc>
          <w:tcPr>
            <w:tcW w:w="100" w:type="dxa"/>
            <w:vAlign w:val="bottom"/>
            <w:shd w:val="clear" w:color="auto" w:fill="E5E5E5"/>
          </w:tcPr>
          <w:p>
            <w:pPr>
              <w:spacing w:after="0"/>
              <w:rPr>
                <w:sz w:val="22"/>
                <w:szCs w:val="22"/>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Payouts of cash incentives based on the performance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measures above can be increased or decreased by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up to 10%, depending on achievement calculated</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shd w:val="clear" w:color="auto" w:fill="E5E5E5"/>
          </w:tcPr>
          <w:p>
            <w:pPr>
              <w:spacing w:after="0"/>
              <w:rPr>
                <w:sz w:val="16"/>
                <w:szCs w:val="16"/>
                <w:color w:val="auto"/>
              </w:rPr>
            </w:pPr>
          </w:p>
        </w:tc>
        <w:tc>
          <w:tcPr>
            <w:tcW w:w="100" w:type="dxa"/>
            <w:vAlign w:val="bottom"/>
            <w:shd w:val="clear" w:color="auto" w:fill="E5E5E5"/>
          </w:tcPr>
          <w:p>
            <w:pPr>
              <w:spacing w:after="0"/>
              <w:rPr>
                <w:sz w:val="16"/>
                <w:szCs w:val="16"/>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using the sustainability scorecard.</w:t>
            </w:r>
          </w:p>
        </w:tc>
        <w:tc>
          <w:tcPr>
            <w:tcW w:w="0" w:type="dxa"/>
            <w:vAlign w:val="bottom"/>
          </w:tcPr>
          <w:p>
            <w:pPr>
              <w:spacing w:after="0"/>
              <w:rPr>
                <w:sz w:val="1"/>
                <w:szCs w:val="1"/>
                <w:color w:val="auto"/>
              </w:rPr>
            </w:pPr>
          </w:p>
        </w:tc>
      </w:tr>
      <w:tr>
        <w:trPr>
          <w:trHeight w:val="269"/>
        </w:trPr>
        <w:tc>
          <w:tcPr>
            <w:tcW w:w="40" w:type="dxa"/>
            <w:vAlign w:val="bottom"/>
          </w:tcPr>
          <w:p>
            <w:pPr>
              <w:spacing w:after="0"/>
              <w:rPr>
                <w:sz w:val="23"/>
                <w:szCs w:val="23"/>
                <w:color w:val="auto"/>
              </w:rPr>
            </w:pPr>
          </w:p>
        </w:tc>
        <w:tc>
          <w:tcPr>
            <w:tcW w:w="1140" w:type="dxa"/>
            <w:vAlign w:val="bottom"/>
            <w:shd w:val="clear" w:color="auto" w:fill="E5E5E5"/>
          </w:tcPr>
          <w:p>
            <w:pPr>
              <w:spacing w:after="0"/>
              <w:rPr>
                <w:sz w:val="23"/>
                <w:szCs w:val="23"/>
                <w:color w:val="auto"/>
              </w:rPr>
            </w:pPr>
          </w:p>
        </w:tc>
        <w:tc>
          <w:tcPr>
            <w:tcW w:w="280" w:type="dxa"/>
            <w:vAlign w:val="bottom"/>
            <w:shd w:val="clear" w:color="auto" w:fill="E5E5E5"/>
          </w:tcPr>
          <w:p>
            <w:pPr>
              <w:spacing w:after="0"/>
              <w:rPr>
                <w:sz w:val="23"/>
                <w:szCs w:val="23"/>
                <w:color w:val="auto"/>
              </w:rPr>
            </w:pPr>
          </w:p>
        </w:tc>
        <w:tc>
          <w:tcPr>
            <w:tcW w:w="1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900" w:type="dxa"/>
            <w:vAlign w:val="bottom"/>
            <w:shd w:val="clear" w:color="auto" w:fill="E5E5E5"/>
          </w:tcPr>
          <w:p>
            <w:pPr>
              <w:spacing w:after="0"/>
              <w:rPr>
                <w:sz w:val="23"/>
                <w:szCs w:val="23"/>
                <w:color w:val="auto"/>
              </w:rPr>
            </w:pPr>
          </w:p>
        </w:tc>
        <w:tc>
          <w:tcPr>
            <w:tcW w:w="100" w:type="dxa"/>
            <w:vAlign w:val="bottom"/>
            <w:shd w:val="clear" w:color="auto" w:fill="E5E5E5"/>
          </w:tcPr>
          <w:p>
            <w:pPr>
              <w:spacing w:after="0"/>
              <w:rPr>
                <w:sz w:val="23"/>
                <w:szCs w:val="23"/>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The MD&amp;C Committee has discretion to increase or</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shd w:val="clear" w:color="auto" w:fill="E5E5E5"/>
          </w:tcPr>
          <w:p>
            <w:pPr>
              <w:spacing w:after="0"/>
              <w:rPr>
                <w:sz w:val="14"/>
                <w:szCs w:val="14"/>
                <w:color w:val="auto"/>
              </w:rPr>
            </w:pPr>
          </w:p>
        </w:tc>
        <w:tc>
          <w:tcPr>
            <w:tcW w:w="280" w:type="dxa"/>
            <w:vAlign w:val="bottom"/>
            <w:shd w:val="clear" w:color="auto" w:fill="E5E5E5"/>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shd w:val="clear" w:color="auto" w:fill="E5E5E5"/>
          </w:tcPr>
          <w:p>
            <w:pPr>
              <w:spacing w:after="0"/>
              <w:rPr>
                <w:sz w:val="14"/>
                <w:szCs w:val="14"/>
                <w:color w:val="auto"/>
              </w:rPr>
            </w:pPr>
          </w:p>
        </w:tc>
        <w:tc>
          <w:tcPr>
            <w:tcW w:w="100" w:type="dxa"/>
            <w:vAlign w:val="bottom"/>
            <w:shd w:val="clear" w:color="auto" w:fill="E5E5E5"/>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decrease an individual’s cash incentive payment by</w:t>
            </w:r>
          </w:p>
        </w:tc>
        <w:tc>
          <w:tcPr>
            <w:tcW w:w="0" w:type="dxa"/>
            <w:vAlign w:val="bottom"/>
          </w:tcPr>
          <w:p>
            <w:pPr>
              <w:spacing w:after="0"/>
              <w:rPr>
                <w:sz w:val="1"/>
                <w:szCs w:val="1"/>
                <w:color w:val="auto"/>
              </w:rPr>
            </w:pPr>
          </w:p>
        </w:tc>
      </w:tr>
      <w:tr>
        <w:trPr>
          <w:trHeight w:val="194"/>
        </w:trPr>
        <w:tc>
          <w:tcPr>
            <w:tcW w:w="40" w:type="dxa"/>
            <w:vAlign w:val="bottom"/>
            <w:tcBorders>
              <w:bottom w:val="single" w:sz="8" w:color="457157"/>
            </w:tcBorders>
          </w:tcPr>
          <w:p>
            <w:pPr>
              <w:spacing w:after="0"/>
              <w:rPr>
                <w:sz w:val="16"/>
                <w:szCs w:val="16"/>
                <w:color w:val="auto"/>
              </w:rPr>
            </w:pPr>
          </w:p>
        </w:tc>
        <w:tc>
          <w:tcPr>
            <w:tcW w:w="1140" w:type="dxa"/>
            <w:vAlign w:val="bottom"/>
            <w:tcBorders>
              <w:bottom w:val="single" w:sz="8" w:color="457157"/>
            </w:tcBorders>
            <w:shd w:val="clear" w:color="auto" w:fill="E5E5E5"/>
          </w:tcPr>
          <w:p>
            <w:pPr>
              <w:spacing w:after="0"/>
              <w:rPr>
                <w:sz w:val="16"/>
                <w:szCs w:val="16"/>
                <w:color w:val="auto"/>
              </w:rPr>
            </w:pPr>
          </w:p>
        </w:tc>
        <w:tc>
          <w:tcPr>
            <w:tcW w:w="280" w:type="dxa"/>
            <w:vAlign w:val="bottom"/>
            <w:tcBorders>
              <w:bottom w:val="single" w:sz="8" w:color="457157"/>
            </w:tcBorders>
            <w:shd w:val="clear" w:color="auto" w:fill="E5E5E5"/>
          </w:tcPr>
          <w:p>
            <w:pPr>
              <w:spacing w:after="0"/>
              <w:rPr>
                <w:sz w:val="16"/>
                <w:szCs w:val="16"/>
                <w:color w:val="auto"/>
              </w:rPr>
            </w:pPr>
          </w:p>
        </w:tc>
        <w:tc>
          <w:tcPr>
            <w:tcW w:w="1240" w:type="dxa"/>
            <w:vAlign w:val="bottom"/>
            <w:tcBorders>
              <w:bottom w:val="single" w:sz="8" w:color="457157"/>
            </w:tcBorders>
          </w:tcPr>
          <w:p>
            <w:pPr>
              <w:spacing w:after="0"/>
              <w:rPr>
                <w:sz w:val="16"/>
                <w:szCs w:val="16"/>
                <w:color w:val="auto"/>
              </w:rPr>
            </w:pPr>
          </w:p>
        </w:tc>
        <w:tc>
          <w:tcPr>
            <w:tcW w:w="380" w:type="dxa"/>
            <w:vAlign w:val="bottom"/>
            <w:tcBorders>
              <w:bottom w:val="single" w:sz="8" w:color="457157"/>
            </w:tcBorders>
          </w:tcPr>
          <w:p>
            <w:pPr>
              <w:spacing w:after="0"/>
              <w:rPr>
                <w:sz w:val="16"/>
                <w:szCs w:val="16"/>
                <w:color w:val="auto"/>
              </w:rPr>
            </w:pPr>
          </w:p>
        </w:tc>
        <w:tc>
          <w:tcPr>
            <w:tcW w:w="1900" w:type="dxa"/>
            <w:vAlign w:val="bottom"/>
            <w:tcBorders>
              <w:bottom w:val="single" w:sz="8" w:color="457157"/>
            </w:tcBorders>
            <w:shd w:val="clear" w:color="auto" w:fill="E5E5E5"/>
          </w:tcPr>
          <w:p>
            <w:pPr>
              <w:spacing w:after="0"/>
              <w:rPr>
                <w:sz w:val="16"/>
                <w:szCs w:val="16"/>
                <w:color w:val="auto"/>
              </w:rPr>
            </w:pPr>
          </w:p>
        </w:tc>
        <w:tc>
          <w:tcPr>
            <w:tcW w:w="100" w:type="dxa"/>
            <w:vAlign w:val="bottom"/>
            <w:tcBorders>
              <w:bottom w:val="single" w:sz="8" w:color="457157"/>
            </w:tcBorders>
            <w:shd w:val="clear" w:color="auto" w:fill="E5E5E5"/>
          </w:tcPr>
          <w:p>
            <w:pPr>
              <w:spacing w:after="0"/>
              <w:rPr>
                <w:sz w:val="16"/>
                <w:szCs w:val="16"/>
                <w:color w:val="auto"/>
              </w:rPr>
            </w:pPr>
          </w:p>
        </w:tc>
        <w:tc>
          <w:tcPr>
            <w:tcW w:w="3980" w:type="dxa"/>
            <w:vAlign w:val="bottom"/>
            <w:tcBorders>
              <w:bottom w:val="single" w:sz="8" w:color="457157"/>
            </w:tcBorders>
            <w:gridSpan w:val="2"/>
          </w:tcPr>
          <w:p>
            <w:pPr>
              <w:ind w:left="120"/>
              <w:spacing w:after="0"/>
              <w:rPr>
                <w:sz w:val="20"/>
                <w:szCs w:val="20"/>
                <w:color w:val="auto"/>
              </w:rPr>
            </w:pPr>
            <w:r>
              <w:rPr>
                <w:rFonts w:ascii="Arial" w:cs="Arial" w:eastAsia="Arial" w:hAnsi="Arial"/>
                <w:sz w:val="14"/>
                <w:szCs w:val="14"/>
                <w:color w:val="auto"/>
              </w:rPr>
              <w:t>up to 25% based on individual performance.</w:t>
            </w:r>
          </w:p>
        </w:tc>
        <w:tc>
          <w:tcPr>
            <w:tcW w:w="0" w:type="dxa"/>
            <w:vAlign w:val="bottom"/>
          </w:tcPr>
          <w:p>
            <w:pPr>
              <w:spacing w:after="0"/>
              <w:rPr>
                <w:sz w:val="1"/>
                <w:szCs w:val="1"/>
                <w:color w:val="auto"/>
              </w:rPr>
            </w:pPr>
          </w:p>
        </w:tc>
      </w:tr>
      <w:tr>
        <w:trPr>
          <w:trHeight w:val="150"/>
        </w:trPr>
        <w:tc>
          <w:tcPr>
            <w:tcW w:w="40" w:type="dxa"/>
            <w:vAlign w:val="bottom"/>
          </w:tcPr>
          <w:p>
            <w:pPr>
              <w:spacing w:after="0" w:line="151" w:lineRule="exact"/>
              <w:rPr>
                <w:sz w:val="20"/>
                <w:szCs w:val="20"/>
                <w:color w:val="auto"/>
              </w:rPr>
            </w:pPr>
            <w:r>
              <w:rPr>
                <w:rFonts w:ascii="Arial" w:cs="Arial" w:eastAsia="Arial" w:hAnsi="Arial"/>
                <w:sz w:val="14"/>
                <w:szCs w:val="14"/>
                <w:color w:val="auto"/>
              </w:rPr>
              <w:t>​</w:t>
            </w:r>
          </w:p>
        </w:tc>
        <w:tc>
          <w:tcPr>
            <w:tcW w:w="1140" w:type="dxa"/>
            <w:vAlign w:val="bottom"/>
          </w:tcPr>
          <w:p>
            <w:pPr>
              <w:ind w:left="20"/>
              <w:spacing w:after="0" w:line="151" w:lineRule="exact"/>
              <w:rPr>
                <w:sz w:val="20"/>
                <w:szCs w:val="20"/>
                <w:color w:val="auto"/>
              </w:rPr>
            </w:pPr>
            <w:r>
              <w:rPr>
                <w:rFonts w:ascii="Arial" w:cs="Arial" w:eastAsia="Arial" w:hAnsi="Arial"/>
                <w:sz w:val="14"/>
                <w:szCs w:val="14"/>
                <w:b w:val="1"/>
                <w:bCs w:val="1"/>
                <w:color w:val="auto"/>
              </w:rPr>
              <w:t>Long-Term</w:t>
            </w:r>
          </w:p>
        </w:tc>
        <w:tc>
          <w:tcPr>
            <w:tcW w:w="280" w:type="dxa"/>
            <w:vAlign w:val="bottom"/>
          </w:tcPr>
          <w:p>
            <w:pPr>
              <w:ind w:left="160"/>
              <w:spacing w:after="0" w:line="151" w:lineRule="exact"/>
              <w:rPr>
                <w:sz w:val="20"/>
                <w:szCs w:val="20"/>
                <w:color w:val="auto"/>
              </w:rPr>
            </w:pPr>
            <w:r>
              <w:rPr>
                <w:rFonts w:ascii="Arial" w:cs="Arial" w:eastAsia="Arial" w:hAnsi="Arial"/>
                <w:sz w:val="14"/>
                <w:szCs w:val="14"/>
                <w:color w:val="auto"/>
              </w:rPr>
              <w:t>​</w:t>
            </w:r>
          </w:p>
        </w:tc>
        <w:tc>
          <w:tcPr>
            <w:tcW w:w="1240" w:type="dxa"/>
            <w:vAlign w:val="bottom"/>
          </w:tcPr>
          <w:p>
            <w:pPr>
              <w:spacing w:after="0" w:line="151" w:lineRule="exact"/>
              <w:rPr>
                <w:sz w:val="20"/>
                <w:szCs w:val="20"/>
                <w:color w:val="auto"/>
              </w:rPr>
            </w:pPr>
            <w:r>
              <w:rPr>
                <w:rFonts w:ascii="Arial" w:cs="Arial" w:eastAsia="Arial" w:hAnsi="Arial"/>
                <w:sz w:val="14"/>
                <w:szCs w:val="14"/>
                <w:color w:val="auto"/>
              </w:rPr>
              <w:t>​ Performance</w:t>
            </w:r>
          </w:p>
        </w:tc>
        <w:tc>
          <w:tcPr>
            <w:tcW w:w="380" w:type="dxa"/>
            <w:vAlign w:val="bottom"/>
          </w:tcPr>
          <w:p>
            <w:pPr>
              <w:ind w:left="160"/>
              <w:spacing w:after="0" w:line="151" w:lineRule="exact"/>
              <w:rPr>
                <w:sz w:val="20"/>
                <w:szCs w:val="20"/>
                <w:color w:val="auto"/>
              </w:rPr>
            </w:pPr>
            <w:r>
              <w:rPr>
                <w:rFonts w:ascii="Arial" w:cs="Arial" w:eastAsia="Arial" w:hAnsi="Arial"/>
                <w:sz w:val="14"/>
                <w:szCs w:val="14"/>
                <w:color w:val="auto"/>
              </w:rPr>
              <w:t>​ ​</w:t>
            </w:r>
          </w:p>
        </w:tc>
        <w:tc>
          <w:tcPr>
            <w:tcW w:w="1900" w:type="dxa"/>
            <w:vAlign w:val="bottom"/>
          </w:tcPr>
          <w:p>
            <w:pPr>
              <w:spacing w:after="0" w:line="151" w:lineRule="exact"/>
              <w:rPr>
                <w:sz w:val="20"/>
                <w:szCs w:val="20"/>
                <w:color w:val="auto"/>
              </w:rPr>
            </w:pPr>
            <w:r>
              <w:rPr>
                <w:rFonts w:ascii="Arial" w:cs="Arial" w:eastAsia="Arial" w:hAnsi="Arial"/>
                <w:sz w:val="14"/>
                <w:szCs w:val="14"/>
                <w:color w:val="auto"/>
              </w:rPr>
              <w:t>To encourage and reward</w:t>
            </w:r>
          </w:p>
        </w:tc>
        <w:tc>
          <w:tcPr>
            <w:tcW w:w="100" w:type="dxa"/>
            <w:vAlign w:val="bottom"/>
          </w:tcPr>
          <w:p>
            <w:pPr>
              <w:spacing w:after="0" w:line="151" w:lineRule="exact"/>
              <w:rPr>
                <w:sz w:val="20"/>
                <w:szCs w:val="20"/>
                <w:color w:val="auto"/>
              </w:rPr>
            </w:pPr>
            <w:r>
              <w:rPr>
                <w:rFonts w:ascii="Arial" w:cs="Arial" w:eastAsia="Arial" w:hAnsi="Arial"/>
                <w:sz w:val="14"/>
                <w:szCs w:val="14"/>
                <w:color w:val="auto"/>
              </w:rPr>
              <w:t>​</w:t>
            </w:r>
          </w:p>
        </w:tc>
        <w:tc>
          <w:tcPr>
            <w:tcW w:w="3980" w:type="dxa"/>
            <w:vAlign w:val="bottom"/>
            <w:gridSpan w:val="2"/>
          </w:tcPr>
          <w:p>
            <w:pPr>
              <w:spacing w:after="0" w:line="151" w:lineRule="exact"/>
              <w:rPr>
                <w:sz w:val="20"/>
                <w:szCs w:val="20"/>
                <w:color w:val="auto"/>
              </w:rPr>
            </w:pPr>
            <w:r>
              <w:rPr>
                <w:rFonts w:ascii="Arial" w:cs="Arial" w:eastAsia="Arial" w:hAnsi="Arial"/>
                <w:sz w:val="14"/>
                <w:szCs w:val="14"/>
                <w:color w:val="auto"/>
              </w:rPr>
              <w:t>​ Number of shares delivered range from zero to 200% ​</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Performance</w:t>
            </w:r>
          </w:p>
        </w:tc>
        <w:tc>
          <w:tcPr>
            <w:tcW w:w="280" w:type="dxa"/>
            <w:vAlign w:val="bottom"/>
          </w:tcPr>
          <w:p>
            <w:pPr>
              <w:spacing w:after="0"/>
              <w:rPr>
                <w:sz w:val="14"/>
                <w:szCs w:val="14"/>
                <w:color w:val="auto"/>
              </w:rPr>
            </w:pPr>
          </w:p>
        </w:tc>
        <w:tc>
          <w:tcPr>
            <w:tcW w:w="1240" w:type="dxa"/>
            <w:vAlign w:val="bottom"/>
          </w:tcPr>
          <w:p>
            <w:pPr>
              <w:ind w:left="100"/>
              <w:spacing w:after="0"/>
              <w:rPr>
                <w:sz w:val="20"/>
                <w:szCs w:val="20"/>
                <w:color w:val="auto"/>
              </w:rPr>
            </w:pPr>
            <w:r>
              <w:rPr>
                <w:rFonts w:ascii="Arial" w:cs="Arial" w:eastAsia="Arial" w:hAnsi="Arial"/>
                <w:sz w:val="14"/>
                <w:szCs w:val="14"/>
                <w:color w:val="auto"/>
              </w:rPr>
              <w:t>Share Units</w:t>
            </w:r>
          </w:p>
        </w:tc>
        <w:tc>
          <w:tcPr>
            <w:tcW w:w="38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building long-term</w:t>
            </w: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of the initial target grant based on performance over</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4"/>
                <w:szCs w:val="14"/>
                <w:b w:val="1"/>
                <w:bCs w:val="1"/>
                <w:color w:val="auto"/>
              </w:rPr>
              <w:t>Incentives</w:t>
            </w: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stockholder value through</w:t>
            </w: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a three-year performance period.</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successful strategy</w:t>
            </w:r>
          </w:p>
        </w:tc>
        <w:tc>
          <w:tcPr>
            <w:tcW w:w="100" w:type="dxa"/>
            <w:vAlign w:val="bottom"/>
          </w:tcPr>
          <w:p>
            <w:pPr>
              <w:spacing w:after="0"/>
              <w:rPr>
                <w:sz w:val="14"/>
                <w:szCs w:val="14"/>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Payout on half of each executive’s PSUs granted in</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00" w:type="dxa"/>
            <w:vAlign w:val="bottom"/>
            <w:vMerge w:val="restart"/>
          </w:tcPr>
          <w:p>
            <w:pPr>
              <w:spacing w:after="0"/>
              <w:rPr>
                <w:sz w:val="20"/>
                <w:szCs w:val="20"/>
                <w:color w:val="auto"/>
              </w:rPr>
            </w:pPr>
            <w:r>
              <w:rPr>
                <w:rFonts w:ascii="Arial" w:cs="Arial" w:eastAsia="Arial" w:hAnsi="Arial"/>
                <w:sz w:val="14"/>
                <w:szCs w:val="14"/>
                <w:color w:val="auto"/>
              </w:rPr>
              <w:t>execution;</w:t>
            </w:r>
          </w:p>
        </w:tc>
        <w:tc>
          <w:tcPr>
            <w:tcW w:w="100" w:type="dxa"/>
            <w:vAlign w:val="bottom"/>
          </w:tcPr>
          <w:p>
            <w:pPr>
              <w:spacing w:after="0"/>
              <w:rPr>
                <w:sz w:val="9"/>
                <w:szCs w:val="9"/>
                <w:color w:val="auto"/>
              </w:rPr>
            </w:pPr>
          </w:p>
        </w:tc>
        <w:tc>
          <w:tcPr>
            <w:tcW w:w="3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9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2024 is dependent on cash flow generation, defined</w:t>
            </w: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9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To retain executives; and</w:t>
            </w: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as net cash flow provided by operating activities, less</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vMerge w:val="restart"/>
          </w:tcPr>
          <w:p>
            <w:pPr>
              <w:spacing w:after="0"/>
              <w:rPr>
                <w:sz w:val="20"/>
                <w:szCs w:val="20"/>
                <w:color w:val="auto"/>
              </w:rPr>
            </w:pPr>
            <w:r>
              <w:rPr>
                <w:rFonts w:ascii="Arial" w:cs="Arial" w:eastAsia="Arial" w:hAnsi="Arial"/>
                <w:sz w:val="14"/>
                <w:szCs w:val="14"/>
                <w:color w:val="auto"/>
              </w:rPr>
              <w:t>To increase stockholder</w:t>
            </w: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capital expenditures, with certain exclusions, which</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continues our focus on capital discipline, while also</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900" w:type="dxa"/>
            <w:vAlign w:val="bottom"/>
            <w:vMerge w:val="restart"/>
          </w:tcPr>
          <w:p>
            <w:pPr>
              <w:spacing w:after="0"/>
              <w:rPr>
                <w:sz w:val="20"/>
                <w:szCs w:val="20"/>
                <w:color w:val="auto"/>
              </w:rPr>
            </w:pPr>
            <w:r>
              <w:rPr>
                <w:rFonts w:ascii="Arial" w:cs="Arial" w:eastAsia="Arial" w:hAnsi="Arial"/>
                <w:sz w:val="14"/>
                <w:szCs w:val="14"/>
                <w:color w:val="auto"/>
              </w:rPr>
              <w:t>alignment through</w:t>
            </w:r>
          </w:p>
        </w:tc>
        <w:tc>
          <w:tcPr>
            <w:tcW w:w="100" w:type="dxa"/>
            <w:vAlign w:val="bottom"/>
          </w:tcPr>
          <w:p>
            <w:pPr>
              <w:spacing w:after="0"/>
              <w:rPr>
                <w:sz w:val="4"/>
                <w:szCs w:val="4"/>
                <w:color w:val="auto"/>
              </w:rPr>
            </w:pPr>
          </w:p>
        </w:tc>
        <w:tc>
          <w:tcPr>
            <w:tcW w:w="3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aligning the Company with stockholders’ free cash</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900" w:type="dxa"/>
            <w:vAlign w:val="bottom"/>
            <w:vMerge w:val="restart"/>
          </w:tcPr>
          <w:p>
            <w:pPr>
              <w:spacing w:after="0"/>
              <w:rPr>
                <w:sz w:val="20"/>
                <w:szCs w:val="20"/>
                <w:color w:val="auto"/>
              </w:rPr>
            </w:pPr>
            <w:r>
              <w:rPr>
                <w:rFonts w:ascii="Arial" w:cs="Arial" w:eastAsia="Arial" w:hAnsi="Arial"/>
                <w:sz w:val="14"/>
                <w:szCs w:val="14"/>
                <w:color w:val="auto"/>
              </w:rPr>
              <w:t>executives’ stock</w:t>
            </w:r>
          </w:p>
        </w:tc>
        <w:tc>
          <w:tcPr>
            <w:tcW w:w="100" w:type="dxa"/>
            <w:vAlign w:val="bottom"/>
          </w:tcPr>
          <w:p>
            <w:pPr>
              <w:spacing w:after="0"/>
              <w:rPr>
                <w:sz w:val="4"/>
                <w:szCs w:val="4"/>
                <w:color w:val="auto"/>
              </w:rPr>
            </w:pPr>
          </w:p>
        </w:tc>
        <w:tc>
          <w:tcPr>
            <w:tcW w:w="3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flow expectations. We refer to these as Cash Flow</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900" w:type="dxa"/>
            <w:vAlign w:val="bottom"/>
            <w:vMerge w:val="restart"/>
          </w:tcPr>
          <w:p>
            <w:pPr>
              <w:spacing w:after="0"/>
              <w:rPr>
                <w:sz w:val="20"/>
                <w:szCs w:val="20"/>
                <w:color w:val="auto"/>
              </w:rPr>
            </w:pPr>
            <w:r>
              <w:rPr>
                <w:rFonts w:ascii="Arial" w:cs="Arial" w:eastAsia="Arial" w:hAnsi="Arial"/>
                <w:sz w:val="14"/>
                <w:szCs w:val="14"/>
                <w:color w:val="auto"/>
              </w:rPr>
              <w:t>ownership</w:t>
            </w:r>
          </w:p>
        </w:tc>
        <w:tc>
          <w:tcPr>
            <w:tcW w:w="100" w:type="dxa"/>
            <w:vAlign w:val="bottom"/>
          </w:tcPr>
          <w:p>
            <w:pPr>
              <w:spacing w:after="0"/>
              <w:rPr>
                <w:sz w:val="4"/>
                <w:szCs w:val="4"/>
                <w:color w:val="auto"/>
              </w:rPr>
            </w:pPr>
          </w:p>
        </w:tc>
        <w:tc>
          <w:tcPr>
            <w:tcW w:w="3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PSUs.</w:t>
            </w: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9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Payout on the remaining half of the PSUs granted in</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2024 is dependent on total shareholder return relative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to other companies in the S&amp;P 500 over the three-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year performance period. We refer to these as TSR</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PSUs.</w:t>
            </w:r>
          </w:p>
        </w:tc>
        <w:tc>
          <w:tcPr>
            <w:tcW w:w="0" w:type="dxa"/>
            <w:vAlign w:val="bottom"/>
          </w:tcPr>
          <w:p>
            <w:pPr>
              <w:spacing w:after="0"/>
              <w:rPr>
                <w:sz w:val="1"/>
                <w:szCs w:val="1"/>
                <w:color w:val="auto"/>
              </w:rPr>
            </w:pPr>
          </w:p>
        </w:tc>
      </w:tr>
      <w:tr>
        <w:trPr>
          <w:trHeight w:val="242"/>
        </w:trPr>
        <w:tc>
          <w:tcPr>
            <w:tcW w:w="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PSUs earn dividend equivalents that are paid at the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end of the performance period based on the number</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of shares earned. Recipients can defer the receipt of</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shares, in which case such shares of Common Stock</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will be paid out, without interest, at the end of the</w:t>
            </w:r>
          </w:p>
        </w:tc>
        <w:tc>
          <w:tcPr>
            <w:tcW w:w="0" w:type="dxa"/>
            <w:vAlign w:val="bottom"/>
          </w:tcPr>
          <w:p>
            <w:pPr>
              <w:spacing w:after="0"/>
              <w:rPr>
                <w:sz w:val="1"/>
                <w:szCs w:val="1"/>
                <w:color w:val="auto"/>
              </w:rPr>
            </w:pPr>
          </w:p>
        </w:tc>
      </w:tr>
      <w:tr>
        <w:trPr>
          <w:trHeight w:val="190"/>
        </w:trPr>
        <w:tc>
          <w:tcPr>
            <w:tcW w:w="118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deferral period.</w:t>
            </w:r>
          </w:p>
        </w:tc>
        <w:tc>
          <w:tcPr>
            <w:tcW w:w="0" w:type="dxa"/>
            <w:vAlign w:val="bottom"/>
          </w:tcPr>
          <w:p>
            <w:pPr>
              <w:spacing w:after="0"/>
              <w:rPr>
                <w:sz w:val="1"/>
                <w:szCs w:val="1"/>
                <w:color w:val="auto"/>
              </w:rPr>
            </w:pPr>
          </w:p>
        </w:tc>
      </w:tr>
      <w:tr>
        <w:trPr>
          <w:trHeight w:val="22"/>
        </w:trPr>
        <w:tc>
          <w:tcPr>
            <w:tcW w:w="1180" w:type="dxa"/>
            <w:vAlign w:val="bottom"/>
            <w:gridSpan w:val="2"/>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1240" w:type="dxa"/>
            <w:vAlign w:val="bottom"/>
            <w:tcBorders>
              <w:bottom w:val="single" w:sz="8" w:color="457157"/>
            </w:tcBorders>
          </w:tcPr>
          <w:p>
            <w:pPr>
              <w:spacing w:after="0" w:line="20" w:lineRule="exact"/>
              <w:rPr>
                <w:sz w:val="1"/>
                <w:szCs w:val="1"/>
                <w:color w:val="auto"/>
              </w:rPr>
            </w:pPr>
          </w:p>
        </w:tc>
        <w:tc>
          <w:tcPr>
            <w:tcW w:w="2280" w:type="dxa"/>
            <w:vAlign w:val="bottom"/>
            <w:tcBorders>
              <w:bottom w:val="single" w:sz="8" w:color="457157"/>
            </w:tcBorders>
            <w:gridSpan w:val="2"/>
          </w:tcPr>
          <w:p>
            <w:pPr>
              <w:spacing w:after="0" w:line="20" w:lineRule="exact"/>
              <w:rPr>
                <w:sz w:val="1"/>
                <w:szCs w:val="1"/>
                <w:color w:val="auto"/>
              </w:rPr>
            </w:pPr>
          </w:p>
        </w:tc>
        <w:tc>
          <w:tcPr>
            <w:tcW w:w="4080" w:type="dxa"/>
            <w:vAlign w:val="bottom"/>
            <w:tcBorders>
              <w:bottom w:val="single" w:sz="8" w:color="457157"/>
            </w:tcBorders>
            <w:gridSpan w:val="3"/>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3"/>
        </w:trPr>
        <w:tc>
          <w:tcPr>
            <w:tcW w:w="1180" w:type="dxa"/>
            <w:vAlign w:val="bottom"/>
            <w:gridSpan w:val="2"/>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1240" w:type="dxa"/>
            <w:vAlign w:val="bottom"/>
          </w:tcPr>
          <w:p>
            <w:pPr>
              <w:spacing w:after="0" w:line="133" w:lineRule="exact"/>
              <w:rPr>
                <w:sz w:val="20"/>
                <w:szCs w:val="20"/>
                <w:color w:val="auto"/>
              </w:rPr>
            </w:pPr>
            <w:r>
              <w:rPr>
                <w:rFonts w:ascii="Arial" w:cs="Arial" w:eastAsia="Arial" w:hAnsi="Arial"/>
                <w:sz w:val="14"/>
                <w:szCs w:val="14"/>
                <w:color w:val="auto"/>
              </w:rPr>
              <w:t>​ Stock Options</w:t>
            </w:r>
          </w:p>
        </w:tc>
        <w:tc>
          <w:tcPr>
            <w:tcW w:w="2280" w:type="dxa"/>
            <w:vAlign w:val="bottom"/>
            <w:gridSpan w:val="2"/>
          </w:tcPr>
          <w:p>
            <w:pPr>
              <w:ind w:left="160"/>
              <w:spacing w:after="0" w:line="133" w:lineRule="exact"/>
              <w:rPr>
                <w:sz w:val="20"/>
                <w:szCs w:val="20"/>
                <w:color w:val="auto"/>
              </w:rPr>
            </w:pPr>
            <w:r>
              <w:rPr>
                <w:rFonts w:ascii="Arial" w:cs="Arial" w:eastAsia="Arial" w:hAnsi="Arial"/>
                <w:sz w:val="14"/>
                <w:szCs w:val="14"/>
                <w:color w:val="auto"/>
              </w:rPr>
              <w:t>​ ​ To support the growth</w:t>
            </w:r>
          </w:p>
        </w:tc>
        <w:tc>
          <w:tcPr>
            <w:tcW w:w="4080" w:type="dxa"/>
            <w:vAlign w:val="bottom"/>
            <w:gridSpan w:val="3"/>
          </w:tcPr>
          <w:p>
            <w:pPr>
              <w:spacing w:after="0" w:line="133" w:lineRule="exact"/>
              <w:rPr>
                <w:sz w:val="20"/>
                <w:szCs w:val="20"/>
                <w:color w:val="auto"/>
              </w:rPr>
            </w:pPr>
            <w:r>
              <w:rPr>
                <w:rFonts w:ascii="Arial" w:cs="Arial" w:eastAsia="Arial" w:hAnsi="Arial"/>
                <w:sz w:val="14"/>
                <w:szCs w:val="14"/>
                <w:color w:val="auto"/>
              </w:rPr>
              <w:t>​ ​ Stock options granted in 2024 vest ratably in three   ​</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element of the Company’s</w:t>
            </w:r>
          </w:p>
        </w:tc>
        <w:tc>
          <w:tcPr>
            <w:tcW w:w="100" w:type="dxa"/>
            <w:vAlign w:val="bottom"/>
          </w:tcPr>
          <w:p>
            <w:pPr>
              <w:spacing w:after="0"/>
              <w:rPr>
                <w:sz w:val="14"/>
                <w:szCs w:val="14"/>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annual increments, beginning on the first anniversary</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strategy and encourage</w:t>
            </w:r>
          </w:p>
        </w:tc>
        <w:tc>
          <w:tcPr>
            <w:tcW w:w="100" w:type="dxa"/>
            <w:vAlign w:val="bottom"/>
          </w:tcPr>
          <w:p>
            <w:pPr>
              <w:spacing w:after="0"/>
              <w:rPr>
                <w:sz w:val="15"/>
                <w:szCs w:val="15"/>
                <w:color w:val="auto"/>
              </w:rPr>
            </w:pPr>
          </w:p>
        </w:tc>
        <w:tc>
          <w:tcPr>
            <w:tcW w:w="3980" w:type="dxa"/>
            <w:vAlign w:val="bottom"/>
            <w:gridSpan w:val="2"/>
          </w:tcPr>
          <w:p>
            <w:pPr>
              <w:ind w:left="120"/>
              <w:spacing w:after="0"/>
              <w:rPr>
                <w:sz w:val="20"/>
                <w:szCs w:val="20"/>
                <w:color w:val="auto"/>
              </w:rPr>
            </w:pPr>
            <w:r>
              <w:rPr>
                <w:rFonts w:ascii="Arial" w:cs="Arial" w:eastAsia="Arial" w:hAnsi="Arial"/>
                <w:sz w:val="14"/>
                <w:szCs w:val="14"/>
                <w:color w:val="auto"/>
              </w:rPr>
              <w:t>of the date of grant.</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and reward stock price</w:t>
            </w:r>
          </w:p>
        </w:tc>
        <w:tc>
          <w:tcPr>
            <w:tcW w:w="100" w:type="dxa"/>
            <w:vAlign w:val="bottom"/>
          </w:tcPr>
          <w:p>
            <w:pPr>
              <w:spacing w:after="0"/>
              <w:rPr>
                <w:sz w:val="14"/>
                <w:szCs w:val="14"/>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The option exercise price is the average of the high</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00" w:type="dxa"/>
            <w:vAlign w:val="bottom"/>
            <w:vMerge w:val="restart"/>
          </w:tcPr>
          <w:p>
            <w:pPr>
              <w:spacing w:after="0"/>
              <w:rPr>
                <w:sz w:val="20"/>
                <w:szCs w:val="20"/>
                <w:color w:val="auto"/>
              </w:rPr>
            </w:pPr>
            <w:r>
              <w:rPr>
                <w:rFonts w:ascii="Arial" w:cs="Arial" w:eastAsia="Arial" w:hAnsi="Arial"/>
                <w:sz w:val="14"/>
                <w:szCs w:val="14"/>
                <w:color w:val="auto"/>
              </w:rPr>
              <w:t>appreciation over the long-</w:t>
            </w:r>
          </w:p>
        </w:tc>
        <w:tc>
          <w:tcPr>
            <w:tcW w:w="100" w:type="dxa"/>
            <w:vAlign w:val="bottom"/>
          </w:tcPr>
          <w:p>
            <w:pPr>
              <w:spacing w:after="0"/>
              <w:rPr>
                <w:sz w:val="9"/>
                <w:szCs w:val="9"/>
                <w:color w:val="auto"/>
              </w:rPr>
            </w:pPr>
          </w:p>
        </w:tc>
        <w:tc>
          <w:tcPr>
            <w:tcW w:w="3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and low market price of our Common Stock on the</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00" w:type="dxa"/>
            <w:vAlign w:val="bottom"/>
            <w:vMerge w:val="restart"/>
          </w:tcPr>
          <w:p>
            <w:pPr>
              <w:spacing w:after="0"/>
              <w:rPr>
                <w:sz w:val="20"/>
                <w:szCs w:val="20"/>
                <w:color w:val="auto"/>
              </w:rPr>
            </w:pPr>
            <w:r>
              <w:rPr>
                <w:rFonts w:ascii="Arial" w:cs="Arial" w:eastAsia="Arial" w:hAnsi="Arial"/>
                <w:sz w:val="14"/>
                <w:szCs w:val="14"/>
                <w:color w:val="auto"/>
              </w:rPr>
              <w:t>term;</w:t>
            </w:r>
          </w:p>
        </w:tc>
        <w:tc>
          <w:tcPr>
            <w:tcW w:w="100" w:type="dxa"/>
            <w:vAlign w:val="bottom"/>
          </w:tcPr>
          <w:p>
            <w:pPr>
              <w:spacing w:after="0"/>
              <w:rPr>
                <w:sz w:val="9"/>
                <w:szCs w:val="9"/>
                <w:color w:val="auto"/>
              </w:rPr>
            </w:pPr>
          </w:p>
        </w:tc>
        <w:tc>
          <w:tcPr>
            <w:tcW w:w="3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9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date of grant.</w:t>
            </w: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900" w:type="dxa"/>
            <w:vAlign w:val="bottom"/>
            <w:vMerge w:val="restart"/>
          </w:tcPr>
          <w:p>
            <w:pPr>
              <w:spacing w:after="0"/>
              <w:rPr>
                <w:sz w:val="20"/>
                <w:szCs w:val="20"/>
                <w:color w:val="auto"/>
              </w:rPr>
            </w:pPr>
            <w:r>
              <w:rPr>
                <w:rFonts w:ascii="Arial" w:cs="Arial" w:eastAsia="Arial" w:hAnsi="Arial"/>
                <w:sz w:val="14"/>
                <w:szCs w:val="14"/>
                <w:color w:val="auto"/>
              </w:rPr>
              <w:t>To retain executives; and</w:t>
            </w:r>
          </w:p>
        </w:tc>
        <w:tc>
          <w:tcPr>
            <w:tcW w:w="100" w:type="dxa"/>
            <w:vAlign w:val="bottom"/>
          </w:tcPr>
          <w:p>
            <w:pPr>
              <w:spacing w:after="0"/>
              <w:rPr>
                <w:sz w:val="9"/>
                <w:szCs w:val="9"/>
                <w:color w:val="auto"/>
              </w:rPr>
            </w:pPr>
          </w:p>
        </w:tc>
        <w:tc>
          <w:tcPr>
            <w:tcW w:w="39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gridSpan w:val="2"/>
            <w:vMerge w:val="restart"/>
          </w:tcPr>
          <w:p>
            <w:pPr>
              <w:ind w:left="120"/>
              <w:spacing w:after="0"/>
              <w:rPr>
                <w:sz w:val="20"/>
                <w:szCs w:val="20"/>
                <w:color w:val="auto"/>
              </w:rPr>
            </w:pPr>
            <w:r>
              <w:rPr>
                <w:rFonts w:ascii="Arial" w:cs="Arial" w:eastAsia="Arial" w:hAnsi="Arial"/>
                <w:sz w:val="14"/>
                <w:szCs w:val="14"/>
                <w:color w:val="auto"/>
              </w:rPr>
              <w:t>Stock options have a term of 10 years.</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900" w:type="dxa"/>
            <w:vAlign w:val="bottom"/>
            <w:vMerge w:val="restart"/>
          </w:tcPr>
          <w:p>
            <w:pPr>
              <w:spacing w:after="0"/>
              <w:rPr>
                <w:sz w:val="20"/>
                <w:szCs w:val="20"/>
                <w:color w:val="auto"/>
              </w:rPr>
            </w:pPr>
            <w:r>
              <w:rPr>
                <w:rFonts w:ascii="Arial" w:cs="Arial" w:eastAsia="Arial" w:hAnsi="Arial"/>
                <w:sz w:val="14"/>
                <w:szCs w:val="14"/>
                <w:color w:val="auto"/>
              </w:rPr>
              <w:t>To increase stockholder</w:t>
            </w:r>
          </w:p>
        </w:tc>
        <w:tc>
          <w:tcPr>
            <w:tcW w:w="100" w:type="dxa"/>
            <w:vAlign w:val="bottom"/>
          </w:tcPr>
          <w:p>
            <w:pPr>
              <w:spacing w:after="0"/>
              <w:rPr>
                <w:sz w:val="8"/>
                <w:szCs w:val="8"/>
                <w:color w:val="auto"/>
              </w:rPr>
            </w:pPr>
          </w:p>
        </w:tc>
        <w:tc>
          <w:tcPr>
            <w:tcW w:w="39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alignment through</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executives’ stock</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tcPr>
          <w:p>
            <w:pPr>
              <w:spacing w:after="0"/>
              <w:rPr>
                <w:sz w:val="20"/>
                <w:szCs w:val="20"/>
                <w:color w:val="auto"/>
              </w:rPr>
            </w:pPr>
            <w:r>
              <w:rPr>
                <w:rFonts w:ascii="Arial" w:cs="Arial" w:eastAsia="Arial" w:hAnsi="Arial"/>
                <w:sz w:val="14"/>
                <w:szCs w:val="14"/>
                <w:color w:val="auto"/>
              </w:rPr>
              <w:t>ownership</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940"/>
          </w:cols>
          <w:pgMar w:left="580" w:top="97" w:right="1379" w:bottom="1440" w:gutter="0" w:footer="0" w:header="0"/>
          <w:type w:val="continuous"/>
        </w:sectPr>
      </w:pPr>
    </w:p>
    <w:p>
      <w:pPr>
        <w:ind w:left="2380" w:hanging="1564"/>
        <w:spacing w:after="0" w:line="303" w:lineRule="auto"/>
        <w:tabs>
          <w:tab w:leader="none" w:pos="2164" w:val="left"/>
        </w:tabs>
        <w:numPr>
          <w:ilvl w:val="0"/>
          <w:numId w:val="32"/>
        </w:numPr>
        <w:rPr>
          <w:rFonts w:ascii="Arial" w:cs="Arial" w:eastAsia="Arial" w:hAnsi="Arial"/>
          <w:sz w:val="14"/>
          <w:szCs w:val="14"/>
          <w:color w:val="auto"/>
        </w:rPr>
      </w:pPr>
      <w:r>
        <w:rPr>
          <w:rFonts w:ascii="Arial" w:cs="Arial" w:eastAsia="Arial" w:hAnsi="Arial"/>
          <w:sz w:val="14"/>
          <w:szCs w:val="14"/>
          <w:color w:val="auto"/>
        </w:rPr>
        <w:t>​ ​ Restricted Stock Units (“RSUs”)</w:t>
      </w:r>
    </w:p>
    <w:p>
      <w:pPr>
        <w:spacing w:after="0" w:line="20" w:lineRule="exact"/>
        <w:rPr>
          <w:sz w:val="20"/>
          <w:szCs w:val="20"/>
          <w:color w:val="auto"/>
        </w:rPr>
      </w:pPr>
      <w:r>
        <w:rPr>
          <w:sz w:val="20"/>
          <w:szCs w:val="20"/>
          <w:color w:val="auto"/>
        </w:rPr>
        <w:br w:type="column"/>
      </w:r>
    </w:p>
    <w:p>
      <w:pPr>
        <w:ind w:left="222" w:hanging="222"/>
        <w:spacing w:after="0" w:line="250" w:lineRule="auto"/>
        <w:tabs>
          <w:tab w:leader="none" w:pos="114" w:val="left"/>
        </w:tabs>
        <w:numPr>
          <w:ilvl w:val="0"/>
          <w:numId w:val="33"/>
        </w:numPr>
        <w:rPr>
          <w:rFonts w:ascii="Arial" w:cs="Arial" w:eastAsia="Arial" w:hAnsi="Arial"/>
          <w:sz w:val="14"/>
          <w:szCs w:val="14"/>
          <w:color w:val="auto"/>
        </w:rPr>
      </w:pPr>
      <w:r>
        <w:rPr>
          <w:rFonts w:ascii="Arial" w:cs="Arial" w:eastAsia="Arial" w:hAnsi="Arial"/>
          <w:sz w:val="14"/>
          <w:szCs w:val="14"/>
          <w:color w:val="auto"/>
        </w:rPr>
        <w:t>​ Used on a limited basis (e.g. promotion, new hire, special recognition) to make awards that encourage and reward long-term performance and increase alignment with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288925</wp:posOffset>
            </wp:positionV>
            <wp:extent cx="57607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4000" w:val="left"/>
        </w:tabs>
        <w:rPr>
          <w:sz w:val="20"/>
          <w:szCs w:val="20"/>
          <w:color w:val="auto"/>
        </w:rPr>
      </w:pPr>
      <w:r>
        <w:rPr>
          <w:rFonts w:ascii="Arial" w:cs="Arial" w:eastAsia="Arial" w:hAnsi="Arial"/>
          <w:sz w:val="14"/>
          <w:szCs w:val="14"/>
          <w:color w:val="auto"/>
        </w:rPr>
        <w:t>​ ​ RSUs are not routinely an element of executive</w:t>
      </w:r>
      <w:r>
        <w:rPr>
          <w:sz w:val="20"/>
          <w:szCs w:val="20"/>
          <w:color w:val="auto"/>
        </w:rPr>
        <w:tab/>
      </w:r>
      <w:r>
        <w:rPr>
          <w:rFonts w:ascii="Arial" w:cs="Arial" w:eastAsia="Arial" w:hAnsi="Arial"/>
          <w:sz w:val="14"/>
          <w:szCs w:val="14"/>
          <w:color w:val="auto"/>
        </w:rPr>
        <w:t>​</w:t>
      </w:r>
    </w:p>
    <w:p>
      <w:pPr>
        <w:spacing w:after="0" w:line="15" w:lineRule="exact"/>
        <w:rPr>
          <w:sz w:val="20"/>
          <w:szCs w:val="20"/>
          <w:color w:val="auto"/>
        </w:rPr>
      </w:pPr>
    </w:p>
    <w:p>
      <w:pPr>
        <w:ind w:left="220" w:right="240"/>
        <w:spacing w:after="0" w:line="252" w:lineRule="auto"/>
        <w:rPr>
          <w:sz w:val="20"/>
          <w:szCs w:val="20"/>
          <w:color w:val="auto"/>
        </w:rPr>
      </w:pPr>
      <w:r>
        <w:rPr>
          <w:rFonts w:ascii="Arial" w:cs="Arial" w:eastAsia="Arial" w:hAnsi="Arial"/>
          <w:sz w:val="14"/>
          <w:szCs w:val="14"/>
          <w:color w:val="auto"/>
        </w:rPr>
        <w:t>compensation, but grants are made in certain circumstances, including in recognition of significant promotions and contributions.</w:t>
      </w:r>
    </w:p>
    <w:p>
      <w:pPr>
        <w:spacing w:after="0" w:line="86" w:lineRule="exact"/>
        <w:rPr>
          <w:sz w:val="20"/>
          <w:szCs w:val="20"/>
          <w:color w:val="auto"/>
        </w:rPr>
      </w:pPr>
    </w:p>
    <w:p>
      <w:pPr>
        <w:jc w:val="both"/>
        <w:ind w:left="220" w:right="360"/>
        <w:spacing w:after="0" w:line="248" w:lineRule="auto"/>
        <w:rPr>
          <w:sz w:val="20"/>
          <w:szCs w:val="20"/>
          <w:color w:val="auto"/>
        </w:rPr>
      </w:pPr>
      <w:r>
        <w:rPr>
          <w:rFonts w:ascii="Arial" w:cs="Arial" w:eastAsia="Arial" w:hAnsi="Arial"/>
          <w:sz w:val="14"/>
          <w:szCs w:val="14"/>
          <w:color w:val="auto"/>
        </w:rPr>
        <w:t>RSUs held by named executives discussed in this proxy statement vested in full three years after the date of grant. Time-based vesting aids retention.</w:t>
      </w:r>
    </w:p>
    <w:p>
      <w:pPr>
        <w:spacing w:after="0" w:line="1" w:lineRule="exact"/>
        <w:rPr>
          <w:sz w:val="20"/>
          <w:szCs w:val="20"/>
          <w:color w:val="auto"/>
        </w:rPr>
      </w:pPr>
    </w:p>
    <w:p>
      <w:pPr>
        <w:ind w:left="220" w:right="160"/>
        <w:spacing w:after="0" w:line="264" w:lineRule="auto"/>
        <w:rPr>
          <w:sz w:val="20"/>
          <w:szCs w:val="20"/>
          <w:color w:val="auto"/>
        </w:rPr>
      </w:pPr>
      <w:r>
        <w:rPr>
          <w:rFonts w:ascii="Arial" w:cs="Arial" w:eastAsia="Arial" w:hAnsi="Arial"/>
          <w:sz w:val="14"/>
          <w:szCs w:val="14"/>
          <w:color w:val="auto"/>
        </w:rPr>
        <w:t>Dividend equivalents on RSUs accrue and are paid in cash upon vesting.</w:t>
      </w:r>
    </w:p>
    <w:p>
      <w:pPr>
        <w:spacing w:after="0" w:line="200" w:lineRule="exact"/>
        <w:rPr>
          <w:sz w:val="20"/>
          <w:szCs w:val="20"/>
          <w:color w:val="auto"/>
        </w:rPr>
      </w:pPr>
    </w:p>
    <w:p>
      <w:pPr>
        <w:sectPr>
          <w:pgSz w:w="11900" w:h="16838" w:orient="portrait"/>
          <w:cols w:equalWidth="0" w:num="3">
            <w:col w:w="3540" w:space="138"/>
            <w:col w:w="2022" w:space="100"/>
            <w:col w:w="4140"/>
          </w:cols>
          <w:pgMar w:left="580" w:top="97" w:right="1379" w:bottom="1440" w:gutter="0" w:footer="0" w:header="0"/>
          <w:type w:val="continuous"/>
        </w:sectPr>
      </w:pPr>
    </w:p>
    <w:p>
      <w:pPr>
        <w:spacing w:after="0" w:line="261"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i w:val="1"/>
          <w:iCs w:val="1"/>
          <w:u w:val="single" w:color="auto"/>
          <w:color w:val="auto"/>
        </w:rPr>
        <w:t>Deferral Plan.</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our named executive officers is eligible to participate in our 409A Deferral</w:t>
      </w:r>
      <w:r>
        <w:rPr>
          <w:rFonts w:ascii="Arial" w:cs="Arial" w:eastAsia="Arial" w:hAnsi="Arial"/>
          <w:sz w:val="18"/>
          <w:szCs w:val="18"/>
          <w:i w:val="1"/>
          <w:iCs w:val="1"/>
          <w:color w:val="auto"/>
        </w:rPr>
        <w:t xml:space="preserve"> </w:t>
      </w:r>
      <w:r>
        <w:rPr>
          <w:rFonts w:ascii="Arial" w:cs="Arial" w:eastAsia="Arial" w:hAnsi="Arial"/>
          <w:sz w:val="18"/>
          <w:szCs w:val="18"/>
          <w:color w:val="auto"/>
        </w:rPr>
        <w:t>Plan and may elect to defer receipt of portions of their base salary and cash incentives in excess of the annual compensation threshold established under Section 401(a)(17) of the Internal Revenue Code of 1986, as amended (the “IRC”). We believe that providing a program that allows and encourages planning for retirement is a key factor in our ability to attract and retain talent. Additional detail can be found in the Nonqualified Deferred Compensation in 2024 table and accompanying disclosure.</w:t>
      </w:r>
    </w:p>
    <w:p>
      <w:pPr>
        <w:spacing w:after="0" w:line="293" w:lineRule="exact"/>
        <w:rPr>
          <w:sz w:val="20"/>
          <w:szCs w:val="20"/>
          <w:color w:val="auto"/>
        </w:rPr>
      </w:pPr>
    </w:p>
    <w:p>
      <w:pPr>
        <w:jc w:val="both"/>
        <w:ind w:left="820" w:right="60"/>
        <w:spacing w:after="0" w:line="241" w:lineRule="auto"/>
        <w:rPr>
          <w:sz w:val="20"/>
          <w:szCs w:val="20"/>
          <w:color w:val="auto"/>
        </w:rPr>
      </w:pPr>
      <w:r>
        <w:rPr>
          <w:rFonts w:ascii="Arial" w:cs="Arial" w:eastAsia="Arial" w:hAnsi="Arial"/>
          <w:sz w:val="18"/>
          <w:szCs w:val="18"/>
          <w:i w:val="1"/>
          <w:iCs w:val="1"/>
          <w:u w:val="single" w:color="auto"/>
          <w:color w:val="auto"/>
        </w:rPr>
        <w:t>Perquisites.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provides very limited perquisites or personal benefits to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including cost to the Company for guest participation in corporate events and use of Company aircraft for personal travel. The MD&amp;C Committee permits our President and Chief Executive Officer to use the Company’s aircraft for business and personal travel; provided, however, that personal use of the Company aircraft attributed to him that results in incremental cost to the Company shall not exceed 90 hours during any calendar year without approval from the Chair of the MD&amp;C Committee. In 2024, our President and Chief Executive Officer had approximately 25 hours of personal use of Company aircraft under this standard. Personal use of the Company’s aircraft by other employees resulting in incremental cost to the Company is permitted with Chief Executive Officer approval, although this does not occur frequently. The value of our named executives’ personal use of the Company’s aircraft is treated as taxable income to the respective executive in accordance with IRS regulations using the Standard Industry Fare Level formula. This is a different amount than we calculate pursuant to the SEC requirement to report the incremental cost to us of their use. See note</w:t>
      </w:r>
    </w:p>
    <w:p>
      <w:pPr>
        <w:spacing w:after="0" w:line="21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(4) to the Summary Compensation Table below for additional information about this calculation.</w:t>
      </w:r>
    </w:p>
    <w:p>
      <w:pPr>
        <w:spacing w:after="0" w:line="86" w:lineRule="exact"/>
        <w:rPr>
          <w:sz w:val="20"/>
          <w:szCs w:val="20"/>
          <w:color w:val="auto"/>
        </w:rPr>
      </w:pPr>
    </w:p>
    <w:p>
      <w:pPr>
        <w:ind w:left="820"/>
        <w:spacing w:after="0"/>
        <w:tabs>
          <w:tab w:leader="none" w:pos="2500" w:val="left"/>
          <w:tab w:leader="none" w:pos="2960" w:val="left"/>
          <w:tab w:leader="none" w:pos="3780" w:val="left"/>
          <w:tab w:leader="none" w:pos="4080" w:val="left"/>
          <w:tab w:leader="none" w:pos="4860" w:val="left"/>
          <w:tab w:leader="none" w:pos="6600" w:val="left"/>
          <w:tab w:leader="none" w:pos="7080" w:val="left"/>
          <w:tab w:leader="none" w:pos="8060" w:val="left"/>
          <w:tab w:leader="none" w:pos="8940" w:val="left"/>
        </w:tabs>
        <w:rPr>
          <w:sz w:val="20"/>
          <w:szCs w:val="20"/>
          <w:color w:val="auto"/>
        </w:rPr>
      </w:pPr>
      <w:r>
        <w:rPr>
          <w:rFonts w:ascii="Arial" w:cs="Arial" w:eastAsia="Arial" w:hAnsi="Arial"/>
          <w:sz w:val="18"/>
          <w:szCs w:val="18"/>
          <w:i w:val="1"/>
          <w:iCs w:val="1"/>
          <w:u w:val="single" w:color="auto"/>
          <w:color w:val="auto"/>
        </w:rPr>
        <w:t>Post-Employment</w:t>
      </w:r>
      <w:r>
        <w:rPr>
          <w:sz w:val="20"/>
          <w:szCs w:val="20"/>
          <w:color w:val="auto"/>
        </w:rPr>
        <w:tab/>
      </w:r>
      <w:r>
        <w:rPr>
          <w:rFonts w:ascii="Arial" w:cs="Arial" w:eastAsia="Arial" w:hAnsi="Arial"/>
          <w:sz w:val="18"/>
          <w:szCs w:val="18"/>
          <w:i w:val="1"/>
          <w:iCs w:val="1"/>
          <w:u w:val="single" w:color="auto"/>
          <w:color w:val="auto"/>
        </w:rPr>
        <w:t>and</w:t>
        <w:tab/>
        <w:t>Change</w:t>
        <w:tab/>
        <w:t>in</w:t>
        <w:tab/>
        <w:t>Control</w:t>
        <w:tab/>
        <w:t>Compensation.</w:t>
      </w:r>
      <w:r>
        <w:rPr>
          <w:sz w:val="20"/>
          <w:szCs w:val="20"/>
          <w:color w:val="auto"/>
        </w:rPr>
        <w:tab/>
      </w:r>
      <w:r>
        <w:rPr>
          <w:rFonts w:ascii="Arial" w:cs="Arial" w:eastAsia="Arial" w:hAnsi="Arial"/>
          <w:sz w:val="18"/>
          <w:szCs w:val="18"/>
          <w:color w:val="auto"/>
        </w:rPr>
        <w:t>The</w:t>
        <w:tab/>
        <w:t>Company</w:t>
        <w:tab/>
        <w:t>provides</w:t>
        <w:tab/>
        <w:t>severance</w:t>
      </w:r>
    </w:p>
    <w:p>
      <w:pPr>
        <w:spacing w:after="0" w:line="27"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protections that aid in retention of senior leadership by providing the individual with comfort that he or she will be treated fairly in the event of an involuntary termination not for cause. The change in control provisions included in our Executive Severance Protection Plan, our stock option award documentation and, if applicable, employment agreements require a double trigger in order to receive any payment in the event of a change in control situation. Additional details can be found under “— Post Employment and Change in Control Compensation; Clawback Policies” and “Potential Payments Upon Termination or Change in Control.”</w:t>
      </w:r>
    </w:p>
    <w:p>
      <w:pPr>
        <w:spacing w:after="0" w:line="39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How Named Executive Officer Compensation Decisions are Made</w:t>
      </w:r>
    </w:p>
    <w:p>
      <w:pPr>
        <w:spacing w:after="0" w:line="126"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The MD&amp;C Committee meets several times each year to perform its responsibilities as delegated by the Board of Directors and as set forth in the MD&amp;C Committee’s charter. These responsibilities include evaluating and approving the Company’s compensation philosophy, policies, plans and programs for our named executive officers. In the performance of its duties, the MD&amp;C Committee regularly reviews the total compensation, including the base salary, target annual cash incentive award opportunities, long-term incentive award opportunities and other benefits, including potential severance payments for each of our named executive officers. At regularly scheduled meetings each year, the MD&amp;C Committee reviews our named executives’ total compensation and compares that compensation to the competitive market, as discussed below. In the first quarter of each year, the MD&amp;C Committee meets to determine salary increases, if any, for the named executive officers; verifies the results of the Company’s performance for annual cash incentive and PSU payouts; determines the performance measures and individual annual cash incentive targets for the current year as a percent of base salary for each of the named executive officers; and makes decisions on the design and grants of long-term equity awards.</w:t>
      </w:r>
    </w:p>
    <w:p>
      <w:pPr>
        <w:spacing w:after="0" w:line="295"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i w:val="1"/>
          <w:iCs w:val="1"/>
          <w:u w:val="single" w:color="auto"/>
          <w:color w:val="auto"/>
        </w:rPr>
        <w:t>Compensation Consultant.</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several resources in its analysis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compensation for the named executive officers. The MD&amp;C Committee selects and employs an independent consultant to provide advice relating to market and general compensation trends. The MD&amp;C Committee also uses the services of its independent consultant for data gathering and analyses. The MD&amp;C Committee has retained Frederic W. Cook &amp; Co., Inc. (“FW Cook”) as its independent consultant since 2002. The Company makes regular payments to FW Cook for its services around executive compensation, including meeting preparation and attendance, advice, and best practice information, as well as competitive data. Information about such payments is submitted to the Chair of the MD&amp;C Committee.</w:t>
      </w:r>
    </w:p>
    <w:p>
      <w:pPr>
        <w:spacing w:after="0" w:line="293"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In addition to services related to executive compensation, FW Cook also provides the MD&amp;C Committee information and advice with respect to compensation of the non -employee directors. FW Cook has no other business relationships with the Company and receives no other payments from the Company. The MD&amp;C Committee adopted a charter provision requiring that it consider the independence of any compensation consultants it uses for executive compensation matters. The MD&amp;C Committee has considered the independence of FW Cook in light of SEC rules and New York Stock Exchange</w:t>
      </w:r>
    </w:p>
    <w:p>
      <w:pPr>
        <w:spacing w:after="0" w:line="200" w:lineRule="exact"/>
        <w:rPr>
          <w:sz w:val="20"/>
          <w:szCs w:val="20"/>
          <w:color w:val="auto"/>
        </w:rPr>
      </w:pPr>
    </w:p>
    <w:p>
      <w:pPr>
        <w:spacing w:after="0" w:line="268"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441325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987"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color w:val="auto"/>
        </w:rPr>
        <w:t>listing standards. In connection with this process, the MD&amp;C Committee has reviewed, among other items, a letter from FW Cook addressing the independence of FW Cook and the members of the consulting team serving the MD&amp;C Committee, including the following factors: (a) other services provided to us by FW Cook; (b) fees paid by us as a percentage of FW Cook’s total revenue;</w:t>
      </w:r>
    </w:p>
    <w:p>
      <w:pPr>
        <w:spacing w:after="0" w:line="2" w:lineRule="exact"/>
        <w:rPr>
          <w:sz w:val="20"/>
          <w:szCs w:val="20"/>
          <w:color w:val="auto"/>
        </w:rPr>
      </w:pPr>
    </w:p>
    <w:p>
      <w:pPr>
        <w:jc w:val="both"/>
        <w:ind w:left="820" w:right="60" w:hanging="4"/>
        <w:spacing w:after="0" w:line="253" w:lineRule="auto"/>
        <w:tabs>
          <w:tab w:leader="none" w:pos="1159"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policies or procedures of FW Cook that are designed to prevent conflicts of interest; (d) any business or personal relationships between the senior advisor of the consulting team with a member of the MD&amp;C Committee; (e) any Company stock owned by the senior advisor or any member of his immediate family and (f) any business or personal relationships between our executive officers and the senior advisor. The MD&amp;C Committee reviewed these considerations and concluded that the work performed by FW Cook and its senior advisor involved in the engagement did not raise any conflict of interest.</w:t>
      </w:r>
    </w:p>
    <w:p>
      <w:pPr>
        <w:spacing w:after="0" w:line="293"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i w:val="1"/>
          <w:iCs w:val="1"/>
          <w:u w:val="single" w:color="auto"/>
          <w:color w:val="auto"/>
        </w:rPr>
        <w:t>Role of our CEO and our Human Resources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Our President and Chief Executive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contributes to compensation determinations by assessing the performance of the other named executive officers and providing these assessments with recommendations to the MD&amp;C Committee. Personnel within the Company’s Human Resources organization assist the MD&amp;C Committee by working with the independent consultant to provide information requested by the MD&amp;C Committee and assisting it in designing and administering the Company’s compensation programs.</w:t>
      </w:r>
    </w:p>
    <w:p>
      <w:pPr>
        <w:spacing w:after="0" w:line="74"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i w:val="1"/>
          <w:iCs w:val="1"/>
          <w:u w:val="single" w:color="auto"/>
          <w:color w:val="auto"/>
        </w:rPr>
        <w:t>Peer Company Comparisons.</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compensation information of comparison</w:t>
      </w:r>
      <w:r>
        <w:rPr>
          <w:rFonts w:ascii="Arial" w:cs="Arial" w:eastAsia="Arial" w:hAnsi="Arial"/>
          <w:sz w:val="18"/>
          <w:szCs w:val="18"/>
          <w:i w:val="1"/>
          <w:iCs w:val="1"/>
          <w:color w:val="auto"/>
        </w:rPr>
        <w:t xml:space="preserve"> </w:t>
      </w:r>
      <w:r>
        <w:rPr>
          <w:rFonts w:ascii="Arial" w:cs="Arial" w:eastAsia="Arial" w:hAnsi="Arial"/>
          <w:sz w:val="18"/>
          <w:szCs w:val="18"/>
          <w:color w:val="auto"/>
        </w:rPr>
        <w:t>groups of companies to gauge the competitive market, which is relevant for attracting and retaining key talent and for ensuring that the Company’s compensation practices are aligned with prevalent practices. For purposes of establishing the 2024 executive compensation program, the MD&amp;C Committee considered a competitive analysis of total direct compensation levels and compensation mix for our executive officers during the second half of 2023, using information from:</w:t>
      </w:r>
    </w:p>
    <w:p>
      <w:pPr>
        <w:spacing w:after="0" w:line="74" w:lineRule="exact"/>
        <w:rPr>
          <w:sz w:val="20"/>
          <w:szCs w:val="20"/>
          <w:color w:val="auto"/>
        </w:rPr>
      </w:pPr>
    </w:p>
    <w:p>
      <w:pPr>
        <w:jc w:val="both"/>
        <w:ind w:left="1360" w:right="60" w:hanging="184"/>
        <w:spacing w:after="0" w:line="255" w:lineRule="auto"/>
        <w:tabs>
          <w:tab w:leader="none" w:pos="1360" w:val="left"/>
        </w:tabs>
        <w:numPr>
          <w:ilvl w:val="0"/>
          <w:numId w:val="35"/>
        </w:numPr>
        <w:rPr>
          <w:rFonts w:ascii="Arial" w:cs="Arial" w:eastAsia="Arial" w:hAnsi="Arial"/>
          <w:sz w:val="18"/>
          <w:szCs w:val="18"/>
          <w:color w:val="457157"/>
        </w:rPr>
      </w:pPr>
      <w:r>
        <w:rPr>
          <w:rFonts w:ascii="Arial" w:cs="Arial" w:eastAsia="Arial" w:hAnsi="Arial"/>
          <w:sz w:val="18"/>
          <w:szCs w:val="18"/>
          <w:color w:val="auto"/>
        </w:rPr>
        <w:t>Size-adjusted median compensation data from two general industry surveys in which management annually participates; the 2022 Aon Radford Global Compensation Database (as the 2023 Aon Radford Global Compensation Database was not yet available) and the Willis Towers Watson 2023 Executive Survey Report. The 2022 Aon Radford Global Compensation Database included over 3,000 organizations ranging in size from less than $10 million to $610 billion in annual revenue, and the 2023 Willis Towers Watson Executive Survey Report included 987 organizations ranging in size from approximately $20 million to $610 billion in annual revenue. Data selected from these surveys is scoped based on Company revenue; and</w:t>
      </w:r>
    </w:p>
    <w:p>
      <w:pPr>
        <w:spacing w:after="0" w:line="76" w:lineRule="exact"/>
        <w:rPr>
          <w:rFonts w:ascii="Arial" w:cs="Arial" w:eastAsia="Arial" w:hAnsi="Arial"/>
          <w:sz w:val="18"/>
          <w:szCs w:val="18"/>
          <w:color w:val="457157"/>
        </w:rPr>
      </w:pPr>
    </w:p>
    <w:p>
      <w:pPr>
        <w:ind w:left="1360" w:right="580" w:hanging="184"/>
        <w:spacing w:after="0" w:line="287" w:lineRule="auto"/>
        <w:tabs>
          <w:tab w:leader="none" w:pos="1360" w:val="left"/>
        </w:tabs>
        <w:numPr>
          <w:ilvl w:val="0"/>
          <w:numId w:val="35"/>
        </w:numPr>
        <w:rPr>
          <w:rFonts w:ascii="Arial" w:cs="Arial" w:eastAsia="Arial" w:hAnsi="Arial"/>
          <w:sz w:val="18"/>
          <w:szCs w:val="18"/>
          <w:color w:val="457157"/>
        </w:rPr>
      </w:pPr>
      <w:r>
        <w:rPr>
          <w:rFonts w:ascii="Arial" w:cs="Arial" w:eastAsia="Arial" w:hAnsi="Arial"/>
          <w:sz w:val="18"/>
          <w:szCs w:val="18"/>
          <w:color w:val="auto"/>
        </w:rPr>
        <w:t>Median compensation data from a comparison group of 20 publicly traded U.S. companies, described below.</w:t>
      </w:r>
    </w:p>
    <w:p>
      <w:pPr>
        <w:spacing w:after="0" w:line="45"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The comparison group of companies is initially recommended by the independent consultant prior to the data gathering process, with input from management and the MD&amp;C Committee. The composition of the group is evaluated, and a final comparison group of companies is approved by the MD&amp;C Committee each year. The selection process for the comparison group begins with all companies in the Standard &amp; Poor’s North American database that are publicly traded U.S. companies in 16 different Global Industry Classifications. These industry classifications are meant to provide a collection of companies in industries that share similar characteristics with us. The companies are then limited to those with at least $5 billion in annual revenue to ensure appropriate comparisons, and further narrowed by choosing those with asset intensive domestic operations, as well as those focusing on transportation and logistics. Companies with these characteristics are chosen because the MD&amp;C Committee believes that it is appropriate to compare our executives’ compensation with executives that have similar responsibilities and challenges at other companies.</w:t>
      </w:r>
    </w:p>
    <w:p>
      <w:pPr>
        <w:spacing w:after="0" w:line="300" w:lineRule="exact"/>
        <w:rPr>
          <w:sz w:val="20"/>
          <w:szCs w:val="20"/>
          <w:color w:val="auto"/>
        </w:rPr>
      </w:pPr>
    </w:p>
    <w:p>
      <w:pPr>
        <w:jc w:val="both"/>
        <w:ind w:left="820" w:right="60"/>
        <w:spacing w:after="0" w:line="259" w:lineRule="auto"/>
        <w:rPr>
          <w:sz w:val="20"/>
          <w:szCs w:val="20"/>
          <w:color w:val="auto"/>
        </w:rPr>
      </w:pPr>
      <w:r>
        <w:rPr>
          <w:rFonts w:ascii="Arial" w:cs="Arial" w:eastAsia="Arial" w:hAnsi="Arial"/>
          <w:sz w:val="18"/>
          <w:szCs w:val="18"/>
          <w:color w:val="auto"/>
        </w:rPr>
        <w:t>The following chart sets forth various size comparisons to companies in the comparison group; this table is provided to evidence that the Company was appropriately positioned within its peer group for purposes of developing 2024 compensation recommendations during 2023. All financial and market data are taken from Standard &amp; Poor’s Capital IQ, with financial data as of each company’s 2022 fiscal year end and market capitalization as of December 31, 2022.</w:t>
      </w:r>
    </w:p>
    <w:p>
      <w:pPr>
        <w:spacing w:after="0" w:line="200" w:lineRule="exact"/>
        <w:rPr>
          <w:sz w:val="20"/>
          <w:szCs w:val="20"/>
          <w:color w:val="auto"/>
        </w:rPr>
      </w:pPr>
    </w:p>
    <w:p>
      <w:pPr>
        <w:spacing w:after="0" w:line="238"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27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71805" cy="12827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1417320</wp:posOffset>
            </wp:positionH>
            <wp:positionV relativeFrom="paragraph">
              <wp:posOffset>186055</wp:posOffset>
            </wp:positionV>
            <wp:extent cx="3968750" cy="29743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968750" cy="297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left="820" w:right="60"/>
        <w:spacing w:after="0" w:line="256" w:lineRule="auto"/>
        <w:rPr>
          <w:sz w:val="20"/>
          <w:szCs w:val="20"/>
          <w:color w:val="auto"/>
        </w:rPr>
      </w:pPr>
      <w:r>
        <w:rPr>
          <w:rFonts w:ascii="Arial" w:cs="Arial" w:eastAsia="Arial" w:hAnsi="Arial"/>
          <w:sz w:val="18"/>
          <w:szCs w:val="18"/>
          <w:color w:val="auto"/>
        </w:rPr>
        <w:t>For purposes of each of the named executives, the general industry data and the comparison group data are blended when composing the competitive analysis, when possible, such that the combined general industry data and the comparison group are each weighted 50%. For competitive comparisons, the MD&amp;C Committee has determined that total direct compensation packages for our named executive officers within a range of plus or minus 20% of the median total compensation of the competitive analysis is appropriate. In making these determinations, total direct compensation consists of base salary, target annual cash incentive, and the annualized grant date fair value of long-term equity incentive awards.</w:t>
      </w:r>
    </w:p>
    <w:p>
      <w:pPr>
        <w:spacing w:after="0" w:line="291"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i w:val="1"/>
          <w:iCs w:val="1"/>
          <w:u w:val="single" w:color="auto"/>
          <w:color w:val="auto"/>
        </w:rPr>
        <w:t>Allocation of Compensation Elements and Tally Sheets.</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considers the forms in</w:t>
      </w:r>
      <w:r>
        <w:rPr>
          <w:rFonts w:ascii="Arial" w:cs="Arial" w:eastAsia="Arial" w:hAnsi="Arial"/>
          <w:sz w:val="18"/>
          <w:szCs w:val="18"/>
          <w:i w:val="1"/>
          <w:iCs w:val="1"/>
          <w:color w:val="auto"/>
        </w:rPr>
        <w:t xml:space="preserve"> </w:t>
      </w:r>
      <w:r>
        <w:rPr>
          <w:rFonts w:ascii="Arial" w:cs="Arial" w:eastAsia="Arial" w:hAnsi="Arial"/>
          <w:sz w:val="18"/>
          <w:szCs w:val="18"/>
          <w:color w:val="auto"/>
        </w:rPr>
        <w:t>which total compensation will be paid to executive officers and seeks to achieve an appropriate balance between base salary, annual cash incentive compensation and long-term incentive compensation. The MD&amp;C Committee determines the size of each element based primarily on comparison group data and individual and Company performance. The percentage of compensation that is contingent on achievement of performance criteria typically increases in correlation to an executive officer’s responsibilities within the Company, with performance- based incentive compensation making up a greater percentage of total compensation for our most senior executive officers. Additionally, as an executive becomes more senior, a greater percentage of the executive’s compensation shifts away from short-term to long-term incentive awards.</w:t>
      </w:r>
    </w:p>
    <w:p>
      <w:pPr>
        <w:spacing w:after="0" w:line="296"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The MD&amp;C Committee uses tally sheets to review the compensation of our named executive officers, which show the cumulative impact of all elements of compensation. These tally sheets include detailed information and dollar amounts for each component of compensation, the value of all equity held by each named executive, and the value of welfare and retirement benefits and severance payments. Tally sheets provide the MD&amp;C Committee with the relevant information necessary to determine whether the balance between short -term and long-term compensation, as well as fixed and variable compensation, is consistent with the overall compensation philosophy of the Company. This information is also useful in the MD&amp;C Committee’s analysis of whether total direct compensation provides a compensation package that is appropriate and competitive. Tally sheets are provided annually to the full Board of Directors.</w:t>
      </w:r>
    </w:p>
    <w:p>
      <w:pPr>
        <w:spacing w:after="0" w:line="296"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The following charts display the allocation of total 2024 target compensation among base salary, annual cash incentive and annual long-term equity awards for (a) our President and Chief Executive Officer and (b) our other named executives, on average. These charts depict the MD&amp;C Committee’s 2024 desired total mix of target compensation for named executives and reflect that a substantial majority of executive compensation is linked to Company performance, through annual cash incentive performance criteria and long-term equity-based incentive awards. We consider stock options</w:t>
      </w:r>
    </w:p>
    <w:p>
      <w:pPr>
        <w:spacing w:after="0" w:line="252"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441325</wp:posOffset>
            </wp:positionV>
            <wp:extent cx="68319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80"/>
        <w:spacing w:after="0" w:line="287" w:lineRule="auto"/>
        <w:rPr>
          <w:sz w:val="20"/>
          <w:szCs w:val="20"/>
          <w:color w:val="auto"/>
        </w:rPr>
      </w:pPr>
      <w:r>
        <w:rPr>
          <w:rFonts w:ascii="Arial" w:cs="Arial" w:eastAsia="Arial" w:hAnsi="Arial"/>
          <w:sz w:val="18"/>
          <w:szCs w:val="18"/>
          <w:color w:val="auto"/>
        </w:rPr>
        <w:t>granted under our long-term incentive plan to be performance-based because their value will increase as the market value of our Common Stock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48895</wp:posOffset>
            </wp:positionV>
            <wp:extent cx="5151755" cy="17741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51755"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i w:val="1"/>
          <w:iCs w:val="1"/>
          <w:u w:val="single" w:color="auto"/>
          <w:color w:val="auto"/>
        </w:rPr>
        <w:t>Internal Pay Equity.</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considers the differentials between compensation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named executive officers. The MD&amp;C Committee also reviews compensation comparisons between our President and Chief Executive Officer and the other executive officers, while recognizing the additional responsibilities of our President and Chief Executive Officer and that such differentials will increase in periods of above-target performance and decrease in times of below-target performance. Based on these considerations, the MD&amp;C Committee concluded that the compensation paid to our President and Chief Executive Officer is reasonable compared to that of the other executive officers.</w:t>
      </w:r>
    </w:p>
    <w:p>
      <w:pPr>
        <w:spacing w:after="0" w:line="67"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i w:val="1"/>
          <w:iCs w:val="1"/>
          <w:u w:val="single" w:color="auto"/>
          <w:color w:val="auto"/>
        </w:rPr>
        <w:t>Tax and Accounting Matters.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revision of Section 162(m) of the IRC in 2017,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generally may no longer take a deduction for any compensation paid to any of its named executive officers in excess of $1 million. Section 409A of the IRC (“Code Section 409A”) generally provides that any deferred compensation arrangement that does not meet specific requirements will result in immediate taxation of any amounts deferred to the extent not subject to a substantial risk of forfeiture. In general, to avoid a Code Section 409A violation, amounts deferred may only be paid out on separation from service, disability, death, a specified time or fixed schedule, a change in control or an unforeseen emergency. Furthermore, the election to defer generally must be made in the calendar year prior to performance of services. We intend to structure all of our compensation arrangements, including our 409A Deferral Plan, in a manner that complies with or is exempt from Code Section 409A.</w:t>
      </w:r>
    </w:p>
    <w:p>
      <w:pPr>
        <w:spacing w:after="0" w:line="285" w:lineRule="exact"/>
        <w:rPr>
          <w:sz w:val="20"/>
          <w:szCs w:val="20"/>
          <w:color w:val="auto"/>
        </w:rPr>
      </w:pPr>
    </w:p>
    <w:p>
      <w:pPr>
        <w:jc w:val="both"/>
        <w:ind w:left="820" w:right="60"/>
        <w:spacing w:after="0" w:line="245" w:lineRule="auto"/>
        <w:rPr>
          <w:sz w:val="20"/>
          <w:szCs w:val="20"/>
          <w:color w:val="auto"/>
        </w:rPr>
      </w:pPr>
      <w:r>
        <w:rPr>
          <w:rFonts w:ascii="Arial" w:cs="Arial" w:eastAsia="Arial" w:hAnsi="Arial"/>
          <w:sz w:val="18"/>
          <w:szCs w:val="18"/>
          <w:color w:val="auto"/>
        </w:rPr>
        <w:t>We account for equity -based payments, including stock options, PSUs and RSUs, in accordance with Financial Accounting Standards Board Accounting Standards Codification Topic 718, Stock Compensation (“ASC Topic 718”). The MD&amp;C Committee takes into consideration the accounting treatment under ASC Topic 718 when determining the form and amount of annual long -term equity incentive awards. However, because our long-term equity incentive awards are based on a target dollar value established prior to grant (described in further detail under “Named Executives’ 2024 Compensation Program and Results — Long-Term Equity Incentives”), this target dollar value will differ from the grant date fair value of awards calculated pursuant to ASC Topic 718 and reported in the Summary Compensation Table.</w:t>
      </w:r>
    </w:p>
    <w:p>
      <w:pPr>
        <w:spacing w:after="0" w:line="281"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i w:val="1"/>
          <w:iCs w:val="1"/>
          <w:u w:val="single" w:color="auto"/>
          <w:color w:val="auto"/>
        </w:rPr>
        <w:t>Risk Assessment.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the structural elements set forth in the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Summary earlier to establish compensation that will provide sufficient incentives for named executive officers to drive results while avoiding unnecessary or excessive risk taking that could harm the long-term value of the Company. During 2024, the MD&amp;C Committee reviewed the Company’s compensation policies and practices and the assessment and analysis of related risk conducted by the independent compensation consultant. Based on this review and analysis, the MD&amp;C Committee and the independent compensation consultant concluded that our compensation policies and practices do not create risks that are reasonably likely to have a material adverse effect on the Company.</w:t>
      </w:r>
    </w:p>
    <w:p>
      <w:pPr>
        <w:spacing w:after="0" w:line="85"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i w:val="1"/>
          <w:iCs w:val="1"/>
          <w:u w:val="single" w:color="auto"/>
          <w:color w:val="auto"/>
        </w:rPr>
        <w:t>Policy on Calculation Adjustments</w:t>
      </w:r>
      <w:r>
        <w:rPr>
          <w:rFonts w:ascii="Arial" w:cs="Arial" w:eastAsia="Arial" w:hAnsi="Arial"/>
          <w:sz w:val="18"/>
          <w:szCs w:val="18"/>
          <w:i w:val="1"/>
          <w:iCs w:val="1"/>
          <w:color w:val="auto"/>
        </w:rPr>
        <w:t xml:space="preserve">. </w:t>
      </w:r>
      <w:r>
        <w:rPr>
          <w:rFonts w:ascii="Arial" w:cs="Arial" w:eastAsia="Arial" w:hAnsi="Arial"/>
          <w:sz w:val="18"/>
          <w:szCs w:val="18"/>
          <w:color w:val="auto"/>
        </w:rPr>
        <w:t>In 2014, the MD&amp;C Committee adopted a policy on calculation</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that affect payouts under annual and long-term incentive awards in order to address the potentially distorting effect of certain items. Such adjustments are intended to align award payments with the underlying performance of the business; avoid volatile, artificial inflation or deflation of awards due to unusual items in either the award year or the previous comparator year; and eliminate counterproductive incentives to pursue short -term gains and protect current incentive opportunities. To ensure the integrity of the adjustments, the policy provides that the MD&amp;C Committee’s approach to adjustments shall generally be consistent with the Company’s approach to reporting adjusted non-GAAP earnings to the investment</w:t>
      </w:r>
    </w:p>
    <w:p>
      <w:pPr>
        <w:spacing w:after="0" w:line="200" w:lineRule="exact"/>
        <w:rPr>
          <w:sz w:val="20"/>
          <w:szCs w:val="20"/>
          <w:color w:val="auto"/>
        </w:rPr>
      </w:pPr>
    </w:p>
    <w:p>
      <w:pPr>
        <w:spacing w:after="0" w:line="259"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color w:val="auto"/>
        </w:rPr>
        <w:t>community, except that the MD&amp;C Committee has determined that potential adjustments arising from a single transaction or event generally should be disregarded unless, taken together, they change the calculated award payout by at least 5%. The MD&amp;C Committee retains discretion to evaluate all adjustments, both income and expense, as circumstances warrant; however, the MD&amp;C Committee has agreed that it will not have the ability to use negative discretion with respect to the calculation of cash flow for purposes of the Cash Flow PSUs, in order to avoid variable accounting treatment for those awards. Actual results reported in this Proxy Statement on financial performance measures may differ from earnings results reported to the investment community. Please see Appendix A for more information.</w:t>
      </w:r>
    </w:p>
    <w:p>
      <w:pPr>
        <w:spacing w:after="0" w:line="39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Named Executives’ 2024 Compensation Program and Results</w:t>
      </w:r>
    </w:p>
    <w:p>
      <w:pPr>
        <w:spacing w:after="0" w:line="128"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Base Salary</w:t>
      </w:r>
    </w:p>
    <w:p>
      <w:pPr>
        <w:spacing w:after="0" w:line="115" w:lineRule="exact"/>
        <w:rPr>
          <w:sz w:val="20"/>
          <w:szCs w:val="20"/>
          <w:color w:val="auto"/>
        </w:rPr>
      </w:pPr>
    </w:p>
    <w:p>
      <w:pPr>
        <w:jc w:val="both"/>
        <w:ind w:left="820" w:right="60"/>
        <w:spacing w:after="0" w:line="261" w:lineRule="auto"/>
        <w:rPr>
          <w:sz w:val="20"/>
          <w:szCs w:val="20"/>
          <w:color w:val="auto"/>
        </w:rPr>
      </w:pPr>
      <w:r>
        <w:rPr>
          <w:rFonts w:ascii="Arial" w:cs="Arial" w:eastAsia="Arial" w:hAnsi="Arial"/>
          <w:sz w:val="18"/>
          <w:szCs w:val="18"/>
          <w:color w:val="auto"/>
        </w:rPr>
        <w:t>The MD&amp;C Committee approved increases to the 2024 base salaries of named executive officers, consistent with our compensation philosophy and driven by competitive market data, internal pay equity considerations and individual performance relative to the executive’s responsibilities and contributions. The table below shows the 2024 annual base salary established by the MD&amp;C Committee for each of our named executive officers.</w:t>
      </w:r>
    </w:p>
    <w:p>
      <w:pPr>
        <w:spacing w:after="0" w:line="200" w:lineRule="exact"/>
        <w:rPr>
          <w:sz w:val="20"/>
          <w:szCs w:val="20"/>
          <w:color w:val="auto"/>
        </w:rPr>
      </w:pPr>
    </w:p>
    <w:tbl>
      <w:tblPr>
        <w:tblLayout w:type="fixed"/>
        <w:tblInd w:w="1520" w:type="dxa"/>
        <w:tblCellMar>
          <w:top w:w="0" w:type="dxa"/>
          <w:left w:w="0" w:type="dxa"/>
          <w:bottom w:w="0" w:type="dxa"/>
          <w:right w:w="0" w:type="dxa"/>
        </w:tblCellMar>
      </w:tblPr>
      <w:tr>
        <w:trPr>
          <w:trHeight w:val="322"/>
        </w:trPr>
        <w:tc>
          <w:tcPr>
            <w:tcW w:w="3980" w:type="dxa"/>
            <w:vAlign w:val="bottom"/>
            <w:tcBorders>
              <w:bottom w:val="single" w:sz="8" w:color="457157"/>
            </w:tcBorders>
          </w:tcPr>
          <w:p>
            <w:pPr>
              <w:ind w:left="2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Named Executive Officer</w:t>
            </w:r>
          </w:p>
        </w:tc>
        <w:tc>
          <w:tcPr>
            <w:tcW w:w="3660" w:type="dxa"/>
            <w:vAlign w:val="bottom"/>
            <w:tcBorders>
              <w:bottom w:val="single" w:sz="8" w:color="457157"/>
            </w:tcBorders>
            <w:gridSpan w:val="4"/>
          </w:tcPr>
          <w:p>
            <w:pPr>
              <w:ind w:left="2080"/>
              <w:spacing w:after="0"/>
              <w:rPr>
                <w:sz w:val="20"/>
                <w:szCs w:val="20"/>
                <w:color w:val="auto"/>
              </w:rPr>
            </w:pPr>
            <w:r>
              <w:rPr>
                <w:rFonts w:ascii="Arial" w:cs="Arial" w:eastAsia="Arial" w:hAnsi="Arial"/>
                <w:sz w:val="28"/>
                <w:szCs w:val="28"/>
                <w:b w:val="1"/>
                <w:bCs w:val="1"/>
                <w:color w:val="457157"/>
                <w:vertAlign w:val="subscript"/>
              </w:rPr>
              <w:t>​ ​</w:t>
            </w:r>
            <w:r>
              <w:rPr>
                <w:rFonts w:ascii="Arial" w:cs="Arial" w:eastAsia="Arial" w:hAnsi="Arial"/>
                <w:sz w:val="14"/>
                <w:szCs w:val="14"/>
                <w:b w:val="1"/>
                <w:bCs w:val="1"/>
                <w:color w:val="457157"/>
              </w:rPr>
              <w:t xml:space="preserve"> 2024 Base Salary</w:t>
            </w:r>
            <w:r>
              <w:rPr>
                <w:rFonts w:ascii="Arial" w:cs="Arial" w:eastAsia="Arial" w:hAnsi="Arial"/>
                <w:sz w:val="28"/>
                <w:szCs w:val="28"/>
                <w:b w:val="1"/>
                <w:bCs w:val="1"/>
                <w:color w:val="457157"/>
                <w:vertAlign w:val="subscript"/>
              </w:rPr>
              <w:t>​</w:t>
            </w:r>
          </w:p>
        </w:tc>
        <w:tc>
          <w:tcPr>
            <w:tcW w:w="20" w:type="dxa"/>
            <w:vAlign w:val="bottom"/>
          </w:tcPr>
          <w:p>
            <w:pPr>
              <w:spacing w:after="0"/>
              <w:rPr>
                <w:sz w:val="24"/>
                <w:szCs w:val="24"/>
                <w:color w:val="auto"/>
              </w:rPr>
            </w:pPr>
          </w:p>
        </w:tc>
      </w:tr>
      <w:tr>
        <w:trPr>
          <w:trHeight w:val="263"/>
        </w:trPr>
        <w:tc>
          <w:tcPr>
            <w:tcW w:w="398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Fish</w:t>
            </w:r>
          </w:p>
        </w:tc>
        <w:tc>
          <w:tcPr>
            <w:tcW w:w="2380" w:type="dxa"/>
            <w:vAlign w:val="bottom"/>
          </w:tcPr>
          <w:p>
            <w:pPr>
              <w:ind w:left="2140"/>
              <w:spacing w:after="0"/>
              <w:rPr>
                <w:sz w:val="20"/>
                <w:szCs w:val="20"/>
                <w:color w:val="auto"/>
              </w:rPr>
            </w:pPr>
            <w:r>
              <w:rPr>
                <w:rFonts w:ascii="Arial" w:cs="Arial" w:eastAsia="Arial" w:hAnsi="Arial"/>
                <w:sz w:val="18"/>
                <w:szCs w:val="18"/>
                <w:color w:val="auto"/>
              </w:rPr>
              <w:t>​ ​</w:t>
            </w:r>
          </w:p>
        </w:tc>
        <w:tc>
          <w:tcPr>
            <w:tcW w:w="1120" w:type="dxa"/>
            <w:vAlign w:val="bottom"/>
            <w:gridSpan w:val="2"/>
          </w:tcPr>
          <w:p>
            <w:pPr>
              <w:jc w:val="right"/>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$ 1,450,000</w:t>
            </w:r>
          </w:p>
        </w:tc>
        <w:tc>
          <w:tcPr>
            <w:tcW w:w="1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0"/>
        </w:trPr>
        <w:tc>
          <w:tcPr>
            <w:tcW w:w="3980" w:type="dxa"/>
            <w:vAlign w:val="bottom"/>
            <w:shd w:val="clear" w:color="auto" w:fill="457157"/>
          </w:tcPr>
          <w:p>
            <w:pPr>
              <w:spacing w:after="0" w:line="20" w:lineRule="exact"/>
              <w:rPr>
                <w:sz w:val="1"/>
                <w:szCs w:val="1"/>
                <w:color w:val="auto"/>
              </w:rPr>
            </w:pPr>
          </w:p>
        </w:tc>
        <w:tc>
          <w:tcPr>
            <w:tcW w:w="23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398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Rankin</w:t>
            </w:r>
          </w:p>
        </w:tc>
        <w:tc>
          <w:tcPr>
            <w:tcW w:w="2380" w:type="dxa"/>
            <w:vAlign w:val="bottom"/>
          </w:tcPr>
          <w:p>
            <w:pPr>
              <w:ind w:left="2140"/>
              <w:spacing w:after="0"/>
              <w:rPr>
                <w:sz w:val="20"/>
                <w:szCs w:val="20"/>
                <w:color w:val="auto"/>
              </w:rPr>
            </w:pPr>
            <w:r>
              <w:rPr>
                <w:rFonts w:ascii="Arial" w:cs="Arial" w:eastAsia="Arial" w:hAnsi="Arial"/>
                <w:sz w:val="18"/>
                <w:szCs w:val="18"/>
                <w:color w:val="auto"/>
              </w:rPr>
              <w:t>​ ​</w:t>
            </w:r>
          </w:p>
        </w:tc>
        <w:tc>
          <w:tcPr>
            <w:tcW w:w="300" w:type="dxa"/>
            <w:vAlign w:val="bottom"/>
          </w:tcPr>
          <w:p>
            <w:pPr>
              <w:ind w:left="10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798,300</w:t>
            </w:r>
          </w:p>
        </w:tc>
        <w:tc>
          <w:tcPr>
            <w:tcW w:w="1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0"/>
        </w:trPr>
        <w:tc>
          <w:tcPr>
            <w:tcW w:w="3980" w:type="dxa"/>
            <w:vAlign w:val="bottom"/>
            <w:shd w:val="clear" w:color="auto" w:fill="457157"/>
          </w:tcPr>
          <w:p>
            <w:pPr>
              <w:spacing w:after="0" w:line="20" w:lineRule="exact"/>
              <w:rPr>
                <w:sz w:val="1"/>
                <w:szCs w:val="1"/>
                <w:color w:val="auto"/>
              </w:rPr>
            </w:pPr>
          </w:p>
        </w:tc>
        <w:tc>
          <w:tcPr>
            <w:tcW w:w="23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398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Morris</w:t>
            </w:r>
          </w:p>
        </w:tc>
        <w:tc>
          <w:tcPr>
            <w:tcW w:w="2380" w:type="dxa"/>
            <w:vAlign w:val="bottom"/>
          </w:tcPr>
          <w:p>
            <w:pPr>
              <w:ind w:left="2140"/>
              <w:spacing w:after="0"/>
              <w:rPr>
                <w:sz w:val="20"/>
                <w:szCs w:val="20"/>
                <w:color w:val="auto"/>
              </w:rPr>
            </w:pPr>
            <w:r>
              <w:rPr>
                <w:rFonts w:ascii="Arial" w:cs="Arial" w:eastAsia="Arial" w:hAnsi="Arial"/>
                <w:sz w:val="18"/>
                <w:szCs w:val="18"/>
                <w:color w:val="auto"/>
              </w:rPr>
              <w:t>​ ​</w:t>
            </w:r>
          </w:p>
        </w:tc>
        <w:tc>
          <w:tcPr>
            <w:tcW w:w="300" w:type="dxa"/>
            <w:vAlign w:val="bottom"/>
          </w:tcPr>
          <w:p>
            <w:pPr>
              <w:ind w:left="10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815,400</w:t>
            </w:r>
          </w:p>
        </w:tc>
        <w:tc>
          <w:tcPr>
            <w:tcW w:w="1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0"/>
        </w:trPr>
        <w:tc>
          <w:tcPr>
            <w:tcW w:w="3980" w:type="dxa"/>
            <w:vAlign w:val="bottom"/>
            <w:shd w:val="clear" w:color="auto" w:fill="457157"/>
          </w:tcPr>
          <w:p>
            <w:pPr>
              <w:spacing w:after="0" w:line="20" w:lineRule="exact"/>
              <w:rPr>
                <w:sz w:val="1"/>
                <w:szCs w:val="1"/>
                <w:color w:val="auto"/>
              </w:rPr>
            </w:pPr>
          </w:p>
        </w:tc>
        <w:tc>
          <w:tcPr>
            <w:tcW w:w="23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398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Hemmer</w:t>
            </w:r>
          </w:p>
        </w:tc>
        <w:tc>
          <w:tcPr>
            <w:tcW w:w="2380" w:type="dxa"/>
            <w:vAlign w:val="bottom"/>
          </w:tcPr>
          <w:p>
            <w:pPr>
              <w:ind w:left="2140"/>
              <w:spacing w:after="0"/>
              <w:rPr>
                <w:sz w:val="20"/>
                <w:szCs w:val="20"/>
                <w:color w:val="auto"/>
              </w:rPr>
            </w:pPr>
            <w:r>
              <w:rPr>
                <w:rFonts w:ascii="Arial" w:cs="Arial" w:eastAsia="Arial" w:hAnsi="Arial"/>
                <w:sz w:val="18"/>
                <w:szCs w:val="18"/>
                <w:color w:val="auto"/>
              </w:rPr>
              <w:t>​ ​</w:t>
            </w:r>
          </w:p>
        </w:tc>
        <w:tc>
          <w:tcPr>
            <w:tcW w:w="300" w:type="dxa"/>
            <w:vAlign w:val="bottom"/>
          </w:tcPr>
          <w:p>
            <w:pPr>
              <w:ind w:left="1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700,000</w:t>
            </w:r>
          </w:p>
        </w:tc>
        <w:tc>
          <w:tcPr>
            <w:tcW w:w="1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0"/>
        </w:trPr>
        <w:tc>
          <w:tcPr>
            <w:tcW w:w="3980" w:type="dxa"/>
            <w:vAlign w:val="bottom"/>
            <w:shd w:val="clear" w:color="auto" w:fill="457157"/>
          </w:tcPr>
          <w:p>
            <w:pPr>
              <w:spacing w:after="0" w:line="20" w:lineRule="exact"/>
              <w:rPr>
                <w:sz w:val="1"/>
                <w:szCs w:val="1"/>
                <w:color w:val="auto"/>
              </w:rPr>
            </w:pPr>
          </w:p>
        </w:tc>
        <w:tc>
          <w:tcPr>
            <w:tcW w:w="23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398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Carrasco</w:t>
            </w:r>
          </w:p>
        </w:tc>
        <w:tc>
          <w:tcPr>
            <w:tcW w:w="2380" w:type="dxa"/>
            <w:vAlign w:val="bottom"/>
          </w:tcPr>
          <w:p>
            <w:pPr>
              <w:ind w:left="2140"/>
              <w:spacing w:after="0"/>
              <w:rPr>
                <w:sz w:val="20"/>
                <w:szCs w:val="20"/>
                <w:color w:val="auto"/>
              </w:rPr>
            </w:pPr>
            <w:r>
              <w:rPr>
                <w:rFonts w:ascii="Arial" w:cs="Arial" w:eastAsia="Arial" w:hAnsi="Arial"/>
                <w:sz w:val="18"/>
                <w:szCs w:val="18"/>
                <w:color w:val="auto"/>
              </w:rPr>
              <w:t>​ ​</w:t>
            </w:r>
          </w:p>
        </w:tc>
        <w:tc>
          <w:tcPr>
            <w:tcW w:w="300" w:type="dxa"/>
            <w:vAlign w:val="bottom"/>
          </w:tcPr>
          <w:p>
            <w:pPr>
              <w:ind w:left="10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676,000</w:t>
            </w:r>
          </w:p>
        </w:tc>
        <w:tc>
          <w:tcPr>
            <w:tcW w:w="180" w:type="dxa"/>
            <w:vAlign w:val="bottom"/>
            <w:gridSpan w:val="2"/>
          </w:tcPr>
          <w:p>
            <w:pPr>
              <w:ind w:left="100"/>
              <w:spacing w:after="0"/>
              <w:rPr>
                <w:sz w:val="20"/>
                <w:szCs w:val="20"/>
                <w:color w:val="auto"/>
              </w:rPr>
            </w:pPr>
            <w:r>
              <w:rPr>
                <w:rFonts w:ascii="Arial" w:cs="Arial" w:eastAsia="Arial" w:hAnsi="Arial"/>
                <w:sz w:val="18"/>
                <w:szCs w:val="18"/>
                <w:color w:val="auto"/>
              </w:rPr>
              <w:t>​​</w:t>
            </w:r>
          </w:p>
        </w:tc>
      </w:tr>
      <w:tr>
        <w:trPr>
          <w:trHeight w:val="20"/>
        </w:trPr>
        <w:tc>
          <w:tcPr>
            <w:tcW w:w="3980" w:type="dxa"/>
            <w:vAlign w:val="bottom"/>
            <w:shd w:val="clear" w:color="auto" w:fill="457157"/>
          </w:tcPr>
          <w:p>
            <w:pPr>
              <w:spacing w:after="0" w:line="20" w:lineRule="exact"/>
              <w:rPr>
                <w:sz w:val="1"/>
                <w:szCs w:val="1"/>
                <w:color w:val="auto"/>
              </w:rPr>
            </w:pPr>
          </w:p>
        </w:tc>
        <w:tc>
          <w:tcPr>
            <w:tcW w:w="23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-908050</wp:posOffset>
            </wp:positionV>
            <wp:extent cx="4843145" cy="1797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-548005</wp:posOffset>
            </wp:positionV>
            <wp:extent cx="4843145" cy="1803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843145" cy="18034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-187960</wp:posOffset>
            </wp:positionV>
            <wp:extent cx="4843145" cy="1797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843145" cy="179705"/>
                    </a:xfrm>
                    <a:prstGeom prst="rect">
                      <a:avLst/>
                    </a:prstGeom>
                    <a:noFill/>
                  </pic:spPr>
                </pic:pic>
              </a:graphicData>
            </a:graphic>
          </wp:anchor>
        </w:drawing>
      </w:r>
    </w:p>
    <w:p>
      <w:pPr>
        <w:spacing w:after="0" w:line="179"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Annual Cash Incentive</w:t>
      </w:r>
    </w:p>
    <w:p>
      <w:pPr>
        <w:spacing w:after="0" w:line="117" w:lineRule="exact"/>
        <w:rPr>
          <w:sz w:val="20"/>
          <w:szCs w:val="20"/>
          <w:color w:val="auto"/>
        </w:rPr>
      </w:pPr>
    </w:p>
    <w:p>
      <w:pPr>
        <w:ind w:left="1360" w:right="60" w:hanging="184"/>
        <w:spacing w:after="0" w:line="285" w:lineRule="auto"/>
        <w:tabs>
          <w:tab w:leader="none" w:pos="1360" w:val="left"/>
        </w:tabs>
        <w:numPr>
          <w:ilvl w:val="0"/>
          <w:numId w:val="36"/>
        </w:numPr>
        <w:rPr>
          <w:rFonts w:ascii="Arial" w:cs="Arial" w:eastAsia="Arial" w:hAnsi="Arial"/>
          <w:sz w:val="18"/>
          <w:szCs w:val="18"/>
          <w:color w:val="457157"/>
        </w:rPr>
      </w:pPr>
      <w:r>
        <w:rPr>
          <w:rFonts w:ascii="Arial" w:cs="Arial" w:eastAsia="Arial" w:hAnsi="Arial"/>
          <w:sz w:val="18"/>
          <w:szCs w:val="18"/>
          <w:i w:val="1"/>
          <w:iCs w:val="1"/>
          <w:color w:val="auto"/>
        </w:rPr>
        <w:t>Annual cash incentives were dependent on the following performance measures: Operating EBITDA; Income from Operations Margin and Internal Revenue Growth.</w:t>
      </w:r>
    </w:p>
    <w:p>
      <w:pPr>
        <w:spacing w:after="0" w:line="48" w:lineRule="exact"/>
        <w:rPr>
          <w:rFonts w:ascii="Arial" w:cs="Arial" w:eastAsia="Arial" w:hAnsi="Arial"/>
          <w:sz w:val="18"/>
          <w:szCs w:val="18"/>
          <w:color w:val="457157"/>
        </w:rPr>
      </w:pPr>
    </w:p>
    <w:p>
      <w:pPr>
        <w:jc w:val="both"/>
        <w:ind w:left="1360" w:right="60" w:hanging="184"/>
        <w:spacing w:after="0" w:line="277" w:lineRule="auto"/>
        <w:tabs>
          <w:tab w:leader="none" w:pos="1360" w:val="left"/>
        </w:tabs>
        <w:numPr>
          <w:ilvl w:val="0"/>
          <w:numId w:val="36"/>
        </w:numPr>
        <w:rPr>
          <w:rFonts w:ascii="Arial" w:cs="Arial" w:eastAsia="Arial" w:hAnsi="Arial"/>
          <w:sz w:val="18"/>
          <w:szCs w:val="18"/>
          <w:color w:val="457157"/>
        </w:rPr>
      </w:pPr>
      <w:r>
        <w:rPr>
          <w:rFonts w:ascii="Arial" w:cs="Arial" w:eastAsia="Arial" w:hAnsi="Arial"/>
          <w:sz w:val="18"/>
          <w:szCs w:val="18"/>
          <w:i w:val="1"/>
          <w:iCs w:val="1"/>
          <w:color w:val="auto"/>
        </w:rPr>
        <w:t>Payouts of cash incentives based on the performance measures could be increased or decreased by up to 10%, depending on achievement calculated using the 2024 sustainability scorecard.</w:t>
      </w:r>
    </w:p>
    <w:p>
      <w:pPr>
        <w:spacing w:after="0" w:line="291" w:lineRule="exact"/>
        <w:rPr>
          <w:rFonts w:ascii="Arial" w:cs="Arial" w:eastAsia="Arial" w:hAnsi="Arial"/>
          <w:sz w:val="18"/>
          <w:szCs w:val="18"/>
          <w:color w:val="457157"/>
        </w:rPr>
      </w:pPr>
    </w:p>
    <w:p>
      <w:pPr>
        <w:jc w:val="both"/>
        <w:ind w:left="1360" w:right="60" w:hanging="184"/>
        <w:spacing w:after="0" w:line="267" w:lineRule="auto"/>
        <w:tabs>
          <w:tab w:leader="none" w:pos="1360" w:val="left"/>
        </w:tabs>
        <w:numPr>
          <w:ilvl w:val="0"/>
          <w:numId w:val="36"/>
        </w:numPr>
        <w:rPr>
          <w:rFonts w:ascii="Arial" w:cs="Arial" w:eastAsia="Arial" w:hAnsi="Arial"/>
          <w:sz w:val="18"/>
          <w:szCs w:val="18"/>
          <w:color w:val="457157"/>
        </w:rPr>
      </w:pPr>
      <w:r>
        <w:rPr>
          <w:rFonts w:ascii="Arial" w:cs="Arial" w:eastAsia="Arial" w:hAnsi="Arial"/>
          <w:sz w:val="18"/>
          <w:szCs w:val="18"/>
          <w:i w:val="1"/>
          <w:iCs w:val="1"/>
          <w:color w:val="auto"/>
        </w:rPr>
        <w:t>Blended results on the performance measures yielded an annual cash incentive payment for 2024 equal to 133.08% of target, which was then modified by 3% on account of the sustainability modifier, yielding a calculated payout of 137.07%.</w:t>
      </w:r>
    </w:p>
    <w:p>
      <w:pPr>
        <w:spacing w:after="0" w:line="65" w:lineRule="exact"/>
        <w:rPr>
          <w:rFonts w:ascii="Arial" w:cs="Arial" w:eastAsia="Arial" w:hAnsi="Arial"/>
          <w:sz w:val="18"/>
          <w:szCs w:val="18"/>
          <w:color w:val="457157"/>
        </w:rPr>
      </w:pPr>
    </w:p>
    <w:p>
      <w:pPr>
        <w:ind w:left="1360" w:hanging="184"/>
        <w:spacing w:after="0"/>
        <w:tabs>
          <w:tab w:leader="none" w:pos="1360" w:val="left"/>
        </w:tabs>
        <w:numPr>
          <w:ilvl w:val="0"/>
          <w:numId w:val="36"/>
        </w:numPr>
        <w:rPr>
          <w:rFonts w:ascii="Arial" w:cs="Arial" w:eastAsia="Arial" w:hAnsi="Arial"/>
          <w:sz w:val="18"/>
          <w:szCs w:val="18"/>
          <w:color w:val="457157"/>
        </w:rPr>
      </w:pPr>
      <w:r>
        <w:rPr>
          <w:rFonts w:ascii="Arial" w:cs="Arial" w:eastAsia="Arial" w:hAnsi="Arial"/>
          <w:sz w:val="18"/>
          <w:szCs w:val="18"/>
          <w:i w:val="1"/>
          <w:iCs w:val="1"/>
          <w:color w:val="auto"/>
        </w:rPr>
        <w:t>The MD&amp;C Committee adjusted payouts based on individual performance.</w:t>
      </w:r>
    </w:p>
    <w:p>
      <w:pPr>
        <w:spacing w:after="0" w:line="115"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The MD&amp;C Committee develops financial performance measures for annual cash incentive awards to drive improvements in business operations, as well as support and fund the long-term strategy of the Company. The MD&amp;C Committee has found that the Operating EBITDA measure encourages balanced focus on growth and profitability. Our Income from Operations Margin performance measure encourages responsible, high margin revenue growth and cost management and reduction. The Internal Revenue Growth performance measure supports the Company’s strategic growth and creation of shareholder value. The MD&amp;C Committee believes these financial performance measures supported and aligned with the strategy of the Company in 2024, are reflective of the Company’s overall performance, and are appropriate indicators of our progress toward the Company’s goals. See “2024 Compensation Program Results and Company Performance” in the Executive Summary above for further discussion and definitions of the annual cash incentive performance measures.</w:t>
      </w:r>
    </w:p>
    <w:p>
      <w:pPr>
        <w:spacing w:after="0" w:line="293"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When setting threshold, target and maximum performance measure levels each year, the MD&amp;C Committee looks to the Company’s historical results of operations and analyses and forecasts for the coming year. Specifically, the MD&amp;C Committee considers pricing and volume trends, operational factors, and macroeconomic conditions, such as the recent inflationary cost pressures. When setting the 2024 performance levels, the MD&amp;C Committee defined the 2024 annual cash incentive awards to exclude the impacts of our recycling brokerage business. While the relatively small and traditionally lower -margin recycling brokerage business is additive to our overall customer value proposition, it can have a distorting effect on results, due in part to commodity price volatility. The table below details the performance measures set by the MD&amp;C Committee for purposes of the named executive officers’ annual cash incentive for 2024.</w:t>
      </w:r>
    </w:p>
    <w:p>
      <w:pPr>
        <w:spacing w:after="0" w:line="200" w:lineRule="exact"/>
        <w:rPr>
          <w:sz w:val="20"/>
          <w:szCs w:val="20"/>
          <w:color w:val="auto"/>
        </w:rPr>
      </w:pPr>
    </w:p>
    <w:p>
      <w:pPr>
        <w:spacing w:after="0" w:line="274"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00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920" w:type="dxa"/>
            <w:vAlign w:val="bottom"/>
            <w:shd w:val="clear" w:color="auto" w:fill="457157"/>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1140" w:type="dxa"/>
            <w:vAlign w:val="bottom"/>
            <w:shd w:val="clear" w:color="auto" w:fill="457157"/>
          </w:tcPr>
          <w:p>
            <w:pPr>
              <w:spacing w:after="0"/>
              <w:rPr>
                <w:sz w:val="19"/>
                <w:szCs w:val="19"/>
                <w:color w:val="auto"/>
              </w:rPr>
            </w:pPr>
          </w:p>
        </w:tc>
        <w:tc>
          <w:tcPr>
            <w:tcW w:w="1140" w:type="dxa"/>
            <w:vAlign w:val="bottom"/>
            <w:shd w:val="clear" w:color="auto" w:fill="457157"/>
          </w:tcPr>
          <w:p>
            <w:pPr>
              <w:spacing w:after="0"/>
              <w:rPr>
                <w:sz w:val="19"/>
                <w:szCs w:val="19"/>
                <w:color w:val="auto"/>
              </w:rPr>
            </w:pPr>
          </w:p>
        </w:tc>
        <w:tc>
          <w:tcPr>
            <w:tcW w:w="300" w:type="dxa"/>
            <w:vAlign w:val="bottom"/>
            <w:shd w:val="clear" w:color="auto" w:fill="457157"/>
          </w:tcPr>
          <w:p>
            <w:pPr>
              <w:spacing w:after="0"/>
              <w:rPr>
                <w:sz w:val="19"/>
                <w:szCs w:val="19"/>
                <w:color w:val="auto"/>
              </w:rPr>
            </w:pPr>
          </w:p>
        </w:tc>
        <w:tc>
          <w:tcPr>
            <w:tcW w:w="1120" w:type="dxa"/>
            <w:vAlign w:val="bottom"/>
            <w:shd w:val="clear" w:color="auto" w:fill="457157"/>
          </w:tcPr>
          <w:p>
            <w:pPr>
              <w:spacing w:after="0"/>
              <w:rPr>
                <w:sz w:val="19"/>
                <w:szCs w:val="19"/>
                <w:color w:val="auto"/>
              </w:rPr>
            </w:pPr>
          </w:p>
        </w:tc>
        <w:tc>
          <w:tcPr>
            <w:tcW w:w="300" w:type="dxa"/>
            <w:vAlign w:val="bottom"/>
            <w:shd w:val="clear" w:color="auto" w:fill="457157"/>
          </w:tcPr>
          <w:p>
            <w:pPr>
              <w:spacing w:after="0"/>
              <w:rPr>
                <w:sz w:val="19"/>
                <w:szCs w:val="19"/>
                <w:color w:val="auto"/>
              </w:rPr>
            </w:pPr>
          </w:p>
        </w:tc>
        <w:tc>
          <w:tcPr>
            <w:tcW w:w="1140" w:type="dxa"/>
            <w:vAlign w:val="bottom"/>
            <w:shd w:val="clear" w:color="auto" w:fill="457157"/>
          </w:tcPr>
          <w:p>
            <w:pPr>
              <w:spacing w:after="0"/>
              <w:rPr>
                <w:sz w:val="19"/>
                <w:szCs w:val="19"/>
                <w:color w:val="auto"/>
              </w:rPr>
            </w:pPr>
          </w:p>
        </w:tc>
        <w:tc>
          <w:tcPr>
            <w:tcW w:w="6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3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4"/>
                <w:szCs w:val="14"/>
                <w:b w:val="1"/>
                <w:bCs w:val="1"/>
                <w:color w:val="457157"/>
              </w:rPr>
              <w:t>Threshold</w:t>
            </w:r>
          </w:p>
        </w:tc>
        <w:tc>
          <w:tcPr>
            <w:tcW w:w="30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4"/>
                <w:szCs w:val="14"/>
                <w:b w:val="1"/>
                <w:bCs w:val="1"/>
                <w:color w:val="457157"/>
              </w:rPr>
              <w:t>Target</w:t>
            </w:r>
          </w:p>
        </w:tc>
        <w:tc>
          <w:tcPr>
            <w:tcW w:w="300" w:type="dxa"/>
            <w:vAlign w:val="bottom"/>
          </w:tcPr>
          <w:p>
            <w:pPr>
              <w:spacing w:after="0"/>
              <w:rPr>
                <w:sz w:val="24"/>
                <w:szCs w:val="24"/>
                <w:color w:val="auto"/>
              </w:rPr>
            </w:pPr>
          </w:p>
        </w:tc>
        <w:tc>
          <w:tcPr>
            <w:tcW w:w="1140" w:type="dxa"/>
            <w:vAlign w:val="bottom"/>
          </w:tcPr>
          <w:p>
            <w:pPr>
              <w:jc w:val="right"/>
              <w:ind w:right="19"/>
              <w:spacing w:after="0"/>
              <w:rPr>
                <w:sz w:val="20"/>
                <w:szCs w:val="20"/>
                <w:color w:val="auto"/>
              </w:rPr>
            </w:pPr>
            <w:r>
              <w:rPr>
                <w:rFonts w:ascii="Arial" w:cs="Arial" w:eastAsia="Arial" w:hAnsi="Arial"/>
                <w:sz w:val="14"/>
                <w:szCs w:val="14"/>
                <w:b w:val="1"/>
                <w:bCs w:val="1"/>
                <w:color w:val="457157"/>
              </w:rPr>
              <w:t>Maximum</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2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w:t>
            </w:r>
          </w:p>
        </w:tc>
        <w:tc>
          <w:tcPr>
            <w:tcW w:w="1140" w:type="dxa"/>
            <w:vAlign w:val="bottom"/>
          </w:tcPr>
          <w:p>
            <w:pPr>
              <w:spacing w:after="0"/>
              <w:rPr>
                <w:sz w:val="12"/>
                <w:szCs w:val="12"/>
                <w:color w:val="auto"/>
              </w:rPr>
            </w:pPr>
          </w:p>
        </w:tc>
        <w:tc>
          <w:tcPr>
            <w:tcW w:w="114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457157"/>
              </w:rPr>
              <w:t>Performance</w:t>
            </w:r>
          </w:p>
        </w:tc>
        <w:tc>
          <w:tcPr>
            <w:tcW w:w="300" w:type="dxa"/>
            <w:vAlign w:val="bottom"/>
          </w:tcPr>
          <w:p>
            <w:pPr>
              <w:spacing w:after="0"/>
              <w:rPr>
                <w:sz w:val="12"/>
                <w:szCs w:val="12"/>
                <w:color w:val="auto"/>
              </w:rPr>
            </w:pPr>
          </w:p>
        </w:tc>
        <w:tc>
          <w:tcPr>
            <w:tcW w:w="1120" w:type="dxa"/>
            <w:vAlign w:val="bottom"/>
          </w:tcPr>
          <w:p>
            <w:pPr>
              <w:jc w:val="right"/>
              <w:ind w:right="19"/>
              <w:spacing w:after="0" w:line="149" w:lineRule="exact"/>
              <w:rPr>
                <w:sz w:val="20"/>
                <w:szCs w:val="20"/>
                <w:color w:val="auto"/>
              </w:rPr>
            </w:pPr>
            <w:r>
              <w:rPr>
                <w:rFonts w:ascii="Arial" w:cs="Arial" w:eastAsia="Arial" w:hAnsi="Arial"/>
                <w:sz w:val="14"/>
                <w:szCs w:val="14"/>
                <w:b w:val="1"/>
                <w:bCs w:val="1"/>
                <w:color w:val="457157"/>
              </w:rPr>
              <w:t>Performance</w:t>
            </w:r>
          </w:p>
        </w:tc>
        <w:tc>
          <w:tcPr>
            <w:tcW w:w="300" w:type="dxa"/>
            <w:vAlign w:val="bottom"/>
          </w:tcPr>
          <w:p>
            <w:pPr>
              <w:spacing w:after="0"/>
              <w:rPr>
                <w:sz w:val="12"/>
                <w:szCs w:val="12"/>
                <w:color w:val="auto"/>
              </w:rPr>
            </w:pPr>
          </w:p>
        </w:tc>
        <w:tc>
          <w:tcPr>
            <w:tcW w:w="1140" w:type="dxa"/>
            <w:vAlign w:val="bottom"/>
          </w:tcPr>
          <w:p>
            <w:pPr>
              <w:jc w:val="right"/>
              <w:ind w:right="19"/>
              <w:spacing w:after="0" w:line="149" w:lineRule="exact"/>
              <w:rPr>
                <w:sz w:val="20"/>
                <w:szCs w:val="20"/>
                <w:color w:val="auto"/>
              </w:rPr>
            </w:pPr>
            <w:r>
              <w:rPr>
                <w:rFonts w:ascii="Arial" w:cs="Arial" w:eastAsia="Arial" w:hAnsi="Arial"/>
                <w:sz w:val="14"/>
                <w:szCs w:val="14"/>
                <w:b w:val="1"/>
                <w:bCs w:val="1"/>
                <w:color w:val="457157"/>
              </w:rPr>
              <w:t>Performance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920" w:type="dxa"/>
            <w:vAlign w:val="bottom"/>
            <w:vMerge w:val="continue"/>
          </w:tcPr>
          <w:p>
            <w:pPr>
              <w:spacing w:after="0"/>
              <w:rPr>
                <w:sz w:val="17"/>
                <w:szCs w:val="17"/>
                <w:color w:val="auto"/>
              </w:rPr>
            </w:pPr>
          </w:p>
        </w:tc>
        <w:tc>
          <w:tcPr>
            <w:tcW w:w="2280" w:type="dxa"/>
            <w:vAlign w:val="bottom"/>
            <w:gridSpan w:val="2"/>
          </w:tcPr>
          <w:p>
            <w:pPr>
              <w:ind w:left="920"/>
              <w:spacing w:after="0" w:line="199" w:lineRule="exact"/>
              <w:rPr>
                <w:sz w:val="20"/>
                <w:szCs w:val="20"/>
                <w:color w:val="auto"/>
              </w:rPr>
            </w:pP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 xml:space="preserve"> (60% Payment)</w:t>
            </w:r>
          </w:p>
        </w:tc>
        <w:tc>
          <w:tcPr>
            <w:tcW w:w="1420" w:type="dxa"/>
            <w:vAlign w:val="bottom"/>
            <w:gridSpan w:val="2"/>
          </w:tcPr>
          <w:p>
            <w:pPr>
              <w:ind w:left="60"/>
              <w:spacing w:after="0" w:line="199" w:lineRule="exact"/>
              <w:rPr>
                <w:sz w:val="20"/>
                <w:szCs w:val="20"/>
                <w:color w:val="auto"/>
              </w:rPr>
            </w:pP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(100% Payment)</w:t>
            </w:r>
          </w:p>
        </w:tc>
        <w:tc>
          <w:tcPr>
            <w:tcW w:w="1500" w:type="dxa"/>
            <w:vAlign w:val="bottom"/>
            <w:gridSpan w:val="3"/>
          </w:tcPr>
          <w:p>
            <w:pPr>
              <w:ind w:left="80"/>
              <w:spacing w:after="0" w:line="199" w:lineRule="exact"/>
              <w:rPr>
                <w:sz w:val="20"/>
                <w:szCs w:val="20"/>
                <w:color w:val="auto"/>
              </w:rPr>
            </w:pP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 xml:space="preserve">(200% Payment) </w:t>
            </w:r>
            <w:r>
              <w:rPr>
                <w:rFonts w:ascii="Arial" w:cs="Arial" w:eastAsia="Arial" w:hAnsi="Arial"/>
                <w:sz w:val="22"/>
                <w:szCs w:val="22"/>
                <w:b w:val="1"/>
                <w:bCs w:val="1"/>
                <w:color w:val="457157"/>
                <w:vertAlign w:val="subscript"/>
              </w:rPr>
              <w:t>​</w:t>
            </w:r>
          </w:p>
        </w:tc>
        <w:tc>
          <w:tcPr>
            <w:tcW w:w="0" w:type="dxa"/>
            <w:vAlign w:val="bottom"/>
          </w:tcPr>
          <w:p>
            <w:pPr>
              <w:spacing w:after="0"/>
              <w:rPr>
                <w:sz w:val="1"/>
                <w:szCs w:val="1"/>
                <w:color w:val="auto"/>
              </w:rPr>
            </w:pPr>
          </w:p>
        </w:tc>
      </w:tr>
      <w:tr>
        <w:trPr>
          <w:trHeight w:val="196"/>
        </w:trPr>
        <w:tc>
          <w:tcPr>
            <w:tcW w:w="3920" w:type="dxa"/>
            <w:vAlign w:val="bottom"/>
            <w:tcBorders>
              <w:top w:val="single" w:sz="8" w:color="457157"/>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Operating EBITDA</w:t>
            </w:r>
          </w:p>
        </w:tc>
        <w:tc>
          <w:tcPr>
            <w:tcW w:w="2280" w:type="dxa"/>
            <w:vAlign w:val="bottom"/>
            <w:tcBorders>
              <w:top w:val="single" w:sz="8" w:color="457157"/>
            </w:tcBorders>
            <w:gridSpan w:val="2"/>
            <w:shd w:val="clear" w:color="auto" w:fill="CCEEFF"/>
          </w:tcPr>
          <w:p>
            <w:pPr>
              <w:ind w:left="1040"/>
              <w:spacing w:after="0" w:line="196" w:lineRule="exact"/>
              <w:rPr>
                <w:sz w:val="20"/>
                <w:szCs w:val="20"/>
                <w:color w:val="auto"/>
              </w:rPr>
            </w:pPr>
            <w:r>
              <w:rPr>
                <w:rFonts w:ascii="Arial" w:cs="Arial" w:eastAsia="Arial" w:hAnsi="Arial"/>
                <w:sz w:val="18"/>
                <w:szCs w:val="18"/>
                <w:color w:val="auto"/>
              </w:rPr>
              <w:t>$6.050 billion</w:t>
            </w:r>
          </w:p>
        </w:tc>
        <w:tc>
          <w:tcPr>
            <w:tcW w:w="1420" w:type="dxa"/>
            <w:vAlign w:val="bottom"/>
            <w:tcBorders>
              <w:top w:val="single" w:sz="8" w:color="457157"/>
            </w:tcBorders>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$6.352 billion</w:t>
            </w:r>
          </w:p>
        </w:tc>
        <w:tc>
          <w:tcPr>
            <w:tcW w:w="1440" w:type="dxa"/>
            <w:vAlign w:val="bottom"/>
            <w:tcBorders>
              <w:top w:val="single" w:sz="8" w:color="457157"/>
            </w:tcBorders>
            <w:gridSpan w:val="2"/>
            <w:shd w:val="clear" w:color="auto" w:fill="CCEEFF"/>
          </w:tcPr>
          <w:p>
            <w:pPr>
              <w:ind w:left="200"/>
              <w:spacing w:after="0" w:line="196" w:lineRule="exact"/>
              <w:rPr>
                <w:sz w:val="20"/>
                <w:szCs w:val="20"/>
                <w:color w:val="auto"/>
              </w:rPr>
            </w:pPr>
            <w:r>
              <w:rPr>
                <w:rFonts w:ascii="Arial" w:cs="Arial" w:eastAsia="Arial" w:hAnsi="Arial"/>
                <w:sz w:val="18"/>
                <w:szCs w:val="18"/>
                <w:color w:val="auto"/>
              </w:rPr>
              <w:t>$6.650 billion</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920" w:type="dxa"/>
            <w:vAlign w:val="bottom"/>
            <w:tcBorders>
              <w:bottom w:val="single" w:sz="8" w:color="457157"/>
            </w:tcBorders>
            <w:shd w:val="clear" w:color="auto" w:fill="CCEEFF"/>
          </w:tcPr>
          <w:p>
            <w:pPr>
              <w:ind w:left="40"/>
              <w:spacing w:after="0" w:line="68" w:lineRule="exact"/>
              <w:rPr>
                <w:sz w:val="20"/>
                <w:szCs w:val="20"/>
                <w:color w:val="auto"/>
              </w:rPr>
            </w:pPr>
            <w:r>
              <w:rPr>
                <w:rFonts w:ascii="Arial" w:cs="Arial" w:eastAsia="Arial" w:hAnsi="Arial"/>
                <w:sz w:val="7"/>
                <w:szCs w:val="7"/>
                <w:color w:val="auto"/>
              </w:rPr>
              <w:t>​</w:t>
            </w:r>
          </w:p>
        </w:tc>
        <w:tc>
          <w:tcPr>
            <w:tcW w:w="1140" w:type="dxa"/>
            <w:vAlign w:val="bottom"/>
            <w:tcBorders>
              <w:bottom w:val="single" w:sz="8" w:color="457157"/>
            </w:tcBorders>
            <w:shd w:val="clear" w:color="auto" w:fill="CCEEFF"/>
          </w:tcPr>
          <w:p>
            <w:pPr>
              <w:ind w:left="920"/>
              <w:spacing w:after="0" w:line="68" w:lineRule="exact"/>
              <w:rPr>
                <w:sz w:val="20"/>
                <w:szCs w:val="20"/>
                <w:color w:val="auto"/>
              </w:rPr>
            </w:pPr>
            <w:r>
              <w:rPr>
                <w:rFonts w:ascii="Arial" w:cs="Arial" w:eastAsia="Arial" w:hAnsi="Arial"/>
                <w:sz w:val="7"/>
                <w:szCs w:val="7"/>
                <w:color w:val="auto"/>
              </w:rPr>
              <w:t>​ ​</w:t>
            </w:r>
          </w:p>
        </w:tc>
        <w:tc>
          <w:tcPr>
            <w:tcW w:w="1140" w:type="dxa"/>
            <w:vAlign w:val="bottom"/>
            <w:tcBorders>
              <w:bottom w:val="single" w:sz="8" w:color="457157"/>
            </w:tcBorders>
            <w:shd w:val="clear" w:color="auto" w:fill="CCEEFF"/>
          </w:tcPr>
          <w:p>
            <w:pPr>
              <w:spacing w:after="0"/>
              <w:rPr>
                <w:sz w:val="5"/>
                <w:szCs w:val="5"/>
                <w:color w:val="auto"/>
              </w:rPr>
            </w:pPr>
          </w:p>
        </w:tc>
        <w:tc>
          <w:tcPr>
            <w:tcW w:w="300" w:type="dxa"/>
            <w:vAlign w:val="bottom"/>
            <w:tcBorders>
              <w:bottom w:val="single" w:sz="8" w:color="457157"/>
            </w:tcBorders>
            <w:shd w:val="clear" w:color="auto" w:fill="CCEEFF"/>
          </w:tcPr>
          <w:p>
            <w:pPr>
              <w:ind w:left="60"/>
              <w:spacing w:after="0" w:line="68" w:lineRule="exact"/>
              <w:rPr>
                <w:sz w:val="20"/>
                <w:szCs w:val="20"/>
                <w:color w:val="auto"/>
              </w:rPr>
            </w:pPr>
            <w:r>
              <w:rPr>
                <w:rFonts w:ascii="Arial" w:cs="Arial" w:eastAsia="Arial" w:hAnsi="Arial"/>
                <w:sz w:val="7"/>
                <w:szCs w:val="7"/>
                <w:color w:val="auto"/>
              </w:rPr>
              <w:t>​ ​</w:t>
            </w:r>
          </w:p>
        </w:tc>
        <w:tc>
          <w:tcPr>
            <w:tcW w:w="1120" w:type="dxa"/>
            <w:vAlign w:val="bottom"/>
            <w:tcBorders>
              <w:bottom w:val="single" w:sz="8" w:color="457157"/>
            </w:tcBorders>
            <w:shd w:val="clear" w:color="auto" w:fill="CCEEFF"/>
          </w:tcPr>
          <w:p>
            <w:pPr>
              <w:spacing w:after="0"/>
              <w:rPr>
                <w:sz w:val="5"/>
                <w:szCs w:val="5"/>
                <w:color w:val="auto"/>
              </w:rPr>
            </w:pPr>
          </w:p>
        </w:tc>
        <w:tc>
          <w:tcPr>
            <w:tcW w:w="300" w:type="dxa"/>
            <w:vAlign w:val="bottom"/>
            <w:tcBorders>
              <w:bottom w:val="single" w:sz="8" w:color="457157"/>
            </w:tcBorders>
            <w:shd w:val="clear" w:color="auto" w:fill="CCEEFF"/>
          </w:tcPr>
          <w:p>
            <w:pPr>
              <w:ind w:left="80"/>
              <w:spacing w:after="0" w:line="68" w:lineRule="exact"/>
              <w:rPr>
                <w:sz w:val="20"/>
                <w:szCs w:val="20"/>
                <w:color w:val="auto"/>
              </w:rPr>
            </w:pPr>
            <w:r>
              <w:rPr>
                <w:rFonts w:ascii="Arial" w:cs="Arial" w:eastAsia="Arial" w:hAnsi="Arial"/>
                <w:sz w:val="7"/>
                <w:szCs w:val="7"/>
                <w:color w:val="auto"/>
              </w:rPr>
              <w:t>​ ​</w:t>
            </w:r>
          </w:p>
        </w:tc>
        <w:tc>
          <w:tcPr>
            <w:tcW w:w="1140" w:type="dxa"/>
            <w:vAlign w:val="bottom"/>
            <w:tcBorders>
              <w:bottom w:val="single" w:sz="8" w:color="457157"/>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920" w:type="dxa"/>
            <w:vAlign w:val="bottom"/>
          </w:tcPr>
          <w:p>
            <w:pPr>
              <w:ind w:left="40"/>
              <w:spacing w:after="0" w:line="196" w:lineRule="exact"/>
              <w:rPr>
                <w:sz w:val="20"/>
                <w:szCs w:val="20"/>
                <w:color w:val="auto"/>
              </w:rPr>
            </w:pPr>
            <w:r>
              <w:rPr>
                <w:rFonts w:ascii="Arial" w:cs="Arial" w:eastAsia="Arial" w:hAnsi="Arial"/>
                <w:sz w:val="18"/>
                <w:szCs w:val="18"/>
                <w:b w:val="1"/>
                <w:bCs w:val="1"/>
                <w:color w:val="auto"/>
              </w:rPr>
              <w:t>Income from Operations Margin</w:t>
            </w:r>
          </w:p>
        </w:tc>
        <w:tc>
          <w:tcPr>
            <w:tcW w:w="1140" w:type="dxa"/>
            <w:vAlign w:val="bottom"/>
            <w:vMerge w:val="restart"/>
          </w:tcPr>
          <w:p>
            <w:pPr>
              <w:ind w:left="92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18.7%</w:t>
            </w:r>
          </w:p>
        </w:tc>
        <w:tc>
          <w:tcPr>
            <w:tcW w:w="30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19.7%</w:t>
            </w:r>
          </w:p>
        </w:tc>
        <w:tc>
          <w:tcPr>
            <w:tcW w:w="300" w:type="dxa"/>
            <w:vAlign w:val="bottom"/>
            <w:vMerge w:val="restart"/>
          </w:tcPr>
          <w:p>
            <w:pPr>
              <w:ind w:left="80"/>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20.7%</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920" w:type="dxa"/>
            <w:vAlign w:val="bottom"/>
            <w:tcBorders>
              <w:bottom w:val="single" w:sz="8" w:color="457157"/>
            </w:tcBorders>
          </w:tcPr>
          <w:p>
            <w:pPr>
              <w:ind w:left="40"/>
              <w:spacing w:after="0" w:line="68" w:lineRule="exact"/>
              <w:rPr>
                <w:sz w:val="20"/>
                <w:szCs w:val="20"/>
                <w:color w:val="auto"/>
              </w:rPr>
            </w:pPr>
            <w:r>
              <w:rPr>
                <w:rFonts w:ascii="Arial" w:cs="Arial" w:eastAsia="Arial" w:hAnsi="Arial"/>
                <w:sz w:val="7"/>
                <w:szCs w:val="7"/>
                <w:color w:val="auto"/>
              </w:rPr>
              <w:t>​</w:t>
            </w:r>
          </w:p>
        </w:tc>
        <w:tc>
          <w:tcPr>
            <w:tcW w:w="1140" w:type="dxa"/>
            <w:vAlign w:val="bottom"/>
            <w:tcBorders>
              <w:bottom w:val="single" w:sz="8" w:color="457157"/>
            </w:tcBorders>
            <w:vMerge w:val="continue"/>
          </w:tcPr>
          <w:p>
            <w:pPr>
              <w:spacing w:after="0"/>
              <w:rPr>
                <w:sz w:val="5"/>
                <w:szCs w:val="5"/>
                <w:color w:val="auto"/>
              </w:rPr>
            </w:pPr>
          </w:p>
        </w:tc>
        <w:tc>
          <w:tcPr>
            <w:tcW w:w="1140" w:type="dxa"/>
            <w:vAlign w:val="bottom"/>
            <w:tcBorders>
              <w:bottom w:val="single" w:sz="8" w:color="457157"/>
            </w:tcBorders>
          </w:tcPr>
          <w:p>
            <w:pPr>
              <w:spacing w:after="0"/>
              <w:rPr>
                <w:sz w:val="5"/>
                <w:szCs w:val="5"/>
                <w:color w:val="auto"/>
              </w:rPr>
            </w:pPr>
          </w:p>
        </w:tc>
        <w:tc>
          <w:tcPr>
            <w:tcW w:w="300" w:type="dxa"/>
            <w:vAlign w:val="bottom"/>
            <w:tcBorders>
              <w:bottom w:val="single" w:sz="8" w:color="457157"/>
            </w:tcBorders>
            <w:vMerge w:val="continue"/>
          </w:tcPr>
          <w:p>
            <w:pPr>
              <w:spacing w:after="0"/>
              <w:rPr>
                <w:sz w:val="5"/>
                <w:szCs w:val="5"/>
                <w:color w:val="auto"/>
              </w:rPr>
            </w:pPr>
          </w:p>
        </w:tc>
        <w:tc>
          <w:tcPr>
            <w:tcW w:w="1120" w:type="dxa"/>
            <w:vAlign w:val="bottom"/>
            <w:tcBorders>
              <w:bottom w:val="single" w:sz="8" w:color="457157"/>
            </w:tcBorders>
          </w:tcPr>
          <w:p>
            <w:pPr>
              <w:spacing w:after="0"/>
              <w:rPr>
                <w:sz w:val="5"/>
                <w:szCs w:val="5"/>
                <w:color w:val="auto"/>
              </w:rPr>
            </w:pPr>
          </w:p>
        </w:tc>
        <w:tc>
          <w:tcPr>
            <w:tcW w:w="300" w:type="dxa"/>
            <w:vAlign w:val="bottom"/>
            <w:tcBorders>
              <w:bottom w:val="single" w:sz="8" w:color="457157"/>
            </w:tcBorders>
            <w:vMerge w:val="continue"/>
          </w:tcPr>
          <w:p>
            <w:pPr>
              <w:spacing w:after="0"/>
              <w:rPr>
                <w:sz w:val="5"/>
                <w:szCs w:val="5"/>
                <w:color w:val="auto"/>
              </w:rPr>
            </w:pPr>
          </w:p>
        </w:tc>
        <w:tc>
          <w:tcPr>
            <w:tcW w:w="1140" w:type="dxa"/>
            <w:vAlign w:val="bottom"/>
            <w:tcBorders>
              <w:bottom w:val="single" w:sz="8" w:color="457157"/>
            </w:tcBorders>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92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Internal Revenue Growth</w:t>
            </w:r>
          </w:p>
        </w:tc>
        <w:tc>
          <w:tcPr>
            <w:tcW w:w="1140" w:type="dxa"/>
            <w:vAlign w:val="bottom"/>
            <w:vMerge w:val="restart"/>
            <w:shd w:val="clear" w:color="auto" w:fill="CCEEFF"/>
          </w:tcPr>
          <w:p>
            <w:pPr>
              <w:ind w:left="92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c>
          <w:tcPr>
            <w:tcW w:w="30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w:t>
            </w:r>
          </w:p>
        </w:tc>
        <w:tc>
          <w:tcPr>
            <w:tcW w:w="30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3920" w:type="dxa"/>
            <w:vAlign w:val="bottom"/>
            <w:tcBorders>
              <w:bottom w:val="single" w:sz="8" w:color="457157"/>
            </w:tcBorders>
            <w:shd w:val="clear" w:color="auto" w:fill="CCEEFF"/>
          </w:tcPr>
          <w:p>
            <w:pPr>
              <w:ind w:left="40"/>
              <w:spacing w:after="0" w:line="68" w:lineRule="exact"/>
              <w:rPr>
                <w:sz w:val="20"/>
                <w:szCs w:val="20"/>
                <w:color w:val="auto"/>
              </w:rPr>
            </w:pPr>
            <w:r>
              <w:rPr>
                <w:rFonts w:ascii="Arial" w:cs="Arial" w:eastAsia="Arial" w:hAnsi="Arial"/>
                <w:sz w:val="7"/>
                <w:szCs w:val="7"/>
                <w:color w:val="auto"/>
              </w:rPr>
              <w:t>​</w:t>
            </w:r>
          </w:p>
        </w:tc>
        <w:tc>
          <w:tcPr>
            <w:tcW w:w="1140" w:type="dxa"/>
            <w:vAlign w:val="bottom"/>
            <w:tcBorders>
              <w:bottom w:val="single" w:sz="8" w:color="457157"/>
            </w:tcBorders>
            <w:vMerge w:val="continue"/>
            <w:shd w:val="clear" w:color="auto" w:fill="CCEEFF"/>
          </w:tcPr>
          <w:p>
            <w:pPr>
              <w:spacing w:after="0"/>
              <w:rPr>
                <w:sz w:val="5"/>
                <w:szCs w:val="5"/>
                <w:color w:val="auto"/>
              </w:rPr>
            </w:pPr>
          </w:p>
        </w:tc>
        <w:tc>
          <w:tcPr>
            <w:tcW w:w="1140" w:type="dxa"/>
            <w:vAlign w:val="bottom"/>
            <w:tcBorders>
              <w:bottom w:val="single" w:sz="8" w:color="457157"/>
            </w:tcBorders>
            <w:shd w:val="clear" w:color="auto" w:fill="CCEEFF"/>
          </w:tcPr>
          <w:p>
            <w:pPr>
              <w:spacing w:after="0"/>
              <w:rPr>
                <w:sz w:val="5"/>
                <w:szCs w:val="5"/>
                <w:color w:val="auto"/>
              </w:rPr>
            </w:pPr>
          </w:p>
        </w:tc>
        <w:tc>
          <w:tcPr>
            <w:tcW w:w="300" w:type="dxa"/>
            <w:vAlign w:val="bottom"/>
            <w:tcBorders>
              <w:bottom w:val="single" w:sz="8" w:color="457157"/>
            </w:tcBorders>
            <w:vMerge w:val="continue"/>
            <w:shd w:val="clear" w:color="auto" w:fill="CCEEFF"/>
          </w:tcPr>
          <w:p>
            <w:pPr>
              <w:spacing w:after="0"/>
              <w:rPr>
                <w:sz w:val="5"/>
                <w:szCs w:val="5"/>
                <w:color w:val="auto"/>
              </w:rPr>
            </w:pPr>
          </w:p>
        </w:tc>
        <w:tc>
          <w:tcPr>
            <w:tcW w:w="1120" w:type="dxa"/>
            <w:vAlign w:val="bottom"/>
            <w:tcBorders>
              <w:bottom w:val="single" w:sz="8" w:color="457157"/>
            </w:tcBorders>
            <w:shd w:val="clear" w:color="auto" w:fill="CCEEFF"/>
          </w:tcPr>
          <w:p>
            <w:pPr>
              <w:spacing w:after="0"/>
              <w:rPr>
                <w:sz w:val="5"/>
                <w:szCs w:val="5"/>
                <w:color w:val="auto"/>
              </w:rPr>
            </w:pPr>
          </w:p>
        </w:tc>
        <w:tc>
          <w:tcPr>
            <w:tcW w:w="300" w:type="dxa"/>
            <w:vAlign w:val="bottom"/>
            <w:tcBorders>
              <w:bottom w:val="single" w:sz="8" w:color="457157"/>
            </w:tcBorders>
            <w:vMerge w:val="continue"/>
            <w:shd w:val="clear" w:color="auto" w:fill="CCEEFF"/>
          </w:tcPr>
          <w:p>
            <w:pPr>
              <w:spacing w:after="0"/>
              <w:rPr>
                <w:sz w:val="5"/>
                <w:szCs w:val="5"/>
                <w:color w:val="auto"/>
              </w:rPr>
            </w:pPr>
          </w:p>
        </w:tc>
        <w:tc>
          <w:tcPr>
            <w:tcW w:w="1140" w:type="dxa"/>
            <w:vAlign w:val="bottom"/>
            <w:tcBorders>
              <w:bottom w:val="single" w:sz="8" w:color="457157"/>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both"/>
        <w:ind w:left="820" w:right="60"/>
        <w:spacing w:after="0" w:line="287" w:lineRule="auto"/>
        <w:rPr>
          <w:sz w:val="20"/>
          <w:szCs w:val="20"/>
          <w:color w:val="auto"/>
        </w:rPr>
      </w:pPr>
      <w:r>
        <w:rPr>
          <w:rFonts w:ascii="Arial" w:cs="Arial" w:eastAsia="Arial" w:hAnsi="Arial"/>
          <w:sz w:val="18"/>
          <w:szCs w:val="18"/>
          <w:color w:val="auto"/>
        </w:rPr>
        <w:t>The following table sets forth the Company’s performance achieved on each of the annual cash incentive performance measures and the payout earned on account of such performance.</w:t>
      </w:r>
    </w:p>
    <w:p>
      <w:pPr>
        <w:spacing w:after="0" w:line="65"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3"/>
            <w:vMerge w:val="restart"/>
          </w:tcPr>
          <w:p>
            <w:pPr>
              <w:jc w:val="right"/>
              <w:ind w:right="308"/>
              <w:spacing w:after="0"/>
              <w:rPr>
                <w:sz w:val="20"/>
                <w:szCs w:val="20"/>
                <w:color w:val="auto"/>
              </w:rPr>
            </w:pPr>
            <w:r>
              <w:rPr>
                <w:rFonts w:ascii="Arial" w:cs="Arial" w:eastAsia="Arial" w:hAnsi="Arial"/>
                <w:sz w:val="14"/>
                <w:szCs w:val="14"/>
                <w:b w:val="1"/>
                <w:bCs w:val="1"/>
                <w:color w:val="457157"/>
              </w:rPr>
              <w:t>Operating EBITDA</w:t>
            </w:r>
          </w:p>
        </w:tc>
        <w:tc>
          <w:tcPr>
            <w:tcW w:w="340" w:type="dxa"/>
            <w:vAlign w:val="bottom"/>
          </w:tcPr>
          <w:p>
            <w:pPr>
              <w:spacing w:after="0"/>
              <w:rPr>
                <w:sz w:val="14"/>
                <w:szCs w:val="14"/>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457157"/>
              </w:rPr>
              <w:t>Income from</w:t>
            </w:r>
          </w:p>
        </w:tc>
        <w:tc>
          <w:tcPr>
            <w:tcW w:w="340" w:type="dxa"/>
            <w:vAlign w:val="bottom"/>
          </w:tcPr>
          <w:p>
            <w:pPr>
              <w:spacing w:after="0"/>
              <w:rPr>
                <w:sz w:val="14"/>
                <w:szCs w:val="14"/>
                <w:color w:val="auto"/>
              </w:rPr>
            </w:pPr>
          </w:p>
        </w:tc>
        <w:tc>
          <w:tcPr>
            <w:tcW w:w="1580" w:type="dxa"/>
            <w:vAlign w:val="bottom"/>
            <w:gridSpan w:val="4"/>
          </w:tcPr>
          <w:p>
            <w:pPr>
              <w:jc w:val="center"/>
              <w:spacing w:after="0"/>
              <w:rPr>
                <w:sz w:val="20"/>
                <w:szCs w:val="20"/>
                <w:color w:val="auto"/>
              </w:rPr>
            </w:pPr>
            <w:r>
              <w:rPr>
                <w:rFonts w:ascii="Arial" w:cs="Arial" w:eastAsia="Arial" w:hAnsi="Arial"/>
                <w:sz w:val="14"/>
                <w:szCs w:val="14"/>
                <w:b w:val="1"/>
                <w:bCs w:val="1"/>
                <w:color w:val="457157"/>
              </w:rPr>
              <w:t>Internal Revenue</w:t>
            </w: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457157"/>
              </w:rPr>
              <w:t>​</w:t>
            </w:r>
          </w:p>
        </w:tc>
        <w:tc>
          <w:tcPr>
            <w:tcW w:w="1880" w:type="dxa"/>
            <w:vAlign w:val="bottom"/>
            <w:gridSpan w:val="3"/>
            <w:vMerge w:val="continue"/>
          </w:tcPr>
          <w:p>
            <w:pPr>
              <w:spacing w:after="0"/>
              <w:rPr>
                <w:sz w:val="12"/>
                <w:szCs w:val="12"/>
                <w:color w:val="auto"/>
              </w:rPr>
            </w:pPr>
          </w:p>
        </w:tc>
        <w:tc>
          <w:tcPr>
            <w:tcW w:w="340" w:type="dxa"/>
            <w:vAlign w:val="bottom"/>
            <w:vMerge w:val="restart"/>
          </w:tcPr>
          <w:p>
            <w:pPr>
              <w:jc w:val="center"/>
              <w:ind w:left="1"/>
              <w:spacing w:after="0"/>
              <w:rPr>
                <w:sz w:val="20"/>
                <w:szCs w:val="20"/>
                <w:color w:val="auto"/>
              </w:rPr>
            </w:pPr>
            <w:r>
              <w:rPr>
                <w:rFonts w:ascii="Arial" w:cs="Arial" w:eastAsia="Arial" w:hAnsi="Arial"/>
                <w:sz w:val="14"/>
                <w:szCs w:val="14"/>
                <w:b w:val="1"/>
                <w:bCs w:val="1"/>
                <w:color w:val="457157"/>
              </w:rPr>
              <w:t>​  ​</w:t>
            </w:r>
          </w:p>
        </w:tc>
        <w:tc>
          <w:tcPr>
            <w:tcW w:w="15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457157"/>
              </w:rPr>
              <w:t>Operations Margin</w:t>
            </w:r>
          </w:p>
        </w:tc>
        <w:tc>
          <w:tcPr>
            <w:tcW w:w="340" w:type="dxa"/>
            <w:vAlign w:val="bottom"/>
            <w:vMerge w:val="restart"/>
          </w:tcPr>
          <w:p>
            <w:pPr>
              <w:jc w:val="center"/>
              <w:ind w:left="1"/>
              <w:spacing w:after="0"/>
              <w:rPr>
                <w:sz w:val="20"/>
                <w:szCs w:val="20"/>
                <w:color w:val="auto"/>
              </w:rPr>
            </w:pPr>
            <w:r>
              <w:rPr>
                <w:rFonts w:ascii="Arial" w:cs="Arial" w:eastAsia="Arial" w:hAnsi="Arial"/>
                <w:sz w:val="14"/>
                <w:szCs w:val="14"/>
                <w:b w:val="1"/>
                <w:bCs w:val="1"/>
                <w:color w:val="457157"/>
              </w:rPr>
              <w:t>​  ​</w:t>
            </w:r>
          </w:p>
        </w:tc>
        <w:tc>
          <w:tcPr>
            <w:tcW w:w="1040" w:type="dxa"/>
            <w:vAlign w:val="bottom"/>
            <w:gridSpan w:val="3"/>
          </w:tcPr>
          <w:p>
            <w:pPr>
              <w:jc w:val="center"/>
              <w:ind w:left="436"/>
              <w:spacing w:after="0" w:line="149" w:lineRule="exact"/>
              <w:rPr>
                <w:sz w:val="20"/>
                <w:szCs w:val="20"/>
                <w:color w:val="auto"/>
              </w:rPr>
            </w:pPr>
            <w:r>
              <w:rPr>
                <w:rFonts w:ascii="Arial" w:cs="Arial" w:eastAsia="Arial" w:hAnsi="Arial"/>
                <w:sz w:val="14"/>
                <w:szCs w:val="14"/>
                <w:b w:val="1"/>
                <w:bCs w:val="1"/>
                <w:color w:val="457157"/>
              </w:rPr>
              <w:t>Growth</w:t>
            </w:r>
          </w:p>
        </w:tc>
        <w:tc>
          <w:tcPr>
            <w:tcW w:w="540" w:type="dxa"/>
            <w:vAlign w:val="bottom"/>
          </w:tcPr>
          <w:p>
            <w:pPr>
              <w:spacing w:after="0"/>
              <w:rPr>
                <w:sz w:val="12"/>
                <w:szCs w:val="12"/>
                <w:color w:val="auto"/>
              </w:rPr>
            </w:pPr>
          </w:p>
        </w:tc>
        <w:tc>
          <w:tcPr>
            <w:tcW w:w="320" w:type="dxa"/>
            <w:vAlign w:val="bottom"/>
            <w:vMerge w:val="restart"/>
          </w:tcPr>
          <w:p>
            <w:pPr>
              <w:jc w:val="right"/>
              <w:ind w:right="121"/>
              <w:spacing w:after="0"/>
              <w:rPr>
                <w:sz w:val="20"/>
                <w:szCs w:val="20"/>
                <w:color w:val="auto"/>
              </w:rPr>
            </w:pPr>
            <w:r>
              <w:rPr>
                <w:rFonts w:ascii="Arial" w:cs="Arial" w:eastAsia="Arial" w:hAnsi="Arial"/>
                <w:sz w:val="14"/>
                <w:szCs w:val="14"/>
                <w:b w:val="1"/>
                <w:bCs w:val="1"/>
                <w:color w:val="457157"/>
              </w:rPr>
              <w:t>​</w:t>
            </w: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Total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0" w:type="dxa"/>
            <w:vAlign w:val="bottom"/>
            <w:gridSpan w:val="2"/>
            <w:vMerge w:val="continue"/>
          </w:tcPr>
          <w:p>
            <w:pPr>
              <w:spacing w:after="0"/>
              <w:rPr>
                <w:sz w:val="11"/>
                <w:szCs w:val="11"/>
                <w:color w:val="auto"/>
              </w:rPr>
            </w:pPr>
          </w:p>
        </w:tc>
        <w:tc>
          <w:tcPr>
            <w:tcW w:w="1880" w:type="dxa"/>
            <w:vAlign w:val="bottom"/>
            <w:gridSpan w:val="3"/>
          </w:tcPr>
          <w:p>
            <w:pPr>
              <w:jc w:val="right"/>
              <w:ind w:right="388"/>
              <w:spacing w:after="0" w:line="135" w:lineRule="exact"/>
              <w:rPr>
                <w:sz w:val="20"/>
                <w:szCs w:val="20"/>
                <w:color w:val="auto"/>
              </w:rPr>
            </w:pPr>
            <w:r>
              <w:rPr>
                <w:rFonts w:ascii="Arial" w:cs="Arial" w:eastAsia="Arial" w:hAnsi="Arial"/>
                <w:sz w:val="14"/>
                <w:szCs w:val="14"/>
                <w:b w:val="1"/>
                <w:bCs w:val="1"/>
                <w:color w:val="457157"/>
              </w:rPr>
              <w:t>(weighted 50%)</w:t>
            </w:r>
          </w:p>
        </w:tc>
        <w:tc>
          <w:tcPr>
            <w:tcW w:w="340" w:type="dxa"/>
            <w:vAlign w:val="bottom"/>
            <w:vMerge w:val="continue"/>
          </w:tcPr>
          <w:p>
            <w:pPr>
              <w:spacing w:after="0"/>
              <w:rPr>
                <w:sz w:val="11"/>
                <w:szCs w:val="11"/>
                <w:color w:val="auto"/>
              </w:rPr>
            </w:pPr>
          </w:p>
        </w:tc>
        <w:tc>
          <w:tcPr>
            <w:tcW w:w="158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457157"/>
              </w:rPr>
              <w:t>(weighted 25%)</w:t>
            </w:r>
          </w:p>
        </w:tc>
        <w:tc>
          <w:tcPr>
            <w:tcW w:w="340" w:type="dxa"/>
            <w:vAlign w:val="bottom"/>
            <w:vMerge w:val="continue"/>
          </w:tcPr>
          <w:p>
            <w:pPr>
              <w:spacing w:after="0"/>
              <w:rPr>
                <w:sz w:val="11"/>
                <w:szCs w:val="11"/>
                <w:color w:val="auto"/>
              </w:rPr>
            </w:pPr>
          </w:p>
        </w:tc>
        <w:tc>
          <w:tcPr>
            <w:tcW w:w="158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457157"/>
              </w:rPr>
              <w:t>(weighted 25%)</w:t>
            </w:r>
          </w:p>
        </w:tc>
        <w:tc>
          <w:tcPr>
            <w:tcW w:w="3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200" w:type="dxa"/>
            <w:vAlign w:val="bottom"/>
            <w:tcBorders>
              <w:bottom w:val="single" w:sz="8" w:color="457157"/>
            </w:tcBorders>
          </w:tcPr>
          <w:p>
            <w:pPr>
              <w:spacing w:after="0"/>
              <w:rPr>
                <w:sz w:val="6"/>
                <w:szCs w:val="6"/>
                <w:color w:val="auto"/>
              </w:rPr>
            </w:pPr>
          </w:p>
        </w:tc>
        <w:tc>
          <w:tcPr>
            <w:tcW w:w="1020" w:type="dxa"/>
            <w:vAlign w:val="bottom"/>
            <w:tcBorders>
              <w:bottom w:val="single" w:sz="8" w:color="457157"/>
            </w:tcBorders>
          </w:tcPr>
          <w:p>
            <w:pPr>
              <w:spacing w:after="0"/>
              <w:rPr>
                <w:sz w:val="6"/>
                <w:szCs w:val="6"/>
                <w:color w:val="auto"/>
              </w:rPr>
            </w:pPr>
          </w:p>
        </w:tc>
        <w:tc>
          <w:tcPr>
            <w:tcW w:w="340" w:type="dxa"/>
            <w:vAlign w:val="bottom"/>
            <w:tcBorders>
              <w:bottom w:val="single" w:sz="8" w:color="457157"/>
            </w:tcBorders>
          </w:tcPr>
          <w:p>
            <w:pPr>
              <w:spacing w:after="0"/>
              <w:rPr>
                <w:sz w:val="6"/>
                <w:szCs w:val="6"/>
                <w:color w:val="auto"/>
              </w:rPr>
            </w:pPr>
          </w:p>
        </w:tc>
        <w:tc>
          <w:tcPr>
            <w:tcW w:w="520" w:type="dxa"/>
            <w:vAlign w:val="bottom"/>
            <w:tcBorders>
              <w:bottom w:val="single" w:sz="8" w:color="457157"/>
            </w:tcBorders>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Borders>
              <w:bottom w:val="single" w:sz="8" w:color="457157"/>
            </w:tcBorders>
          </w:tcPr>
          <w:p>
            <w:pPr>
              <w:spacing w:after="0"/>
              <w:rPr>
                <w:sz w:val="6"/>
                <w:szCs w:val="6"/>
                <w:color w:val="auto"/>
              </w:rPr>
            </w:pPr>
          </w:p>
        </w:tc>
        <w:tc>
          <w:tcPr>
            <w:tcW w:w="260" w:type="dxa"/>
            <w:vAlign w:val="bottom"/>
            <w:tcBorders>
              <w:bottom w:val="single" w:sz="8" w:color="457157"/>
            </w:tcBorders>
          </w:tcPr>
          <w:p>
            <w:pPr>
              <w:spacing w:after="0"/>
              <w:rPr>
                <w:sz w:val="6"/>
                <w:szCs w:val="6"/>
                <w:color w:val="auto"/>
              </w:rPr>
            </w:pPr>
          </w:p>
        </w:tc>
        <w:tc>
          <w:tcPr>
            <w:tcW w:w="80" w:type="dxa"/>
            <w:vAlign w:val="bottom"/>
            <w:tcBorders>
              <w:bottom w:val="single" w:sz="8" w:color="457157"/>
            </w:tcBorders>
          </w:tcPr>
          <w:p>
            <w:pPr>
              <w:spacing w:after="0"/>
              <w:rPr>
                <w:sz w:val="6"/>
                <w:szCs w:val="6"/>
                <w:color w:val="auto"/>
              </w:rPr>
            </w:pPr>
          </w:p>
        </w:tc>
        <w:tc>
          <w:tcPr>
            <w:tcW w:w="520" w:type="dxa"/>
            <w:vAlign w:val="bottom"/>
            <w:tcBorders>
              <w:bottom w:val="single" w:sz="8" w:color="457157"/>
            </w:tcBorders>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tcBorders>
              <w:bottom w:val="single" w:sz="8" w:color="457157"/>
            </w:tcBorders>
          </w:tcPr>
          <w:p>
            <w:pPr>
              <w:spacing w:after="0"/>
              <w:rPr>
                <w:sz w:val="6"/>
                <w:szCs w:val="6"/>
                <w:color w:val="auto"/>
              </w:rPr>
            </w:pPr>
          </w:p>
        </w:tc>
        <w:tc>
          <w:tcPr>
            <w:tcW w:w="260" w:type="dxa"/>
            <w:vAlign w:val="bottom"/>
            <w:tcBorders>
              <w:bottom w:val="single" w:sz="8" w:color="457157"/>
            </w:tcBorders>
          </w:tcPr>
          <w:p>
            <w:pPr>
              <w:spacing w:after="0"/>
              <w:rPr>
                <w:sz w:val="6"/>
                <w:szCs w:val="6"/>
                <w:color w:val="auto"/>
              </w:rPr>
            </w:pPr>
          </w:p>
        </w:tc>
        <w:tc>
          <w:tcPr>
            <w:tcW w:w="60" w:type="dxa"/>
            <w:vAlign w:val="bottom"/>
            <w:tcBorders>
              <w:bottom w:val="single" w:sz="8" w:color="457157"/>
            </w:tcBorders>
          </w:tcPr>
          <w:p>
            <w:pPr>
              <w:spacing w:after="0"/>
              <w:rPr>
                <w:sz w:val="6"/>
                <w:szCs w:val="6"/>
                <w:color w:val="auto"/>
              </w:rPr>
            </w:pPr>
          </w:p>
        </w:tc>
        <w:tc>
          <w:tcPr>
            <w:tcW w:w="540" w:type="dxa"/>
            <w:vAlign w:val="bottom"/>
            <w:tcBorders>
              <w:bottom w:val="single" w:sz="8" w:color="457157"/>
            </w:tcBorders>
          </w:tcPr>
          <w:p>
            <w:pPr>
              <w:spacing w:after="0"/>
              <w:rPr>
                <w:sz w:val="6"/>
                <w:szCs w:val="6"/>
                <w:color w:val="auto"/>
              </w:rPr>
            </w:pPr>
          </w:p>
        </w:tc>
        <w:tc>
          <w:tcPr>
            <w:tcW w:w="320" w:type="dxa"/>
            <w:vAlign w:val="bottom"/>
          </w:tcPr>
          <w:p>
            <w:pPr>
              <w:spacing w:after="0"/>
              <w:rPr>
                <w:sz w:val="6"/>
                <w:szCs w:val="6"/>
                <w:color w:val="auto"/>
              </w:rPr>
            </w:pPr>
          </w:p>
        </w:tc>
        <w:tc>
          <w:tcPr>
            <w:tcW w:w="1280" w:type="dxa"/>
            <w:vAlign w:val="bottom"/>
          </w:tcPr>
          <w:p>
            <w:pPr>
              <w:jc w:val="right"/>
              <w:spacing w:after="0" w:line="79" w:lineRule="exact"/>
              <w:rPr>
                <w:sz w:val="20"/>
                <w:szCs w:val="20"/>
                <w:color w:val="auto"/>
              </w:rPr>
            </w:pPr>
            <w:r>
              <w:rPr>
                <w:rFonts w:ascii="Arial" w:cs="Arial" w:eastAsia="Arial" w:hAnsi="Arial"/>
                <w:sz w:val="9"/>
                <w:szCs w:val="9"/>
                <w:b w:val="1"/>
                <w:bCs w:val="1"/>
                <w:color w:val="457157"/>
              </w:rPr>
              <w:t>Payout Earned</w:t>
            </w: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457157"/>
              </w:rPr>
              <w:t>Actual</w:t>
            </w:r>
          </w:p>
        </w:tc>
        <w:tc>
          <w:tcPr>
            <w:tcW w:w="860" w:type="dxa"/>
            <w:vAlign w:val="bottom"/>
            <w:gridSpan w:val="2"/>
          </w:tcPr>
          <w:p>
            <w:pPr>
              <w:ind w:left="300"/>
              <w:spacing w:after="0" w:line="158" w:lineRule="exact"/>
              <w:rPr>
                <w:sz w:val="20"/>
                <w:szCs w:val="20"/>
                <w:color w:val="auto"/>
              </w:rPr>
            </w:pPr>
            <w:r>
              <w:rPr>
                <w:rFonts w:ascii="Arial" w:cs="Arial" w:eastAsia="Arial" w:hAnsi="Arial"/>
                <w:sz w:val="14"/>
                <w:szCs w:val="14"/>
                <w:b w:val="1"/>
                <w:bCs w:val="1"/>
                <w:color w:val="457157"/>
              </w:rPr>
              <w:t>Payout</w:t>
            </w:r>
          </w:p>
        </w:tc>
        <w:tc>
          <w:tcPr>
            <w:tcW w:w="34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457157"/>
              </w:rPr>
              <w:t>Actual</w:t>
            </w:r>
          </w:p>
        </w:tc>
        <w:tc>
          <w:tcPr>
            <w:tcW w:w="260" w:type="dxa"/>
            <w:vAlign w:val="bottom"/>
          </w:tcPr>
          <w:p>
            <w:pPr>
              <w:spacing w:after="0"/>
              <w:rPr>
                <w:sz w:val="13"/>
                <w:szCs w:val="13"/>
                <w:color w:val="auto"/>
              </w:rPr>
            </w:pPr>
          </w:p>
        </w:tc>
        <w:tc>
          <w:tcPr>
            <w:tcW w:w="6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457157"/>
              </w:rPr>
              <w:t>Payout</w:t>
            </w:r>
          </w:p>
        </w:tc>
        <w:tc>
          <w:tcPr>
            <w:tcW w:w="34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457157"/>
              </w:rPr>
              <w:t>Actual</w:t>
            </w:r>
          </w:p>
        </w:tc>
        <w:tc>
          <w:tcPr>
            <w:tcW w:w="260" w:type="dxa"/>
            <w:vAlign w:val="bottom"/>
          </w:tcPr>
          <w:p>
            <w:pPr>
              <w:spacing w:after="0"/>
              <w:rPr>
                <w:sz w:val="13"/>
                <w:szCs w:val="13"/>
                <w:color w:val="auto"/>
              </w:rPr>
            </w:pPr>
          </w:p>
        </w:tc>
        <w:tc>
          <w:tcPr>
            <w:tcW w:w="60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457157"/>
              </w:rPr>
              <w:t>Payout</w:t>
            </w:r>
          </w:p>
        </w:tc>
        <w:tc>
          <w:tcPr>
            <w:tcW w:w="320" w:type="dxa"/>
            <w:vAlign w:val="bottom"/>
          </w:tcPr>
          <w:p>
            <w:pPr>
              <w:spacing w:after="0"/>
              <w:rPr>
                <w:sz w:val="13"/>
                <w:szCs w:val="13"/>
                <w:color w:val="auto"/>
              </w:rPr>
            </w:pPr>
          </w:p>
        </w:tc>
        <w:tc>
          <w:tcPr>
            <w:tcW w:w="1280" w:type="dxa"/>
            <w:vAlign w:val="bottom"/>
          </w:tcPr>
          <w:p>
            <w:pPr>
              <w:jc w:val="right"/>
              <w:spacing w:after="0" w:line="158" w:lineRule="exact"/>
              <w:rPr>
                <w:sz w:val="20"/>
                <w:szCs w:val="20"/>
                <w:color w:val="auto"/>
              </w:rPr>
            </w:pPr>
            <w:r>
              <w:rPr>
                <w:rFonts w:ascii="Arial" w:cs="Arial" w:eastAsia="Arial" w:hAnsi="Arial"/>
                <w:sz w:val="14"/>
                <w:szCs w:val="14"/>
                <w:b w:val="1"/>
                <w:bCs w:val="1"/>
                <w:color w:val="457157"/>
              </w:rPr>
              <w:t>(as a percentage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52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Earned</w:t>
            </w:r>
          </w:p>
        </w:tc>
        <w:tc>
          <w:tcPr>
            <w:tcW w:w="340" w:type="dxa"/>
            <w:vAlign w:val="bottom"/>
            <w:vMerge w:val="restart"/>
          </w:tcPr>
          <w:p>
            <w:pPr>
              <w:jc w:val="center"/>
              <w:ind w:left="1"/>
              <w:spacing w:after="0"/>
              <w:rPr>
                <w:sz w:val="20"/>
                <w:szCs w:val="20"/>
                <w:color w:val="auto"/>
              </w:rPr>
            </w:pPr>
            <w:r>
              <w:rPr>
                <w:rFonts w:ascii="Arial" w:cs="Arial" w:eastAsia="Arial" w:hAnsi="Arial"/>
                <w:sz w:val="14"/>
                <w:szCs w:val="14"/>
                <w:b w:val="1"/>
                <w:bCs w:val="1"/>
                <w:color w:val="457157"/>
              </w:rPr>
              <w:t>​</w:t>
            </w:r>
          </w:p>
        </w:tc>
        <w:tc>
          <w:tcPr>
            <w:tcW w:w="720" w:type="dxa"/>
            <w:vAlign w:val="bottom"/>
            <w:vMerge w:val="continue"/>
          </w:tcPr>
          <w:p>
            <w:pPr>
              <w:spacing w:after="0"/>
              <w:rPr>
                <w:sz w:val="11"/>
                <w:szCs w:val="11"/>
                <w:color w:val="auto"/>
              </w:rPr>
            </w:pPr>
          </w:p>
        </w:tc>
        <w:tc>
          <w:tcPr>
            <w:tcW w:w="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457157"/>
              </w:rPr>
              <w:t>​   ​</w:t>
            </w:r>
          </w:p>
        </w:tc>
        <w:tc>
          <w:tcPr>
            <w:tcW w:w="520" w:type="dxa"/>
            <w:vAlign w:val="bottom"/>
          </w:tcPr>
          <w:p>
            <w:pPr>
              <w:spacing w:after="0" w:line="135" w:lineRule="exact"/>
              <w:rPr>
                <w:sz w:val="20"/>
                <w:szCs w:val="20"/>
                <w:color w:val="auto"/>
              </w:rPr>
            </w:pPr>
            <w:r>
              <w:rPr>
                <w:rFonts w:ascii="Arial" w:cs="Arial" w:eastAsia="Arial" w:hAnsi="Arial"/>
                <w:sz w:val="14"/>
                <w:szCs w:val="14"/>
                <w:b w:val="1"/>
                <w:bCs w:val="1"/>
                <w:color w:val="457157"/>
              </w:rPr>
              <w:t>Earned</w:t>
            </w:r>
          </w:p>
        </w:tc>
        <w:tc>
          <w:tcPr>
            <w:tcW w:w="340" w:type="dxa"/>
            <w:vAlign w:val="bottom"/>
            <w:vMerge w:val="restart"/>
          </w:tcPr>
          <w:p>
            <w:pPr>
              <w:jc w:val="center"/>
              <w:ind w:left="1"/>
              <w:spacing w:after="0"/>
              <w:rPr>
                <w:sz w:val="20"/>
                <w:szCs w:val="20"/>
                <w:color w:val="auto"/>
              </w:rPr>
            </w:pPr>
            <w:r>
              <w:rPr>
                <w:rFonts w:ascii="Arial" w:cs="Arial" w:eastAsia="Arial" w:hAnsi="Arial"/>
                <w:sz w:val="14"/>
                <w:szCs w:val="14"/>
                <w:b w:val="1"/>
                <w:bCs w:val="1"/>
                <w:color w:val="457157"/>
              </w:rPr>
              <w:t>​</w:t>
            </w:r>
          </w:p>
        </w:tc>
        <w:tc>
          <w:tcPr>
            <w:tcW w:w="720" w:type="dxa"/>
            <w:vAlign w:val="bottom"/>
            <w:vMerge w:val="continue"/>
          </w:tcPr>
          <w:p>
            <w:pPr>
              <w:spacing w:after="0"/>
              <w:rPr>
                <w:sz w:val="11"/>
                <w:szCs w:val="11"/>
                <w:color w:val="auto"/>
              </w:rPr>
            </w:pPr>
          </w:p>
        </w:tc>
        <w:tc>
          <w:tcPr>
            <w:tcW w:w="3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457157"/>
              </w:rPr>
              <w:t>​   ​</w:t>
            </w:r>
          </w:p>
        </w:tc>
        <w:tc>
          <w:tcPr>
            <w:tcW w:w="540" w:type="dxa"/>
            <w:vAlign w:val="bottom"/>
          </w:tcPr>
          <w:p>
            <w:pPr>
              <w:ind w:left="20"/>
              <w:spacing w:after="0" w:line="135" w:lineRule="exact"/>
              <w:rPr>
                <w:sz w:val="20"/>
                <w:szCs w:val="20"/>
                <w:color w:val="auto"/>
              </w:rPr>
            </w:pPr>
            <w:r>
              <w:rPr>
                <w:rFonts w:ascii="Arial" w:cs="Arial" w:eastAsia="Arial" w:hAnsi="Arial"/>
                <w:sz w:val="14"/>
                <w:szCs w:val="14"/>
                <w:b w:val="1"/>
                <w:bCs w:val="1"/>
                <w:color w:val="457157"/>
              </w:rPr>
              <w:t>Earned</w:t>
            </w: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1360" w:type="dxa"/>
            <w:vAlign w:val="bottom"/>
            <w:gridSpan w:val="2"/>
          </w:tcPr>
          <w:p>
            <w:pPr>
              <w:ind w:left="580"/>
              <w:spacing w:after="0" w:line="135" w:lineRule="exact"/>
              <w:rPr>
                <w:sz w:val="20"/>
                <w:szCs w:val="20"/>
                <w:color w:val="auto"/>
              </w:rPr>
            </w:pPr>
            <w:r>
              <w:rPr>
                <w:rFonts w:ascii="Arial" w:cs="Arial" w:eastAsia="Arial" w:hAnsi="Arial"/>
                <w:sz w:val="14"/>
                <w:szCs w:val="14"/>
                <w:b w:val="1"/>
                <w:bCs w:val="1"/>
                <w:color w:val="457157"/>
              </w:rPr>
              <w:t>of Target)</w:t>
            </w:r>
          </w:p>
        </w:tc>
        <w:tc>
          <w:tcPr>
            <w:tcW w:w="40" w:type="dxa"/>
            <w:vAlign w:val="bottom"/>
            <w:vMerge w:val="restart"/>
          </w:tcPr>
          <w:p>
            <w:pPr>
              <w:jc w:val="right"/>
              <w:ind w:right="15"/>
              <w:spacing w:after="0"/>
              <w:rPr>
                <w:sz w:val="20"/>
                <w:szCs w:val="20"/>
                <w:color w:val="auto"/>
              </w:rPr>
            </w:pPr>
            <w:r>
              <w:rPr>
                <w:rFonts w:ascii="Arial" w:cs="Arial" w:eastAsia="Arial" w:hAnsi="Arial"/>
                <w:sz w:val="1"/>
                <w:szCs w:val="1"/>
                <w:b w:val="1"/>
                <w:bCs w:val="1"/>
                <w:color w:val="457157"/>
                <w:w w:val="4294942296"/>
              </w:rPr>
              <w:t>​</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200" w:type="dxa"/>
            <w:vAlign w:val="bottom"/>
          </w:tcPr>
          <w:p>
            <w:pPr>
              <w:jc w:val="right"/>
              <w:ind w:right="94"/>
              <w:spacing w:after="0" w:line="68" w:lineRule="exact"/>
              <w:rPr>
                <w:sz w:val="20"/>
                <w:szCs w:val="20"/>
                <w:color w:val="auto"/>
              </w:rPr>
            </w:pPr>
            <w:r>
              <w:rPr>
                <w:rFonts w:ascii="Arial" w:cs="Arial" w:eastAsia="Arial" w:hAnsi="Arial"/>
                <w:sz w:val="7"/>
                <w:szCs w:val="7"/>
                <w:b w:val="1"/>
                <w:bCs w:val="1"/>
                <w:color w:val="457157"/>
              </w:rPr>
              <w:t>​</w:t>
            </w:r>
          </w:p>
        </w:tc>
        <w:tc>
          <w:tcPr>
            <w:tcW w:w="10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720" w:type="dxa"/>
            <w:vAlign w:val="bottom"/>
          </w:tcPr>
          <w:p>
            <w:pPr>
              <w:spacing w:after="0" w:line="68" w:lineRule="exact"/>
              <w:rPr>
                <w:sz w:val="20"/>
                <w:szCs w:val="20"/>
                <w:color w:val="auto"/>
              </w:rPr>
            </w:pPr>
            <w:r>
              <w:rPr>
                <w:rFonts w:ascii="Arial" w:cs="Arial" w:eastAsia="Arial" w:hAnsi="Arial"/>
                <w:sz w:val="7"/>
                <w:szCs w:val="7"/>
                <w:b w:val="1"/>
                <w:bCs w:val="1"/>
                <w:color w:val="457157"/>
              </w:rPr>
              <w:t>​</w:t>
            </w:r>
          </w:p>
        </w:tc>
        <w:tc>
          <w:tcPr>
            <w:tcW w:w="34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720" w:type="dxa"/>
            <w:vAlign w:val="bottom"/>
          </w:tcPr>
          <w:p>
            <w:pPr>
              <w:spacing w:after="0" w:line="68" w:lineRule="exact"/>
              <w:rPr>
                <w:sz w:val="20"/>
                <w:szCs w:val="20"/>
                <w:color w:val="auto"/>
              </w:rPr>
            </w:pPr>
            <w:r>
              <w:rPr>
                <w:rFonts w:ascii="Arial" w:cs="Arial" w:eastAsia="Arial" w:hAnsi="Arial"/>
                <w:sz w:val="7"/>
                <w:szCs w:val="7"/>
                <w:b w:val="1"/>
                <w:bCs w:val="1"/>
                <w:color w:val="457157"/>
              </w:rPr>
              <w:t>​</w:t>
            </w:r>
          </w:p>
        </w:tc>
        <w:tc>
          <w:tcPr>
            <w:tcW w:w="32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457157"/>
          </w:tcPr>
          <w:p>
            <w:pPr>
              <w:spacing w:after="0" w:line="20" w:lineRule="exact"/>
              <w:rPr>
                <w:sz w:val="1"/>
                <w:szCs w:val="1"/>
                <w:color w:val="auto"/>
              </w:rPr>
            </w:pPr>
          </w:p>
        </w:tc>
        <w:tc>
          <w:tcPr>
            <w:tcW w:w="1220" w:type="dxa"/>
            <w:vAlign w:val="bottom"/>
            <w:gridSpan w:val="2"/>
            <w:shd w:val="clear" w:color="auto" w:fill="457157"/>
          </w:tcPr>
          <w:p>
            <w:pPr>
              <w:spacing w:after="0" w:line="20" w:lineRule="exact"/>
              <w:rPr>
                <w:sz w:val="1"/>
                <w:szCs w:val="1"/>
                <w:color w:val="auto"/>
              </w:rPr>
            </w:pPr>
          </w:p>
        </w:tc>
        <w:tc>
          <w:tcPr>
            <w:tcW w:w="1200" w:type="dxa"/>
            <w:vAlign w:val="bottom"/>
            <w:gridSpan w:val="3"/>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940" w:type="dxa"/>
            <w:vAlign w:val="bottom"/>
            <w:gridSpan w:val="3"/>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0" w:type="dxa"/>
            <w:vAlign w:val="bottom"/>
            <w:gridSpan w:val="2"/>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1280" w:type="dxa"/>
            <w:vAlign w:val="bottom"/>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1220" w:type="dxa"/>
            <w:vAlign w:val="bottom"/>
            <w:gridSpan w:val="2"/>
          </w:tcPr>
          <w:p>
            <w:pPr>
              <w:spacing w:after="0" w:line="196" w:lineRule="exact"/>
              <w:rPr>
                <w:sz w:val="20"/>
                <w:szCs w:val="20"/>
                <w:color w:val="auto"/>
              </w:rPr>
            </w:pPr>
            <w:r>
              <w:rPr>
                <w:rFonts w:ascii="Arial" w:cs="Arial" w:eastAsia="Arial" w:hAnsi="Arial"/>
                <w:sz w:val="18"/>
                <w:szCs w:val="18"/>
                <w:color w:val="auto"/>
              </w:rPr>
              <w:t>$6.472 billion</w:t>
            </w:r>
          </w:p>
        </w:tc>
        <w:tc>
          <w:tcPr>
            <w:tcW w:w="1200" w:type="dxa"/>
            <w:vAlign w:val="bottom"/>
            <w:gridSpan w:val="3"/>
          </w:tcPr>
          <w:p>
            <w:pPr>
              <w:ind w:left="300"/>
              <w:spacing w:after="0" w:line="196" w:lineRule="exact"/>
              <w:rPr>
                <w:sz w:val="20"/>
                <w:szCs w:val="20"/>
                <w:color w:val="auto"/>
              </w:rPr>
            </w:pPr>
            <w:r>
              <w:rPr>
                <w:rFonts w:ascii="Arial" w:cs="Arial" w:eastAsia="Arial" w:hAnsi="Arial"/>
                <w:sz w:val="18"/>
                <w:szCs w:val="18"/>
                <w:color w:val="auto"/>
              </w:rPr>
              <w:t>​140.51%</w:t>
            </w:r>
          </w:p>
        </w:tc>
        <w:tc>
          <w:tcPr>
            <w:tcW w:w="720" w:type="dxa"/>
            <w:vAlign w:val="bottom"/>
          </w:tcPr>
          <w:p>
            <w:pPr>
              <w:spacing w:after="0" w:line="196" w:lineRule="exact"/>
              <w:rPr>
                <w:sz w:val="20"/>
                <w:szCs w:val="20"/>
                <w:color w:val="auto"/>
              </w:rPr>
            </w:pPr>
            <w:r>
              <w:rPr>
                <w:rFonts w:ascii="Arial" w:cs="Arial" w:eastAsia="Arial" w:hAnsi="Arial"/>
                <w:sz w:val="18"/>
                <w:szCs w:val="18"/>
                <w:color w:val="auto"/>
              </w:rPr>
              <w:t>​20.50%</w:t>
            </w:r>
          </w:p>
        </w:tc>
        <w:tc>
          <w:tcPr>
            <w:tcW w:w="260" w:type="dxa"/>
            <w:vAlign w:val="bottom"/>
            <w:vMerge w:val="restart"/>
          </w:tcPr>
          <w:p>
            <w:pPr>
              <w:jc w:val="center"/>
              <w:ind w:left="39"/>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​180.71%</w:t>
            </w:r>
          </w:p>
        </w:tc>
        <w:tc>
          <w:tcPr>
            <w:tcW w:w="720" w:type="dxa"/>
            <w:vAlign w:val="bottom"/>
          </w:tcPr>
          <w:p>
            <w:pPr>
              <w:ind w:left="40"/>
              <w:spacing w:after="0" w:line="196" w:lineRule="exact"/>
              <w:rPr>
                <w:sz w:val="20"/>
                <w:szCs w:val="20"/>
                <w:color w:val="auto"/>
              </w:rPr>
            </w:pPr>
            <w:r>
              <w:rPr>
                <w:rFonts w:ascii="Arial" w:cs="Arial" w:eastAsia="Arial" w:hAnsi="Arial"/>
                <w:sz w:val="18"/>
                <w:szCs w:val="18"/>
                <w:color w:val="auto"/>
              </w:rPr>
              <w:t>​4.57%</w:t>
            </w:r>
          </w:p>
        </w:tc>
        <w:tc>
          <w:tcPr>
            <w:tcW w:w="260" w:type="dxa"/>
            <w:vAlign w:val="bottom"/>
            <w:vMerge w:val="restart"/>
          </w:tcPr>
          <w:p>
            <w:pPr>
              <w:jc w:val="center"/>
              <w:ind w:left="39"/>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141"/>
              <w:spacing w:after="0" w:line="196" w:lineRule="exact"/>
              <w:rPr>
                <w:sz w:val="20"/>
                <w:szCs w:val="20"/>
                <w:color w:val="auto"/>
              </w:rPr>
            </w:pPr>
            <w:r>
              <w:rPr>
                <w:rFonts w:ascii="Arial" w:cs="Arial" w:eastAsia="Arial" w:hAnsi="Arial"/>
                <w:sz w:val="18"/>
                <w:szCs w:val="18"/>
                <w:color w:val="auto"/>
              </w:rPr>
              <w:t>​70.58%</w:t>
            </w:r>
          </w:p>
        </w:tc>
        <w:tc>
          <w:tcPr>
            <w:tcW w:w="1280" w:type="dxa"/>
            <w:vAlign w:val="bottom"/>
          </w:tcPr>
          <w:p>
            <w:pPr>
              <w:jc w:val="right"/>
              <w:ind w:right="76"/>
              <w:spacing w:after="0" w:line="196" w:lineRule="exact"/>
              <w:rPr>
                <w:sz w:val="20"/>
                <w:szCs w:val="20"/>
                <w:color w:val="auto"/>
              </w:rPr>
            </w:pPr>
            <w:r>
              <w:rPr>
                <w:rFonts w:ascii="Arial" w:cs="Arial" w:eastAsia="Arial" w:hAnsi="Arial"/>
                <w:sz w:val="18"/>
                <w:szCs w:val="18"/>
                <w:color w:val="auto"/>
              </w:rPr>
              <w:t>​ 133.08%</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40" w:type="dxa"/>
            <w:vAlign w:val="bottom"/>
            <w:gridSpan w:val="2"/>
          </w:tcPr>
          <w:p>
            <w:pPr>
              <w:jc w:val="right"/>
              <w:ind w:right="94"/>
              <w:spacing w:after="0" w:line="68" w:lineRule="exact"/>
              <w:rPr>
                <w:sz w:val="20"/>
                <w:szCs w:val="20"/>
                <w:color w:val="auto"/>
              </w:rPr>
            </w:pPr>
            <w:r>
              <w:rPr>
                <w:rFonts w:ascii="Arial" w:cs="Arial" w:eastAsia="Arial" w:hAnsi="Arial"/>
                <w:sz w:val="7"/>
                <w:szCs w:val="7"/>
                <w:color w:val="auto"/>
              </w:rPr>
              <w:t>​</w:t>
            </w:r>
          </w:p>
        </w:tc>
        <w:tc>
          <w:tcPr>
            <w:tcW w:w="1020" w:type="dxa"/>
            <w:vAlign w:val="bottom"/>
          </w:tcPr>
          <w:p>
            <w:pPr>
              <w:spacing w:after="0"/>
              <w:rPr>
                <w:sz w:val="5"/>
                <w:szCs w:val="5"/>
                <w:color w:val="auto"/>
              </w:rPr>
            </w:pPr>
          </w:p>
        </w:tc>
        <w:tc>
          <w:tcPr>
            <w:tcW w:w="860" w:type="dxa"/>
            <w:vAlign w:val="bottom"/>
            <w:gridSpan w:val="2"/>
          </w:tcPr>
          <w:p>
            <w:pPr>
              <w:jc w:val="right"/>
              <w:ind w:right="428"/>
              <w:spacing w:after="0" w:line="68" w:lineRule="exact"/>
              <w:rPr>
                <w:sz w:val="20"/>
                <w:szCs w:val="20"/>
                <w:color w:val="auto"/>
              </w:rPr>
            </w:pPr>
            <w:r>
              <w:rPr>
                <w:rFonts w:ascii="Arial" w:cs="Arial" w:eastAsia="Arial" w:hAnsi="Arial"/>
                <w:sz w:val="7"/>
                <w:szCs w:val="7"/>
                <w:color w:val="auto"/>
              </w:rPr>
              <w:t>​ ​ ​</w:t>
            </w:r>
          </w:p>
        </w:tc>
        <w:tc>
          <w:tcPr>
            <w:tcW w:w="340" w:type="dxa"/>
            <w:vAlign w:val="bottom"/>
          </w:tcPr>
          <w:p>
            <w:pPr>
              <w:ind w:left="20"/>
              <w:spacing w:after="0" w:line="68" w:lineRule="exact"/>
              <w:rPr>
                <w:sz w:val="20"/>
                <w:szCs w:val="20"/>
                <w:color w:val="auto"/>
              </w:rPr>
            </w:pPr>
            <w:r>
              <w:rPr>
                <w:rFonts w:ascii="Arial" w:cs="Arial" w:eastAsia="Arial" w:hAnsi="Arial"/>
                <w:sz w:val="7"/>
                <w:szCs w:val="7"/>
                <w:color w:val="auto"/>
              </w:rPr>
              <w:t>​ ​ ​</w:t>
            </w:r>
          </w:p>
        </w:tc>
        <w:tc>
          <w:tcPr>
            <w:tcW w:w="720" w:type="dxa"/>
            <w:vAlign w:val="bottom"/>
          </w:tcPr>
          <w:p>
            <w:pPr>
              <w:ind w:left="480"/>
              <w:spacing w:after="0" w:line="68" w:lineRule="exact"/>
              <w:rPr>
                <w:sz w:val="20"/>
                <w:szCs w:val="20"/>
                <w:color w:val="auto"/>
              </w:rPr>
            </w:pPr>
            <w:r>
              <w:rPr>
                <w:rFonts w:ascii="Arial" w:cs="Arial" w:eastAsia="Arial" w:hAnsi="Arial"/>
                <w:sz w:val="7"/>
                <w:szCs w:val="7"/>
                <w:color w:val="auto"/>
              </w:rPr>
              <w:t>​ ​</w:t>
            </w:r>
          </w:p>
        </w:tc>
        <w:tc>
          <w:tcPr>
            <w:tcW w:w="2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line="68" w:lineRule="exact"/>
              <w:rPr>
                <w:sz w:val="20"/>
                <w:szCs w:val="20"/>
                <w:color w:val="auto"/>
              </w:rPr>
            </w:pPr>
            <w:r>
              <w:rPr>
                <w:rFonts w:ascii="Arial" w:cs="Arial" w:eastAsia="Arial" w:hAnsi="Arial"/>
                <w:sz w:val="7"/>
                <w:szCs w:val="7"/>
                <w:color w:val="auto"/>
              </w:rPr>
              <w:t>​ ​ ​</w:t>
            </w:r>
          </w:p>
        </w:tc>
        <w:tc>
          <w:tcPr>
            <w:tcW w:w="720" w:type="dxa"/>
            <w:vAlign w:val="bottom"/>
          </w:tcPr>
          <w:p>
            <w:pPr>
              <w:ind w:left="480"/>
              <w:spacing w:after="0" w:line="68" w:lineRule="exact"/>
              <w:rPr>
                <w:sz w:val="20"/>
                <w:szCs w:val="20"/>
                <w:color w:val="auto"/>
              </w:rPr>
            </w:pPr>
            <w:r>
              <w:rPr>
                <w:rFonts w:ascii="Arial" w:cs="Arial" w:eastAsia="Arial" w:hAnsi="Arial"/>
                <w:sz w:val="7"/>
                <w:szCs w:val="7"/>
                <w:color w:val="auto"/>
              </w:rPr>
              <w:t>​ ​</w:t>
            </w:r>
          </w:p>
        </w:tc>
        <w:tc>
          <w:tcPr>
            <w:tcW w:w="2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jc w:val="right"/>
              <w:spacing w:after="0" w:line="68" w:lineRule="exact"/>
              <w:rPr>
                <w:sz w:val="20"/>
                <w:szCs w:val="20"/>
                <w:color w:val="auto"/>
              </w:rPr>
            </w:pPr>
            <w:r>
              <w:rPr>
                <w:rFonts w:ascii="Arial" w:cs="Arial" w:eastAsia="Arial" w:hAnsi="Arial"/>
                <w:sz w:val="7"/>
                <w:szCs w:val="7"/>
                <w:color w:val="auto"/>
              </w:rPr>
              <w:t>​ ​ ​</w:t>
            </w:r>
          </w:p>
        </w:tc>
        <w:tc>
          <w:tcPr>
            <w:tcW w:w="1280" w:type="dxa"/>
            <w:vAlign w:val="bottom"/>
          </w:tcPr>
          <w:p>
            <w:pPr>
              <w:jc w:val="right"/>
              <w:ind w:right="856"/>
              <w:spacing w:after="0" w:line="68" w:lineRule="exact"/>
              <w:rPr>
                <w:sz w:val="20"/>
                <w:szCs w:val="20"/>
                <w:color w:val="auto"/>
              </w:rPr>
            </w:pPr>
            <w:r>
              <w:rPr>
                <w:rFonts w:ascii="Arial" w:cs="Arial" w:eastAsia="Arial" w:hAnsi="Arial"/>
                <w:sz w:val="7"/>
                <w:szCs w:val="7"/>
                <w:color w:val="auto"/>
              </w:rPr>
              <w:t>​</w:t>
            </w:r>
          </w:p>
        </w:tc>
        <w:tc>
          <w:tcPr>
            <w:tcW w:w="1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1280" w:type="dxa"/>
            <w:vAlign w:val="bottom"/>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-187960</wp:posOffset>
            </wp:positionV>
            <wp:extent cx="4843145" cy="1803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843145" cy="180340"/>
                    </a:xfrm>
                    <a:prstGeom prst="rect">
                      <a:avLst/>
                    </a:prstGeom>
                    <a:noFill/>
                  </pic:spPr>
                </pic:pic>
              </a:graphicData>
            </a:graphic>
          </wp:anchor>
        </w:drawing>
      </w:r>
    </w:p>
    <w:p>
      <w:pPr>
        <w:spacing w:after="0" w:line="69"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For purposes of the calculation of results, the Company excluded the impacts of the two months of post-closing contributions from the acquired Stericycle business, as well as transaction and integration costs, consistent with both the approach taken following the Company’s 2020 acquisition of Advanced Disposal and the MD&amp;C Committee’s philosophy with respect to addressing the impact of one-time and special events to eliminate disproportionate or counterproductive results. See Appendix A for additional information about the calculation of these results.</w:t>
      </w:r>
    </w:p>
    <w:p>
      <w:pPr>
        <w:spacing w:after="0" w:line="74"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i w:val="1"/>
          <w:iCs w:val="1"/>
          <w:u w:val="single" w:color="auto"/>
          <w:color w:val="auto"/>
        </w:rPr>
        <w:t>Sustainability Modifier to Annual Cash Incentive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In 2023, the MD&amp;C Committee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a sustainability modifier into the annual cash incentive program. In 2024, the MD&amp;C Committee continued use of the sustainability modifier, such that annual cash incentive payouts to executive officers for 2024 were eligible to be increased, or decreased, up to 10% depending on achievement calculated using the sustainability scorecard, an increase from the 5% weighting of the sustainability modifier in 2023. Results achieved on each of the four performance measures, and corresponding points earned on a scale of one-to -five, are reported below. The Company earned 15 total points on the 2024 sustainability scorecard, which correlates to a 3% increase to the annual cash incentive payment for 2024 otherwise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231775</wp:posOffset>
            </wp:positionV>
            <wp:extent cx="5751830" cy="2708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75183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The MD&amp;C Committee believes that the performance measures for 2024, focusing on the areas of safety, employee engagement, circularity and climate, aligned well with the Company’s commitments and values, sustainability growth strategy and 2030 goals presented in the Company’s Sustainability Report.</w:t>
      </w:r>
    </w:p>
    <w:p>
      <w:pPr>
        <w:spacing w:after="0" w:line="200" w:lineRule="exact"/>
        <w:rPr>
          <w:sz w:val="20"/>
          <w:szCs w:val="20"/>
          <w:color w:val="auto"/>
        </w:rPr>
      </w:pPr>
    </w:p>
    <w:p>
      <w:pPr>
        <w:spacing w:after="0" w:line="264"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i w:val="1"/>
          <w:iCs w:val="1"/>
          <w:u w:val="single" w:color="auto"/>
          <w:color w:val="auto"/>
        </w:rPr>
        <w:t>Annual Cash Incentive Payout for 2024.</w:t>
      </w:r>
      <w:r>
        <w:rPr>
          <w:rFonts w:ascii="Arial" w:cs="Arial" w:eastAsia="Arial" w:hAnsi="Arial"/>
          <w:sz w:val="18"/>
          <w:szCs w:val="18"/>
          <w:i w:val="1"/>
          <w:iCs w:val="1"/>
          <w:color w:val="auto"/>
        </w:rPr>
        <w:t xml:space="preserve"> </w:t>
      </w:r>
      <w:r>
        <w:rPr>
          <w:rFonts w:ascii="Arial" w:cs="Arial" w:eastAsia="Arial" w:hAnsi="Arial"/>
          <w:sz w:val="18"/>
          <w:szCs w:val="18"/>
          <w:color w:val="auto"/>
        </w:rPr>
        <w:t>Target annual cash incentives are a specified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executives’ base salary. The MD&amp;C Committee retains discretion to increase or decrease an individual named executive’s annual cash incentive payment by up to 25% based on individual performance, and the MD&amp;C Committee approved the modifications set forth in the table below for 2024 performance. These modifications were made, taking consideration of Mr. Fish’s evaluation of the named executives’ performance, in recognition of the named executive’s leadership and critical contributions to exceptionally demanding initiatives in 2024, including the negotiation and completion of the Stericycle acquisition and related integration planning and the execution of our sustainability growth strategy. The following table shows each named executive’s target percentage of base salary for 2024 and each named executive’s total annual cash incentive for 2024 paid in March 2025.</w:t>
      </w:r>
    </w:p>
    <w:p>
      <w:pPr>
        <w:spacing w:after="0" w:line="10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457157"/>
              </w:rPr>
              <w:t>Annual Cash</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Target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Incentive For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Individual</w:t>
            </w: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457157"/>
              </w:rPr>
              <w:t>Final Annual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7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457157"/>
              </w:rPr>
              <w:t>2024, Based on</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74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Named Executive Officer</w:t>
            </w:r>
          </w:p>
        </w:tc>
        <w:tc>
          <w:tcPr>
            <w:tcW w:w="1100" w:type="dxa"/>
            <w:vAlign w:val="bottom"/>
          </w:tcPr>
          <w:p>
            <w:pPr>
              <w:spacing w:after="0"/>
              <w:rPr>
                <w:sz w:val="12"/>
                <w:szCs w:val="12"/>
                <w:color w:val="auto"/>
              </w:rPr>
            </w:pPr>
          </w:p>
        </w:tc>
        <w:tc>
          <w:tcPr>
            <w:tcW w:w="92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Percentage</w:t>
            </w:r>
          </w:p>
        </w:tc>
        <w:tc>
          <w:tcPr>
            <w:tcW w:w="80" w:type="dxa"/>
            <w:vAlign w:val="bottom"/>
          </w:tcPr>
          <w:p>
            <w:pPr>
              <w:spacing w:after="0"/>
              <w:rPr>
                <w:sz w:val="12"/>
                <w:szCs w:val="12"/>
                <w:color w:val="auto"/>
              </w:rPr>
            </w:pPr>
          </w:p>
        </w:tc>
        <w:tc>
          <w:tcPr>
            <w:tcW w:w="164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457157"/>
              </w:rPr>
              <w:t>137.07% Calculated</w:t>
            </w:r>
          </w:p>
        </w:tc>
        <w:tc>
          <w:tcPr>
            <w:tcW w:w="200" w:type="dxa"/>
            <w:vAlign w:val="bottom"/>
          </w:tcPr>
          <w:p>
            <w:pPr>
              <w:spacing w:after="0"/>
              <w:rPr>
                <w:sz w:val="12"/>
                <w:szCs w:val="12"/>
                <w:color w:val="auto"/>
              </w:rPr>
            </w:pPr>
          </w:p>
        </w:tc>
        <w:tc>
          <w:tcPr>
            <w:tcW w:w="102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457157"/>
              </w:rPr>
              <w:t>Performance</w:t>
            </w:r>
          </w:p>
        </w:tc>
        <w:tc>
          <w:tcPr>
            <w:tcW w:w="1320" w:type="dxa"/>
            <w:vAlign w:val="bottom"/>
            <w:gridSpan w:val="2"/>
          </w:tcPr>
          <w:p>
            <w:pPr>
              <w:jc w:val="right"/>
              <w:spacing w:after="0" w:line="145" w:lineRule="exact"/>
              <w:rPr>
                <w:sz w:val="20"/>
                <w:szCs w:val="20"/>
                <w:color w:val="auto"/>
              </w:rPr>
            </w:pPr>
            <w:r>
              <w:rPr>
                <w:rFonts w:ascii="Arial" w:cs="Arial" w:eastAsia="Arial" w:hAnsi="Arial"/>
                <w:sz w:val="14"/>
                <w:szCs w:val="14"/>
                <w:b w:val="1"/>
                <w:bCs w:val="1"/>
                <w:color w:val="457157"/>
              </w:rPr>
              <w:t>Cash Incentive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vMerge w:val="continue"/>
          </w:tcPr>
          <w:p>
            <w:pPr>
              <w:spacing w:after="0"/>
              <w:rPr>
                <w:sz w:val="12"/>
                <w:szCs w:val="12"/>
                <w:color w:val="auto"/>
              </w:rPr>
            </w:pPr>
          </w:p>
        </w:tc>
        <w:tc>
          <w:tcPr>
            <w:tcW w:w="2100" w:type="dxa"/>
            <w:vAlign w:val="bottom"/>
            <w:gridSpan w:val="3"/>
          </w:tcPr>
          <w:p>
            <w:pPr>
              <w:ind w:left="980"/>
              <w:spacing w:after="0" w:line="149" w:lineRule="exact"/>
              <w:rPr>
                <w:sz w:val="20"/>
                <w:szCs w:val="20"/>
                <w:color w:val="auto"/>
              </w:rPr>
            </w:pPr>
            <w:r>
              <w:rPr>
                <w:rFonts w:ascii="Arial" w:cs="Arial" w:eastAsia="Arial" w:hAnsi="Arial"/>
                <w:sz w:val="14"/>
                <w:szCs w:val="14"/>
                <w:b w:val="1"/>
                <w:bCs w:val="1"/>
                <w:color w:val="457157"/>
              </w:rPr>
              <w:t>of Base Salary</w:t>
            </w:r>
          </w:p>
        </w:tc>
        <w:tc>
          <w:tcPr>
            <w:tcW w:w="280" w:type="dxa"/>
            <w:vAlign w:val="bottom"/>
            <w:vMerge w:val="restart"/>
          </w:tcPr>
          <w:p>
            <w:pPr>
              <w:ind w:left="60"/>
              <w:spacing w:after="0"/>
              <w:rPr>
                <w:sz w:val="20"/>
                <w:szCs w:val="20"/>
                <w:color w:val="auto"/>
              </w:rPr>
            </w:pPr>
            <w:r>
              <w:rPr>
                <w:rFonts w:ascii="Arial" w:cs="Arial" w:eastAsia="Arial" w:hAnsi="Arial"/>
                <w:sz w:val="14"/>
                <w:szCs w:val="14"/>
                <w:b w:val="1"/>
                <w:bCs w:val="1"/>
                <w:color w:val="457157"/>
              </w:rPr>
              <w:t>​ ​</w:t>
            </w:r>
          </w:p>
        </w:tc>
        <w:tc>
          <w:tcPr>
            <w:tcW w:w="2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Payout</w:t>
            </w:r>
          </w:p>
        </w:tc>
        <w:tc>
          <w:tcPr>
            <w:tcW w:w="3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457157"/>
              </w:rPr>
              <w:t>​ ​</w:t>
            </w:r>
          </w:p>
        </w:tc>
        <w:tc>
          <w:tcPr>
            <w:tcW w:w="900" w:type="dxa"/>
            <w:vAlign w:val="bottom"/>
          </w:tcPr>
          <w:p>
            <w:pPr>
              <w:ind w:left="260"/>
              <w:spacing w:after="0" w:line="149" w:lineRule="exact"/>
              <w:rPr>
                <w:sz w:val="20"/>
                <w:szCs w:val="20"/>
                <w:color w:val="auto"/>
              </w:rPr>
            </w:pPr>
            <w:r>
              <w:rPr>
                <w:rFonts w:ascii="Arial" w:cs="Arial" w:eastAsia="Arial" w:hAnsi="Arial"/>
                <w:sz w:val="14"/>
                <w:szCs w:val="14"/>
                <w:b w:val="1"/>
                <w:bCs w:val="1"/>
                <w:color w:val="457157"/>
              </w:rPr>
              <w:t>Modifier</w:t>
            </w:r>
          </w:p>
        </w:tc>
        <w:tc>
          <w:tcPr>
            <w:tcW w:w="380" w:type="dxa"/>
            <w:vAlign w:val="bottom"/>
            <w:vMerge w:val="restart"/>
          </w:tcPr>
          <w:p>
            <w:pPr>
              <w:jc w:val="right"/>
              <w:ind w:right="106"/>
              <w:spacing w:after="0"/>
              <w:rPr>
                <w:sz w:val="20"/>
                <w:szCs w:val="20"/>
                <w:color w:val="auto"/>
              </w:rPr>
            </w:pPr>
            <w:r>
              <w:rPr>
                <w:rFonts w:ascii="Arial" w:cs="Arial" w:eastAsia="Arial" w:hAnsi="Arial"/>
                <w:sz w:val="14"/>
                <w:szCs w:val="14"/>
                <w:b w:val="1"/>
                <w:bCs w:val="1"/>
                <w:color w:val="457157"/>
              </w:rPr>
              <w:t>​ ​</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For 2024</w:t>
            </w: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54"/>
        </w:trPr>
        <w:tc>
          <w:tcPr>
            <w:tcW w:w="2740" w:type="dxa"/>
            <w:vAlign w:val="bottom"/>
            <w:tcBorders>
              <w:bottom w:val="single" w:sz="8" w:color="457157"/>
            </w:tcBorders>
          </w:tcPr>
          <w:p>
            <w:pPr>
              <w:jc w:val="right"/>
              <w:ind w:right="2612"/>
              <w:spacing w:after="0" w:line="54" w:lineRule="exact"/>
              <w:rPr>
                <w:sz w:val="20"/>
                <w:szCs w:val="20"/>
                <w:color w:val="auto"/>
              </w:rPr>
            </w:pPr>
            <w:r>
              <w:rPr>
                <w:rFonts w:ascii="Arial" w:cs="Arial" w:eastAsia="Arial" w:hAnsi="Arial"/>
                <w:sz w:val="6"/>
                <w:szCs w:val="6"/>
                <w:b w:val="1"/>
                <w:bCs w:val="1"/>
                <w:color w:val="457157"/>
              </w:rPr>
              <w:t>​</w:t>
            </w:r>
          </w:p>
        </w:tc>
        <w:tc>
          <w:tcPr>
            <w:tcW w:w="1100" w:type="dxa"/>
            <w:vAlign w:val="bottom"/>
            <w:tcBorders>
              <w:bottom w:val="single" w:sz="8" w:color="457157"/>
            </w:tcBorders>
          </w:tcPr>
          <w:p>
            <w:pPr>
              <w:ind w:left="880"/>
              <w:spacing w:after="0" w:line="54" w:lineRule="exact"/>
              <w:rPr>
                <w:sz w:val="20"/>
                <w:szCs w:val="20"/>
                <w:color w:val="auto"/>
              </w:rPr>
            </w:pPr>
            <w:r>
              <w:rPr>
                <w:rFonts w:ascii="Arial" w:cs="Arial" w:eastAsia="Arial" w:hAnsi="Arial"/>
                <w:sz w:val="6"/>
                <w:szCs w:val="6"/>
                <w:b w:val="1"/>
                <w:bCs w:val="1"/>
                <w:color w:val="457157"/>
              </w:rPr>
              <w:t>​ ​</w:t>
            </w:r>
          </w:p>
        </w:tc>
        <w:tc>
          <w:tcPr>
            <w:tcW w:w="92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280" w:type="dxa"/>
            <w:vAlign w:val="bottom"/>
            <w:tcBorders>
              <w:bottom w:val="single" w:sz="8" w:color="457157"/>
            </w:tcBorders>
            <w:vMerge w:val="continue"/>
          </w:tcPr>
          <w:p>
            <w:pPr>
              <w:spacing w:after="0"/>
              <w:rPr>
                <w:sz w:val="4"/>
                <w:szCs w:val="4"/>
                <w:color w:val="auto"/>
              </w:rPr>
            </w:pPr>
          </w:p>
        </w:tc>
        <w:tc>
          <w:tcPr>
            <w:tcW w:w="260" w:type="dxa"/>
            <w:vAlign w:val="bottom"/>
            <w:tcBorders>
              <w:bottom w:val="single" w:sz="8" w:color="457157"/>
            </w:tcBorders>
          </w:tcPr>
          <w:p>
            <w:pPr>
              <w:spacing w:after="0"/>
              <w:rPr>
                <w:sz w:val="4"/>
                <w:szCs w:val="4"/>
                <w:color w:val="auto"/>
              </w:rPr>
            </w:pPr>
          </w:p>
        </w:tc>
        <w:tc>
          <w:tcPr>
            <w:tcW w:w="1100" w:type="dxa"/>
            <w:vAlign w:val="bottom"/>
            <w:tcBorders>
              <w:bottom w:val="single" w:sz="8" w:color="457157"/>
            </w:tcBorders>
          </w:tcPr>
          <w:p>
            <w:pPr>
              <w:spacing w:after="0"/>
              <w:rPr>
                <w:sz w:val="4"/>
                <w:szCs w:val="4"/>
                <w:color w:val="auto"/>
              </w:rPr>
            </w:pPr>
          </w:p>
        </w:tc>
        <w:tc>
          <w:tcPr>
            <w:tcW w:w="320" w:type="dxa"/>
            <w:vAlign w:val="bottom"/>
            <w:tcBorders>
              <w:bottom w:val="single" w:sz="8" w:color="457157"/>
            </w:tcBorders>
            <w:gridSpan w:val="2"/>
            <w:vMerge w:val="continue"/>
          </w:tcPr>
          <w:p>
            <w:pPr>
              <w:spacing w:after="0"/>
              <w:rPr>
                <w:sz w:val="4"/>
                <w:szCs w:val="4"/>
                <w:color w:val="auto"/>
              </w:rPr>
            </w:pPr>
          </w:p>
        </w:tc>
        <w:tc>
          <w:tcPr>
            <w:tcW w:w="900" w:type="dxa"/>
            <w:vAlign w:val="bottom"/>
            <w:tcBorders>
              <w:bottom w:val="single" w:sz="8" w:color="457157"/>
            </w:tcBorders>
          </w:tcPr>
          <w:p>
            <w:pPr>
              <w:spacing w:after="0"/>
              <w:rPr>
                <w:sz w:val="4"/>
                <w:szCs w:val="4"/>
                <w:color w:val="auto"/>
              </w:rPr>
            </w:pPr>
          </w:p>
        </w:tc>
        <w:tc>
          <w:tcPr>
            <w:tcW w:w="380" w:type="dxa"/>
            <w:vAlign w:val="bottom"/>
            <w:tcBorders>
              <w:bottom w:val="single" w:sz="8" w:color="457157"/>
            </w:tcBorders>
            <w:vMerge w:val="continue"/>
          </w:tcPr>
          <w:p>
            <w:pPr>
              <w:spacing w:after="0"/>
              <w:rPr>
                <w:sz w:val="4"/>
                <w:szCs w:val="4"/>
                <w:color w:val="auto"/>
              </w:rPr>
            </w:pPr>
          </w:p>
        </w:tc>
        <w:tc>
          <w:tcPr>
            <w:tcW w:w="940" w:type="dxa"/>
            <w:vAlign w:val="bottom"/>
            <w:tcBorders>
              <w:bottom w:val="single" w:sz="8" w:color="457157"/>
            </w:tcBorders>
          </w:tcPr>
          <w:p>
            <w:pPr>
              <w:spacing w:after="0"/>
              <w:rPr>
                <w:sz w:val="4"/>
                <w:szCs w:val="4"/>
                <w:color w:val="auto"/>
              </w:rPr>
            </w:pPr>
          </w:p>
        </w:tc>
        <w:tc>
          <w:tcPr>
            <w:tcW w:w="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4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Fish</w:t>
            </w:r>
          </w:p>
        </w:tc>
        <w:tc>
          <w:tcPr>
            <w:tcW w:w="1100" w:type="dxa"/>
            <w:vAlign w:val="bottom"/>
          </w:tcPr>
          <w:p>
            <w:pPr>
              <w:ind w:left="840"/>
              <w:spacing w:after="0"/>
              <w:rPr>
                <w:sz w:val="20"/>
                <w:szCs w:val="20"/>
                <w:color w:val="auto"/>
              </w:rPr>
            </w:pPr>
            <w:r>
              <w:rPr>
                <w:rFonts w:ascii="Arial" w:cs="Arial" w:eastAsia="Arial" w:hAnsi="Arial"/>
                <w:sz w:val="18"/>
                <w:szCs w:val="18"/>
                <w:color w:val="auto"/>
              </w:rPr>
              <w:t>​ ​</w:t>
            </w:r>
          </w:p>
        </w:tc>
        <w:tc>
          <w:tcPr>
            <w:tcW w:w="920" w:type="dxa"/>
            <w:vAlign w:val="bottom"/>
          </w:tcPr>
          <w:p>
            <w:pPr>
              <w:jc w:val="right"/>
              <w:ind w:right="266"/>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​160</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 ​ ​</w:t>
            </w:r>
          </w:p>
        </w:tc>
        <w:tc>
          <w:tcPr>
            <w:tcW w:w="260" w:type="dxa"/>
            <w:vAlign w:val="bottom"/>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00" w:type="dxa"/>
            <w:vAlign w:val="bottom"/>
          </w:tcPr>
          <w:p>
            <w:pPr>
              <w:jc w:val="right"/>
              <w:ind w:right="157"/>
              <w:spacing w:after="0"/>
              <w:rPr>
                <w:sz w:val="20"/>
                <w:szCs w:val="20"/>
                <w:color w:val="auto"/>
              </w:rPr>
            </w:pPr>
            <w:r>
              <w:rPr>
                <w:rFonts w:ascii="Arial" w:cs="Arial" w:eastAsia="Arial" w:hAnsi="Arial"/>
                <w:sz w:val="18"/>
                <w:szCs w:val="18"/>
                <w:color w:val="auto"/>
              </w:rPr>
              <w:t>3,180,080</w:t>
            </w:r>
          </w:p>
        </w:tc>
        <w:tc>
          <w:tcPr>
            <w:tcW w:w="200" w:type="dxa"/>
            <w:vAlign w:val="bottom"/>
          </w:tcPr>
          <w:p>
            <w:pPr>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2"/>
                <w:szCs w:val="22"/>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line="264" w:lineRule="exact"/>
              <w:rPr>
                <w:sz w:val="20"/>
                <w:szCs w:val="20"/>
                <w:color w:val="auto"/>
              </w:rPr>
            </w:pPr>
            <w:r>
              <w:rPr>
                <w:rFonts w:ascii="Arial" w:cs="Arial" w:eastAsia="Arial" w:hAnsi="Arial"/>
                <w:sz w:val="16"/>
                <w:szCs w:val="16"/>
                <w:color w:val="auto"/>
              </w:rPr>
              <w:t>​ ​ ​</w:t>
            </w:r>
            <w:r>
              <w:rPr>
                <w:rFonts w:ascii="Arial" w:cs="Arial" w:eastAsia="Arial" w:hAnsi="Arial"/>
                <w:sz w:val="30"/>
                <w:szCs w:val="30"/>
                <w:color w:val="auto"/>
                <w:vertAlign w:val="superscript"/>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3,180,080</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shd w:val="clear" w:color="auto" w:fill="457157"/>
          </w:tcPr>
          <w:p>
            <w:pPr>
              <w:spacing w:after="0" w:line="20" w:lineRule="exact"/>
              <w:rPr>
                <w:sz w:val="1"/>
                <w:szCs w:val="1"/>
                <w:color w:val="auto"/>
              </w:rPr>
            </w:pPr>
          </w:p>
        </w:tc>
        <w:tc>
          <w:tcPr>
            <w:tcW w:w="110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360" w:type="dxa"/>
            <w:vAlign w:val="bottom"/>
            <w:gridSpan w:val="2"/>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10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38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74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Rankin</w:t>
            </w:r>
          </w:p>
        </w:tc>
        <w:tc>
          <w:tcPr>
            <w:tcW w:w="1100" w:type="dxa"/>
            <w:vAlign w:val="bottom"/>
          </w:tcPr>
          <w:p>
            <w:pPr>
              <w:ind w:left="840"/>
              <w:spacing w:after="0"/>
              <w:rPr>
                <w:sz w:val="20"/>
                <w:szCs w:val="20"/>
                <w:color w:val="auto"/>
              </w:rPr>
            </w:pPr>
            <w:r>
              <w:rPr>
                <w:rFonts w:ascii="Arial" w:cs="Arial" w:eastAsia="Arial" w:hAnsi="Arial"/>
                <w:sz w:val="18"/>
                <w:szCs w:val="18"/>
                <w:color w:val="auto"/>
              </w:rPr>
              <w:t>​ ​</w:t>
            </w:r>
          </w:p>
        </w:tc>
        <w:tc>
          <w:tcPr>
            <w:tcW w:w="920" w:type="dxa"/>
            <w:vAlign w:val="bottom"/>
          </w:tcPr>
          <w:p>
            <w:pPr>
              <w:jc w:val="right"/>
              <w:ind w:right="266"/>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​100</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 ​ ​</w:t>
            </w:r>
          </w:p>
        </w:tc>
        <w:tc>
          <w:tcPr>
            <w:tcW w:w="260" w:type="dxa"/>
            <w:vAlign w:val="bottom"/>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00" w:type="dxa"/>
            <w:vAlign w:val="bottom"/>
          </w:tcPr>
          <w:p>
            <w:pPr>
              <w:jc w:val="right"/>
              <w:ind w:right="157"/>
              <w:spacing w:after="0"/>
              <w:rPr>
                <w:sz w:val="20"/>
                <w:szCs w:val="20"/>
                <w:color w:val="auto"/>
              </w:rPr>
            </w:pPr>
            <w:r>
              <w:rPr>
                <w:rFonts w:ascii="Arial" w:cs="Arial" w:eastAsia="Arial" w:hAnsi="Arial"/>
                <w:sz w:val="18"/>
                <w:szCs w:val="18"/>
                <w:color w:val="auto"/>
              </w:rPr>
              <w:t>1,094,249</w:t>
            </w:r>
          </w:p>
        </w:tc>
        <w:tc>
          <w:tcPr>
            <w:tcW w:w="200" w:type="dxa"/>
            <w:vAlign w:val="bottom"/>
          </w:tcPr>
          <w:p>
            <w:pPr>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2"/>
                <w:szCs w:val="22"/>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​10%</w:t>
            </w:r>
          </w:p>
        </w:tc>
        <w:tc>
          <w:tcPr>
            <w:tcW w:w="380" w:type="dxa"/>
            <w:vAlign w:val="bottom"/>
          </w:tcPr>
          <w:p>
            <w:pPr>
              <w:jc w:val="right"/>
              <w:spacing w:after="0" w:line="264" w:lineRule="exact"/>
              <w:rPr>
                <w:sz w:val="20"/>
                <w:szCs w:val="20"/>
                <w:color w:val="auto"/>
              </w:rPr>
            </w:pPr>
            <w:r>
              <w:rPr>
                <w:rFonts w:ascii="Arial" w:cs="Arial" w:eastAsia="Arial" w:hAnsi="Arial"/>
                <w:sz w:val="16"/>
                <w:szCs w:val="16"/>
                <w:color w:val="auto"/>
              </w:rPr>
              <w:t>​ ​ ​</w:t>
            </w:r>
            <w:r>
              <w:rPr>
                <w:rFonts w:ascii="Arial" w:cs="Arial" w:eastAsia="Arial" w:hAnsi="Arial"/>
                <w:sz w:val="30"/>
                <w:szCs w:val="30"/>
                <w:color w:val="auto"/>
                <w:vertAlign w:val="superscript"/>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1,203,674</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shd w:val="clear" w:color="auto" w:fill="457157"/>
          </w:tcPr>
          <w:p>
            <w:pPr>
              <w:spacing w:after="0" w:line="20" w:lineRule="exact"/>
              <w:rPr>
                <w:sz w:val="1"/>
                <w:szCs w:val="1"/>
                <w:color w:val="auto"/>
              </w:rPr>
            </w:pPr>
          </w:p>
        </w:tc>
        <w:tc>
          <w:tcPr>
            <w:tcW w:w="110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360" w:type="dxa"/>
            <w:vAlign w:val="bottom"/>
            <w:gridSpan w:val="2"/>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10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38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74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Morris</w:t>
            </w:r>
          </w:p>
        </w:tc>
        <w:tc>
          <w:tcPr>
            <w:tcW w:w="1100" w:type="dxa"/>
            <w:vAlign w:val="bottom"/>
          </w:tcPr>
          <w:p>
            <w:pPr>
              <w:ind w:left="840"/>
              <w:spacing w:after="0"/>
              <w:rPr>
                <w:sz w:val="20"/>
                <w:szCs w:val="20"/>
                <w:color w:val="auto"/>
              </w:rPr>
            </w:pPr>
            <w:r>
              <w:rPr>
                <w:rFonts w:ascii="Arial" w:cs="Arial" w:eastAsia="Arial" w:hAnsi="Arial"/>
                <w:sz w:val="18"/>
                <w:szCs w:val="18"/>
                <w:color w:val="auto"/>
              </w:rPr>
              <w:t>​ ​</w:t>
            </w:r>
          </w:p>
        </w:tc>
        <w:tc>
          <w:tcPr>
            <w:tcW w:w="920" w:type="dxa"/>
            <w:vAlign w:val="bottom"/>
          </w:tcPr>
          <w:p>
            <w:pPr>
              <w:jc w:val="right"/>
              <w:ind w:right="266"/>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​110</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 ​ ​</w:t>
            </w:r>
          </w:p>
        </w:tc>
        <w:tc>
          <w:tcPr>
            <w:tcW w:w="260" w:type="dxa"/>
            <w:vAlign w:val="bottom"/>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00" w:type="dxa"/>
            <w:vAlign w:val="bottom"/>
          </w:tcPr>
          <w:p>
            <w:pPr>
              <w:jc w:val="right"/>
              <w:ind w:right="157"/>
              <w:spacing w:after="0"/>
              <w:rPr>
                <w:sz w:val="20"/>
                <w:szCs w:val="20"/>
                <w:color w:val="auto"/>
              </w:rPr>
            </w:pPr>
            <w:r>
              <w:rPr>
                <w:rFonts w:ascii="Arial" w:cs="Arial" w:eastAsia="Arial" w:hAnsi="Arial"/>
                <w:sz w:val="18"/>
                <w:szCs w:val="18"/>
                <w:color w:val="auto"/>
              </w:rPr>
              <w:t>1,229,457</w:t>
            </w:r>
          </w:p>
        </w:tc>
        <w:tc>
          <w:tcPr>
            <w:tcW w:w="200" w:type="dxa"/>
            <w:vAlign w:val="bottom"/>
          </w:tcPr>
          <w:p>
            <w:pPr>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2"/>
                <w:szCs w:val="22"/>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​10%</w:t>
            </w:r>
          </w:p>
        </w:tc>
        <w:tc>
          <w:tcPr>
            <w:tcW w:w="380" w:type="dxa"/>
            <w:vAlign w:val="bottom"/>
          </w:tcPr>
          <w:p>
            <w:pPr>
              <w:jc w:val="right"/>
              <w:spacing w:after="0" w:line="264" w:lineRule="exact"/>
              <w:rPr>
                <w:sz w:val="20"/>
                <w:szCs w:val="20"/>
                <w:color w:val="auto"/>
              </w:rPr>
            </w:pPr>
            <w:r>
              <w:rPr>
                <w:rFonts w:ascii="Arial" w:cs="Arial" w:eastAsia="Arial" w:hAnsi="Arial"/>
                <w:sz w:val="16"/>
                <w:szCs w:val="16"/>
                <w:color w:val="auto"/>
              </w:rPr>
              <w:t>​ ​ ​</w:t>
            </w:r>
            <w:r>
              <w:rPr>
                <w:rFonts w:ascii="Arial" w:cs="Arial" w:eastAsia="Arial" w:hAnsi="Arial"/>
                <w:sz w:val="30"/>
                <w:szCs w:val="30"/>
                <w:color w:val="auto"/>
                <w:vertAlign w:val="superscript"/>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1,352,403</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shd w:val="clear" w:color="auto" w:fill="457157"/>
          </w:tcPr>
          <w:p>
            <w:pPr>
              <w:spacing w:after="0" w:line="20" w:lineRule="exact"/>
              <w:rPr>
                <w:sz w:val="1"/>
                <w:szCs w:val="1"/>
                <w:color w:val="auto"/>
              </w:rPr>
            </w:pPr>
          </w:p>
        </w:tc>
        <w:tc>
          <w:tcPr>
            <w:tcW w:w="110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10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38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tcPr>
          <w:p>
            <w:pPr>
              <w:ind w:left="20"/>
              <w:spacing w:after="0" w:line="195" w:lineRule="exact"/>
              <w:rPr>
                <w:sz w:val="20"/>
                <w:szCs w:val="20"/>
                <w:color w:val="auto"/>
              </w:rPr>
            </w:pPr>
            <w:r>
              <w:rPr>
                <w:rFonts w:ascii="Arial" w:cs="Arial" w:eastAsia="Arial" w:hAnsi="Arial"/>
                <w:sz w:val="17"/>
                <w:szCs w:val="17"/>
                <w:b w:val="1"/>
                <w:bCs w:val="1"/>
                <w:color w:val="auto"/>
              </w:rPr>
              <w:t>Ms. Hemmer</w:t>
            </w:r>
            <w:r>
              <w:rPr>
                <w:rFonts w:ascii="Arial" w:cs="Arial" w:eastAsia="Arial" w:hAnsi="Arial"/>
                <w:sz w:val="22"/>
                <w:szCs w:val="22"/>
                <w:b w:val="1"/>
                <w:bCs w:val="1"/>
                <w:color w:val="auto"/>
                <w:vertAlign w:val="superscript"/>
              </w:rPr>
              <w:t>(1)</w:t>
            </w:r>
          </w:p>
        </w:tc>
        <w:tc>
          <w:tcPr>
            <w:tcW w:w="1100" w:type="dxa"/>
            <w:vAlign w:val="bottom"/>
            <w:vMerge w:val="restart"/>
          </w:tcPr>
          <w:p>
            <w:pPr>
              <w:ind w:left="840"/>
              <w:spacing w:after="0"/>
              <w:rPr>
                <w:sz w:val="20"/>
                <w:szCs w:val="20"/>
                <w:color w:val="auto"/>
              </w:rPr>
            </w:pPr>
            <w:r>
              <w:rPr>
                <w:rFonts w:ascii="Arial" w:cs="Arial" w:eastAsia="Arial" w:hAnsi="Arial"/>
                <w:sz w:val="18"/>
                <w:szCs w:val="18"/>
                <w:color w:val="auto"/>
              </w:rPr>
              <w:t>​ ​</w:t>
            </w:r>
          </w:p>
        </w:tc>
        <w:tc>
          <w:tcPr>
            <w:tcW w:w="920" w:type="dxa"/>
            <w:vAlign w:val="bottom"/>
          </w:tcPr>
          <w:p>
            <w:pPr>
              <w:jc w:val="right"/>
              <w:ind w:right="266"/>
              <w:spacing w:after="0" w:line="196" w:lineRule="exact"/>
              <w:rPr>
                <w:sz w:val="20"/>
                <w:szCs w:val="20"/>
                <w:color w:val="auto"/>
              </w:rPr>
            </w:pPr>
            <w:r>
              <w:rPr>
                <w:rFonts w:ascii="Arial" w:cs="Arial" w:eastAsia="Arial" w:hAnsi="Arial"/>
                <w:sz w:val="18"/>
                <w:szCs w:val="18"/>
                <w:color w:val="auto"/>
              </w:rPr>
              <w:t>​ 95</w:t>
            </w:r>
          </w:p>
        </w:tc>
        <w:tc>
          <w:tcPr>
            <w:tcW w:w="360" w:type="dxa"/>
            <w:vAlign w:val="bottom"/>
            <w:gridSpan w:val="2"/>
            <w:vMerge w:val="restart"/>
          </w:tcPr>
          <w:p>
            <w:pPr>
              <w:ind w:left="20"/>
              <w:spacing w:after="0"/>
              <w:rPr>
                <w:sz w:val="20"/>
                <w:szCs w:val="20"/>
                <w:color w:val="auto"/>
              </w:rPr>
            </w:pPr>
            <w:r>
              <w:rPr>
                <w:rFonts w:ascii="Arial" w:cs="Arial" w:eastAsia="Arial" w:hAnsi="Arial"/>
                <w:sz w:val="18"/>
                <w:szCs w:val="18"/>
                <w:color w:val="auto"/>
              </w:rPr>
              <w:t>​ ​ ​</w:t>
            </w: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157"/>
              <w:spacing w:after="0" w:line="196" w:lineRule="exact"/>
              <w:rPr>
                <w:sz w:val="20"/>
                <w:szCs w:val="20"/>
                <w:color w:val="auto"/>
              </w:rPr>
            </w:pPr>
            <w:r>
              <w:rPr>
                <w:rFonts w:ascii="Arial" w:cs="Arial" w:eastAsia="Arial" w:hAnsi="Arial"/>
                <w:sz w:val="18"/>
                <w:szCs w:val="18"/>
                <w:color w:val="auto"/>
              </w:rPr>
              <w:t>899,538</w:t>
            </w:r>
          </w:p>
        </w:tc>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7"/>
                <w:szCs w:val="17"/>
                <w:color w:val="auto"/>
              </w:rPr>
            </w:pPr>
          </w:p>
        </w:tc>
        <w:tc>
          <w:tcPr>
            <w:tcW w:w="900" w:type="dxa"/>
            <w:vAlign w:val="bottom"/>
          </w:tcPr>
          <w:p>
            <w:pPr>
              <w:ind w:left="240"/>
              <w:spacing w:after="0" w:line="196" w:lineRule="exact"/>
              <w:rPr>
                <w:sz w:val="20"/>
                <w:szCs w:val="20"/>
                <w:color w:val="auto"/>
              </w:rPr>
            </w:pPr>
            <w:r>
              <w:rPr>
                <w:rFonts w:ascii="Arial" w:cs="Arial" w:eastAsia="Arial" w:hAnsi="Arial"/>
                <w:sz w:val="18"/>
                <w:szCs w:val="18"/>
                <w:color w:val="auto"/>
              </w:rPr>
              <w:t>​15%</w:t>
            </w: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1,034,468</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2740" w:type="dxa"/>
            <w:vAlign w:val="bottom"/>
          </w:tcPr>
          <w:p>
            <w:pPr>
              <w:jc w:val="right"/>
              <w:ind w:right="2612"/>
              <w:spacing w:after="0" w:line="68" w:lineRule="exact"/>
              <w:rPr>
                <w:sz w:val="20"/>
                <w:szCs w:val="20"/>
                <w:color w:val="auto"/>
              </w:rPr>
            </w:pPr>
            <w:r>
              <w:rPr>
                <w:rFonts w:ascii="Arial" w:cs="Arial" w:eastAsia="Arial" w:hAnsi="Arial"/>
                <w:sz w:val="7"/>
                <w:szCs w:val="7"/>
                <w:color w:val="auto"/>
              </w:rPr>
              <w:t>​</w:t>
            </w:r>
          </w:p>
        </w:tc>
        <w:tc>
          <w:tcPr>
            <w:tcW w:w="1100" w:type="dxa"/>
            <w:vAlign w:val="bottom"/>
            <w:vMerge w:val="continue"/>
          </w:tcPr>
          <w:p>
            <w:pPr>
              <w:spacing w:after="0"/>
              <w:rPr>
                <w:sz w:val="5"/>
                <w:szCs w:val="5"/>
                <w:color w:val="auto"/>
              </w:rPr>
            </w:pPr>
          </w:p>
        </w:tc>
        <w:tc>
          <w:tcPr>
            <w:tcW w:w="920" w:type="dxa"/>
            <w:vAlign w:val="bottom"/>
          </w:tcPr>
          <w:p>
            <w:pPr>
              <w:jc w:val="right"/>
              <w:ind w:right="586"/>
              <w:spacing w:after="0" w:line="68" w:lineRule="exact"/>
              <w:rPr>
                <w:sz w:val="20"/>
                <w:szCs w:val="20"/>
                <w:color w:val="auto"/>
              </w:rPr>
            </w:pPr>
            <w:r>
              <w:rPr>
                <w:rFonts w:ascii="Arial" w:cs="Arial" w:eastAsia="Arial" w:hAnsi="Arial"/>
                <w:sz w:val="7"/>
                <w:szCs w:val="7"/>
                <w:color w:val="auto"/>
              </w:rPr>
              <w:t>​</w:t>
            </w:r>
          </w:p>
        </w:tc>
        <w:tc>
          <w:tcPr>
            <w:tcW w:w="360" w:type="dxa"/>
            <w:vAlign w:val="bottom"/>
            <w:gridSpan w:val="2"/>
            <w:vMerge w:val="continue"/>
          </w:tcPr>
          <w:p>
            <w:pPr>
              <w:spacing w:after="0"/>
              <w:rPr>
                <w:sz w:val="5"/>
                <w:szCs w:val="5"/>
                <w:color w:val="auto"/>
              </w:rPr>
            </w:pPr>
          </w:p>
        </w:tc>
        <w:tc>
          <w:tcPr>
            <w:tcW w:w="260" w:type="dxa"/>
            <w:vAlign w:val="bottom"/>
          </w:tcPr>
          <w:p>
            <w:pPr>
              <w:jc w:val="right"/>
              <w:ind w:right="26"/>
              <w:spacing w:after="0" w:line="68" w:lineRule="exact"/>
              <w:rPr>
                <w:sz w:val="20"/>
                <w:szCs w:val="20"/>
                <w:color w:val="auto"/>
              </w:rPr>
            </w:pPr>
            <w:r>
              <w:rPr>
                <w:rFonts w:ascii="Arial" w:cs="Arial" w:eastAsia="Arial" w:hAnsi="Arial"/>
                <w:sz w:val="7"/>
                <w:szCs w:val="7"/>
                <w:color w:val="auto"/>
              </w:rPr>
              <w:t>​</w:t>
            </w:r>
          </w:p>
        </w:tc>
        <w:tc>
          <w:tcPr>
            <w:tcW w:w="110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380" w:type="dxa"/>
            <w:vAlign w:val="bottom"/>
          </w:tcPr>
          <w:p>
            <w:pPr>
              <w:jc w:val="right"/>
              <w:ind w:right="26"/>
              <w:spacing w:after="0" w:line="68" w:lineRule="exact"/>
              <w:rPr>
                <w:sz w:val="20"/>
                <w:szCs w:val="20"/>
                <w:color w:val="auto"/>
              </w:rPr>
            </w:pPr>
            <w:r>
              <w:rPr>
                <w:rFonts w:ascii="Arial" w:cs="Arial" w:eastAsia="Arial" w:hAnsi="Arial"/>
                <w:sz w:val="7"/>
                <w:szCs w:val="7"/>
                <w:color w:val="auto"/>
              </w:rPr>
              <w:t>​ ​ ​</w:t>
            </w:r>
          </w:p>
        </w:tc>
        <w:tc>
          <w:tcPr>
            <w:tcW w:w="94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740" w:type="dxa"/>
            <w:vAlign w:val="bottom"/>
            <w:shd w:val="clear" w:color="auto" w:fill="457157"/>
          </w:tcPr>
          <w:p>
            <w:pPr>
              <w:spacing w:after="0" w:line="20" w:lineRule="exact"/>
              <w:rPr>
                <w:sz w:val="1"/>
                <w:szCs w:val="1"/>
                <w:color w:val="auto"/>
              </w:rPr>
            </w:pPr>
          </w:p>
        </w:tc>
        <w:tc>
          <w:tcPr>
            <w:tcW w:w="110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360" w:type="dxa"/>
            <w:vAlign w:val="bottom"/>
            <w:gridSpan w:val="2"/>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10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38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74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Carrasco</w:t>
            </w:r>
          </w:p>
        </w:tc>
        <w:tc>
          <w:tcPr>
            <w:tcW w:w="1100" w:type="dxa"/>
            <w:vAlign w:val="bottom"/>
          </w:tcPr>
          <w:p>
            <w:pPr>
              <w:ind w:left="840"/>
              <w:spacing w:after="0"/>
              <w:rPr>
                <w:sz w:val="20"/>
                <w:szCs w:val="20"/>
                <w:color w:val="auto"/>
              </w:rPr>
            </w:pPr>
            <w:r>
              <w:rPr>
                <w:rFonts w:ascii="Arial" w:cs="Arial" w:eastAsia="Arial" w:hAnsi="Arial"/>
                <w:sz w:val="18"/>
                <w:szCs w:val="18"/>
                <w:color w:val="auto"/>
              </w:rPr>
              <w:t>​ ​</w:t>
            </w:r>
          </w:p>
        </w:tc>
        <w:tc>
          <w:tcPr>
            <w:tcW w:w="920" w:type="dxa"/>
            <w:vAlign w:val="bottom"/>
          </w:tcPr>
          <w:p>
            <w:pPr>
              <w:jc w:val="right"/>
              <w:ind w:right="266"/>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90</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 ​ ​</w:t>
            </w:r>
          </w:p>
        </w:tc>
        <w:tc>
          <w:tcPr>
            <w:tcW w:w="260" w:type="dxa"/>
            <w:vAlign w:val="bottom"/>
          </w:tcPr>
          <w:p>
            <w:pPr>
              <w:jc w:val="right"/>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00" w:type="dxa"/>
            <w:vAlign w:val="bottom"/>
          </w:tcPr>
          <w:p>
            <w:pPr>
              <w:jc w:val="right"/>
              <w:ind w:right="157"/>
              <w:spacing w:after="0"/>
              <w:rPr>
                <w:sz w:val="20"/>
                <w:szCs w:val="20"/>
                <w:color w:val="auto"/>
              </w:rPr>
            </w:pPr>
            <w:r>
              <w:rPr>
                <w:rFonts w:ascii="Arial" w:cs="Arial" w:eastAsia="Arial" w:hAnsi="Arial"/>
                <w:sz w:val="18"/>
                <w:szCs w:val="18"/>
                <w:color w:val="auto"/>
              </w:rPr>
              <w:t>833,948</w:t>
            </w:r>
          </w:p>
        </w:tc>
        <w:tc>
          <w:tcPr>
            <w:tcW w:w="200" w:type="dxa"/>
            <w:vAlign w:val="bottom"/>
          </w:tcPr>
          <w:p>
            <w:pPr>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2"/>
                <w:szCs w:val="22"/>
                <w:color w:val="auto"/>
              </w:rPr>
            </w:pPr>
          </w:p>
        </w:tc>
        <w:tc>
          <w:tcPr>
            <w:tcW w:w="900" w:type="dxa"/>
            <w:vAlign w:val="bottom"/>
          </w:tcPr>
          <w:p>
            <w:pPr>
              <w:ind w:left="240"/>
              <w:spacing w:after="0"/>
              <w:rPr>
                <w:sz w:val="20"/>
                <w:szCs w:val="20"/>
                <w:color w:val="auto"/>
              </w:rPr>
            </w:pPr>
            <w:r>
              <w:rPr>
                <w:rFonts w:ascii="Arial" w:cs="Arial" w:eastAsia="Arial" w:hAnsi="Arial"/>
                <w:sz w:val="18"/>
                <w:szCs w:val="18"/>
                <w:color w:val="auto"/>
              </w:rPr>
              <w:t>​11%</w:t>
            </w:r>
          </w:p>
        </w:tc>
        <w:tc>
          <w:tcPr>
            <w:tcW w:w="380" w:type="dxa"/>
            <w:vAlign w:val="bottom"/>
          </w:tcPr>
          <w:p>
            <w:pPr>
              <w:jc w:val="right"/>
              <w:spacing w:after="0" w:line="264" w:lineRule="exact"/>
              <w:rPr>
                <w:sz w:val="20"/>
                <w:szCs w:val="20"/>
                <w:color w:val="auto"/>
              </w:rPr>
            </w:pPr>
            <w:r>
              <w:rPr>
                <w:rFonts w:ascii="Arial" w:cs="Arial" w:eastAsia="Arial" w:hAnsi="Arial"/>
                <w:sz w:val="16"/>
                <w:szCs w:val="16"/>
                <w:color w:val="auto"/>
              </w:rPr>
              <w:t>​ ​ ​</w:t>
            </w:r>
            <w:r>
              <w:rPr>
                <w:rFonts w:ascii="Arial" w:cs="Arial" w:eastAsia="Arial" w:hAnsi="Arial"/>
                <w:sz w:val="30"/>
                <w:szCs w:val="30"/>
                <w:color w:val="auto"/>
                <w:vertAlign w:val="superscript"/>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925,683</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shd w:val="clear" w:color="auto" w:fill="457157"/>
          </w:tcPr>
          <w:p>
            <w:pPr>
              <w:spacing w:after="0" w:line="20" w:lineRule="exact"/>
              <w:rPr>
                <w:sz w:val="1"/>
                <w:szCs w:val="1"/>
                <w:color w:val="auto"/>
              </w:rPr>
            </w:pPr>
          </w:p>
        </w:tc>
        <w:tc>
          <w:tcPr>
            <w:tcW w:w="110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110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38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-908050</wp:posOffset>
            </wp:positionV>
            <wp:extent cx="5760720"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760720"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-548005</wp:posOffset>
            </wp:positionV>
            <wp:extent cx="5760720" cy="1797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760720"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-187960</wp:posOffset>
            </wp:positionV>
            <wp:extent cx="5760720" cy="1803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60720" cy="180340"/>
                    </a:xfrm>
                    <a:prstGeom prst="rect">
                      <a:avLst/>
                    </a:prstGeom>
                    <a:noFill/>
                  </pic:spPr>
                </pic:pic>
              </a:graphicData>
            </a:graphic>
          </wp:anchor>
        </w:drawing>
      </w:r>
    </w:p>
    <w:p>
      <w:pPr>
        <w:spacing w:after="0" w:line="15" w:lineRule="exact"/>
        <w:rPr>
          <w:sz w:val="20"/>
          <w:szCs w:val="20"/>
          <w:color w:val="auto"/>
        </w:rPr>
      </w:pPr>
    </w:p>
    <w:p>
      <w:pPr>
        <w:ind w:left="1180" w:right="60" w:hanging="364"/>
        <w:spacing w:after="0" w:line="287" w:lineRule="auto"/>
        <w:tabs>
          <w:tab w:leader="none" w:pos="11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March 2024, the target percentage of base salary for Ms. Hemmer was increased from 90% to 95%, yielding a 94% target percentage of base salary for the full year of 2024.</w:t>
      </w:r>
    </w:p>
    <w:p>
      <w:pPr>
        <w:spacing w:after="0" w:line="155"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Long-Term Equity Incentives</w:t>
      </w:r>
    </w:p>
    <w:p>
      <w:pPr>
        <w:spacing w:after="0" w:line="115"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Our equity awards are designed to hold individuals accountable for long-term decisions by rewarding the success of those decisions. The MD&amp;C Committee continuously evaluates the components of its programs. In determining which forms of equity compensation are appropriate, the MD&amp;C Committee considers whether the awards granted are achieving their purpose; the competitive market; and accounting, tax or other regulatory issues, among others. In determining the appropriate awards for the named executives’ 2024 annual long-term incentive award, the MD&amp;C Committee decided to grant both PSUs comprising 80% of each named executive’s award and stock options comprising 20% of each named executive’s award, consistent with prior years. Half of each named executives’ PSUs granted in 2024 are Cash Flow PSUs and the remaining half are TSR PSUs. Meanwhile, stock options encourage focus on increasing the market value of our stock. Before determining the actual number of PSUs and stock options that were granted to each of the named executives in 2024, the MD&amp;C Committee established a target dollar amount for each named executive’s annual total long-term equity incentive award. The values chosen were based primarily on the comparison information for the competitive market and consideration of the named executives’ responsibility for meeting the Company’s strategic objectives. Target dollar amounts for equity incentive awards will vary from grant date fair values calculated for accounting purposes.</w:t>
      </w:r>
    </w:p>
    <w:p>
      <w:pPr>
        <w:spacing w:after="0" w:line="200" w:lineRule="exact"/>
        <w:rPr>
          <w:sz w:val="20"/>
          <w:szCs w:val="20"/>
          <w:color w:val="auto"/>
        </w:rPr>
      </w:pPr>
    </w:p>
    <w:p>
      <w:pPr>
        <w:spacing w:after="0" w:line="333"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300" w:type="dxa"/>
            <w:vAlign w:val="bottom"/>
          </w:tcPr>
          <w:p>
            <w:pPr>
              <w:jc w:val="right"/>
              <w:ind w:right="46"/>
              <w:spacing w:after="0"/>
              <w:rPr>
                <w:sz w:val="20"/>
                <w:szCs w:val="20"/>
                <w:color w:val="auto"/>
              </w:rPr>
            </w:pPr>
            <w:r>
              <w:rPr>
                <w:rFonts w:ascii="Arial" w:cs="Arial" w:eastAsia="Arial" w:hAnsi="Arial"/>
                <w:sz w:val="14"/>
                <w:szCs w:val="14"/>
                <w:b w:val="1"/>
                <w:bCs w:val="1"/>
                <w:color w:val="457157"/>
              </w:rPr>
              <w:t>Dollar Values of 2024</w:t>
            </w:r>
          </w:p>
        </w:tc>
        <w:tc>
          <w:tcPr>
            <w:tcW w:w="0" w:type="dxa"/>
            <w:vAlign w:val="bottom"/>
          </w:tcPr>
          <w:p>
            <w:pPr>
              <w:spacing w:after="0"/>
              <w:rPr>
                <w:sz w:val="1"/>
                <w:szCs w:val="1"/>
                <w:color w:val="auto"/>
              </w:rPr>
            </w:pPr>
          </w:p>
        </w:tc>
      </w:tr>
      <w:tr>
        <w:trPr>
          <w:trHeight w:val="144"/>
        </w:trPr>
        <w:tc>
          <w:tcPr>
            <w:tcW w:w="35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300" w:type="dxa"/>
            <w:vAlign w:val="bottom"/>
          </w:tcPr>
          <w:p>
            <w:pPr>
              <w:jc w:val="right"/>
              <w:ind w:right="46"/>
              <w:spacing w:after="0" w:line="145" w:lineRule="exact"/>
              <w:rPr>
                <w:sz w:val="20"/>
                <w:szCs w:val="20"/>
                <w:color w:val="auto"/>
              </w:rPr>
            </w:pPr>
            <w:r>
              <w:rPr>
                <w:rFonts w:ascii="Arial" w:cs="Arial" w:eastAsia="Arial" w:hAnsi="Arial"/>
                <w:sz w:val="14"/>
                <w:szCs w:val="14"/>
                <w:b w:val="1"/>
                <w:bCs w:val="1"/>
                <w:color w:val="457157"/>
              </w:rPr>
              <w:t>Long-Term Equity Incentives</w:t>
            </w:r>
          </w:p>
        </w:tc>
        <w:tc>
          <w:tcPr>
            <w:tcW w:w="0" w:type="dxa"/>
            <w:vAlign w:val="bottom"/>
          </w:tcPr>
          <w:p>
            <w:pPr>
              <w:spacing w:after="0"/>
              <w:rPr>
                <w:sz w:val="1"/>
                <w:szCs w:val="1"/>
                <w:color w:val="auto"/>
              </w:rPr>
            </w:pPr>
          </w:p>
        </w:tc>
      </w:tr>
      <w:tr>
        <w:trPr>
          <w:trHeight w:val="139"/>
        </w:trPr>
        <w:tc>
          <w:tcPr>
            <w:tcW w:w="3520" w:type="dxa"/>
            <w:vAlign w:val="bottom"/>
            <w:vMerge w:val="restart"/>
          </w:tcPr>
          <w:p>
            <w:pPr>
              <w:ind w:left="2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Named Executive Officer</w:t>
            </w:r>
          </w:p>
        </w:tc>
        <w:tc>
          <w:tcPr>
            <w:tcW w:w="1820" w:type="dxa"/>
            <w:vAlign w:val="bottom"/>
          </w:tcPr>
          <w:p>
            <w:pPr>
              <w:spacing w:after="0"/>
              <w:rPr>
                <w:sz w:val="12"/>
                <w:szCs w:val="12"/>
                <w:color w:val="auto"/>
              </w:rPr>
            </w:pPr>
          </w:p>
        </w:tc>
        <w:tc>
          <w:tcPr>
            <w:tcW w:w="2300" w:type="dxa"/>
            <w:vAlign w:val="bottom"/>
          </w:tcPr>
          <w:p>
            <w:pPr>
              <w:jc w:val="right"/>
              <w:ind w:right="46"/>
              <w:spacing w:after="0" w:line="139" w:lineRule="exact"/>
              <w:rPr>
                <w:sz w:val="20"/>
                <w:szCs w:val="20"/>
                <w:color w:val="auto"/>
              </w:rPr>
            </w:pPr>
            <w:r>
              <w:rPr>
                <w:rFonts w:ascii="Arial" w:cs="Arial" w:eastAsia="Arial" w:hAnsi="Arial"/>
                <w:sz w:val="14"/>
                <w:szCs w:val="14"/>
                <w:b w:val="1"/>
                <w:bCs w:val="1"/>
                <w:color w:val="457157"/>
              </w:rPr>
              <w:t>Set by the Committee</w:t>
            </w:r>
          </w:p>
        </w:tc>
        <w:tc>
          <w:tcPr>
            <w:tcW w:w="0" w:type="dxa"/>
            <w:vAlign w:val="bottom"/>
          </w:tcPr>
          <w:p>
            <w:pPr>
              <w:spacing w:after="0"/>
              <w:rPr>
                <w:sz w:val="1"/>
                <w:szCs w:val="1"/>
                <w:color w:val="auto"/>
              </w:rPr>
            </w:pPr>
          </w:p>
        </w:tc>
      </w:tr>
      <w:tr>
        <w:trPr>
          <w:trHeight w:val="212"/>
        </w:trPr>
        <w:tc>
          <w:tcPr>
            <w:tcW w:w="3520" w:type="dxa"/>
            <w:vAlign w:val="bottom"/>
            <w:tcBorders>
              <w:bottom w:val="single" w:sz="8" w:color="457157"/>
            </w:tcBorders>
            <w:vMerge w:val="continue"/>
          </w:tcPr>
          <w:p>
            <w:pPr>
              <w:spacing w:after="0"/>
              <w:rPr>
                <w:sz w:val="18"/>
                <w:szCs w:val="18"/>
                <w:color w:val="auto"/>
              </w:rPr>
            </w:pPr>
          </w:p>
        </w:tc>
        <w:tc>
          <w:tcPr>
            <w:tcW w:w="1820" w:type="dxa"/>
            <w:vAlign w:val="bottom"/>
            <w:tcBorders>
              <w:bottom w:val="single" w:sz="8" w:color="457157"/>
            </w:tcBorders>
          </w:tcPr>
          <w:p>
            <w:pPr>
              <w:ind w:left="1620"/>
              <w:spacing w:after="0"/>
              <w:rPr>
                <w:sz w:val="20"/>
                <w:szCs w:val="20"/>
                <w:color w:val="auto"/>
              </w:rPr>
            </w:pPr>
            <w:r>
              <w:rPr>
                <w:rFonts w:ascii="Arial" w:cs="Arial" w:eastAsia="Arial" w:hAnsi="Arial"/>
                <w:sz w:val="14"/>
                <w:szCs w:val="14"/>
                <w:b w:val="1"/>
                <w:bCs w:val="1"/>
                <w:color w:val="457157"/>
              </w:rPr>
              <w:t>​ ​</w:t>
            </w:r>
          </w:p>
        </w:tc>
        <w:tc>
          <w:tcPr>
            <w:tcW w:w="2300" w:type="dxa"/>
            <w:vAlign w:val="bottom"/>
            <w:tcBorders>
              <w:bottom w:val="single" w:sz="8" w:color="457157"/>
            </w:tcBorders>
          </w:tcPr>
          <w:p>
            <w:pPr>
              <w:ind w:left="1460"/>
              <w:spacing w:after="0" w:line="212" w:lineRule="exact"/>
              <w:rPr>
                <w:sz w:val="20"/>
                <w:szCs w:val="20"/>
                <w:color w:val="auto"/>
              </w:rPr>
            </w:pPr>
            <w:r>
              <w:rPr>
                <w:rFonts w:ascii="Arial" w:cs="Arial" w:eastAsia="Arial" w:hAnsi="Arial"/>
                <w:sz w:val="13"/>
                <w:szCs w:val="13"/>
                <w:b w:val="1"/>
                <w:bCs w:val="1"/>
                <w:color w:val="457157"/>
              </w:rPr>
              <w:t>(at Target)</w:t>
            </w:r>
            <w:r>
              <w:rPr>
                <w:rFonts w:ascii="Arial" w:cs="Arial" w:eastAsia="Arial" w:hAnsi="Arial"/>
                <w:sz w:val="24"/>
                <w:szCs w:val="24"/>
                <w:b w:val="1"/>
                <w:bCs w:val="1"/>
                <w:color w:val="457157"/>
                <w:vertAlign w:val="subscript"/>
              </w:rPr>
              <w:t>​</w:t>
            </w:r>
          </w:p>
        </w:tc>
        <w:tc>
          <w:tcPr>
            <w:tcW w:w="0" w:type="dxa"/>
            <w:vAlign w:val="bottom"/>
          </w:tcPr>
          <w:p>
            <w:pPr>
              <w:spacing w:after="0"/>
              <w:rPr>
                <w:sz w:val="1"/>
                <w:szCs w:val="1"/>
                <w:color w:val="auto"/>
              </w:rPr>
            </w:pPr>
          </w:p>
        </w:tc>
      </w:tr>
      <w:tr>
        <w:trPr>
          <w:trHeight w:val="264"/>
        </w:trPr>
        <w:tc>
          <w:tcPr>
            <w:tcW w:w="3520" w:type="dxa"/>
            <w:vAlign w:val="bottom"/>
            <w:tcBorders>
              <w:bottom w:val="single" w:sz="8" w:color="457157"/>
            </w:tcBorders>
            <w:shd w:val="clear" w:color="auto" w:fill="CCEEFF"/>
          </w:tcPr>
          <w:p>
            <w:pPr>
              <w:ind w:left="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Fish</w:t>
            </w:r>
          </w:p>
        </w:tc>
        <w:tc>
          <w:tcPr>
            <w:tcW w:w="1820" w:type="dxa"/>
            <w:vAlign w:val="bottom"/>
            <w:tcBorders>
              <w:bottom w:val="single" w:sz="8" w:color="457157"/>
            </w:tcBorders>
            <w:shd w:val="clear" w:color="auto" w:fill="CCEEFF"/>
          </w:tcPr>
          <w:p>
            <w:pPr>
              <w:ind w:left="1620"/>
              <w:spacing w:after="0"/>
              <w:rPr>
                <w:sz w:val="20"/>
                <w:szCs w:val="20"/>
                <w:color w:val="auto"/>
              </w:rPr>
            </w:pPr>
            <w:r>
              <w:rPr>
                <w:rFonts w:ascii="Arial" w:cs="Arial" w:eastAsia="Arial" w:hAnsi="Arial"/>
                <w:sz w:val="18"/>
                <w:szCs w:val="18"/>
                <w:color w:val="auto"/>
              </w:rPr>
              <w:t>​ ​</w:t>
            </w:r>
          </w:p>
        </w:tc>
        <w:tc>
          <w:tcPr>
            <w:tcW w:w="2300" w:type="dxa"/>
            <w:vAlign w:val="bottom"/>
            <w:tcBorders>
              <w:bottom w:val="single" w:sz="8" w:color="457157"/>
            </w:tcBorders>
            <w:shd w:val="clear" w:color="auto" w:fill="CCEEFF"/>
          </w:tcPr>
          <w:p>
            <w:pPr>
              <w:ind w:left="1260"/>
              <w:spacing w:after="0" w:line="264" w:lineRule="exact"/>
              <w:rPr>
                <w:sz w:val="20"/>
                <w:szCs w:val="20"/>
                <w:color w:val="auto"/>
              </w:rPr>
            </w:pPr>
            <w:r>
              <w:rPr>
                <w:rFonts w:ascii="Arial" w:cs="Arial" w:eastAsia="Arial" w:hAnsi="Arial"/>
                <w:sz w:val="16"/>
                <w:szCs w:val="16"/>
                <w:color w:val="auto"/>
              </w:rPr>
              <w:t>$9,750,000</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50"/>
        </w:trPr>
        <w:tc>
          <w:tcPr>
            <w:tcW w:w="3520" w:type="dxa"/>
            <w:vAlign w:val="bottom"/>
            <w:tcBorders>
              <w:bottom w:val="single" w:sz="8" w:color="457157"/>
            </w:tcBorders>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Ms. Rankin</w:t>
            </w:r>
          </w:p>
        </w:tc>
        <w:tc>
          <w:tcPr>
            <w:tcW w:w="1820" w:type="dxa"/>
            <w:vAlign w:val="bottom"/>
            <w:tcBorders>
              <w:bottom w:val="single" w:sz="8" w:color="457157"/>
            </w:tcBorders>
          </w:tcPr>
          <w:p>
            <w:pPr>
              <w:ind w:left="1620"/>
              <w:spacing w:after="0"/>
              <w:rPr>
                <w:sz w:val="20"/>
                <w:szCs w:val="20"/>
                <w:color w:val="auto"/>
              </w:rPr>
            </w:pPr>
            <w:r>
              <w:rPr>
                <w:rFonts w:ascii="Arial" w:cs="Arial" w:eastAsia="Arial" w:hAnsi="Arial"/>
                <w:sz w:val="18"/>
                <w:szCs w:val="18"/>
                <w:color w:val="auto"/>
              </w:rPr>
              <w:t>​ ​</w:t>
            </w:r>
          </w:p>
        </w:tc>
        <w:tc>
          <w:tcPr>
            <w:tcW w:w="2300" w:type="dxa"/>
            <w:vAlign w:val="bottom"/>
            <w:tcBorders>
              <w:bottom w:val="single" w:sz="8" w:color="457157"/>
            </w:tcBorders>
          </w:tcPr>
          <w:p>
            <w:pPr>
              <w:ind w:left="1260"/>
              <w:spacing w:after="0" w:line="250" w:lineRule="exact"/>
              <w:rPr>
                <w:sz w:val="20"/>
                <w:szCs w:val="20"/>
                <w:color w:val="auto"/>
              </w:rPr>
            </w:pPr>
            <w:r>
              <w:rPr>
                <w:rFonts w:ascii="Arial" w:cs="Arial" w:eastAsia="Arial" w:hAnsi="Arial"/>
                <w:sz w:val="15"/>
                <w:szCs w:val="15"/>
                <w:color w:val="auto"/>
              </w:rPr>
              <w:t>$2,300,000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3520" w:type="dxa"/>
            <w:vAlign w:val="bottom"/>
            <w:tcBorders>
              <w:bottom w:val="single" w:sz="8" w:color="457157"/>
            </w:tcBorders>
            <w:shd w:val="clear" w:color="auto" w:fill="CCEEFF"/>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Mr. Morris</w:t>
            </w:r>
          </w:p>
        </w:tc>
        <w:tc>
          <w:tcPr>
            <w:tcW w:w="1820" w:type="dxa"/>
            <w:vAlign w:val="bottom"/>
            <w:tcBorders>
              <w:bottom w:val="single" w:sz="8" w:color="457157"/>
            </w:tcBorders>
            <w:shd w:val="clear" w:color="auto" w:fill="CCEEFF"/>
          </w:tcPr>
          <w:p>
            <w:pPr>
              <w:ind w:left="1620"/>
              <w:spacing w:after="0"/>
              <w:rPr>
                <w:sz w:val="20"/>
                <w:szCs w:val="20"/>
                <w:color w:val="auto"/>
              </w:rPr>
            </w:pPr>
            <w:r>
              <w:rPr>
                <w:rFonts w:ascii="Arial" w:cs="Arial" w:eastAsia="Arial" w:hAnsi="Arial"/>
                <w:sz w:val="18"/>
                <w:szCs w:val="18"/>
                <w:color w:val="auto"/>
              </w:rPr>
              <w:t>​ ​</w:t>
            </w:r>
          </w:p>
        </w:tc>
        <w:tc>
          <w:tcPr>
            <w:tcW w:w="2300" w:type="dxa"/>
            <w:vAlign w:val="bottom"/>
            <w:tcBorders>
              <w:bottom w:val="single" w:sz="8" w:color="457157"/>
            </w:tcBorders>
            <w:shd w:val="clear" w:color="auto" w:fill="CCEEFF"/>
          </w:tcPr>
          <w:p>
            <w:pPr>
              <w:ind w:left="1260"/>
              <w:spacing w:after="0" w:line="250" w:lineRule="exact"/>
              <w:rPr>
                <w:sz w:val="20"/>
                <w:szCs w:val="20"/>
                <w:color w:val="auto"/>
              </w:rPr>
            </w:pPr>
            <w:r>
              <w:rPr>
                <w:rFonts w:ascii="Arial" w:cs="Arial" w:eastAsia="Arial" w:hAnsi="Arial"/>
                <w:sz w:val="15"/>
                <w:szCs w:val="15"/>
                <w:color w:val="auto"/>
              </w:rPr>
              <w:t>$2,950,000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3520" w:type="dxa"/>
            <w:vAlign w:val="bottom"/>
            <w:tcBorders>
              <w:bottom w:val="single" w:sz="8" w:color="457157"/>
            </w:tcBorders>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Ms. Hemmer</w:t>
            </w:r>
          </w:p>
        </w:tc>
        <w:tc>
          <w:tcPr>
            <w:tcW w:w="1820" w:type="dxa"/>
            <w:vAlign w:val="bottom"/>
            <w:tcBorders>
              <w:bottom w:val="single" w:sz="8" w:color="457157"/>
            </w:tcBorders>
          </w:tcPr>
          <w:p>
            <w:pPr>
              <w:ind w:left="1620"/>
              <w:spacing w:after="0"/>
              <w:rPr>
                <w:sz w:val="20"/>
                <w:szCs w:val="20"/>
                <w:color w:val="auto"/>
              </w:rPr>
            </w:pPr>
            <w:r>
              <w:rPr>
                <w:rFonts w:ascii="Arial" w:cs="Arial" w:eastAsia="Arial" w:hAnsi="Arial"/>
                <w:sz w:val="18"/>
                <w:szCs w:val="18"/>
                <w:color w:val="auto"/>
              </w:rPr>
              <w:t>​ ​</w:t>
            </w:r>
          </w:p>
        </w:tc>
        <w:tc>
          <w:tcPr>
            <w:tcW w:w="2300" w:type="dxa"/>
            <w:vAlign w:val="bottom"/>
            <w:tcBorders>
              <w:bottom w:val="single" w:sz="8" w:color="457157"/>
            </w:tcBorders>
          </w:tcPr>
          <w:p>
            <w:pPr>
              <w:ind w:left="1260"/>
              <w:spacing w:after="0" w:line="250" w:lineRule="exact"/>
              <w:rPr>
                <w:sz w:val="20"/>
                <w:szCs w:val="20"/>
                <w:color w:val="auto"/>
              </w:rPr>
            </w:pPr>
            <w:r>
              <w:rPr>
                <w:rFonts w:ascii="Arial" w:cs="Arial" w:eastAsia="Arial" w:hAnsi="Arial"/>
                <w:sz w:val="15"/>
                <w:szCs w:val="15"/>
                <w:color w:val="auto"/>
              </w:rPr>
              <w:t>$2,000,000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r>
        <w:trPr>
          <w:trHeight w:val="250"/>
        </w:trPr>
        <w:tc>
          <w:tcPr>
            <w:tcW w:w="3520" w:type="dxa"/>
            <w:vAlign w:val="bottom"/>
            <w:tcBorders>
              <w:bottom w:val="single" w:sz="8" w:color="457157"/>
            </w:tcBorders>
            <w:shd w:val="clear" w:color="auto" w:fill="CCEEFF"/>
          </w:tcPr>
          <w:p>
            <w:pPr>
              <w:ind w:left="2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Mr. Carrasco</w:t>
            </w:r>
          </w:p>
        </w:tc>
        <w:tc>
          <w:tcPr>
            <w:tcW w:w="1820" w:type="dxa"/>
            <w:vAlign w:val="bottom"/>
            <w:tcBorders>
              <w:bottom w:val="single" w:sz="8" w:color="457157"/>
            </w:tcBorders>
            <w:shd w:val="clear" w:color="auto" w:fill="CCEEFF"/>
          </w:tcPr>
          <w:p>
            <w:pPr>
              <w:ind w:left="1620"/>
              <w:spacing w:after="0"/>
              <w:rPr>
                <w:sz w:val="20"/>
                <w:szCs w:val="20"/>
                <w:color w:val="auto"/>
              </w:rPr>
            </w:pPr>
            <w:r>
              <w:rPr>
                <w:rFonts w:ascii="Arial" w:cs="Arial" w:eastAsia="Arial" w:hAnsi="Arial"/>
                <w:sz w:val="18"/>
                <w:szCs w:val="18"/>
                <w:color w:val="auto"/>
              </w:rPr>
              <w:t>​ ​</w:t>
            </w:r>
          </w:p>
        </w:tc>
        <w:tc>
          <w:tcPr>
            <w:tcW w:w="2300" w:type="dxa"/>
            <w:vAlign w:val="bottom"/>
            <w:tcBorders>
              <w:bottom w:val="single" w:sz="8" w:color="457157"/>
            </w:tcBorders>
            <w:shd w:val="clear" w:color="auto" w:fill="CCEEFF"/>
          </w:tcPr>
          <w:p>
            <w:pPr>
              <w:ind w:left="1260"/>
              <w:spacing w:after="0" w:line="250" w:lineRule="exact"/>
              <w:rPr>
                <w:sz w:val="20"/>
                <w:szCs w:val="20"/>
                <w:color w:val="auto"/>
              </w:rPr>
            </w:pPr>
            <w:r>
              <w:rPr>
                <w:rFonts w:ascii="Arial" w:cs="Arial" w:eastAsia="Arial" w:hAnsi="Arial"/>
                <w:sz w:val="15"/>
                <w:szCs w:val="15"/>
                <w:color w:val="auto"/>
              </w:rPr>
              <w:t>$2,000,000</w:t>
            </w:r>
            <w:r>
              <w:rPr>
                <w:rFonts w:ascii="Arial" w:cs="Arial" w:eastAsia="Arial" w:hAnsi="Arial"/>
                <w:sz w:val="28"/>
                <w:szCs w:val="28"/>
                <w:color w:val="auto"/>
                <w:vertAlign w:val="subscript"/>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2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i w:val="1"/>
          <w:iCs w:val="1"/>
          <w:u w:val="single" w:color="auto"/>
          <w:color w:val="auto"/>
        </w:rPr>
        <w:t>Overview of Performance Share Units.</w:t>
      </w:r>
    </w:p>
    <w:p>
      <w:pPr>
        <w:spacing w:after="0" w:line="117" w:lineRule="exact"/>
        <w:rPr>
          <w:sz w:val="20"/>
          <w:szCs w:val="20"/>
          <w:color w:val="auto"/>
        </w:rPr>
      </w:pPr>
    </w:p>
    <w:p>
      <w:pPr>
        <w:jc w:val="both"/>
        <w:ind w:left="1360" w:right="60" w:hanging="184"/>
        <w:spacing w:after="0" w:line="267" w:lineRule="auto"/>
        <w:tabs>
          <w:tab w:leader="none" w:pos="1360" w:val="left"/>
        </w:tabs>
        <w:numPr>
          <w:ilvl w:val="0"/>
          <w:numId w:val="38"/>
        </w:numPr>
        <w:rPr>
          <w:rFonts w:ascii="Arial" w:cs="Arial" w:eastAsia="Arial" w:hAnsi="Arial"/>
          <w:sz w:val="18"/>
          <w:szCs w:val="18"/>
          <w:color w:val="457157"/>
        </w:rPr>
      </w:pPr>
      <w:r>
        <w:rPr>
          <w:rFonts w:ascii="Arial" w:cs="Arial" w:eastAsia="Arial" w:hAnsi="Arial"/>
          <w:sz w:val="18"/>
          <w:szCs w:val="18"/>
          <w:i w:val="1"/>
          <w:iCs w:val="1"/>
          <w:color w:val="auto"/>
        </w:rPr>
        <w:t>Named executives were granted new PSUs with a three-year performance period ending December 31, 2026. Half of each named executive’s PSUs granted in 2024 are Cash Flow PSUs and the remaining half are TSR PSUs.</w:t>
      </w:r>
    </w:p>
    <w:p>
      <w:pPr>
        <w:spacing w:after="0" w:line="24" w:lineRule="exact"/>
        <w:rPr>
          <w:rFonts w:ascii="Arial" w:cs="Arial" w:eastAsia="Arial" w:hAnsi="Arial"/>
          <w:sz w:val="18"/>
          <w:szCs w:val="18"/>
          <w:color w:val="457157"/>
        </w:rPr>
      </w:pPr>
    </w:p>
    <w:p>
      <w:pPr>
        <w:jc w:val="both"/>
        <w:ind w:left="1360" w:right="60" w:hanging="184"/>
        <w:spacing w:after="0" w:line="267" w:lineRule="auto"/>
        <w:tabs>
          <w:tab w:leader="none" w:pos="1360" w:val="left"/>
        </w:tabs>
        <w:numPr>
          <w:ilvl w:val="0"/>
          <w:numId w:val="38"/>
        </w:numPr>
        <w:rPr>
          <w:rFonts w:ascii="Arial" w:cs="Arial" w:eastAsia="Arial" w:hAnsi="Arial"/>
          <w:sz w:val="18"/>
          <w:szCs w:val="18"/>
          <w:color w:val="457157"/>
        </w:rPr>
      </w:pPr>
      <w:r>
        <w:rPr>
          <w:rFonts w:ascii="Arial" w:cs="Arial" w:eastAsia="Arial" w:hAnsi="Arial"/>
          <w:sz w:val="18"/>
          <w:szCs w:val="18"/>
          <w:i w:val="1"/>
          <w:iCs w:val="1"/>
          <w:color w:val="auto"/>
        </w:rPr>
        <w:t>Named executives received a payout of 151.39% of the PSUs granted in 2022 with a three-year performance period ended December 31, 2024. The Company exceeded the target level of performance for the Cash Flow PSUs and the TSR PSUs.</w:t>
      </w:r>
    </w:p>
    <w:p>
      <w:pPr>
        <w:spacing w:after="0" w:line="50"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i w:val="1"/>
          <w:iCs w:val="1"/>
          <w:u w:val="single" w:color="auto"/>
          <w:color w:val="auto"/>
        </w:rPr>
        <w:t>PSUs Granted in 2024.</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share units are granted to our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annually to align compensation with the achievement of our long-term financial goals and to increase stockholder alignment through stock ownership. PSUs provide an immediate retention benefit to the Company because there is unvested potential value at the date of grant. The number of PSUs granted to our named executive officers corresponds to an equal number of shares of Common Stock. At the end of the three- year performance period for each grant, the Company will deliver a number of shares ranging from 0% to 200% of the initial number of PSUs granted, depending on the Company’s three-year performance against pre-established targets.</w:t>
      </w:r>
    </w:p>
    <w:p>
      <w:pPr>
        <w:spacing w:after="0" w:line="283"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color w:val="auto"/>
        </w:rPr>
        <w:t>The MD&amp;C Committee determined the number of PSUs that were granted to each of the named executives in 2024 by taking the targeted dollar amounts established for total long-term equity incentives (set forth in the table above) and multiplying by 80%. Those values were then divided by the average of the high and low market price of our Common Stock over the 30 trading days preceding the grant date to determine the number of PSUs granted. The number of PSUs granted in 2024 are shown in the table below.</w:t>
      </w:r>
    </w:p>
    <w:p>
      <w:pPr>
        <w:spacing w:after="0" w:line="297" w:lineRule="exact"/>
        <w:rPr>
          <w:sz w:val="20"/>
          <w:szCs w:val="20"/>
          <w:color w:val="auto"/>
        </w:rPr>
      </w:pPr>
    </w:p>
    <w:tbl>
      <w:tblPr>
        <w:tblLayout w:type="fixed"/>
        <w:tblInd w:w="1520" w:type="dxa"/>
        <w:tblCellMar>
          <w:top w:w="0" w:type="dxa"/>
          <w:left w:w="0" w:type="dxa"/>
          <w:bottom w:w="0" w:type="dxa"/>
          <w:right w:w="0" w:type="dxa"/>
        </w:tblCellMar>
      </w:tblPr>
      <w:tr>
        <w:trPr>
          <w:trHeight w:val="164"/>
        </w:trPr>
        <w:tc>
          <w:tcPr>
            <w:tcW w:w="4320" w:type="dxa"/>
            <w:vAlign w:val="bottom"/>
            <w:vMerge w:val="restart"/>
          </w:tcPr>
          <w:p>
            <w:pPr>
              <w:ind w:left="2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Named Executive Officer</w:t>
            </w:r>
          </w:p>
        </w:tc>
        <w:tc>
          <w:tcPr>
            <w:tcW w:w="33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457157"/>
              </w:rPr>
              <w:t>Number</w:t>
            </w:r>
          </w:p>
        </w:tc>
        <w:tc>
          <w:tcPr>
            <w:tcW w:w="0" w:type="dxa"/>
            <w:vAlign w:val="bottom"/>
          </w:tcPr>
          <w:p>
            <w:pPr>
              <w:spacing w:after="0"/>
              <w:rPr>
                <w:sz w:val="1"/>
                <w:szCs w:val="1"/>
                <w:color w:val="auto"/>
              </w:rPr>
            </w:pPr>
          </w:p>
        </w:tc>
      </w:tr>
      <w:tr>
        <w:trPr>
          <w:trHeight w:val="203"/>
        </w:trPr>
        <w:tc>
          <w:tcPr>
            <w:tcW w:w="4320" w:type="dxa"/>
            <w:vAlign w:val="bottom"/>
            <w:tcBorders>
              <w:bottom w:val="single" w:sz="8" w:color="457157"/>
            </w:tcBorders>
            <w:vMerge w:val="continue"/>
          </w:tcPr>
          <w:p>
            <w:pPr>
              <w:spacing w:after="0"/>
              <w:rPr>
                <w:sz w:val="17"/>
                <w:szCs w:val="17"/>
                <w:color w:val="auto"/>
              </w:rPr>
            </w:pPr>
          </w:p>
        </w:tc>
        <w:tc>
          <w:tcPr>
            <w:tcW w:w="3320" w:type="dxa"/>
            <w:vAlign w:val="bottom"/>
            <w:tcBorders>
              <w:bottom w:val="single" w:sz="8" w:color="457157"/>
            </w:tcBorders>
            <w:gridSpan w:val="2"/>
          </w:tcPr>
          <w:p>
            <w:pPr>
              <w:ind w:left="2400"/>
              <w:spacing w:after="0" w:line="202" w:lineRule="exact"/>
              <w:rPr>
                <w:sz w:val="20"/>
                <w:szCs w:val="20"/>
                <w:color w:val="auto"/>
              </w:rPr>
            </w:pPr>
            <w:r>
              <w:rPr>
                <w:rFonts w:ascii="Arial" w:cs="Arial" w:eastAsia="Arial" w:hAnsi="Arial"/>
                <w:sz w:val="23"/>
                <w:szCs w:val="23"/>
                <w:b w:val="1"/>
                <w:bCs w:val="1"/>
                <w:color w:val="457157"/>
                <w:vertAlign w:val="subscript"/>
              </w:rPr>
              <w:t>​ ​</w:t>
            </w:r>
            <w:r>
              <w:rPr>
                <w:rFonts w:ascii="Arial" w:cs="Arial" w:eastAsia="Arial" w:hAnsi="Arial"/>
                <w:sz w:val="13"/>
                <w:szCs w:val="13"/>
                <w:b w:val="1"/>
                <w:bCs w:val="1"/>
                <w:color w:val="457157"/>
              </w:rPr>
              <w:t xml:space="preserve">  of PSUs</w:t>
            </w:r>
            <w:r>
              <w:rPr>
                <w:rFonts w:ascii="Arial" w:cs="Arial" w:eastAsia="Arial" w:hAnsi="Arial"/>
                <w:sz w:val="23"/>
                <w:szCs w:val="23"/>
                <w:b w:val="1"/>
                <w:bCs w:val="1"/>
                <w:color w:val="457157"/>
                <w:vertAlign w:val="subscript"/>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32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Fish</w:t>
            </w:r>
          </w:p>
        </w:tc>
        <w:tc>
          <w:tcPr>
            <w:tcW w:w="334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40,206</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4320" w:type="dxa"/>
            <w:vAlign w:val="bottom"/>
            <w:shd w:val="clear" w:color="auto" w:fill="457157"/>
          </w:tcPr>
          <w:p>
            <w:pPr>
              <w:spacing w:after="0" w:line="20" w:lineRule="exact"/>
              <w:rPr>
                <w:sz w:val="1"/>
                <w:szCs w:val="1"/>
                <w:color w:val="auto"/>
              </w:rPr>
            </w:pPr>
          </w:p>
        </w:tc>
        <w:tc>
          <w:tcPr>
            <w:tcW w:w="276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32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Rankin</w:t>
            </w:r>
          </w:p>
        </w:tc>
        <w:tc>
          <w:tcPr>
            <w:tcW w:w="2760" w:type="dxa"/>
            <w:vAlign w:val="bottom"/>
          </w:tcPr>
          <w:p>
            <w:pPr>
              <w:ind w:left="246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580" w:type="dxa"/>
            <w:vAlign w:val="bottom"/>
            <w:gridSpan w:val="2"/>
          </w:tcPr>
          <w:p>
            <w:pPr>
              <w:jc w:val="right"/>
              <w:spacing w:after="0" w:line="264" w:lineRule="exact"/>
              <w:rPr>
                <w:sz w:val="20"/>
                <w:szCs w:val="20"/>
                <w:color w:val="auto"/>
              </w:rPr>
            </w:pPr>
            <w:r>
              <w:rPr>
                <w:rFonts w:ascii="Arial" w:cs="Arial" w:eastAsia="Arial" w:hAnsi="Arial"/>
                <w:sz w:val="16"/>
                <w:szCs w:val="16"/>
                <w:color w:val="auto"/>
              </w:rPr>
              <w:t>9,484</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4320" w:type="dxa"/>
            <w:vAlign w:val="bottom"/>
            <w:shd w:val="clear" w:color="auto" w:fill="457157"/>
          </w:tcPr>
          <w:p>
            <w:pPr>
              <w:spacing w:after="0" w:line="20" w:lineRule="exact"/>
              <w:rPr>
                <w:sz w:val="1"/>
                <w:szCs w:val="1"/>
                <w:color w:val="auto"/>
              </w:rPr>
            </w:pPr>
          </w:p>
        </w:tc>
        <w:tc>
          <w:tcPr>
            <w:tcW w:w="3320" w:type="dxa"/>
            <w:vAlign w:val="bottom"/>
            <w:gridSpan w:val="2"/>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32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Morris</w:t>
            </w:r>
          </w:p>
        </w:tc>
        <w:tc>
          <w:tcPr>
            <w:tcW w:w="334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12,164</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4320" w:type="dxa"/>
            <w:vAlign w:val="bottom"/>
            <w:shd w:val="clear" w:color="auto" w:fill="457157"/>
          </w:tcPr>
          <w:p>
            <w:pPr>
              <w:spacing w:after="0" w:line="20" w:lineRule="exact"/>
              <w:rPr>
                <w:sz w:val="1"/>
                <w:szCs w:val="1"/>
                <w:color w:val="auto"/>
              </w:rPr>
            </w:pPr>
          </w:p>
        </w:tc>
        <w:tc>
          <w:tcPr>
            <w:tcW w:w="276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32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Hemmer</w:t>
            </w:r>
          </w:p>
        </w:tc>
        <w:tc>
          <w:tcPr>
            <w:tcW w:w="2760" w:type="dxa"/>
            <w:vAlign w:val="bottom"/>
          </w:tcPr>
          <w:p>
            <w:pPr>
              <w:ind w:left="246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580" w:type="dxa"/>
            <w:vAlign w:val="bottom"/>
            <w:gridSpan w:val="2"/>
          </w:tcPr>
          <w:p>
            <w:pPr>
              <w:jc w:val="right"/>
              <w:spacing w:after="0" w:line="264" w:lineRule="exact"/>
              <w:rPr>
                <w:sz w:val="20"/>
                <w:szCs w:val="20"/>
                <w:color w:val="auto"/>
              </w:rPr>
            </w:pPr>
            <w:r>
              <w:rPr>
                <w:rFonts w:ascii="Arial" w:cs="Arial" w:eastAsia="Arial" w:hAnsi="Arial"/>
                <w:sz w:val="16"/>
                <w:szCs w:val="16"/>
                <w:color w:val="auto"/>
              </w:rPr>
              <w:t>8,248</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4320" w:type="dxa"/>
            <w:vAlign w:val="bottom"/>
            <w:shd w:val="clear" w:color="auto" w:fill="457157"/>
          </w:tcPr>
          <w:p>
            <w:pPr>
              <w:spacing w:after="0" w:line="20" w:lineRule="exact"/>
              <w:rPr>
                <w:sz w:val="1"/>
                <w:szCs w:val="1"/>
                <w:color w:val="auto"/>
              </w:rPr>
            </w:pPr>
          </w:p>
        </w:tc>
        <w:tc>
          <w:tcPr>
            <w:tcW w:w="276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32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Carrasco</w:t>
            </w:r>
          </w:p>
        </w:tc>
        <w:tc>
          <w:tcPr>
            <w:tcW w:w="2760" w:type="dxa"/>
            <w:vAlign w:val="bottom"/>
          </w:tcPr>
          <w:p>
            <w:pPr>
              <w:ind w:left="2460"/>
              <w:spacing w:after="0" w:line="264" w:lineRule="exact"/>
              <w:rPr>
                <w:sz w:val="20"/>
                <w:szCs w:val="20"/>
                <w:color w:val="auto"/>
              </w:rPr>
            </w:pPr>
            <w:r>
              <w:rPr>
                <w:rFonts w:ascii="Arial" w:cs="Arial" w:eastAsia="Arial" w:hAnsi="Arial"/>
                <w:sz w:val="16"/>
                <w:szCs w:val="16"/>
                <w:color w:val="auto"/>
              </w:rPr>
              <w:t>​ ​​</w:t>
            </w:r>
            <w:r>
              <w:rPr>
                <w:rFonts w:ascii="Arial" w:cs="Arial" w:eastAsia="Arial" w:hAnsi="Arial"/>
                <w:sz w:val="30"/>
                <w:szCs w:val="30"/>
                <w:color w:val="auto"/>
                <w:vertAlign w:val="superscript"/>
              </w:rPr>
              <w:t>​</w:t>
            </w:r>
          </w:p>
        </w:tc>
        <w:tc>
          <w:tcPr>
            <w:tcW w:w="580" w:type="dxa"/>
            <w:vAlign w:val="bottom"/>
            <w:gridSpan w:val="2"/>
          </w:tcPr>
          <w:p>
            <w:pPr>
              <w:jc w:val="right"/>
              <w:spacing w:after="0" w:line="264" w:lineRule="exact"/>
              <w:rPr>
                <w:sz w:val="20"/>
                <w:szCs w:val="20"/>
                <w:color w:val="auto"/>
              </w:rPr>
            </w:pPr>
            <w:r>
              <w:rPr>
                <w:rFonts w:ascii="Arial" w:cs="Arial" w:eastAsia="Arial" w:hAnsi="Arial"/>
                <w:sz w:val="16"/>
                <w:szCs w:val="16"/>
                <w:color w:val="auto"/>
              </w:rPr>
              <w:t>8,248</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4320" w:type="dxa"/>
            <w:vAlign w:val="bottom"/>
            <w:shd w:val="clear" w:color="auto" w:fill="457157"/>
          </w:tcPr>
          <w:p>
            <w:pPr>
              <w:spacing w:after="0" w:line="20" w:lineRule="exact"/>
              <w:rPr>
                <w:sz w:val="1"/>
                <w:szCs w:val="1"/>
                <w:color w:val="auto"/>
              </w:rPr>
            </w:pPr>
          </w:p>
        </w:tc>
        <w:tc>
          <w:tcPr>
            <w:tcW w:w="276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-908050</wp:posOffset>
            </wp:positionV>
            <wp:extent cx="4843145" cy="1803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843145" cy="18034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-548005</wp:posOffset>
            </wp:positionV>
            <wp:extent cx="4843145" cy="1797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-187960</wp:posOffset>
            </wp:positionV>
            <wp:extent cx="4843145" cy="1797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843145" cy="179705"/>
                    </a:xfrm>
                    <a:prstGeom prst="rect">
                      <a:avLst/>
                    </a:prstGeom>
                    <a:noFill/>
                  </pic:spPr>
                </pic:pic>
              </a:graphicData>
            </a:graphic>
          </wp:anchor>
        </w:drawing>
      </w:r>
    </w:p>
    <w:p>
      <w:pPr>
        <w:spacing w:after="0" w:line="110"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Half of each named executive’s PSUs included in the table above are Cash Flow PSUs; the cash flow generation performance measure requires focus on capital discipline and strengthens alignment with stockholders’ free cash flow expectations. The MD&amp;C Company has continued to evolve the definition of cash flow generation for purposes of the Cash Flow PSUs to proactively address considerations related to the Company’s growth through strategic investments and acquisitions. As a result, the award agreement for the Cash Flow PSUs granted in 2024 includes the following updated definition of the cash flow generation performance measure (the “2024 Cash Flow PSU Definition”):</w:t>
      </w:r>
    </w:p>
    <w:p>
      <w:pPr>
        <w:spacing w:after="0" w:line="81" w:lineRule="exact"/>
        <w:rPr>
          <w:sz w:val="20"/>
          <w:szCs w:val="20"/>
          <w:color w:val="auto"/>
        </w:rPr>
      </w:pPr>
    </w:p>
    <w:p>
      <w:pPr>
        <w:jc w:val="both"/>
        <w:ind w:left="1180" w:right="60"/>
        <w:spacing w:after="0" w:line="242" w:lineRule="auto"/>
        <w:rPr>
          <w:sz w:val="20"/>
          <w:szCs w:val="20"/>
          <w:color w:val="auto"/>
        </w:rPr>
      </w:pPr>
      <w:r>
        <w:rPr>
          <w:rFonts w:ascii="Arial" w:cs="Arial" w:eastAsia="Arial" w:hAnsi="Arial"/>
          <w:sz w:val="18"/>
          <w:szCs w:val="18"/>
          <w:color w:val="auto"/>
        </w:rPr>
        <w:t>Net cash provided by operating activities, less capital expenditures, with the following adjustments: (a) costs associated with labor disruptions and multiemployer plan withdrawal liabilities are excluded due to being required as a result of past labor commitments combined with changing economic conditions and business climate; (b) strategic acquisition, restructuring, and transformation and reorganization costs are excluded in recognition of goals to increase customer and business base while minimizing operating costs; and (c) material impacts results from accounting rule or tax law changes that were not anticipated when the performance targets were established are disregarded. Additionally, the following adjustments will be made when the aggregate impact of the following items has a greater than 5% impact on goal attainment:</w:t>
      </w:r>
    </w:p>
    <w:p>
      <w:pPr>
        <w:spacing w:after="0" w:line="211" w:lineRule="exact"/>
        <w:rPr>
          <w:sz w:val="20"/>
          <w:szCs w:val="20"/>
          <w:color w:val="auto"/>
        </w:rPr>
      </w:pPr>
    </w:p>
    <w:p>
      <w:pPr>
        <w:jc w:val="both"/>
        <w:ind w:left="1180" w:right="60" w:hanging="4"/>
        <w:spacing w:after="0" w:line="241" w:lineRule="auto"/>
        <w:tabs>
          <w:tab w:leader="none" w:pos="1548"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impacts from strategic acquisitions or divestitures of assets and business are excluded (impacts from normal course of business acquisition and divestitures are included); (b) impacts from discrete growth capital investment projects made to support the long-term organic growth of the business that were not planned for when the performance targets were established are excluded; and (c) material changes in the realization of earnings and cash flow contributions for growth capital investments caused by items outside of the Company’s control will be excluded.</w:t>
      </w:r>
    </w:p>
    <w:p>
      <w:pPr>
        <w:spacing w:after="0" w:line="85" w:lineRule="exact"/>
        <w:rPr>
          <w:sz w:val="20"/>
          <w:szCs w:val="20"/>
          <w:color w:val="auto"/>
        </w:rPr>
      </w:pPr>
    </w:p>
    <w:p>
      <w:pPr>
        <w:ind w:left="820" w:right="60"/>
        <w:spacing w:after="0" w:line="271" w:lineRule="auto"/>
        <w:rPr>
          <w:sz w:val="20"/>
          <w:szCs w:val="20"/>
          <w:color w:val="auto"/>
        </w:rPr>
      </w:pPr>
      <w:r>
        <w:rPr>
          <w:rFonts w:ascii="Arial" w:cs="Arial" w:eastAsia="Arial" w:hAnsi="Arial"/>
          <w:sz w:val="18"/>
          <w:szCs w:val="18"/>
          <w:color w:val="auto"/>
        </w:rPr>
        <w:t>The table below shows the required achievement of the cash flow generation performance measure and the corresponding potential payouts under our Cash Flow PSUs granted in 2024.</w:t>
      </w:r>
    </w:p>
    <w:p>
      <w:pPr>
        <w:spacing w:after="0" w:line="82"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2020" w:type="dxa"/>
            <w:vAlign w:val="bottom"/>
          </w:tcPr>
          <w:p>
            <w:pPr>
              <w:jc w:val="right"/>
              <w:ind w:right="1873"/>
              <w:spacing w:after="0"/>
              <w:rPr>
                <w:sz w:val="20"/>
                <w:szCs w:val="20"/>
                <w:color w:val="auto"/>
              </w:rPr>
            </w:pPr>
            <w:r>
              <w:rPr>
                <w:rFonts w:ascii="Arial" w:cs="Arial" w:eastAsia="Arial" w:hAnsi="Arial"/>
                <w:sz w:val="14"/>
                <w:szCs w:val="14"/>
                <w:b w:val="1"/>
                <w:bCs w:val="1"/>
                <w:color w:val="457157"/>
              </w:rPr>
              <w:t>​​</w:t>
            </w:r>
          </w:p>
        </w:tc>
        <w:tc>
          <w:tcPr>
            <w:tcW w:w="1200" w:type="dxa"/>
            <w:vAlign w:val="bottom"/>
          </w:tcPr>
          <w:p>
            <w:pPr>
              <w:ind w:left="1000"/>
              <w:spacing w:after="0"/>
              <w:rPr>
                <w:sz w:val="20"/>
                <w:szCs w:val="20"/>
                <w:color w:val="auto"/>
              </w:rPr>
            </w:pPr>
            <w:r>
              <w:rPr>
                <w:rFonts w:ascii="Arial" w:cs="Arial" w:eastAsia="Arial" w:hAnsi="Arial"/>
                <w:sz w:val="14"/>
                <w:szCs w:val="14"/>
                <w:b w:val="1"/>
                <w:bCs w:val="1"/>
                <w:color w:val="457157"/>
              </w:rPr>
              <w:t>​ ​</w:t>
            </w: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457157"/>
              </w:rPr>
              <w:t>Threshold</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457157"/>
              </w:rPr>
              <w:t>​ ​</w:t>
            </w:r>
          </w:p>
        </w:tc>
        <w:tc>
          <w:tcPr>
            <w:tcW w:w="6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4"/>
                <w:szCs w:val="14"/>
                <w:b w:val="1"/>
                <w:bCs w:val="1"/>
                <w:color w:val="457157"/>
              </w:rPr>
              <w:t>Target</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jc w:val="right"/>
              <w:ind w:right="1"/>
              <w:spacing w:after="0"/>
              <w:rPr>
                <w:sz w:val="20"/>
                <w:szCs w:val="20"/>
                <w:color w:val="auto"/>
              </w:rPr>
            </w:pPr>
            <w:r>
              <w:rPr>
                <w:rFonts w:ascii="Arial" w:cs="Arial" w:eastAsia="Arial" w:hAnsi="Arial"/>
                <w:sz w:val="14"/>
                <w:szCs w:val="14"/>
                <w:b w:val="1"/>
                <w:bCs w:val="1"/>
                <w:color w:val="457157"/>
              </w:rPr>
              <w:t>​ ​</w:t>
            </w:r>
          </w:p>
        </w:tc>
        <w:tc>
          <w:tcPr>
            <w:tcW w:w="1280" w:type="dxa"/>
            <w:vAlign w:val="bottom"/>
            <w:gridSpan w:val="2"/>
          </w:tcPr>
          <w:p>
            <w:pPr>
              <w:ind w:left="500"/>
              <w:spacing w:after="0"/>
              <w:rPr>
                <w:sz w:val="20"/>
                <w:szCs w:val="20"/>
                <w:color w:val="auto"/>
              </w:rPr>
            </w:pPr>
            <w:r>
              <w:rPr>
                <w:rFonts w:ascii="Arial" w:cs="Arial" w:eastAsia="Arial" w:hAnsi="Arial"/>
                <w:sz w:val="14"/>
                <w:szCs w:val="14"/>
                <w:b w:val="1"/>
                <w:bCs w:val="1"/>
                <w:color w:val="457157"/>
              </w:rPr>
              <w:t>Maximum</w:t>
            </w:r>
          </w:p>
        </w:tc>
        <w:tc>
          <w:tcPr>
            <w:tcW w:w="5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200" w:type="dxa"/>
            <w:vAlign w:val="bottom"/>
            <w:tcBorders>
              <w:right w:val="single" w:sz="8" w:color="457157"/>
            </w:tcBorders>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720" w:type="dxa"/>
            <w:vAlign w:val="bottom"/>
            <w:gridSpan w:val="3"/>
            <w:shd w:val="clear" w:color="auto" w:fill="457157"/>
          </w:tcPr>
          <w:p>
            <w:pPr>
              <w:spacing w:after="0" w:line="20" w:lineRule="exact"/>
              <w:rPr>
                <w:sz w:val="1"/>
                <w:szCs w:val="1"/>
                <w:color w:val="auto"/>
              </w:rPr>
            </w:pPr>
          </w:p>
        </w:tc>
        <w:tc>
          <w:tcPr>
            <w:tcW w:w="260" w:type="dxa"/>
            <w:vAlign w:val="bottom"/>
            <w:tcBorders>
              <w:right w:val="single" w:sz="8" w:color="457157"/>
            </w:tcBorders>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660" w:type="dxa"/>
            <w:vAlign w:val="bottom"/>
            <w:tcBorders>
              <w:right w:val="single" w:sz="8" w:color="457157"/>
            </w:tcBorders>
            <w:gridSpan w:val="2"/>
            <w:shd w:val="clear" w:color="auto" w:fill="457157"/>
          </w:tcPr>
          <w:p>
            <w:pPr>
              <w:spacing w:after="0" w:line="20" w:lineRule="exact"/>
              <w:rPr>
                <w:sz w:val="1"/>
                <w:szCs w:val="1"/>
                <w:color w:val="auto"/>
              </w:rPr>
            </w:pPr>
          </w:p>
        </w:tc>
        <w:tc>
          <w:tcPr>
            <w:tcW w:w="240" w:type="dxa"/>
            <w:vAlign w:val="bottom"/>
            <w:tcBorders>
              <w:right w:val="single" w:sz="8" w:color="457157"/>
            </w:tcBorders>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740" w:type="dxa"/>
            <w:vAlign w:val="bottom"/>
            <w:gridSpan w:val="2"/>
            <w:shd w:val="clear" w:color="auto" w:fill="45715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20" w:type="dxa"/>
            <w:vAlign w:val="bottom"/>
          </w:tcPr>
          <w:p>
            <w:pPr>
              <w:jc w:val="right"/>
              <w:ind w:right="1873"/>
              <w:spacing w:after="0"/>
              <w:rPr>
                <w:sz w:val="20"/>
                <w:szCs w:val="20"/>
                <w:color w:val="auto"/>
              </w:rPr>
            </w:pPr>
            <w:r>
              <w:rPr>
                <w:rFonts w:ascii="Arial" w:cs="Arial" w:eastAsia="Arial" w:hAnsi="Arial"/>
                <w:sz w:val="14"/>
                <w:szCs w:val="14"/>
                <w:b w:val="1"/>
                <w:bCs w:val="1"/>
                <w:color w:val="457157"/>
              </w:rPr>
              <w:t>​</w:t>
            </w:r>
          </w:p>
        </w:tc>
        <w:tc>
          <w:tcPr>
            <w:tcW w:w="1200" w:type="dxa"/>
            <w:vAlign w:val="bottom"/>
          </w:tcPr>
          <w:p>
            <w:pPr>
              <w:ind w:left="1060"/>
              <w:spacing w:after="0"/>
              <w:rPr>
                <w:sz w:val="20"/>
                <w:szCs w:val="20"/>
                <w:color w:val="auto"/>
              </w:rPr>
            </w:pPr>
            <w:r>
              <w:rPr>
                <w:rFonts w:ascii="Arial" w:cs="Arial" w:eastAsia="Arial" w:hAnsi="Arial"/>
                <w:sz w:val="14"/>
                <w:szCs w:val="14"/>
                <w:b w:val="1"/>
                <w:bCs w:val="1"/>
                <w:color w:val="457157"/>
              </w:rPr>
              <w:t>​ ​</w:t>
            </w:r>
          </w:p>
        </w:tc>
        <w:tc>
          <w:tcPr>
            <w:tcW w:w="1040" w:type="dxa"/>
            <w:vAlign w:val="bottom"/>
          </w:tcPr>
          <w:p>
            <w:pPr>
              <w:ind w:left="80"/>
              <w:spacing w:after="0"/>
              <w:rPr>
                <w:sz w:val="20"/>
                <w:szCs w:val="20"/>
                <w:color w:val="auto"/>
              </w:rPr>
            </w:pPr>
            <w:r>
              <w:rPr>
                <w:rFonts w:ascii="Arial" w:cs="Arial" w:eastAsia="Arial" w:hAnsi="Arial"/>
                <w:sz w:val="14"/>
                <w:szCs w:val="14"/>
                <w:b w:val="1"/>
                <w:bCs w:val="1"/>
                <w:color w:val="457157"/>
              </w:rPr>
              <w:t>Performance</w:t>
            </w:r>
          </w:p>
        </w:tc>
        <w:tc>
          <w:tcPr>
            <w:tcW w:w="980" w:type="dxa"/>
            <w:vAlign w:val="bottom"/>
            <w:gridSpan w:val="4"/>
          </w:tcPr>
          <w:p>
            <w:pPr>
              <w:jc w:val="right"/>
              <w:spacing w:after="0" w:line="236" w:lineRule="exact"/>
              <w:rPr>
                <w:sz w:val="20"/>
                <w:szCs w:val="20"/>
                <w:color w:val="auto"/>
              </w:rPr>
            </w:pPr>
            <w:r>
              <w:rPr>
                <w:rFonts w:ascii="Arial" w:cs="Arial" w:eastAsia="Arial" w:hAnsi="Arial"/>
                <w:sz w:val="27"/>
                <w:szCs w:val="27"/>
                <w:b w:val="1"/>
                <w:bCs w:val="1"/>
                <w:color w:val="457157"/>
                <w:vertAlign w:val="subscript"/>
              </w:rPr>
              <w:t>​ ​</w:t>
            </w:r>
            <w:r>
              <w:rPr>
                <w:rFonts w:ascii="Arial" w:cs="Arial" w:eastAsia="Arial" w:hAnsi="Arial"/>
                <w:sz w:val="14"/>
                <w:szCs w:val="14"/>
                <w:b w:val="1"/>
                <w:bCs w:val="1"/>
                <w:color w:val="457157"/>
              </w:rPr>
              <w:t xml:space="preserve">Payout  </w:t>
            </w:r>
            <w:r>
              <w:rPr>
                <w:rFonts w:ascii="Arial" w:cs="Arial" w:eastAsia="Arial" w:hAnsi="Arial"/>
                <w:sz w:val="27"/>
                <w:szCs w:val="27"/>
                <w:b w:val="1"/>
                <w:bCs w:val="1"/>
                <w:color w:val="457157"/>
                <w:vertAlign w:val="subscript"/>
              </w:rPr>
              <w:t>​ ​</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4"/>
                <w:szCs w:val="14"/>
                <w:b w:val="1"/>
                <w:bCs w:val="1"/>
                <w:color w:val="457157"/>
              </w:rPr>
              <w:t>Performance</w:t>
            </w:r>
          </w:p>
        </w:tc>
        <w:tc>
          <w:tcPr>
            <w:tcW w:w="80" w:type="dxa"/>
            <w:vAlign w:val="bottom"/>
          </w:tcPr>
          <w:p>
            <w:pPr>
              <w:spacing w:after="0"/>
              <w:rPr>
                <w:sz w:val="20"/>
                <w:szCs w:val="20"/>
                <w:color w:val="auto"/>
              </w:rPr>
            </w:pPr>
          </w:p>
        </w:tc>
        <w:tc>
          <w:tcPr>
            <w:tcW w:w="660" w:type="dxa"/>
            <w:vAlign w:val="bottom"/>
            <w:gridSpan w:val="2"/>
          </w:tcPr>
          <w:p>
            <w:pPr>
              <w:ind w:left="20"/>
              <w:spacing w:after="0" w:line="236" w:lineRule="exact"/>
              <w:rPr>
                <w:sz w:val="20"/>
                <w:szCs w:val="20"/>
                <w:color w:val="auto"/>
              </w:rPr>
            </w:pPr>
            <w:r>
              <w:rPr>
                <w:rFonts w:ascii="Arial" w:cs="Arial" w:eastAsia="Arial" w:hAnsi="Arial"/>
                <w:sz w:val="27"/>
                <w:szCs w:val="27"/>
                <w:b w:val="1"/>
                <w:bCs w:val="1"/>
                <w:color w:val="457157"/>
                <w:vertAlign w:val="subscript"/>
              </w:rPr>
              <w:t>​ ​</w:t>
            </w:r>
            <w:r>
              <w:rPr>
                <w:rFonts w:ascii="Arial" w:cs="Arial" w:eastAsia="Arial" w:hAnsi="Arial"/>
                <w:sz w:val="14"/>
                <w:szCs w:val="14"/>
                <w:b w:val="1"/>
                <w:bCs w:val="1"/>
                <w:color w:val="457157"/>
              </w:rPr>
              <w:t>Payout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457157"/>
              </w:rPr>
              <w:t>​ ​</w:t>
            </w:r>
          </w:p>
        </w:tc>
        <w:tc>
          <w:tcPr>
            <w:tcW w:w="1040" w:type="dxa"/>
            <w:vAlign w:val="bottom"/>
          </w:tcPr>
          <w:p>
            <w:pPr>
              <w:ind w:left="80"/>
              <w:spacing w:after="0"/>
              <w:rPr>
                <w:sz w:val="20"/>
                <w:szCs w:val="20"/>
                <w:color w:val="auto"/>
              </w:rPr>
            </w:pPr>
            <w:r>
              <w:rPr>
                <w:rFonts w:ascii="Arial" w:cs="Arial" w:eastAsia="Arial" w:hAnsi="Arial"/>
                <w:sz w:val="14"/>
                <w:szCs w:val="14"/>
                <w:b w:val="1"/>
                <w:bCs w:val="1"/>
                <w:color w:val="457157"/>
              </w:rPr>
              <w:t>Performance</w:t>
            </w:r>
          </w:p>
        </w:tc>
        <w:tc>
          <w:tcPr>
            <w:tcW w:w="820" w:type="dxa"/>
            <w:vAlign w:val="bottom"/>
            <w:gridSpan w:val="3"/>
          </w:tcPr>
          <w:p>
            <w:pPr>
              <w:jc w:val="right"/>
              <w:spacing w:after="0" w:line="236" w:lineRule="exact"/>
              <w:rPr>
                <w:sz w:val="20"/>
                <w:szCs w:val="20"/>
                <w:color w:val="auto"/>
              </w:rPr>
            </w:pPr>
            <w:r>
              <w:rPr>
                <w:rFonts w:ascii="Arial" w:cs="Arial" w:eastAsia="Arial" w:hAnsi="Arial"/>
                <w:sz w:val="27"/>
                <w:szCs w:val="27"/>
                <w:b w:val="1"/>
                <w:bCs w:val="1"/>
                <w:color w:val="457157"/>
                <w:vertAlign w:val="subscript"/>
              </w:rPr>
              <w:t>​ ​</w:t>
            </w:r>
            <w:r>
              <w:rPr>
                <w:rFonts w:ascii="Arial" w:cs="Arial" w:eastAsia="Arial" w:hAnsi="Arial"/>
                <w:sz w:val="14"/>
                <w:szCs w:val="14"/>
                <w:b w:val="1"/>
                <w:bCs w:val="1"/>
                <w:color w:val="457157"/>
              </w:rPr>
              <w:t xml:space="preserve">Payout </w:t>
            </w:r>
            <w:r>
              <w:rPr>
                <w:rFonts w:ascii="Arial" w:cs="Arial" w:eastAsia="Arial" w:hAnsi="Arial"/>
                <w:sz w:val="27"/>
                <w:szCs w:val="27"/>
                <w:b w:val="1"/>
                <w:bCs w:val="1"/>
                <w:color w:val="457157"/>
                <w:vertAlign w:val="subscript"/>
              </w:rPr>
              <w:t>​</w:t>
            </w:r>
          </w:p>
        </w:tc>
        <w:tc>
          <w:tcPr>
            <w:tcW w:w="0" w:type="dxa"/>
            <w:vAlign w:val="bottom"/>
          </w:tcPr>
          <w:p>
            <w:pPr>
              <w:spacing w:after="0"/>
              <w:rPr>
                <w:sz w:val="1"/>
                <w:szCs w:val="1"/>
                <w:color w:val="auto"/>
              </w:rPr>
            </w:pPr>
          </w:p>
        </w:tc>
      </w:tr>
      <w:tr>
        <w:trPr>
          <w:trHeight w:val="196"/>
        </w:trPr>
        <w:tc>
          <w:tcPr>
            <w:tcW w:w="2020" w:type="dxa"/>
            <w:vAlign w:val="bottom"/>
            <w:tcBorders>
              <w:top w:val="single" w:sz="8" w:color="457157"/>
            </w:tcBorders>
          </w:tcPr>
          <w:p>
            <w:pPr>
              <w:jc w:val="right"/>
              <w:ind w:right="953"/>
              <w:spacing w:after="0" w:line="196" w:lineRule="exact"/>
              <w:rPr>
                <w:sz w:val="20"/>
                <w:szCs w:val="20"/>
                <w:color w:val="auto"/>
              </w:rPr>
            </w:pPr>
            <w:r>
              <w:rPr>
                <w:rFonts w:ascii="Arial" w:cs="Arial" w:eastAsia="Arial" w:hAnsi="Arial"/>
                <w:sz w:val="18"/>
                <w:szCs w:val="18"/>
                <w:b w:val="1"/>
                <w:bCs w:val="1"/>
                <w:color w:val="auto"/>
              </w:rPr>
              <w:t>Cash Flow</w:t>
            </w:r>
          </w:p>
        </w:tc>
        <w:tc>
          <w:tcPr>
            <w:tcW w:w="1200" w:type="dxa"/>
            <w:vAlign w:val="bottom"/>
            <w:tcBorders>
              <w:top w:val="single" w:sz="8" w:color="457157"/>
            </w:tcBorders>
            <w:vMerge w:val="restart"/>
          </w:tcPr>
          <w:p>
            <w:pPr>
              <w:ind w:left="1000"/>
              <w:spacing w:after="0"/>
              <w:rPr>
                <w:sz w:val="20"/>
                <w:szCs w:val="20"/>
                <w:color w:val="auto"/>
              </w:rPr>
            </w:pPr>
            <w:r>
              <w:rPr>
                <w:rFonts w:ascii="Arial" w:cs="Arial" w:eastAsia="Arial" w:hAnsi="Arial"/>
                <w:sz w:val="18"/>
                <w:szCs w:val="18"/>
                <w:color w:val="auto"/>
              </w:rPr>
              <w:t>​ ​</w:t>
            </w:r>
          </w:p>
        </w:tc>
        <w:tc>
          <w:tcPr>
            <w:tcW w:w="1040" w:type="dxa"/>
            <w:vAlign w:val="bottom"/>
            <w:tcBorders>
              <w:top w:val="single" w:sz="8" w:color="457157"/>
            </w:tcBorders>
          </w:tcPr>
          <w:p>
            <w:pPr>
              <w:ind w:left="20"/>
              <w:spacing w:after="0" w:line="196" w:lineRule="exact"/>
              <w:rPr>
                <w:sz w:val="20"/>
                <w:szCs w:val="20"/>
                <w:color w:val="auto"/>
              </w:rPr>
            </w:pPr>
            <w:r>
              <w:rPr>
                <w:rFonts w:ascii="Arial" w:cs="Arial" w:eastAsia="Arial" w:hAnsi="Arial"/>
                <w:sz w:val="18"/>
                <w:szCs w:val="18"/>
                <w:color w:val="auto"/>
              </w:rPr>
              <w:t>$7.05 billion</w:t>
            </w:r>
          </w:p>
        </w:tc>
        <w:tc>
          <w:tcPr>
            <w:tcW w:w="26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 ​</w:t>
            </w:r>
          </w:p>
        </w:tc>
        <w:tc>
          <w:tcPr>
            <w:tcW w:w="720" w:type="dxa"/>
            <w:vAlign w:val="bottom"/>
            <w:tcBorders>
              <w:top w:val="single" w:sz="8" w:color="457157"/>
            </w:tcBorders>
            <w:gridSpan w:val="3"/>
          </w:tcPr>
          <w:p>
            <w:pPr>
              <w:ind w:left="80"/>
              <w:spacing w:after="0" w:line="196" w:lineRule="exact"/>
              <w:rPr>
                <w:sz w:val="20"/>
                <w:szCs w:val="20"/>
                <w:color w:val="auto"/>
              </w:rPr>
            </w:pPr>
            <w:r>
              <w:rPr>
                <w:rFonts w:ascii="Arial" w:cs="Arial" w:eastAsia="Arial" w:hAnsi="Arial"/>
                <w:sz w:val="18"/>
                <w:szCs w:val="18"/>
                <w:color w:val="auto"/>
              </w:rPr>
              <w:t>​50%</w:t>
            </w:r>
          </w:p>
        </w:tc>
        <w:tc>
          <w:tcPr>
            <w:tcW w:w="1020" w:type="dxa"/>
            <w:vAlign w:val="bottom"/>
            <w:tcBorders>
              <w:top w:val="single" w:sz="8" w:color="457157"/>
            </w:tcBorders>
            <w:gridSpan w:val="2"/>
          </w:tcPr>
          <w:p>
            <w:pPr>
              <w:ind w:left="20"/>
              <w:spacing w:after="0" w:line="196" w:lineRule="exact"/>
              <w:rPr>
                <w:sz w:val="20"/>
                <w:szCs w:val="20"/>
                <w:color w:val="auto"/>
              </w:rPr>
            </w:pPr>
            <w:r>
              <w:rPr>
                <w:rFonts w:ascii="Arial" w:cs="Arial" w:eastAsia="Arial" w:hAnsi="Arial"/>
                <w:sz w:val="18"/>
                <w:szCs w:val="18"/>
                <w:color w:val="auto"/>
              </w:rPr>
              <w:t>$7.65 billion</w:t>
            </w:r>
          </w:p>
        </w:tc>
        <w:tc>
          <w:tcPr>
            <w:tcW w:w="240" w:type="dxa"/>
            <w:vAlign w:val="bottom"/>
            <w:tcBorders>
              <w:top w:val="single" w:sz="8" w:color="457157"/>
            </w:tcBorders>
            <w:gridSpan w:val="2"/>
            <w:vMerge w:val="restart"/>
          </w:tcPr>
          <w:p>
            <w:pPr>
              <w:ind w:left="20"/>
              <w:spacing w:after="0"/>
              <w:rPr>
                <w:sz w:val="20"/>
                <w:szCs w:val="20"/>
                <w:color w:val="auto"/>
              </w:rPr>
            </w:pPr>
            <w:r>
              <w:rPr>
                <w:rFonts w:ascii="Arial" w:cs="Arial" w:eastAsia="Arial" w:hAnsi="Arial"/>
                <w:sz w:val="18"/>
                <w:szCs w:val="18"/>
                <w:color w:val="auto"/>
              </w:rPr>
              <w:t>​​ ​</w:t>
            </w:r>
          </w:p>
        </w:tc>
        <w:tc>
          <w:tcPr>
            <w:tcW w:w="740" w:type="dxa"/>
            <w:vAlign w:val="bottom"/>
            <w:tcBorders>
              <w:top w:val="single" w:sz="8" w:color="457157"/>
            </w:tcBorders>
            <w:gridSpan w:val="2"/>
          </w:tcPr>
          <w:p>
            <w:pPr>
              <w:jc w:val="right"/>
              <w:ind w:right="121"/>
              <w:spacing w:after="0" w:line="196" w:lineRule="exact"/>
              <w:rPr>
                <w:sz w:val="20"/>
                <w:szCs w:val="20"/>
                <w:color w:val="auto"/>
              </w:rPr>
            </w:pPr>
            <w:r>
              <w:rPr>
                <w:rFonts w:ascii="Arial" w:cs="Arial" w:eastAsia="Arial" w:hAnsi="Arial"/>
                <w:sz w:val="18"/>
                <w:szCs w:val="18"/>
                <w:color w:val="auto"/>
              </w:rPr>
              <w:t>​100%</w:t>
            </w:r>
          </w:p>
        </w:tc>
        <w:tc>
          <w:tcPr>
            <w:tcW w:w="1040" w:type="dxa"/>
            <w:vAlign w:val="bottom"/>
            <w:tcBorders>
              <w:top w:val="single" w:sz="8" w:color="457157"/>
            </w:tcBorders>
          </w:tcPr>
          <w:p>
            <w:pPr>
              <w:ind w:left="20"/>
              <w:spacing w:after="0" w:line="196" w:lineRule="exact"/>
              <w:rPr>
                <w:sz w:val="20"/>
                <w:szCs w:val="20"/>
                <w:color w:val="auto"/>
              </w:rPr>
            </w:pPr>
            <w:r>
              <w:rPr>
                <w:rFonts w:ascii="Arial" w:cs="Arial" w:eastAsia="Arial" w:hAnsi="Arial"/>
                <w:sz w:val="18"/>
                <w:szCs w:val="18"/>
                <w:color w:val="auto"/>
              </w:rPr>
              <w:t>$8.25 billion</w:t>
            </w:r>
          </w:p>
        </w:tc>
        <w:tc>
          <w:tcPr>
            <w:tcW w:w="240" w:type="dxa"/>
            <w:vAlign w:val="bottom"/>
            <w:tcBorders>
              <w:top w:val="single" w:sz="8" w:color="457157"/>
            </w:tcBorders>
            <w:vMerge w:val="restart"/>
          </w:tcPr>
          <w:p>
            <w:pPr>
              <w:spacing w:after="0"/>
              <w:rPr>
                <w:sz w:val="20"/>
                <w:szCs w:val="20"/>
                <w:color w:val="auto"/>
              </w:rPr>
            </w:pPr>
            <w:r>
              <w:rPr>
                <w:rFonts w:ascii="Arial" w:cs="Arial" w:eastAsia="Arial" w:hAnsi="Arial"/>
                <w:sz w:val="18"/>
                <w:szCs w:val="18"/>
                <w:color w:val="auto"/>
              </w:rPr>
              <w:t>​​ ​</w:t>
            </w:r>
          </w:p>
        </w:tc>
        <w:tc>
          <w:tcPr>
            <w:tcW w:w="500" w:type="dxa"/>
            <w:vAlign w:val="bottom"/>
            <w:tcBorders>
              <w:top w:val="single" w:sz="8" w:color="457157"/>
            </w:tcBorders>
          </w:tcPr>
          <w:p>
            <w:pPr>
              <w:jc w:val="right"/>
              <w:spacing w:after="0" w:line="196" w:lineRule="exact"/>
              <w:rPr>
                <w:sz w:val="20"/>
                <w:szCs w:val="20"/>
                <w:color w:val="auto"/>
              </w:rPr>
            </w:pPr>
            <w:r>
              <w:rPr>
                <w:rFonts w:ascii="Arial" w:cs="Arial" w:eastAsia="Arial" w:hAnsi="Arial"/>
                <w:sz w:val="18"/>
                <w:szCs w:val="18"/>
                <w:color w:val="auto"/>
              </w:rPr>
              <w:t>​200%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20" w:type="dxa"/>
            <w:vAlign w:val="bottom"/>
          </w:tcPr>
          <w:p>
            <w:pPr>
              <w:jc w:val="right"/>
              <w:ind w:right="1893"/>
              <w:spacing w:after="0" w:line="68" w:lineRule="exact"/>
              <w:rPr>
                <w:sz w:val="20"/>
                <w:szCs w:val="20"/>
                <w:color w:val="auto"/>
              </w:rPr>
            </w:pPr>
            <w:r>
              <w:rPr>
                <w:rFonts w:ascii="Arial" w:cs="Arial" w:eastAsia="Arial" w:hAnsi="Arial"/>
                <w:sz w:val="7"/>
                <w:szCs w:val="7"/>
                <w:color w:val="auto"/>
              </w:rPr>
              <w:t>​</w:t>
            </w:r>
          </w:p>
        </w:tc>
        <w:tc>
          <w:tcPr>
            <w:tcW w:w="1200" w:type="dxa"/>
            <w:vAlign w:val="bottom"/>
            <w:vMerge w:val="continue"/>
          </w:tcPr>
          <w:p>
            <w:pPr>
              <w:spacing w:after="0"/>
              <w:rPr>
                <w:sz w:val="5"/>
                <w:szCs w:val="5"/>
                <w:color w:val="auto"/>
              </w:rPr>
            </w:pPr>
          </w:p>
        </w:tc>
        <w:tc>
          <w:tcPr>
            <w:tcW w:w="1040" w:type="dxa"/>
            <w:vAlign w:val="bottom"/>
          </w:tcPr>
          <w:p>
            <w:pPr>
              <w:ind w:left="20"/>
              <w:spacing w:after="0" w:line="68" w:lineRule="exact"/>
              <w:rPr>
                <w:sz w:val="20"/>
                <w:szCs w:val="20"/>
                <w:color w:val="auto"/>
              </w:rPr>
            </w:pPr>
            <w:r>
              <w:rPr>
                <w:rFonts w:ascii="Arial" w:cs="Arial" w:eastAsia="Arial" w:hAnsi="Arial"/>
                <w:sz w:val="7"/>
                <w:szCs w:val="7"/>
                <w:color w:val="auto"/>
              </w:rPr>
              <w:t>​</w:t>
            </w:r>
          </w:p>
        </w:tc>
        <w:tc>
          <w:tcPr>
            <w:tcW w:w="260" w:type="dxa"/>
            <w:vAlign w:val="bottom"/>
            <w:vMerge w:val="continue"/>
          </w:tcPr>
          <w:p>
            <w:pPr>
              <w:spacing w:after="0"/>
              <w:rPr>
                <w:sz w:val="5"/>
                <w:szCs w:val="5"/>
                <w:color w:val="auto"/>
              </w:rPr>
            </w:pPr>
          </w:p>
        </w:tc>
        <w:tc>
          <w:tcPr>
            <w:tcW w:w="280" w:type="dxa"/>
            <w:vAlign w:val="bottom"/>
          </w:tcPr>
          <w:p>
            <w:pPr>
              <w:ind w:left="60"/>
              <w:spacing w:after="0" w:line="68" w:lineRule="exact"/>
              <w:rPr>
                <w:sz w:val="20"/>
                <w:szCs w:val="20"/>
                <w:color w:val="auto"/>
              </w:rPr>
            </w:pPr>
            <w:r>
              <w:rPr>
                <w:rFonts w:ascii="Arial" w:cs="Arial" w:eastAsia="Arial" w:hAnsi="Arial"/>
                <w:sz w:val="7"/>
                <w:szCs w:val="7"/>
                <w:color w:val="auto"/>
              </w:rPr>
              <w:t>​</w:t>
            </w:r>
          </w:p>
        </w:tc>
        <w:tc>
          <w:tcPr>
            <w:tcW w:w="440" w:type="dxa"/>
            <w:vAlign w:val="bottom"/>
            <w:gridSpan w:val="2"/>
          </w:tcPr>
          <w:p>
            <w:pPr>
              <w:jc w:val="right"/>
              <w:spacing w:after="0" w:line="68" w:lineRule="exact"/>
              <w:rPr>
                <w:sz w:val="20"/>
                <w:szCs w:val="20"/>
                <w:color w:val="auto"/>
              </w:rPr>
            </w:pPr>
            <w:r>
              <w:rPr>
                <w:rFonts w:ascii="Arial" w:cs="Arial" w:eastAsia="Arial" w:hAnsi="Arial"/>
                <w:sz w:val="7"/>
                <w:szCs w:val="7"/>
                <w:color w:val="auto"/>
              </w:rPr>
              <w:t>​​ ​</w:t>
            </w:r>
          </w:p>
        </w:tc>
        <w:tc>
          <w:tcPr>
            <w:tcW w:w="60" w:type="dxa"/>
            <w:vAlign w:val="bottom"/>
          </w:tcPr>
          <w:p>
            <w:pPr>
              <w:spacing w:after="0" w:line="68" w:lineRule="exact"/>
              <w:rPr>
                <w:sz w:val="20"/>
                <w:szCs w:val="20"/>
                <w:color w:val="auto"/>
              </w:rPr>
            </w:pPr>
            <w:r>
              <w:rPr>
                <w:rFonts w:ascii="Arial" w:cs="Arial" w:eastAsia="Arial" w:hAnsi="Arial"/>
                <w:sz w:val="7"/>
                <w:szCs w:val="7"/>
                <w:color w:val="auto"/>
              </w:rPr>
              <w:t>​</w:t>
            </w:r>
          </w:p>
        </w:tc>
        <w:tc>
          <w:tcPr>
            <w:tcW w:w="96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1040" w:type="dxa"/>
            <w:vAlign w:val="bottom"/>
          </w:tcPr>
          <w:p>
            <w:pPr>
              <w:ind w:left="20"/>
              <w:spacing w:after="0" w:line="68" w:lineRule="exact"/>
              <w:rPr>
                <w:sz w:val="20"/>
                <w:szCs w:val="20"/>
                <w:color w:val="auto"/>
              </w:rPr>
            </w:pPr>
            <w:r>
              <w:rPr>
                <w:rFonts w:ascii="Arial" w:cs="Arial" w:eastAsia="Arial" w:hAnsi="Arial"/>
                <w:sz w:val="7"/>
                <w:szCs w:val="7"/>
                <w:color w:val="auto"/>
              </w:rPr>
              <w:t>​</w:t>
            </w:r>
          </w:p>
        </w:tc>
        <w:tc>
          <w:tcPr>
            <w:tcW w:w="240" w:type="dxa"/>
            <w:vAlign w:val="bottom"/>
            <w:vMerge w:val="continue"/>
          </w:tcPr>
          <w:p>
            <w:pPr>
              <w:spacing w:after="0"/>
              <w:rPr>
                <w:sz w:val="5"/>
                <w:szCs w:val="5"/>
                <w:color w:val="auto"/>
              </w:rPr>
            </w:pPr>
          </w:p>
        </w:tc>
        <w:tc>
          <w:tcPr>
            <w:tcW w:w="580" w:type="dxa"/>
            <w:vAlign w:val="bottom"/>
            <w:gridSpan w:val="2"/>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2020" w:type="dxa"/>
            <w:vAlign w:val="bottom"/>
            <w:shd w:val="clear" w:color="auto" w:fill="457157"/>
          </w:tcPr>
          <w:p>
            <w:pPr>
              <w:spacing w:after="0" w:line="20" w:lineRule="exact"/>
              <w:rPr>
                <w:sz w:val="1"/>
                <w:szCs w:val="1"/>
                <w:color w:val="auto"/>
              </w:rPr>
            </w:pPr>
          </w:p>
        </w:tc>
        <w:tc>
          <w:tcPr>
            <w:tcW w:w="1200" w:type="dxa"/>
            <w:vAlign w:val="bottom"/>
            <w:tcBorders>
              <w:right w:val="single" w:sz="8" w:color="457157"/>
            </w:tcBorders>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6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00" w:type="dxa"/>
            <w:vAlign w:val="bottom"/>
            <w:tcBorders>
              <w:right w:val="single" w:sz="8" w:color="457157"/>
            </w:tcBorders>
            <w:shd w:val="clear" w:color="auto" w:fill="457157"/>
          </w:tcPr>
          <w:p>
            <w:pPr>
              <w:spacing w:after="0" w:line="20" w:lineRule="exact"/>
              <w:rPr>
                <w:sz w:val="1"/>
                <w:szCs w:val="1"/>
                <w:color w:val="auto"/>
              </w:rPr>
            </w:pPr>
          </w:p>
        </w:tc>
        <w:tc>
          <w:tcPr>
            <w:tcW w:w="240" w:type="dxa"/>
            <w:vAlign w:val="bottom"/>
            <w:tcBorders>
              <w:right w:val="single" w:sz="8" w:color="457157"/>
            </w:tcBorders>
            <w:shd w:val="clear" w:color="auto" w:fill="457157"/>
          </w:tcPr>
          <w:p>
            <w:pPr>
              <w:spacing w:after="0" w:line="20" w:lineRule="exact"/>
              <w:rPr>
                <w:sz w:val="1"/>
                <w:szCs w:val="1"/>
                <w:color w:val="auto"/>
              </w:rPr>
            </w:pPr>
          </w:p>
        </w:tc>
        <w:tc>
          <w:tcPr>
            <w:tcW w:w="10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-187960</wp:posOffset>
            </wp:positionV>
            <wp:extent cx="5760720" cy="1803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60720" cy="180340"/>
                    </a:xfrm>
                    <a:prstGeom prst="rect">
                      <a:avLst/>
                    </a:prstGeom>
                    <a:noFill/>
                  </pic:spPr>
                </pic:pic>
              </a:graphicData>
            </a:graphic>
          </wp:anchor>
        </w:drawing>
      </w:r>
    </w:p>
    <w:p>
      <w:pPr>
        <w:spacing w:after="0" w:line="314"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The remaining half of each named executive’s PSUs are TSR PSUs. This measure directly correlates executive compensation with creation of stockholder value. Total shareholder return is calculated as follows: (Common Stock price at end of performance period — Common Stock price at beginning of performance period + dividends during performance period) / Common Stock price at beginning of performance period. The table below shows the required achievement of the total shareholder return performance measure and the corresponding potential payouts under our TSR PSUs granted in 2024.</w:t>
      </w:r>
    </w:p>
    <w:p>
      <w:pPr>
        <w:spacing w:after="0" w:line="111" w:lineRule="exact"/>
        <w:rPr>
          <w:sz w:val="20"/>
          <w:szCs w:val="20"/>
          <w:color w:val="auto"/>
        </w:rPr>
      </w:pPr>
    </w:p>
    <w:tbl>
      <w:tblPr>
        <w:tblLayout w:type="fixed"/>
        <w:tblInd w:w="1520" w:type="dxa"/>
        <w:tblCellMar>
          <w:top w:w="0" w:type="dxa"/>
          <w:left w:w="0" w:type="dxa"/>
          <w:bottom w:w="0" w:type="dxa"/>
          <w:right w:w="0" w:type="dxa"/>
        </w:tblCellMar>
      </w:tblPr>
      <w:tr>
        <w:trPr>
          <w:trHeight w:val="212"/>
        </w:trPr>
        <w:tc>
          <w:tcPr>
            <w:tcW w:w="40" w:type="dxa"/>
            <w:vAlign w:val="bottom"/>
          </w:tcPr>
          <w:p>
            <w:pPr>
              <w:spacing w:after="0"/>
              <w:rPr>
                <w:sz w:val="18"/>
                <w:szCs w:val="18"/>
                <w:color w:val="auto"/>
              </w:rPr>
            </w:pPr>
          </w:p>
        </w:tc>
        <w:tc>
          <w:tcPr>
            <w:tcW w:w="980" w:type="dxa"/>
            <w:vAlign w:val="bottom"/>
            <w:tcBorders>
              <w:bottom w:val="single" w:sz="8" w:color="457157"/>
            </w:tcBorders>
          </w:tcPr>
          <w:p>
            <w:pPr>
              <w:spacing w:after="0"/>
              <w:rPr>
                <w:sz w:val="20"/>
                <w:szCs w:val="20"/>
                <w:color w:val="auto"/>
              </w:rPr>
            </w:pPr>
            <w:r>
              <w:rPr>
                <w:rFonts w:ascii="Arial" w:cs="Arial" w:eastAsia="Arial" w:hAnsi="Arial"/>
                <w:sz w:val="14"/>
                <w:szCs w:val="14"/>
                <w:b w:val="1"/>
                <w:bCs w:val="1"/>
                <w:color w:val="457157"/>
              </w:rPr>
              <w:t>​</w:t>
            </w:r>
          </w:p>
        </w:tc>
        <w:tc>
          <w:tcPr>
            <w:tcW w:w="5260" w:type="dxa"/>
            <w:vAlign w:val="bottom"/>
            <w:tcBorders>
              <w:bottom w:val="single" w:sz="8" w:color="457157"/>
            </w:tcBorders>
            <w:gridSpan w:val="2"/>
          </w:tcPr>
          <w:p>
            <w:pPr>
              <w:ind w:left="960"/>
              <w:spacing w:after="0"/>
              <w:rPr>
                <w:sz w:val="20"/>
                <w:szCs w:val="20"/>
                <w:color w:val="auto"/>
              </w:rPr>
            </w:pPr>
            <w:r>
              <w:rPr>
                <w:rFonts w:ascii="Arial" w:cs="Arial" w:eastAsia="Arial" w:hAnsi="Arial"/>
                <w:sz w:val="14"/>
                <w:szCs w:val="14"/>
                <w:b w:val="1"/>
                <w:bCs w:val="1"/>
                <w:color w:val="457157"/>
              </w:rPr>
              <w:t>Total Shareholder Return Relative to the S&amp;P 500</w:t>
            </w:r>
          </w:p>
        </w:tc>
        <w:tc>
          <w:tcPr>
            <w:tcW w:w="800" w:type="dxa"/>
            <w:vAlign w:val="bottom"/>
            <w:tcBorders>
              <w:bottom w:val="single" w:sz="8" w:color="457157"/>
            </w:tcBorders>
          </w:tcPr>
          <w:p>
            <w:pPr>
              <w:spacing w:after="0"/>
              <w:rPr>
                <w:sz w:val="18"/>
                <w:szCs w:val="18"/>
                <w:color w:val="auto"/>
              </w:rPr>
            </w:pPr>
          </w:p>
        </w:tc>
        <w:tc>
          <w:tcPr>
            <w:tcW w:w="160" w:type="dxa"/>
            <w:vAlign w:val="bottom"/>
            <w:tcBorders>
              <w:bottom w:val="single" w:sz="8" w:color="457157"/>
            </w:tcBorders>
          </w:tcPr>
          <w:p>
            <w:pPr>
              <w:spacing w:after="0"/>
              <w:rPr>
                <w:sz w:val="18"/>
                <w:szCs w:val="18"/>
                <w:color w:val="auto"/>
              </w:rPr>
            </w:pPr>
          </w:p>
        </w:tc>
        <w:tc>
          <w:tcPr>
            <w:tcW w:w="340" w:type="dxa"/>
            <w:vAlign w:val="bottom"/>
            <w:tcBorders>
              <w:bottom w:val="single" w:sz="8" w:color="457157"/>
            </w:tcBorders>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4"/>
                <w:szCs w:val="14"/>
                <w:b w:val="1"/>
                <w:bCs w:val="1"/>
                <w:color w:val="457157"/>
              </w:rPr>
              <w:t>​</w:t>
            </w:r>
          </w:p>
        </w:tc>
        <w:tc>
          <w:tcPr>
            <w:tcW w:w="1620" w:type="dxa"/>
            <w:vAlign w:val="bottom"/>
          </w:tcPr>
          <w:p>
            <w:pPr>
              <w:spacing w:after="0"/>
              <w:rPr>
                <w:sz w:val="20"/>
                <w:szCs w:val="20"/>
                <w:color w:val="auto"/>
              </w:rPr>
            </w:pPr>
          </w:p>
        </w:tc>
        <w:tc>
          <w:tcPr>
            <w:tcW w:w="3640" w:type="dxa"/>
            <w:vAlign w:val="bottom"/>
          </w:tcPr>
          <w:p>
            <w:pPr>
              <w:jc w:val="center"/>
              <w:ind w:right="1956"/>
              <w:spacing w:after="0"/>
              <w:rPr>
                <w:sz w:val="20"/>
                <w:szCs w:val="20"/>
                <w:color w:val="auto"/>
              </w:rPr>
            </w:pPr>
            <w:r>
              <w:rPr>
                <w:rFonts w:ascii="Arial" w:cs="Arial" w:eastAsia="Arial" w:hAnsi="Arial"/>
                <w:sz w:val="14"/>
                <w:szCs w:val="14"/>
                <w:b w:val="1"/>
                <w:bCs w:val="1"/>
                <w:color w:val="457157"/>
              </w:rPr>
              <w:t>Performance</w:t>
            </w:r>
          </w:p>
        </w:tc>
        <w:tc>
          <w:tcPr>
            <w:tcW w:w="1380" w:type="dxa"/>
            <w:vAlign w:val="bottom"/>
            <w:gridSpan w:val="4"/>
          </w:tcPr>
          <w:p>
            <w:pPr>
              <w:ind w:left="600"/>
              <w:spacing w:after="0" w:line="236" w:lineRule="exact"/>
              <w:rPr>
                <w:sz w:val="20"/>
                <w:szCs w:val="20"/>
                <w:color w:val="auto"/>
              </w:rPr>
            </w:pPr>
            <w:r>
              <w:rPr>
                <w:rFonts w:ascii="Arial" w:cs="Arial" w:eastAsia="Arial" w:hAnsi="Arial"/>
                <w:sz w:val="27"/>
                <w:szCs w:val="27"/>
                <w:b w:val="1"/>
                <w:bCs w:val="1"/>
                <w:color w:val="457157"/>
                <w:vertAlign w:val="subscript"/>
              </w:rPr>
              <w:t>​ ​</w:t>
            </w:r>
            <w:r>
              <w:rPr>
                <w:rFonts w:ascii="Arial" w:cs="Arial" w:eastAsia="Arial" w:hAnsi="Arial"/>
                <w:sz w:val="14"/>
                <w:szCs w:val="14"/>
                <w:b w:val="1"/>
                <w:bCs w:val="1"/>
                <w:color w:val="457157"/>
              </w:rPr>
              <w:t xml:space="preserve"> Payout </w:t>
            </w:r>
            <w:r>
              <w:rPr>
                <w:rFonts w:ascii="Arial" w:cs="Arial" w:eastAsia="Arial" w:hAnsi="Arial"/>
                <w:sz w:val="27"/>
                <w:szCs w:val="27"/>
                <w:b w:val="1"/>
                <w:bCs w:val="1"/>
                <w:color w:val="457157"/>
                <w:vertAlign w:val="subscript"/>
              </w:rPr>
              <w:t>​</w:t>
            </w:r>
          </w:p>
        </w:tc>
        <w:tc>
          <w:tcPr>
            <w:tcW w:w="0" w:type="dxa"/>
            <w:vAlign w:val="bottom"/>
          </w:tcPr>
          <w:p>
            <w:pPr>
              <w:spacing w:after="0"/>
              <w:rPr>
                <w:sz w:val="1"/>
                <w:szCs w:val="1"/>
                <w:color w:val="auto"/>
              </w:rPr>
            </w:pPr>
          </w:p>
        </w:tc>
      </w:tr>
      <w:tr>
        <w:trPr>
          <w:trHeight w:val="209"/>
        </w:trPr>
        <w:tc>
          <w:tcPr>
            <w:tcW w:w="40" w:type="dxa"/>
            <w:vAlign w:val="bottom"/>
            <w:tcBorders>
              <w:top w:val="single" w:sz="8" w:color="457157"/>
            </w:tcBorders>
          </w:tcPr>
          <w:p>
            <w:pPr>
              <w:spacing w:after="0"/>
              <w:rPr>
                <w:sz w:val="18"/>
                <w:szCs w:val="18"/>
                <w:color w:val="auto"/>
              </w:rPr>
            </w:pPr>
          </w:p>
        </w:tc>
        <w:tc>
          <w:tcPr>
            <w:tcW w:w="980" w:type="dxa"/>
            <w:vAlign w:val="bottom"/>
            <w:tcBorders>
              <w:top w:val="single" w:sz="8" w:color="457157"/>
            </w:tcBorders>
            <w:vMerge w:val="restart"/>
          </w:tcPr>
          <w:p>
            <w:pPr>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457157"/>
            </w:tcBorders>
          </w:tcPr>
          <w:p>
            <w:pPr>
              <w:ind w:left="1280"/>
              <w:spacing w:after="0" w:line="210" w:lineRule="exact"/>
              <w:rPr>
                <w:sz w:val="20"/>
                <w:szCs w:val="20"/>
                <w:color w:val="auto"/>
              </w:rPr>
            </w:pPr>
            <w:r>
              <w:rPr>
                <w:rFonts w:ascii="Arial" w:cs="Arial" w:eastAsia="Arial" w:hAnsi="Arial"/>
                <w:sz w:val="18"/>
                <w:szCs w:val="18"/>
                <w:color w:val="auto"/>
                <w:w w:val="97"/>
              </w:rPr>
              <w:t>75</w:t>
            </w:r>
            <w:r>
              <w:rPr>
                <w:rFonts w:ascii="Arial" w:cs="Arial" w:eastAsia="Arial" w:hAnsi="Arial"/>
                <w:sz w:val="23"/>
                <w:szCs w:val="23"/>
                <w:color w:val="auto"/>
                <w:w w:val="97"/>
                <w:vertAlign w:val="superscript"/>
              </w:rPr>
              <w:t>th</w:t>
            </w:r>
          </w:p>
        </w:tc>
        <w:tc>
          <w:tcPr>
            <w:tcW w:w="364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auto"/>
              </w:rPr>
              <w:t>percentile (Maximum)</w:t>
            </w:r>
          </w:p>
        </w:tc>
        <w:tc>
          <w:tcPr>
            <w:tcW w:w="800" w:type="dxa"/>
            <w:vAlign w:val="bottom"/>
            <w:tcBorders>
              <w:top w:val="single" w:sz="8" w:color="457157"/>
            </w:tcBorders>
            <w:vMerge w:val="restart"/>
          </w:tcPr>
          <w:p>
            <w:pPr>
              <w:ind w:left="600"/>
              <w:spacing w:after="0"/>
              <w:rPr>
                <w:sz w:val="20"/>
                <w:szCs w:val="20"/>
                <w:color w:val="auto"/>
              </w:rPr>
            </w:pPr>
            <w:r>
              <w:rPr>
                <w:rFonts w:ascii="Arial" w:cs="Arial" w:eastAsia="Arial" w:hAnsi="Arial"/>
                <w:sz w:val="18"/>
                <w:szCs w:val="18"/>
                <w:color w:val="auto"/>
              </w:rPr>
              <w:t>​ ​</w:t>
            </w:r>
          </w:p>
        </w:tc>
        <w:tc>
          <w:tcPr>
            <w:tcW w:w="500" w:type="dxa"/>
            <w:vAlign w:val="bottom"/>
            <w:tcBorders>
              <w:top w:val="single" w:sz="8" w:color="457157"/>
            </w:tcBorders>
            <w:gridSpan w:val="2"/>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gridSpan w:val="2"/>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40" w:type="dxa"/>
            <w:vAlign w:val="bottom"/>
            <w:shd w:val="clear" w:color="auto" w:fill="457157"/>
          </w:tcPr>
          <w:p>
            <w:pPr>
              <w:spacing w:after="0" w:line="20" w:lineRule="exact"/>
              <w:rPr>
                <w:sz w:val="1"/>
                <w:szCs w:val="1"/>
                <w:color w:val="auto"/>
              </w:rPr>
            </w:pPr>
          </w:p>
        </w:tc>
        <w:tc>
          <w:tcPr>
            <w:tcW w:w="980" w:type="dxa"/>
            <w:vAlign w:val="bottom"/>
            <w:shd w:val="clear" w:color="auto" w:fill="457157"/>
          </w:tcPr>
          <w:p>
            <w:pPr>
              <w:spacing w:after="0" w:line="20" w:lineRule="exact"/>
              <w:rPr>
                <w:sz w:val="1"/>
                <w:szCs w:val="1"/>
                <w:color w:val="auto"/>
              </w:rPr>
            </w:pPr>
          </w:p>
        </w:tc>
        <w:tc>
          <w:tcPr>
            <w:tcW w:w="5260" w:type="dxa"/>
            <w:vAlign w:val="bottom"/>
            <w:gridSpan w:val="2"/>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500" w:type="dxa"/>
            <w:vAlign w:val="bottom"/>
            <w:gridSpan w:val="2"/>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980" w:type="dxa"/>
            <w:vAlign w:val="bottom"/>
            <w:vMerge w:val="restart"/>
          </w:tcPr>
          <w:p>
            <w:pPr>
              <w:spacing w:after="0"/>
              <w:rPr>
                <w:sz w:val="20"/>
                <w:szCs w:val="20"/>
                <w:color w:val="auto"/>
              </w:rPr>
            </w:pPr>
            <w:r>
              <w:rPr>
                <w:rFonts w:ascii="Arial" w:cs="Arial" w:eastAsia="Arial" w:hAnsi="Arial"/>
                <w:sz w:val="18"/>
                <w:szCs w:val="18"/>
                <w:color w:val="auto"/>
              </w:rPr>
              <w:t>​</w:t>
            </w:r>
          </w:p>
        </w:tc>
        <w:tc>
          <w:tcPr>
            <w:tcW w:w="5260" w:type="dxa"/>
            <w:vAlign w:val="bottom"/>
            <w:gridSpan w:val="2"/>
          </w:tcPr>
          <w:p>
            <w:pPr>
              <w:jc w:val="center"/>
              <w:ind w:right="336"/>
              <w:spacing w:after="0" w:line="183" w:lineRule="exact"/>
              <w:rPr>
                <w:sz w:val="20"/>
                <w:szCs w:val="20"/>
                <w:color w:val="auto"/>
              </w:rPr>
            </w:pPr>
            <w:r>
              <w:rPr>
                <w:rFonts w:ascii="Arial" w:cs="Arial" w:eastAsia="Arial" w:hAnsi="Arial"/>
                <w:sz w:val="17"/>
                <w:szCs w:val="17"/>
                <w:color w:val="auto"/>
              </w:rPr>
              <w:t>50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 (Target)</w:t>
            </w:r>
          </w:p>
        </w:tc>
        <w:tc>
          <w:tcPr>
            <w:tcW w:w="800" w:type="dxa"/>
            <w:vAlign w:val="bottom"/>
            <w:vMerge w:val="restart"/>
          </w:tcPr>
          <w:p>
            <w:pPr>
              <w:ind w:left="600"/>
              <w:spacing w:after="0"/>
              <w:rPr>
                <w:sz w:val="20"/>
                <w:szCs w:val="20"/>
                <w:color w:val="auto"/>
              </w:rPr>
            </w:pPr>
            <w:r>
              <w:rPr>
                <w:rFonts w:ascii="Arial" w:cs="Arial" w:eastAsia="Arial" w:hAnsi="Arial"/>
                <w:sz w:val="18"/>
                <w:szCs w:val="18"/>
                <w:color w:val="auto"/>
              </w:rPr>
              <w:t>​ ​</w:t>
            </w:r>
          </w:p>
        </w:tc>
        <w:tc>
          <w:tcPr>
            <w:tcW w:w="58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gridSpan w:val="2"/>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83"/>
        </w:trPr>
        <w:tc>
          <w:tcPr>
            <w:tcW w:w="40" w:type="dxa"/>
            <w:vAlign w:val="bottom"/>
            <w:tcBorders>
              <w:top w:val="single" w:sz="8" w:color="457157"/>
            </w:tcBorders>
          </w:tcPr>
          <w:p>
            <w:pPr>
              <w:spacing w:after="0"/>
              <w:rPr>
                <w:sz w:val="15"/>
                <w:szCs w:val="15"/>
                <w:color w:val="auto"/>
              </w:rPr>
            </w:pPr>
          </w:p>
        </w:tc>
        <w:tc>
          <w:tcPr>
            <w:tcW w:w="980" w:type="dxa"/>
            <w:vAlign w:val="bottom"/>
            <w:tcBorders>
              <w:top w:val="single" w:sz="8" w:color="457157"/>
            </w:tcBorders>
            <w:vMerge w:val="restart"/>
          </w:tcPr>
          <w:p>
            <w:pPr>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457157"/>
            </w:tcBorders>
          </w:tcPr>
          <w:p>
            <w:pPr>
              <w:ind w:left="1260"/>
              <w:spacing w:after="0" w:line="183" w:lineRule="exact"/>
              <w:rPr>
                <w:sz w:val="20"/>
                <w:szCs w:val="20"/>
                <w:color w:val="auto"/>
              </w:rPr>
            </w:pPr>
            <w:r>
              <w:rPr>
                <w:rFonts w:ascii="Arial" w:cs="Arial" w:eastAsia="Arial" w:hAnsi="Arial"/>
                <w:sz w:val="17"/>
                <w:szCs w:val="17"/>
                <w:color w:val="auto"/>
              </w:rPr>
              <w:t>25</w:t>
            </w:r>
            <w:r>
              <w:rPr>
                <w:rFonts w:ascii="Arial" w:cs="Arial" w:eastAsia="Arial" w:hAnsi="Arial"/>
                <w:sz w:val="21"/>
                <w:szCs w:val="21"/>
                <w:color w:val="auto"/>
                <w:vertAlign w:val="superscript"/>
              </w:rPr>
              <w:t>th</w:t>
            </w:r>
          </w:p>
        </w:tc>
        <w:tc>
          <w:tcPr>
            <w:tcW w:w="3640" w:type="dxa"/>
            <w:vAlign w:val="bottom"/>
            <w:tcBorders>
              <w:top w:val="single" w:sz="8" w:color="457157"/>
            </w:tcBorders>
          </w:tcPr>
          <w:p>
            <w:pPr>
              <w:ind w:left="20"/>
              <w:spacing w:after="0" w:line="182" w:lineRule="exact"/>
              <w:rPr>
                <w:sz w:val="20"/>
                <w:szCs w:val="20"/>
                <w:color w:val="auto"/>
              </w:rPr>
            </w:pPr>
            <w:r>
              <w:rPr>
                <w:rFonts w:ascii="Arial" w:cs="Arial" w:eastAsia="Arial" w:hAnsi="Arial"/>
                <w:sz w:val="18"/>
                <w:szCs w:val="18"/>
                <w:color w:val="auto"/>
              </w:rPr>
              <w:t>percentile (Threshold)</w:t>
            </w:r>
          </w:p>
        </w:tc>
        <w:tc>
          <w:tcPr>
            <w:tcW w:w="800" w:type="dxa"/>
            <w:vAlign w:val="bottom"/>
            <w:tcBorders>
              <w:top w:val="single" w:sz="8" w:color="457157"/>
            </w:tcBorders>
            <w:vMerge w:val="restart"/>
          </w:tcPr>
          <w:p>
            <w:pPr>
              <w:ind w:left="600"/>
              <w:spacing w:after="0"/>
              <w:rPr>
                <w:sz w:val="20"/>
                <w:szCs w:val="20"/>
                <w:color w:val="auto"/>
              </w:rPr>
            </w:pPr>
            <w:r>
              <w:rPr>
                <w:rFonts w:ascii="Arial" w:cs="Arial" w:eastAsia="Arial" w:hAnsi="Arial"/>
                <w:sz w:val="18"/>
                <w:szCs w:val="18"/>
                <w:color w:val="auto"/>
              </w:rPr>
              <w:t>​ ​</w:t>
            </w:r>
          </w:p>
        </w:tc>
        <w:tc>
          <w:tcPr>
            <w:tcW w:w="160" w:type="dxa"/>
            <w:vAlign w:val="bottom"/>
            <w:tcBorders>
              <w:top w:val="single" w:sz="8" w:color="457157"/>
            </w:tcBorders>
          </w:tcPr>
          <w:p>
            <w:pPr>
              <w:ind w:left="40"/>
              <w:spacing w:after="0" w:line="182"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457157"/>
            </w:tcBorders>
          </w:tcPr>
          <w:p>
            <w:pPr>
              <w:jc w:val="right"/>
              <w:spacing w:after="0" w:line="182" w:lineRule="exact"/>
              <w:rPr>
                <w:sz w:val="20"/>
                <w:szCs w:val="20"/>
                <w:color w:val="auto"/>
              </w:rPr>
            </w:pPr>
            <w:r>
              <w:rPr>
                <w:rFonts w:ascii="Arial" w:cs="Arial" w:eastAsia="Arial" w:hAnsi="Arial"/>
                <w:sz w:val="18"/>
                <w:szCs w:val="18"/>
                <w:color w:val="auto"/>
              </w:rPr>
              <w:t>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1620" w:type="dxa"/>
            <w:vAlign w:val="bottom"/>
          </w:tcPr>
          <w:p>
            <w:pPr>
              <w:spacing w:after="0"/>
              <w:rPr>
                <w:sz w:val="5"/>
                <w:szCs w:val="5"/>
                <w:color w:val="auto"/>
              </w:rPr>
            </w:pPr>
          </w:p>
        </w:tc>
        <w:tc>
          <w:tcPr>
            <w:tcW w:w="36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gridSpan w:val="2"/>
          </w:tcPr>
          <w:p>
            <w:pPr>
              <w:jc w:val="right"/>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40" w:type="dxa"/>
            <w:vAlign w:val="bottom"/>
            <w:shd w:val="clear" w:color="auto" w:fill="457157"/>
          </w:tcPr>
          <w:p>
            <w:pPr>
              <w:spacing w:after="0" w:line="20" w:lineRule="exact"/>
              <w:rPr>
                <w:sz w:val="1"/>
                <w:szCs w:val="1"/>
                <w:color w:val="auto"/>
              </w:rPr>
            </w:pPr>
          </w:p>
        </w:tc>
        <w:tc>
          <w:tcPr>
            <w:tcW w:w="980" w:type="dxa"/>
            <w:vAlign w:val="bottom"/>
            <w:shd w:val="clear" w:color="auto" w:fill="457157"/>
          </w:tcPr>
          <w:p>
            <w:pPr>
              <w:spacing w:after="0" w:line="20" w:lineRule="exact"/>
              <w:rPr>
                <w:sz w:val="1"/>
                <w:szCs w:val="1"/>
                <w:color w:val="auto"/>
              </w:rPr>
            </w:pPr>
          </w:p>
        </w:tc>
        <w:tc>
          <w:tcPr>
            <w:tcW w:w="1620" w:type="dxa"/>
            <w:vAlign w:val="bottom"/>
            <w:shd w:val="clear" w:color="auto" w:fill="457157"/>
          </w:tcPr>
          <w:p>
            <w:pPr>
              <w:spacing w:after="0" w:line="20" w:lineRule="exact"/>
              <w:rPr>
                <w:sz w:val="1"/>
                <w:szCs w:val="1"/>
                <w:color w:val="auto"/>
              </w:rPr>
            </w:pPr>
          </w:p>
        </w:tc>
        <w:tc>
          <w:tcPr>
            <w:tcW w:w="364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-539115</wp:posOffset>
            </wp:positionV>
            <wp:extent cx="4843145" cy="1885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843145" cy="18859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-179070</wp:posOffset>
            </wp:positionV>
            <wp:extent cx="4843145"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843145" cy="171450"/>
                    </a:xfrm>
                    <a:prstGeom prst="rect">
                      <a:avLst/>
                    </a:prstGeom>
                    <a:noFill/>
                  </pic:spPr>
                </pic:pic>
              </a:graphicData>
            </a:graphic>
          </wp:anchor>
        </w:drawing>
      </w:r>
    </w:p>
    <w:p>
      <w:pPr>
        <w:spacing w:after="0" w:line="56"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The different performance measure levels are determined based on an analysis of historical performance and current projections and trends. The MD&amp;C Committee uses this analysis and consideration of different scenarios related to items that affect the Company’s performance such as yield, volumes and capital to set the performance measures. As with the consideration of targets for the annual cash incentives, when the MD&amp;C Committee established the cash flow targets, the MD&amp;C Committee carefully considered several material factors anticipated to affect the Company in 2024 and beyond, including macroeconomic and market conditions and economic indicators for future periods, to align the cash flow targets with the Company’s long-range strategic plan. The 2024 cash flow targets are also reflective of on-going capital spending commitments to further expand and accelerate our sustainability growth strategy that includes significant investments in our renewable energy and recycling processing and sales businesses.</w:t>
      </w:r>
    </w:p>
    <w:p>
      <w:pPr>
        <w:spacing w:after="0" w:line="293"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i w:val="1"/>
          <w:iCs w:val="1"/>
          <w:u w:val="single" w:color="auto"/>
          <w:color w:val="auto"/>
        </w:rPr>
        <w:t>Payout on PSUs for the Performance Period Ended December 31, 2024</w:t>
      </w:r>
      <w:r>
        <w:rPr>
          <w:rFonts w:ascii="Arial" w:cs="Arial" w:eastAsia="Arial" w:hAnsi="Arial"/>
          <w:sz w:val="18"/>
          <w:szCs w:val="18"/>
          <w:i w:val="1"/>
          <w:iCs w:val="1"/>
          <w:color w:val="auto"/>
        </w:rPr>
        <w:t xml:space="preserve">. </w:t>
      </w:r>
      <w:r>
        <w:rPr>
          <w:rFonts w:ascii="Arial" w:cs="Arial" w:eastAsia="Arial" w:hAnsi="Arial"/>
          <w:sz w:val="18"/>
          <w:szCs w:val="18"/>
          <w:color w:val="auto"/>
        </w:rPr>
        <w:t>Half of the PSUs granted in</w:t>
      </w:r>
      <w:r>
        <w:rPr>
          <w:rFonts w:ascii="Arial" w:cs="Arial" w:eastAsia="Arial" w:hAnsi="Arial"/>
          <w:sz w:val="18"/>
          <w:szCs w:val="18"/>
          <w:i w:val="1"/>
          <w:iCs w:val="1"/>
          <w:color w:val="auto"/>
        </w:rPr>
        <w:t xml:space="preserve"> </w:t>
      </w:r>
      <w:r>
        <w:rPr>
          <w:rFonts w:ascii="Arial" w:cs="Arial" w:eastAsia="Arial" w:hAnsi="Arial"/>
          <w:sz w:val="18"/>
          <w:szCs w:val="18"/>
          <w:color w:val="auto"/>
        </w:rPr>
        <w:t>2022 with the performance period ended December 31, 2024 were TSR PSUs, and the remaining half of the PSUs granted in 2022 were Cash Flow PSUs. With respect to the TSR PSUs with a three-year performance period ended December 31, 2024, the performance of the Company’s Common Stock on this measure translated into a percentile rank relative to the S&amp;P 500 of 66.80%, resulting in a 167.22% payout in shares of Common Stock that were issued in the first quarter of 2025.</w:t>
      </w:r>
    </w:p>
    <w:p>
      <w:pPr>
        <w:spacing w:after="0" w:line="74"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For purposes of the Cash Flow PSUs with a three-year performance period ended December 31, 2024, the Company generated net cash flow from operating activities, less capital expenditures, of $6.847 billion, exceeding the target criteria of $6.634 billion; this performance level yielded a 135.56% payout in shares of Common Stock that were issued in the first quarter of 2025. This performance was calculated in accordance with the following definition of cash flow generation set forth in the award agreement for the Cash Flow PSUs granted in 2022 (the “2022 Cash Flow PSU Definition”): net cash provided by operating activities, less capital expenditures, with the following adjustments: (a) costs associated with labor disruptions and multiemployer plan withdrawal liabilities are excluded due to being required as a result of past labor commitments combined with changing economic conditions and business climate; (b) strategic acquisition, restructuring, and transformation and reorganization costs are excluded; (c) cash proceeds from strategic divestitures of assets and businesses are excluded; and (d) cash proceeds from divestitures of any other businesses and assets are included.</w:t>
      </w:r>
    </w:p>
    <w:p>
      <w:pPr>
        <w:spacing w:after="0" w:line="300"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color w:val="auto"/>
        </w:rPr>
        <w:t>Additionally, in line with the MD&amp;C Committee’s policy on calculation adjustments discussed above, the MD&amp;C Committee approved certain adjustments to the measurement of performance on the cash flow measure that are aligned with the MD&amp;C Committee’s philosophy and goal for providing consistency in approach to appropriately address the impact of one-time and special events to eliminate disproportionate or counterproductive results. The nature of such adjustments has now been incorporated in the 2024 Cash Flow PSU Definition discussed above, such that, beginning with the Cash Flow PSUs granted in 2024, discretionary consideration of similar adjustments will not be necessary. These adjustments exclude the impact of $700 million of capital expenditures allocated to strategic investments in our renewable energy and recycling processing and sales businesses that were not contemplated at the time the performance measures were established. The incremental benefits from these strategic investments that were not contemplated at the time the performance measure was established did not materially impact the calculated results for executive compensation performance measures in 2024. Additionally, the calculation of performance on the cash flow measure excludes the benefits of investment tax credits that were not contemplated at the time this performance measure was established and the two months of post- closing contributions from the acquired Stericycle business. As discussed above, the 2022 Cash Flow PSU Definition already provided for the exclusion of transaction and integration costs related to the Stericycle acquisition. See Appendix A for additional information about the calculation of these results.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00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i w:val="1"/>
          <w:iCs w:val="1"/>
          <w:u w:val="single" w:color="auto"/>
          <w:color w:val="auto"/>
        </w:rPr>
        <w:t>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believes use of stock options is appropriate to support the</w:t>
      </w:r>
      <w:r>
        <w:rPr>
          <w:rFonts w:ascii="Arial" w:cs="Arial" w:eastAsia="Arial" w:hAnsi="Arial"/>
          <w:sz w:val="18"/>
          <w:szCs w:val="18"/>
          <w:i w:val="1"/>
          <w:iCs w:val="1"/>
          <w:color w:val="auto"/>
        </w:rPr>
        <w:t xml:space="preserve"> </w:t>
      </w:r>
      <w:r>
        <w:rPr>
          <w:rFonts w:ascii="Arial" w:cs="Arial" w:eastAsia="Arial" w:hAnsi="Arial"/>
          <w:sz w:val="18"/>
          <w:szCs w:val="18"/>
          <w:color w:val="auto"/>
        </w:rPr>
        <w:t>growth element of the Company’s strategy. The grant of options made to the named executive officers in the first quarter of 2024 in connection with the annual grant of long-term equity awards was based on the targeted dollar amounts established for total long -term equity incentives (set forth in the table above) and multiplied by 20%. The actual number of stock options granted was determined by assigning a value to the options using an option pricing model and dividing the dollar value of target compensation by the value of an option. The resulting number of stock options are shown in the table below.</w:t>
      </w:r>
    </w:p>
    <w:p>
      <w:pPr>
        <w:spacing w:after="0" w:line="300" w:lineRule="exact"/>
        <w:rPr>
          <w:sz w:val="20"/>
          <w:szCs w:val="20"/>
          <w:color w:val="auto"/>
        </w:rPr>
      </w:pPr>
    </w:p>
    <w:tbl>
      <w:tblPr>
        <w:tblLayout w:type="fixed"/>
        <w:tblInd w:w="1520" w:type="dxa"/>
        <w:tblCellMar>
          <w:top w:w="0" w:type="dxa"/>
          <w:left w:w="0" w:type="dxa"/>
          <w:bottom w:w="0" w:type="dxa"/>
          <w:right w:w="0" w:type="dxa"/>
        </w:tblCellMar>
      </w:tblPr>
      <w:tr>
        <w:trPr>
          <w:trHeight w:val="164"/>
        </w:trPr>
        <w:tc>
          <w:tcPr>
            <w:tcW w:w="4240" w:type="dxa"/>
            <w:vAlign w:val="bottom"/>
            <w:vMerge w:val="restart"/>
          </w:tcPr>
          <w:p>
            <w:pPr>
              <w:ind w:left="20"/>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Named Executive Officer</w:t>
            </w:r>
          </w:p>
        </w:tc>
        <w:tc>
          <w:tcPr>
            <w:tcW w:w="2680" w:type="dxa"/>
            <w:vAlign w:val="bottom"/>
          </w:tcPr>
          <w:p>
            <w:pPr>
              <w:spacing w:after="0"/>
              <w:rPr>
                <w:sz w:val="14"/>
                <w:szCs w:val="14"/>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457157"/>
              </w:rPr>
              <w:t>Number</w:t>
            </w:r>
          </w:p>
        </w:tc>
        <w:tc>
          <w:tcPr>
            <w:tcW w:w="0" w:type="dxa"/>
            <w:vAlign w:val="bottom"/>
          </w:tcPr>
          <w:p>
            <w:pPr>
              <w:spacing w:after="0"/>
              <w:rPr>
                <w:sz w:val="1"/>
                <w:szCs w:val="1"/>
                <w:color w:val="auto"/>
              </w:rPr>
            </w:pPr>
          </w:p>
        </w:tc>
      </w:tr>
      <w:tr>
        <w:trPr>
          <w:trHeight w:val="203"/>
        </w:trPr>
        <w:tc>
          <w:tcPr>
            <w:tcW w:w="4240" w:type="dxa"/>
            <w:vAlign w:val="bottom"/>
            <w:tcBorders>
              <w:bottom w:val="single" w:sz="8" w:color="457157"/>
            </w:tcBorders>
            <w:vMerge w:val="continue"/>
          </w:tcPr>
          <w:p>
            <w:pPr>
              <w:spacing w:after="0"/>
              <w:rPr>
                <w:sz w:val="17"/>
                <w:szCs w:val="17"/>
                <w:color w:val="auto"/>
              </w:rPr>
            </w:pPr>
          </w:p>
        </w:tc>
        <w:tc>
          <w:tcPr>
            <w:tcW w:w="3400" w:type="dxa"/>
            <w:vAlign w:val="bottom"/>
            <w:tcBorders>
              <w:bottom w:val="single" w:sz="8" w:color="457157"/>
            </w:tcBorders>
            <w:gridSpan w:val="3"/>
          </w:tcPr>
          <w:p>
            <w:pPr>
              <w:ind w:left="2320"/>
              <w:spacing w:after="0" w:line="202" w:lineRule="exact"/>
              <w:rPr>
                <w:sz w:val="20"/>
                <w:szCs w:val="20"/>
                <w:color w:val="auto"/>
              </w:rPr>
            </w:pPr>
            <w:r>
              <w:rPr>
                <w:rFonts w:ascii="Arial" w:cs="Arial" w:eastAsia="Arial" w:hAnsi="Arial"/>
                <w:sz w:val="23"/>
                <w:szCs w:val="23"/>
                <w:b w:val="1"/>
                <w:bCs w:val="1"/>
                <w:color w:val="457157"/>
                <w:vertAlign w:val="subscript"/>
              </w:rPr>
              <w:t>​ ​</w:t>
            </w:r>
            <w:r>
              <w:rPr>
                <w:rFonts w:ascii="Arial" w:cs="Arial" w:eastAsia="Arial" w:hAnsi="Arial"/>
                <w:sz w:val="13"/>
                <w:szCs w:val="13"/>
                <w:b w:val="1"/>
                <w:bCs w:val="1"/>
                <w:color w:val="457157"/>
              </w:rPr>
              <w:t xml:space="preserve"> of Options</w:t>
            </w:r>
            <w:r>
              <w:rPr>
                <w:rFonts w:ascii="Arial" w:cs="Arial" w:eastAsia="Arial" w:hAnsi="Arial"/>
                <w:sz w:val="23"/>
                <w:szCs w:val="23"/>
                <w:b w:val="1"/>
                <w:bCs w:val="1"/>
                <w:color w:val="457157"/>
                <w:vertAlign w:val="subscript"/>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2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Fish</w:t>
            </w:r>
          </w:p>
        </w:tc>
        <w:tc>
          <w:tcPr>
            <w:tcW w:w="3420" w:type="dxa"/>
            <w:vAlign w:val="bottom"/>
            <w:gridSpan w:val="4"/>
          </w:tcPr>
          <w:p>
            <w:pPr>
              <w:jc w:val="right"/>
              <w:spacing w:after="0" w:line="264" w:lineRule="exact"/>
              <w:rPr>
                <w:sz w:val="20"/>
                <w:szCs w:val="20"/>
                <w:color w:val="auto"/>
              </w:rPr>
            </w:pPr>
            <w:r>
              <w:rPr>
                <w:rFonts w:ascii="Arial" w:cs="Arial" w:eastAsia="Arial" w:hAnsi="Arial"/>
                <w:sz w:val="30"/>
                <w:szCs w:val="30"/>
                <w:color w:val="auto"/>
                <w:vertAlign w:val="subscript"/>
              </w:rPr>
              <w:t>​ ​</w:t>
            </w:r>
            <w:r>
              <w:rPr>
                <w:rFonts w:ascii="Arial" w:cs="Arial" w:eastAsia="Arial" w:hAnsi="Arial"/>
                <w:sz w:val="16"/>
                <w:szCs w:val="16"/>
                <w:color w:val="auto"/>
              </w:rPr>
              <w:t xml:space="preserve"> ​ 45,349 </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0"/>
        </w:trPr>
        <w:tc>
          <w:tcPr>
            <w:tcW w:w="4240" w:type="dxa"/>
            <w:vAlign w:val="bottom"/>
            <w:shd w:val="clear" w:color="auto" w:fill="457157"/>
          </w:tcPr>
          <w:p>
            <w:pPr>
              <w:spacing w:after="0" w:line="20" w:lineRule="exact"/>
              <w:rPr>
                <w:sz w:val="1"/>
                <w:szCs w:val="1"/>
                <w:color w:val="auto"/>
              </w:rPr>
            </w:pPr>
          </w:p>
        </w:tc>
        <w:tc>
          <w:tcPr>
            <w:tcW w:w="268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Ms. Rankin</w:t>
            </w:r>
          </w:p>
        </w:tc>
        <w:tc>
          <w:tcPr>
            <w:tcW w:w="2680" w:type="dxa"/>
            <w:vAlign w:val="bottom"/>
          </w:tcPr>
          <w:p>
            <w:pPr>
              <w:ind w:left="2380"/>
              <w:spacing w:after="0"/>
              <w:rPr>
                <w:sz w:val="20"/>
                <w:szCs w:val="20"/>
                <w:color w:val="auto"/>
              </w:rPr>
            </w:pPr>
            <w:r>
              <w:rPr>
                <w:rFonts w:ascii="Arial" w:cs="Arial" w:eastAsia="Arial" w:hAnsi="Arial"/>
                <w:sz w:val="18"/>
                <w:szCs w:val="18"/>
                <w:color w:val="auto"/>
              </w:rPr>
              <w:t>​ ​ ​</w:t>
            </w:r>
          </w:p>
        </w:tc>
        <w:tc>
          <w:tcPr>
            <w:tcW w:w="620" w:type="dxa"/>
            <w:vAlign w:val="bottom"/>
          </w:tcPr>
          <w:p>
            <w:pPr>
              <w:jc w:val="right"/>
              <w:spacing w:after="0"/>
              <w:rPr>
                <w:sz w:val="20"/>
                <w:szCs w:val="20"/>
                <w:color w:val="auto"/>
              </w:rPr>
            </w:pPr>
            <w:r>
              <w:rPr>
                <w:rFonts w:ascii="Arial" w:cs="Arial" w:eastAsia="Arial" w:hAnsi="Arial"/>
                <w:sz w:val="18"/>
                <w:szCs w:val="18"/>
                <w:color w:val="auto"/>
              </w:rPr>
              <w:t>10,698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shd w:val="clear" w:color="auto" w:fill="457157"/>
          </w:tcPr>
          <w:p>
            <w:pPr>
              <w:spacing w:after="0" w:line="20" w:lineRule="exact"/>
              <w:rPr>
                <w:sz w:val="1"/>
                <w:szCs w:val="1"/>
                <w:color w:val="auto"/>
              </w:rPr>
            </w:pPr>
          </w:p>
        </w:tc>
        <w:tc>
          <w:tcPr>
            <w:tcW w:w="268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Mr. Morris</w:t>
            </w:r>
          </w:p>
        </w:tc>
        <w:tc>
          <w:tcPr>
            <w:tcW w:w="2680" w:type="dxa"/>
            <w:vAlign w:val="bottom"/>
          </w:tcPr>
          <w:p>
            <w:pPr>
              <w:ind w:left="2380"/>
              <w:spacing w:after="0"/>
              <w:rPr>
                <w:sz w:val="20"/>
                <w:szCs w:val="20"/>
                <w:color w:val="auto"/>
              </w:rPr>
            </w:pPr>
            <w:r>
              <w:rPr>
                <w:rFonts w:ascii="Arial" w:cs="Arial" w:eastAsia="Arial" w:hAnsi="Arial"/>
                <w:sz w:val="18"/>
                <w:szCs w:val="18"/>
                <w:color w:val="auto"/>
              </w:rPr>
              <w:t>​ ​ ​</w:t>
            </w:r>
          </w:p>
        </w:tc>
        <w:tc>
          <w:tcPr>
            <w:tcW w:w="620" w:type="dxa"/>
            <w:vAlign w:val="bottom"/>
          </w:tcPr>
          <w:p>
            <w:pPr>
              <w:jc w:val="right"/>
              <w:spacing w:after="0"/>
              <w:rPr>
                <w:sz w:val="20"/>
                <w:szCs w:val="20"/>
                <w:color w:val="auto"/>
              </w:rPr>
            </w:pPr>
            <w:r>
              <w:rPr>
                <w:rFonts w:ascii="Arial" w:cs="Arial" w:eastAsia="Arial" w:hAnsi="Arial"/>
                <w:sz w:val="18"/>
                <w:szCs w:val="18"/>
                <w:color w:val="auto"/>
              </w:rPr>
              <w:t>13,721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shd w:val="clear" w:color="auto" w:fill="457157"/>
          </w:tcPr>
          <w:p>
            <w:pPr>
              <w:spacing w:after="0" w:line="20" w:lineRule="exact"/>
              <w:rPr>
                <w:sz w:val="1"/>
                <w:szCs w:val="1"/>
                <w:color w:val="auto"/>
              </w:rPr>
            </w:pPr>
          </w:p>
        </w:tc>
        <w:tc>
          <w:tcPr>
            <w:tcW w:w="268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Ms. Hemmer</w:t>
            </w:r>
          </w:p>
        </w:tc>
        <w:tc>
          <w:tcPr>
            <w:tcW w:w="2680" w:type="dxa"/>
            <w:vAlign w:val="bottom"/>
          </w:tcPr>
          <w:p>
            <w:pPr>
              <w:ind w:left="2380"/>
              <w:spacing w:after="0"/>
              <w:rPr>
                <w:sz w:val="20"/>
                <w:szCs w:val="20"/>
                <w:color w:val="auto"/>
              </w:rPr>
            </w:pPr>
            <w:r>
              <w:rPr>
                <w:rFonts w:ascii="Arial" w:cs="Arial" w:eastAsia="Arial" w:hAnsi="Arial"/>
                <w:sz w:val="18"/>
                <w:szCs w:val="18"/>
                <w:color w:val="auto"/>
              </w:rPr>
              <w:t>​ ​ ​</w:t>
            </w:r>
          </w:p>
        </w:tc>
        <w:tc>
          <w:tcPr>
            <w:tcW w:w="620" w:type="dxa"/>
            <w:vAlign w:val="bottom"/>
          </w:tcPr>
          <w:p>
            <w:pPr>
              <w:jc w:val="right"/>
              <w:spacing w:after="0"/>
              <w:rPr>
                <w:sz w:val="20"/>
                <w:szCs w:val="20"/>
                <w:color w:val="auto"/>
              </w:rPr>
            </w:pPr>
            <w:r>
              <w:rPr>
                <w:rFonts w:ascii="Arial" w:cs="Arial" w:eastAsia="Arial" w:hAnsi="Arial"/>
                <w:sz w:val="18"/>
                <w:szCs w:val="18"/>
                <w:color w:val="auto"/>
              </w:rPr>
              <w:t>9,302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shd w:val="clear" w:color="auto" w:fill="457157"/>
          </w:tcPr>
          <w:p>
            <w:pPr>
              <w:spacing w:after="0" w:line="20" w:lineRule="exact"/>
              <w:rPr>
                <w:sz w:val="1"/>
                <w:szCs w:val="1"/>
                <w:color w:val="auto"/>
              </w:rPr>
            </w:pPr>
          </w:p>
        </w:tc>
        <w:tc>
          <w:tcPr>
            <w:tcW w:w="268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Pr>
          <w:p>
            <w:pPr>
              <w:ind w:left="40"/>
              <w:spacing w:after="0" w:line="250"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b w:val="1"/>
                <w:bCs w:val="1"/>
                <w:color w:val="auto"/>
              </w:rPr>
              <w:t>Mr. Carrasco</w:t>
            </w:r>
          </w:p>
        </w:tc>
        <w:tc>
          <w:tcPr>
            <w:tcW w:w="2680" w:type="dxa"/>
            <w:vAlign w:val="bottom"/>
          </w:tcPr>
          <w:p>
            <w:pPr>
              <w:ind w:left="2380"/>
              <w:spacing w:after="0"/>
              <w:rPr>
                <w:sz w:val="20"/>
                <w:szCs w:val="20"/>
                <w:color w:val="auto"/>
              </w:rPr>
            </w:pPr>
            <w:r>
              <w:rPr>
                <w:rFonts w:ascii="Arial" w:cs="Arial" w:eastAsia="Arial" w:hAnsi="Arial"/>
                <w:sz w:val="18"/>
                <w:szCs w:val="18"/>
                <w:color w:val="auto"/>
              </w:rPr>
              <w:t>​ ​ ​</w:t>
            </w:r>
          </w:p>
        </w:tc>
        <w:tc>
          <w:tcPr>
            <w:tcW w:w="620" w:type="dxa"/>
            <w:vAlign w:val="bottom"/>
          </w:tcPr>
          <w:p>
            <w:pPr>
              <w:jc w:val="right"/>
              <w:spacing w:after="0"/>
              <w:rPr>
                <w:sz w:val="20"/>
                <w:szCs w:val="20"/>
                <w:color w:val="auto"/>
              </w:rPr>
            </w:pPr>
            <w:r>
              <w:rPr>
                <w:rFonts w:ascii="Arial" w:cs="Arial" w:eastAsia="Arial" w:hAnsi="Arial"/>
                <w:sz w:val="18"/>
                <w:szCs w:val="18"/>
                <w:color w:val="auto"/>
              </w:rPr>
              <w:t>9,302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shd w:val="clear" w:color="auto" w:fill="457157"/>
          </w:tcPr>
          <w:p>
            <w:pPr>
              <w:spacing w:after="0" w:line="20" w:lineRule="exact"/>
              <w:rPr>
                <w:sz w:val="1"/>
                <w:szCs w:val="1"/>
                <w:color w:val="auto"/>
              </w:rPr>
            </w:pPr>
          </w:p>
        </w:tc>
        <w:tc>
          <w:tcPr>
            <w:tcW w:w="268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-873760</wp:posOffset>
            </wp:positionV>
            <wp:extent cx="4843145" cy="1797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-521970</wp:posOffset>
            </wp:positionV>
            <wp:extent cx="4843145" cy="1714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843145" cy="17145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-179070</wp:posOffset>
            </wp:positionV>
            <wp:extent cx="4843145"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843145" cy="171450"/>
                    </a:xfrm>
                    <a:prstGeom prst="rect">
                      <a:avLst/>
                    </a:prstGeom>
                    <a:noFill/>
                  </pic:spPr>
                </pic:pic>
              </a:graphicData>
            </a:graphic>
          </wp:anchor>
        </w:drawing>
      </w:r>
    </w:p>
    <w:p>
      <w:pPr>
        <w:spacing w:after="0" w:line="42"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The stock options granted in 2024 vest ratably in three annual increments, beginning on the first anniversary of the date of grant. The exercise price of the options granted in 2024 is $204.7585, which is the average of the high and low market price of our Common Stock on the date of grant, and the options have a term of 10 years. We account for our employee stock options under ASC Topic 718 using a Black-Scholes valuation model to measure stock option expense at the date of grant. The fair value of the stock options at the date of grant is amortized to expense over the vesting period less expected forfeitures, except for stock options granted to retirement-eligible employees, for which expense is accelerated over the period that the recipient becomes retirement-eligible.</w:t>
      </w:r>
    </w:p>
    <w:p>
      <w:pPr>
        <w:spacing w:after="0" w:line="283"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i w:val="1"/>
          <w:iCs w:val="1"/>
          <w:u w:val="single" w:color="auto"/>
          <w:color w:val="auto"/>
        </w:rPr>
        <w:t>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did not grant any RSUs to the named executives in 2024. Each</w:t>
      </w:r>
      <w:r>
        <w:rPr>
          <w:rFonts w:ascii="Arial" w:cs="Arial" w:eastAsia="Arial" w:hAnsi="Arial"/>
          <w:sz w:val="18"/>
          <w:szCs w:val="18"/>
          <w:i w:val="1"/>
          <w:iCs w:val="1"/>
          <w:color w:val="auto"/>
        </w:rPr>
        <w:t xml:space="preserve"> </w:t>
      </w:r>
      <w:r>
        <w:rPr>
          <w:rFonts w:ascii="Arial" w:cs="Arial" w:eastAsia="Arial" w:hAnsi="Arial"/>
          <w:sz w:val="18"/>
          <w:szCs w:val="18"/>
          <w:color w:val="auto"/>
        </w:rPr>
        <w:t>of the named executives, other than Mr. Fish, held RSUs that were granted in 2022 in connection with achievement of targeted synergies from the Company’s 2020 acquisition of Advanced Disposal. Such RSUs vested in the first quarter of 2025. Mr. Carrasco also had RSUs vest in 2024 that were granted prior to his promotion to the senior leadership team. The RSUs discussed in this paragraph vested in full on the third anniversary of the date of grant. Dividends on the RSUs accrued and were paid in cash upon vesting. Following such vestings, none of the named executives currently hold unvested RSUs.</w:t>
      </w:r>
    </w:p>
    <w:p>
      <w:pPr>
        <w:spacing w:after="0" w:line="282"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The MD&amp;C Committee anticipates that grants of RSUs to named executives will continue to be made on a limited basis in cases such as a significant promotion, increased responsibilities, special recognition and to attract new hires, and that RSUs will not be a routine component of named executive compensation. Unvested RSUs are subject to forfeiture in the event of voluntary or for-cause termination. RSUs will be prorated upon involuntary termination other than for cause, and RSUs immediately vest in the event of an employee’s death or disability</w:t>
      </w:r>
      <w:r>
        <w:rPr>
          <w:rFonts w:ascii="Arial" w:cs="Arial" w:eastAsia="Arial" w:hAnsi="Arial"/>
          <w:sz w:val="18"/>
          <w:szCs w:val="18"/>
          <w:i w:val="1"/>
          <w:iCs w:val="1"/>
          <w:color w:val="auto"/>
        </w:rPr>
        <w:t>.</w:t>
      </w:r>
      <w:r>
        <w:rPr>
          <w:rFonts w:ascii="Arial" w:cs="Arial" w:eastAsia="Arial" w:hAnsi="Arial"/>
          <w:sz w:val="18"/>
          <w:szCs w:val="18"/>
          <w:color w:val="auto"/>
        </w:rPr>
        <w:t xml:space="preserve"> The RSUs may not be voted or sold until vested.</w:t>
      </w:r>
    </w:p>
    <w:p>
      <w:pPr>
        <w:spacing w:after="0" w:line="396"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Post-Employment and Change in Control Compensation; Clawback Policies</w:t>
      </w:r>
    </w:p>
    <w:p>
      <w:pPr>
        <w:spacing w:after="0" w:line="112"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i w:val="1"/>
          <w:iCs w:val="1"/>
          <w:u w:val="single" w:color="auto"/>
          <w:color w:val="auto"/>
        </w:rPr>
        <w:t>Severance Protection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In December 2017, we adopted an Executive Severance Protection Plan</w:t>
      </w:r>
      <w:r>
        <w:rPr>
          <w:rFonts w:ascii="Arial" w:cs="Arial" w:eastAsia="Arial" w:hAnsi="Arial"/>
          <w:sz w:val="18"/>
          <w:szCs w:val="18"/>
          <w:i w:val="1"/>
          <w:iCs w:val="1"/>
          <w:color w:val="auto"/>
        </w:rPr>
        <w:t xml:space="preserve"> </w:t>
      </w:r>
      <w:r>
        <w:rPr>
          <w:rFonts w:ascii="Arial" w:cs="Arial" w:eastAsia="Arial" w:hAnsi="Arial"/>
          <w:sz w:val="18"/>
          <w:szCs w:val="18"/>
          <w:color w:val="auto"/>
        </w:rPr>
        <w:t>(the “Severance Protection Plan”) and each of Messrs. Fish and Morris and Ms. Rankin entered into new or amended and restated employment agreements (the “2017 Employment Agreements”). The Severance Protection Plan covers each of our executive officers. The 2017 Employment Agreements do not contain separate severance entitlements, but instead provide for additional terms and protections relating to the respective executive’s participation in the Severance Protection Plan. The 2017 Employment Agreements served to transition the Company’s severance protections away from contract-based protections and onto a standardized and flexible plan -based approach. Going forward, the Company does not anticipate entering into new employment agreements with our executive officers, and neither Ms. Hemmer nor Mr. Carrasco is a party to an employment agreement with the Company.</w:t>
      </w:r>
    </w:p>
    <w:p>
      <w:pPr>
        <w:spacing w:after="0" w:line="294"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i w:val="1"/>
          <w:iCs w:val="1"/>
          <w:u w:val="single" w:color="auto"/>
          <w:color w:val="auto"/>
        </w:rPr>
        <w:t>Post-Employment Covenants.</w:t>
      </w:r>
      <w:r>
        <w:rPr>
          <w:rFonts w:ascii="Arial" w:cs="Arial" w:eastAsia="Arial" w:hAnsi="Arial"/>
          <w:sz w:val="18"/>
          <w:szCs w:val="18"/>
          <w:i w:val="1"/>
          <w:iCs w:val="1"/>
          <w:color w:val="auto"/>
        </w:rPr>
        <w:t xml:space="preserve"> </w:t>
      </w:r>
      <w:r>
        <w:rPr>
          <w:rFonts w:ascii="Arial" w:cs="Arial" w:eastAsia="Arial" w:hAnsi="Arial"/>
          <w:sz w:val="18"/>
          <w:szCs w:val="18"/>
          <w:color w:val="auto"/>
        </w:rPr>
        <w:t>The 2017 Employment Agreements contain noncompetition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nonsolicitation restrictions that apply during employment and for a two-year period following termination. Additionally, the Severance Protection Plan contains (a) a requirement that the individual execute a general release prior to receiving post-termination benefits and (b) a clawback feature that allows for the suspension and refund of termination benefits for subsequently discovered cause. The clawback feature generally allows the Company to cancel any remaining payments due and obligates the named executive to refund to the Company severance payments already made if, within one year of termination of</w:t>
      </w:r>
    </w:p>
    <w:p>
      <w:pPr>
        <w:spacing w:after="0" w:line="200" w:lineRule="exact"/>
        <w:rPr>
          <w:sz w:val="20"/>
          <w:szCs w:val="20"/>
          <w:color w:val="auto"/>
        </w:rPr>
      </w:pPr>
    </w:p>
    <w:p>
      <w:pPr>
        <w:spacing w:after="0" w:line="260"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jc w:val="both"/>
        <w:ind w:left="820" w:right="60"/>
        <w:spacing w:after="0" w:line="251" w:lineRule="auto"/>
        <w:rPr>
          <w:sz w:val="20"/>
          <w:szCs w:val="20"/>
          <w:color w:val="auto"/>
        </w:rPr>
      </w:pPr>
      <w:r>
        <w:rPr>
          <w:rFonts w:ascii="Arial" w:cs="Arial" w:eastAsia="Arial" w:hAnsi="Arial"/>
          <w:sz w:val="18"/>
          <w:szCs w:val="18"/>
          <w:color w:val="auto"/>
        </w:rPr>
        <w:t>employment of the named executive by the Company for any reason other than for cause, the Company determines that the named executive could have been terminated for cause. Our current equity award agreements also include a requirement that, in order to be eligible to vest in any portion of the award, the employee must enter into an agreement containing restrictive covenants applicable to the employee’s behavior following termination.</w:t>
      </w:r>
    </w:p>
    <w:p>
      <w:pPr>
        <w:spacing w:after="0" w:line="65"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i w:val="1"/>
          <w:iCs w:val="1"/>
          <w:u w:val="single" w:color="auto"/>
          <w:color w:val="auto"/>
        </w:rPr>
        <w:t>Clawback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In 2023, the MD&amp;C Committee adopted the executive compensation clawback</w:t>
      </w:r>
      <w:r>
        <w:rPr>
          <w:rFonts w:ascii="Arial" w:cs="Arial" w:eastAsia="Arial" w:hAnsi="Arial"/>
          <w:sz w:val="18"/>
          <w:szCs w:val="18"/>
          <w:i w:val="1"/>
          <w:iCs w:val="1"/>
          <w:color w:val="auto"/>
        </w:rPr>
        <w:t xml:space="preserve"> </w:t>
      </w:r>
      <w:r>
        <w:rPr>
          <w:rFonts w:ascii="Arial" w:cs="Arial" w:eastAsia="Arial" w:hAnsi="Arial"/>
          <w:sz w:val="18"/>
          <w:szCs w:val="18"/>
          <w:color w:val="auto"/>
        </w:rPr>
        <w:t>policy mandated by the New York Stock Exchange, which is accessible through the Exhibit List to the Company’s Annual Report on Form 10-K. This clawback policy provides for the recovery of erroneously awarded incentive-based compensation received by current and former executive officers in connection with a financial restatement, regardless of fault or misconduct. No obligation has arisen to recover executive compensation pursuant to this policy.</w:t>
      </w:r>
    </w:p>
    <w:p>
      <w:pPr>
        <w:spacing w:after="0" w:line="67" w:lineRule="exact"/>
        <w:rPr>
          <w:sz w:val="20"/>
          <w:szCs w:val="20"/>
          <w:color w:val="auto"/>
        </w:rPr>
      </w:pPr>
    </w:p>
    <w:p>
      <w:pPr>
        <w:jc w:val="both"/>
        <w:ind w:left="820" w:right="60"/>
        <w:spacing w:after="0" w:line="243" w:lineRule="auto"/>
        <w:rPr>
          <w:sz w:val="20"/>
          <w:szCs w:val="20"/>
          <w:color w:val="auto"/>
        </w:rPr>
      </w:pPr>
      <w:r>
        <w:rPr>
          <w:rFonts w:ascii="Arial" w:cs="Arial" w:eastAsia="Arial" w:hAnsi="Arial"/>
          <w:sz w:val="18"/>
          <w:szCs w:val="18"/>
          <w:color w:val="auto"/>
        </w:rPr>
        <w:t>Additionally, our award agreements for both time-based and performance-based equity awards include compensation clawback provisions that provide, if the MD&amp;C Committee determines that an employee either engaged in or benefited from misconduct, then the employee will refund any amounts received under the equity award agreements. Misconduct generally includes any act or failure to act that caused or was intended to cause a violation of the Company’s policies, generally accepted accounting principles or applicable laws and that materially increased the value of the equity award. Further, our MD&amp;C Committee has adopted a clawback policy applicable to our annual cash incentive awards that is designed to recoup annual cash incentive payments when the recipient’s personal misconduct affects the payout calculations for the awards. Clawback terms applicable to our incentive awards allow recovery within the earlier to occur of one year after discovery of misconduct and the second anniversary of the employee’s termination of employment.</w:t>
      </w:r>
    </w:p>
    <w:p>
      <w:pPr>
        <w:spacing w:after="0" w:line="397" w:lineRule="exact"/>
        <w:rPr>
          <w:sz w:val="20"/>
          <w:szCs w:val="20"/>
          <w:color w:val="auto"/>
        </w:rPr>
      </w:pPr>
    </w:p>
    <w:p>
      <w:pPr>
        <w:ind w:left="820"/>
        <w:spacing w:after="0"/>
        <w:rPr>
          <w:sz w:val="20"/>
          <w:szCs w:val="20"/>
          <w:color w:val="auto"/>
        </w:rPr>
      </w:pPr>
      <w:r>
        <w:rPr>
          <w:rFonts w:ascii="Arial" w:cs="Arial" w:eastAsia="Arial" w:hAnsi="Arial"/>
          <w:sz w:val="20"/>
          <w:szCs w:val="20"/>
          <w:b w:val="1"/>
          <w:bCs w:val="1"/>
          <w:color w:val="457157"/>
        </w:rPr>
        <w:t>Other Compensation Policies and Practices</w:t>
      </w:r>
    </w:p>
    <w:p>
      <w:pPr>
        <w:spacing w:after="0" w:line="112"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i w:val="1"/>
          <w:iCs w:val="1"/>
          <w:u w:val="single" w:color="auto"/>
          <w:color w:val="auto"/>
        </w:rPr>
        <w:t>Compensation Limitation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adopted a Severance Limitation Policy that</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provides that the Company may not enter into severance arrangements with its executive officers that provide for benefits, less the value of vested equity awards and benefits provided to employees generally, in an amount that exceeds 2.99 times the executive officer’s then current base salary and target annual cash incentive, unless such future severance arrangement receives stockholder approval. The Company has also adopted its Policy Limiting Certain Compensation Practices, which generally provides that the Company will not enter into compensation arrangements that would obligate the Company to pay a death benefit or gross-up payment to an executive officer unless such arrangement receives stockholder approval. Both of these compensation limitation policies are subject to certain exceptions, including benefits generally available to management-level employees and any payment in reasonable settlement of a legal claim. Additionally, “Death Benefits” under the policy does not include deferred compensation, retirement benefits or accelerated vesting or continuation of equity-based awards pursuant to generally-applicable equity award plan provisions. None of our executive officers are party to any employment agreement or arrangement with the Company that provides for severance, gross-up or death benefits that exceed amounts permitted by these compensation limitation policies.</w:t>
      </w:r>
    </w:p>
    <w:p>
      <w:pPr>
        <w:spacing w:after="0" w:line="200" w:lineRule="exact"/>
        <w:rPr>
          <w:sz w:val="20"/>
          <w:szCs w:val="20"/>
          <w:color w:val="auto"/>
        </w:rPr>
      </w:pPr>
    </w:p>
    <w:p>
      <w:pPr>
        <w:spacing w:after="0" w:line="309"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i w:val="1"/>
          <w:iCs w:val="1"/>
          <w:u w:val="single" w:color="auto"/>
          <w:color w:val="auto"/>
        </w:rPr>
        <w:t>Stock Ownership Guidelines and Holding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All of our named executive officers are</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to stock ownership guidelines. We instituted stock ownership guidelines because we believe that ownership of Company stock demonstrates a commitment to, and confidence in, the Company’s long -term prospects and further aligns employees’ interests with those of our stockholders. We believe that the requirement that these individuals maintain a portion of their individual wealth in the form of Company stock deters actions that would not benefit stockholders generally. Although there is no deadline set for senior executives to reach their ownership guidelines, the MD&amp;C Committee monitors ownership levels to confirm that executives are making sustained progress toward achievement of their ownership guidelines. Additionally, our stock ownership guidelines contain holding requirements. Executives with a title of Senior Vice President or higher, which includes all of our named executives, must hold 100% of all net shares acquired through the Company’s long-term incentive plans until the individual’s ownership guideline is achieved. Once achieved, the requisite stock ownership level must continue to be retained throughout the executive’s employment with the Company.</w:t>
      </w:r>
    </w:p>
    <w:p>
      <w:pPr>
        <w:spacing w:after="0" w:line="298"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color w:val="auto"/>
        </w:rPr>
        <w:t>The MD&amp;C Committee regularly reviews the ownership guidelines to ensure that the appropriate share ownership levels are in place. Guidelines are expressed as a multiple of base salary and are calculated annually based on the average closing price of our Common Stock for the 20 trading days preceding April 1. Each named executive’s ownership guideline multiple of base salary and ownership multiple of base salary attained as of March 18, 2025 using the closing price of our Common Stock on such date and base salaries in effect on December 31, 2024, are set forth below. Shares owned outright, vested equity awards that have been deferred, Common Stock equivalents based on holdings in the Company’s 401(k) Retirement Savings Plan and phantom stock held in the Company’s 409A Deferral Plan count toward</w:t>
      </w:r>
    </w:p>
    <w:p>
      <w:pPr>
        <w:spacing w:after="0" w:line="200" w:lineRule="exact"/>
        <w:rPr>
          <w:sz w:val="20"/>
          <w:szCs w:val="20"/>
          <w:color w:val="auto"/>
        </w:rPr>
      </w:pPr>
    </w:p>
    <w:p>
      <w:pPr>
        <w:spacing w:after="0" w:line="270"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00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9940"/>
          </w:cols>
          <w:pgMar w:left="580" w:top="97" w:right="1379" w:bottom="784"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68" w:lineRule="auto"/>
        <w:rPr>
          <w:sz w:val="20"/>
          <w:szCs w:val="20"/>
          <w:color w:val="auto"/>
        </w:rPr>
      </w:pPr>
      <w:r>
        <w:rPr>
          <w:rFonts w:ascii="Arial" w:cs="Arial" w:eastAsia="Arial" w:hAnsi="Arial"/>
          <w:sz w:val="18"/>
          <w:szCs w:val="18"/>
          <w:color w:val="auto"/>
        </w:rPr>
        <w:t>meeting the ownership guidelines. PSUs, RSUs and restricted stock, if any, do not count toward meeting the ownership guidelines until they are vested or earned. Unvested stock options and vested unexercised stock options do not count toward meeting the ownership guidelines.</w:t>
      </w:r>
    </w:p>
    <w:p>
      <w:pPr>
        <w:spacing w:after="0" w:line="87" w:lineRule="exact"/>
        <w:rPr>
          <w:sz w:val="20"/>
          <w:szCs w:val="20"/>
          <w:color w:val="auto"/>
        </w:rPr>
      </w:pPr>
    </w:p>
    <w:tbl>
      <w:tblPr>
        <w:tblLayout w:type="fixed"/>
        <w:tblInd w:w="634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457157"/>
              </w:rPr>
              <w:t>Ownership</w:t>
            </w:r>
          </w:p>
        </w:tc>
        <w:tc>
          <w:tcPr>
            <w:tcW w:w="0" w:type="dxa"/>
            <w:vAlign w:val="bottom"/>
          </w:tcPr>
          <w:p>
            <w:pPr>
              <w:spacing w:after="0"/>
              <w:rPr>
                <w:sz w:val="1"/>
                <w:szCs w:val="1"/>
                <w:color w:val="auto"/>
              </w:rPr>
            </w:pPr>
          </w:p>
        </w:tc>
      </w:tr>
      <w:tr>
        <w:trPr>
          <w:trHeight w:val="144"/>
        </w:trPr>
        <w:tc>
          <w:tcPr>
            <w:tcW w:w="15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457157"/>
              </w:rPr>
              <w:t>Ownership</w:t>
            </w:r>
          </w:p>
        </w:tc>
        <w:tc>
          <w:tcPr>
            <w:tcW w:w="120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Multiple of</w:t>
            </w:r>
          </w:p>
        </w:tc>
        <w:tc>
          <w:tcPr>
            <w:tcW w:w="0" w:type="dxa"/>
            <w:vAlign w:val="bottom"/>
          </w:tcPr>
          <w:p>
            <w:pPr>
              <w:spacing w:after="0"/>
              <w:rPr>
                <w:sz w:val="1"/>
                <w:szCs w:val="1"/>
                <w:color w:val="auto"/>
              </w:rPr>
            </w:pPr>
          </w:p>
        </w:tc>
      </w:tr>
      <w:tr>
        <w:trPr>
          <w:trHeight w:val="139"/>
        </w:trPr>
        <w:tc>
          <w:tcPr>
            <w:tcW w:w="1500" w:type="dxa"/>
            <w:vAlign w:val="bottom"/>
            <w:vMerge w:val="continue"/>
          </w:tcPr>
          <w:p>
            <w:pPr>
              <w:spacing w:after="0"/>
              <w:rPr>
                <w:sz w:val="12"/>
                <w:szCs w:val="12"/>
                <w:color w:val="auto"/>
              </w:rPr>
            </w:pPr>
          </w:p>
        </w:tc>
        <w:tc>
          <w:tcPr>
            <w:tcW w:w="1200" w:type="dxa"/>
            <w:vAlign w:val="bottom"/>
          </w:tcPr>
          <w:p>
            <w:pPr>
              <w:jc w:val="right"/>
              <w:spacing w:after="0" w:line="139" w:lineRule="exact"/>
              <w:rPr>
                <w:sz w:val="20"/>
                <w:szCs w:val="20"/>
                <w:color w:val="auto"/>
              </w:rPr>
            </w:pPr>
            <w:r>
              <w:rPr>
                <w:rFonts w:ascii="Arial" w:cs="Arial" w:eastAsia="Arial" w:hAnsi="Arial"/>
                <w:sz w:val="14"/>
                <w:szCs w:val="14"/>
                <w:b w:val="1"/>
                <w:bCs w:val="1"/>
                <w:color w:val="457157"/>
              </w:rPr>
              <w:t>Base Salary</w:t>
            </w:r>
          </w:p>
        </w:tc>
        <w:tc>
          <w:tcPr>
            <w:tcW w:w="0" w:type="dxa"/>
            <w:vAlign w:val="bottom"/>
          </w:tcPr>
          <w:p>
            <w:pPr>
              <w:spacing w:after="0"/>
              <w:rPr>
                <w:sz w:val="1"/>
                <w:szCs w:val="1"/>
                <w:color w:val="auto"/>
              </w:rPr>
            </w:pPr>
          </w:p>
        </w:tc>
      </w:tr>
      <w:tr>
        <w:trPr>
          <w:trHeight w:val="149"/>
        </w:trPr>
        <w:tc>
          <w:tcPr>
            <w:tcW w:w="150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457157"/>
              </w:rPr>
              <w:t>Guideline Multiple</w:t>
            </w:r>
          </w:p>
        </w:tc>
        <w:tc>
          <w:tcPr>
            <w:tcW w:w="12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Attained as of</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520" w:type="dxa"/>
        <w:tblCellMar>
          <w:top w:w="0" w:type="dxa"/>
          <w:left w:w="0" w:type="dxa"/>
          <w:bottom w:w="0" w:type="dxa"/>
          <w:right w:w="0" w:type="dxa"/>
        </w:tblCellMar>
      </w:tblPr>
      <w:tr>
        <w:trPr>
          <w:trHeight w:val="198"/>
        </w:trPr>
        <w:tc>
          <w:tcPr>
            <w:tcW w:w="2940" w:type="dxa"/>
            <w:vAlign w:val="bottom"/>
          </w:tcPr>
          <w:p>
            <w:pPr>
              <w:ind w:left="60"/>
              <w:spacing w:after="0"/>
              <w:rPr>
                <w:sz w:val="20"/>
                <w:szCs w:val="20"/>
                <w:color w:val="auto"/>
              </w:rPr>
            </w:pPr>
            <w:r>
              <w:rPr>
                <w:rFonts w:ascii="Arial" w:cs="Arial" w:eastAsia="Arial" w:hAnsi="Arial"/>
                <w:sz w:val="14"/>
                <w:szCs w:val="14"/>
                <w:b w:val="1"/>
                <w:bCs w:val="1"/>
                <w:color w:val="457157"/>
              </w:rPr>
              <w:t>​</w:t>
            </w:r>
          </w:p>
        </w:tc>
        <w:tc>
          <w:tcPr>
            <w:tcW w:w="2060" w:type="dxa"/>
            <w:vAlign w:val="bottom"/>
          </w:tcPr>
          <w:p>
            <w:pPr>
              <w:ind w:left="1760"/>
              <w:spacing w:after="0"/>
              <w:rPr>
                <w:sz w:val="20"/>
                <w:szCs w:val="20"/>
                <w:color w:val="auto"/>
              </w:rPr>
            </w:pPr>
            <w:r>
              <w:rPr>
                <w:rFonts w:ascii="Arial" w:cs="Arial" w:eastAsia="Arial" w:hAnsi="Arial"/>
                <w:sz w:val="14"/>
                <w:szCs w:val="14"/>
                <w:b w:val="1"/>
                <w:bCs w:val="1"/>
                <w:color w:val="457157"/>
              </w:rPr>
              <w:t>​ ​</w:t>
            </w:r>
          </w:p>
        </w:tc>
        <w:tc>
          <w:tcPr>
            <w:tcW w:w="2680" w:type="dxa"/>
            <w:vAlign w:val="bottom"/>
            <w:gridSpan w:val="5"/>
          </w:tcPr>
          <w:p>
            <w:pPr>
              <w:ind w:left="140"/>
              <w:spacing w:after="0" w:line="198" w:lineRule="exact"/>
              <w:rPr>
                <w:sz w:val="20"/>
                <w:szCs w:val="20"/>
                <w:color w:val="auto"/>
              </w:rPr>
            </w:pPr>
            <w:r>
              <w:rPr>
                <w:rFonts w:ascii="Arial" w:cs="Arial" w:eastAsia="Arial" w:hAnsi="Arial"/>
                <w:sz w:val="12"/>
                <w:szCs w:val="12"/>
                <w:b w:val="1"/>
                <w:bCs w:val="1"/>
                <w:color w:val="457157"/>
              </w:rPr>
              <w:t xml:space="preserve">of Base Salary  </w:t>
            </w:r>
            <w:r>
              <w:rPr>
                <w:rFonts w:ascii="Arial" w:cs="Arial" w:eastAsia="Arial" w:hAnsi="Arial"/>
                <w:sz w:val="22"/>
                <w:szCs w:val="22"/>
                <w:b w:val="1"/>
                <w:bCs w:val="1"/>
                <w:color w:val="457157"/>
                <w:vertAlign w:val="subscript"/>
              </w:rPr>
              <w:t>​ ​</w:t>
            </w:r>
            <w:r>
              <w:rPr>
                <w:rFonts w:ascii="Arial" w:cs="Arial" w:eastAsia="Arial" w:hAnsi="Arial"/>
                <w:sz w:val="12"/>
                <w:szCs w:val="12"/>
                <w:b w:val="1"/>
                <w:bCs w:val="1"/>
                <w:color w:val="457157"/>
              </w:rPr>
              <w:t xml:space="preserve">March 18, 2025 </w:t>
            </w:r>
            <w:r>
              <w:rPr>
                <w:rFonts w:ascii="Arial" w:cs="Arial" w:eastAsia="Arial" w:hAnsi="Arial"/>
                <w:sz w:val="22"/>
                <w:szCs w:val="22"/>
                <w:b w:val="1"/>
                <w:bCs w:val="1"/>
                <w:color w:val="457157"/>
                <w:vertAlign w:val="subscript"/>
              </w:rPr>
              <w:t>​</w:t>
            </w:r>
          </w:p>
        </w:tc>
      </w:tr>
      <w:tr>
        <w:trPr>
          <w:trHeight w:val="20"/>
        </w:trPr>
        <w:tc>
          <w:tcPr>
            <w:tcW w:w="2940" w:type="dxa"/>
            <w:vAlign w:val="bottom"/>
            <w:shd w:val="clear" w:color="auto" w:fill="457157"/>
          </w:tcPr>
          <w:p>
            <w:pPr>
              <w:spacing w:after="0" w:line="20" w:lineRule="exact"/>
              <w:rPr>
                <w:sz w:val="1"/>
                <w:szCs w:val="1"/>
                <w:color w:val="auto"/>
              </w:rPr>
            </w:pPr>
          </w:p>
        </w:tc>
        <w:tc>
          <w:tcPr>
            <w:tcW w:w="206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29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Fish</w:t>
            </w:r>
          </w:p>
        </w:tc>
        <w:tc>
          <w:tcPr>
            <w:tcW w:w="2060" w:type="dxa"/>
            <w:vAlign w:val="bottom"/>
          </w:tcPr>
          <w:p>
            <w:pPr>
              <w:ind w:left="1700"/>
              <w:spacing w:after="0"/>
              <w:rPr>
                <w:sz w:val="20"/>
                <w:szCs w:val="20"/>
                <w:color w:val="auto"/>
              </w:rPr>
            </w:pPr>
            <w:r>
              <w:rPr>
                <w:rFonts w:ascii="Arial" w:cs="Arial" w:eastAsia="Arial" w:hAnsi="Arial"/>
                <w:sz w:val="18"/>
                <w:szCs w:val="18"/>
                <w:color w:val="auto"/>
              </w:rPr>
              <w:t>​ ​</w:t>
            </w:r>
          </w:p>
        </w:tc>
        <w:tc>
          <w:tcPr>
            <w:tcW w:w="900" w:type="dxa"/>
            <w:vAlign w:val="bottom"/>
          </w:tcPr>
          <w:p>
            <w:pPr>
              <w:ind w:left="3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​6x</w:t>
            </w:r>
          </w:p>
        </w:tc>
        <w:tc>
          <w:tcPr>
            <w:tcW w:w="740" w:type="dxa"/>
            <w:vAlign w:val="bottom"/>
          </w:tcPr>
          <w:p>
            <w:pPr>
              <w:ind w:left="280"/>
              <w:spacing w:after="0"/>
              <w:rPr>
                <w:sz w:val="20"/>
                <w:szCs w:val="20"/>
                <w:color w:val="auto"/>
              </w:rPr>
            </w:pPr>
            <w:r>
              <w:rPr>
                <w:rFonts w:ascii="Arial" w:cs="Arial" w:eastAsia="Arial" w:hAnsi="Arial"/>
                <w:sz w:val="18"/>
                <w:szCs w:val="18"/>
                <w:color w:val="auto"/>
              </w:rPr>
              <w:t>​ ​ ​</w:t>
            </w:r>
          </w:p>
        </w:tc>
        <w:tc>
          <w:tcPr>
            <w:tcW w:w="740" w:type="dxa"/>
            <w:vAlign w:val="bottom"/>
          </w:tcPr>
          <w:p>
            <w:pPr>
              <w:ind w:left="1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​50x</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0"/>
        </w:trPr>
        <w:tc>
          <w:tcPr>
            <w:tcW w:w="2940" w:type="dxa"/>
            <w:vAlign w:val="bottom"/>
            <w:shd w:val="clear" w:color="auto" w:fill="457157"/>
          </w:tcPr>
          <w:p>
            <w:pPr>
              <w:spacing w:after="0" w:line="20" w:lineRule="exact"/>
              <w:rPr>
                <w:sz w:val="1"/>
                <w:szCs w:val="1"/>
                <w:color w:val="auto"/>
              </w:rPr>
            </w:pPr>
          </w:p>
        </w:tc>
        <w:tc>
          <w:tcPr>
            <w:tcW w:w="206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9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Rankin</w:t>
            </w:r>
          </w:p>
        </w:tc>
        <w:tc>
          <w:tcPr>
            <w:tcW w:w="2060" w:type="dxa"/>
            <w:vAlign w:val="bottom"/>
          </w:tcPr>
          <w:p>
            <w:pPr>
              <w:ind w:left="1700"/>
              <w:spacing w:after="0"/>
              <w:rPr>
                <w:sz w:val="20"/>
                <w:szCs w:val="20"/>
                <w:color w:val="auto"/>
              </w:rPr>
            </w:pPr>
            <w:r>
              <w:rPr>
                <w:rFonts w:ascii="Arial" w:cs="Arial" w:eastAsia="Arial" w:hAnsi="Arial"/>
                <w:sz w:val="18"/>
                <w:szCs w:val="18"/>
                <w:color w:val="auto"/>
              </w:rPr>
              <w:t>​ ​</w:t>
            </w:r>
          </w:p>
        </w:tc>
        <w:tc>
          <w:tcPr>
            <w:tcW w:w="900" w:type="dxa"/>
            <w:vAlign w:val="bottom"/>
          </w:tcPr>
          <w:p>
            <w:pPr>
              <w:ind w:left="3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​3x</w:t>
            </w:r>
          </w:p>
        </w:tc>
        <w:tc>
          <w:tcPr>
            <w:tcW w:w="740" w:type="dxa"/>
            <w:vAlign w:val="bottom"/>
          </w:tcPr>
          <w:p>
            <w:pPr>
              <w:ind w:left="280"/>
              <w:spacing w:after="0"/>
              <w:rPr>
                <w:sz w:val="20"/>
                <w:szCs w:val="20"/>
                <w:color w:val="auto"/>
              </w:rPr>
            </w:pPr>
            <w:r>
              <w:rPr>
                <w:rFonts w:ascii="Arial" w:cs="Arial" w:eastAsia="Arial" w:hAnsi="Arial"/>
                <w:sz w:val="18"/>
                <w:szCs w:val="18"/>
                <w:color w:val="auto"/>
              </w:rPr>
              <w:t>​ ​ ​</w:t>
            </w:r>
          </w:p>
        </w:tc>
        <w:tc>
          <w:tcPr>
            <w:tcW w:w="740" w:type="dxa"/>
            <w:vAlign w:val="bottom"/>
          </w:tcPr>
          <w:p>
            <w:pPr>
              <w:ind w:left="1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​18x</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0"/>
        </w:trPr>
        <w:tc>
          <w:tcPr>
            <w:tcW w:w="2940" w:type="dxa"/>
            <w:vAlign w:val="bottom"/>
            <w:shd w:val="clear" w:color="auto" w:fill="457157"/>
          </w:tcPr>
          <w:p>
            <w:pPr>
              <w:spacing w:after="0" w:line="20" w:lineRule="exact"/>
              <w:rPr>
                <w:sz w:val="1"/>
                <w:szCs w:val="1"/>
                <w:color w:val="auto"/>
              </w:rPr>
            </w:pPr>
          </w:p>
        </w:tc>
        <w:tc>
          <w:tcPr>
            <w:tcW w:w="206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9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Morris</w:t>
            </w:r>
          </w:p>
        </w:tc>
        <w:tc>
          <w:tcPr>
            <w:tcW w:w="2060" w:type="dxa"/>
            <w:vAlign w:val="bottom"/>
          </w:tcPr>
          <w:p>
            <w:pPr>
              <w:ind w:left="1700"/>
              <w:spacing w:after="0"/>
              <w:rPr>
                <w:sz w:val="20"/>
                <w:szCs w:val="20"/>
                <w:color w:val="auto"/>
              </w:rPr>
            </w:pPr>
            <w:r>
              <w:rPr>
                <w:rFonts w:ascii="Arial" w:cs="Arial" w:eastAsia="Arial" w:hAnsi="Arial"/>
                <w:sz w:val="18"/>
                <w:szCs w:val="18"/>
                <w:color w:val="auto"/>
              </w:rPr>
              <w:t>​ ​</w:t>
            </w:r>
          </w:p>
        </w:tc>
        <w:tc>
          <w:tcPr>
            <w:tcW w:w="900" w:type="dxa"/>
            <w:vAlign w:val="bottom"/>
          </w:tcPr>
          <w:p>
            <w:pPr>
              <w:ind w:left="3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​3x</w:t>
            </w:r>
          </w:p>
        </w:tc>
        <w:tc>
          <w:tcPr>
            <w:tcW w:w="740" w:type="dxa"/>
            <w:vAlign w:val="bottom"/>
          </w:tcPr>
          <w:p>
            <w:pPr>
              <w:ind w:left="280"/>
              <w:spacing w:after="0"/>
              <w:rPr>
                <w:sz w:val="20"/>
                <w:szCs w:val="20"/>
                <w:color w:val="auto"/>
              </w:rPr>
            </w:pPr>
            <w:r>
              <w:rPr>
                <w:rFonts w:ascii="Arial" w:cs="Arial" w:eastAsia="Arial" w:hAnsi="Arial"/>
                <w:sz w:val="18"/>
                <w:szCs w:val="18"/>
                <w:color w:val="auto"/>
              </w:rPr>
              <w:t>​ ​ ​</w:t>
            </w:r>
          </w:p>
        </w:tc>
        <w:tc>
          <w:tcPr>
            <w:tcW w:w="740" w:type="dxa"/>
            <w:vAlign w:val="bottom"/>
          </w:tcPr>
          <w:p>
            <w:pPr>
              <w:ind w:left="1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​25x</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0"/>
        </w:trPr>
        <w:tc>
          <w:tcPr>
            <w:tcW w:w="2940" w:type="dxa"/>
            <w:vAlign w:val="bottom"/>
            <w:shd w:val="clear" w:color="auto" w:fill="457157"/>
          </w:tcPr>
          <w:p>
            <w:pPr>
              <w:spacing w:after="0" w:line="20" w:lineRule="exact"/>
              <w:rPr>
                <w:sz w:val="1"/>
                <w:szCs w:val="1"/>
                <w:color w:val="auto"/>
              </w:rPr>
            </w:pPr>
          </w:p>
        </w:tc>
        <w:tc>
          <w:tcPr>
            <w:tcW w:w="206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9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Ms. Hemmer</w:t>
            </w:r>
          </w:p>
        </w:tc>
        <w:tc>
          <w:tcPr>
            <w:tcW w:w="2060" w:type="dxa"/>
            <w:vAlign w:val="bottom"/>
          </w:tcPr>
          <w:p>
            <w:pPr>
              <w:ind w:left="1700"/>
              <w:spacing w:after="0"/>
              <w:rPr>
                <w:sz w:val="20"/>
                <w:szCs w:val="20"/>
                <w:color w:val="auto"/>
              </w:rPr>
            </w:pPr>
            <w:r>
              <w:rPr>
                <w:rFonts w:ascii="Arial" w:cs="Arial" w:eastAsia="Arial" w:hAnsi="Arial"/>
                <w:sz w:val="18"/>
                <w:szCs w:val="18"/>
                <w:color w:val="auto"/>
              </w:rPr>
              <w:t>​ ​</w:t>
            </w:r>
          </w:p>
        </w:tc>
        <w:tc>
          <w:tcPr>
            <w:tcW w:w="900" w:type="dxa"/>
            <w:vAlign w:val="bottom"/>
          </w:tcPr>
          <w:p>
            <w:pPr>
              <w:ind w:left="3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​3x</w:t>
            </w:r>
          </w:p>
        </w:tc>
        <w:tc>
          <w:tcPr>
            <w:tcW w:w="740" w:type="dxa"/>
            <w:vAlign w:val="bottom"/>
          </w:tcPr>
          <w:p>
            <w:pPr>
              <w:ind w:left="280"/>
              <w:spacing w:after="0"/>
              <w:rPr>
                <w:sz w:val="20"/>
                <w:szCs w:val="20"/>
                <w:color w:val="auto"/>
              </w:rPr>
            </w:pPr>
            <w:r>
              <w:rPr>
                <w:rFonts w:ascii="Arial" w:cs="Arial" w:eastAsia="Arial" w:hAnsi="Arial"/>
                <w:sz w:val="18"/>
                <w:szCs w:val="18"/>
                <w:color w:val="auto"/>
              </w:rPr>
              <w:t>​ ​ ​</w:t>
            </w:r>
          </w:p>
        </w:tc>
        <w:tc>
          <w:tcPr>
            <w:tcW w:w="740" w:type="dxa"/>
            <w:vAlign w:val="bottom"/>
          </w:tcPr>
          <w:p>
            <w:pPr>
              <w:ind w:left="1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​17x</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0"/>
        </w:trPr>
        <w:tc>
          <w:tcPr>
            <w:tcW w:w="2940" w:type="dxa"/>
            <w:vAlign w:val="bottom"/>
            <w:shd w:val="clear" w:color="auto" w:fill="457157"/>
          </w:tcPr>
          <w:p>
            <w:pPr>
              <w:spacing w:after="0" w:line="20" w:lineRule="exact"/>
              <w:rPr>
                <w:sz w:val="1"/>
                <w:szCs w:val="1"/>
                <w:color w:val="auto"/>
              </w:rPr>
            </w:pPr>
          </w:p>
        </w:tc>
        <w:tc>
          <w:tcPr>
            <w:tcW w:w="206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2940" w:type="dxa"/>
            <w:vAlign w:val="bottom"/>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Mr. Carrasco</w:t>
            </w:r>
          </w:p>
        </w:tc>
        <w:tc>
          <w:tcPr>
            <w:tcW w:w="2060" w:type="dxa"/>
            <w:vAlign w:val="bottom"/>
          </w:tcPr>
          <w:p>
            <w:pPr>
              <w:ind w:left="1700"/>
              <w:spacing w:after="0"/>
              <w:rPr>
                <w:sz w:val="20"/>
                <w:szCs w:val="20"/>
                <w:color w:val="auto"/>
              </w:rPr>
            </w:pPr>
            <w:r>
              <w:rPr>
                <w:rFonts w:ascii="Arial" w:cs="Arial" w:eastAsia="Arial" w:hAnsi="Arial"/>
                <w:sz w:val="18"/>
                <w:szCs w:val="18"/>
                <w:color w:val="auto"/>
              </w:rPr>
              <w:t>​ ​</w:t>
            </w:r>
          </w:p>
        </w:tc>
        <w:tc>
          <w:tcPr>
            <w:tcW w:w="900" w:type="dxa"/>
            <w:vAlign w:val="bottom"/>
          </w:tcPr>
          <w:p>
            <w:pPr>
              <w:ind w:left="3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​3x</w:t>
            </w:r>
          </w:p>
        </w:tc>
        <w:tc>
          <w:tcPr>
            <w:tcW w:w="740" w:type="dxa"/>
            <w:vAlign w:val="bottom"/>
          </w:tcPr>
          <w:p>
            <w:pPr>
              <w:ind w:left="280"/>
              <w:spacing w:after="0"/>
              <w:rPr>
                <w:sz w:val="20"/>
                <w:szCs w:val="20"/>
                <w:color w:val="auto"/>
              </w:rPr>
            </w:pPr>
            <w:r>
              <w:rPr>
                <w:rFonts w:ascii="Arial" w:cs="Arial" w:eastAsia="Arial" w:hAnsi="Arial"/>
                <w:sz w:val="18"/>
                <w:szCs w:val="18"/>
                <w:color w:val="auto"/>
              </w:rPr>
              <w:t>​ ​ ​</w:t>
            </w:r>
          </w:p>
        </w:tc>
        <w:tc>
          <w:tcPr>
            <w:tcW w:w="740" w:type="dxa"/>
            <w:vAlign w:val="bottom"/>
          </w:tcPr>
          <w:p>
            <w:pPr>
              <w:ind w:left="18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5x</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0"/>
        </w:trPr>
        <w:tc>
          <w:tcPr>
            <w:tcW w:w="2940" w:type="dxa"/>
            <w:vAlign w:val="bottom"/>
            <w:shd w:val="clear" w:color="auto" w:fill="457157"/>
          </w:tcPr>
          <w:p>
            <w:pPr>
              <w:spacing w:after="0" w:line="20" w:lineRule="exact"/>
              <w:rPr>
                <w:sz w:val="1"/>
                <w:szCs w:val="1"/>
                <w:color w:val="auto"/>
              </w:rPr>
            </w:pPr>
          </w:p>
        </w:tc>
        <w:tc>
          <w:tcPr>
            <w:tcW w:w="206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-908050</wp:posOffset>
            </wp:positionV>
            <wp:extent cx="4843145" cy="1803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843145" cy="18034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-548005</wp:posOffset>
            </wp:positionV>
            <wp:extent cx="4843145" cy="1797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-187960</wp:posOffset>
            </wp:positionV>
            <wp:extent cx="4843145" cy="1797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843145" cy="179705"/>
                    </a:xfrm>
                    <a:prstGeom prst="rect">
                      <a:avLst/>
                    </a:prstGeom>
                    <a:noFill/>
                  </pic:spPr>
                </pic:pic>
              </a:graphicData>
            </a:graphic>
          </wp:anchor>
        </w:drawing>
      </w:r>
    </w:p>
    <w:p>
      <w:pPr>
        <w:spacing w:after="0" w:line="56"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As discussed under “Director and Officer Stock Ownership,” the MD&amp;C Committee also establishes ownership guidelines for the non-employee directors and performs regular reviews to ensure all non-employee directors are in compliance or are showing sustained progress toward achievement of their ownership guideline.</w:t>
      </w:r>
    </w:p>
    <w:p>
      <w:pPr>
        <w:spacing w:after="0" w:line="286"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i w:val="1"/>
          <w:iCs w:val="1"/>
          <w:u w:val="single" w:color="auto"/>
          <w:color w:val="auto"/>
        </w:rPr>
        <w:t>Insider Trading; Prohibition of Hedging and Pledging Company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Insider</w:t>
      </w:r>
      <w:r>
        <w:rPr>
          <w:rFonts w:ascii="Arial" w:cs="Arial" w:eastAsia="Arial" w:hAnsi="Arial"/>
          <w:sz w:val="18"/>
          <w:szCs w:val="18"/>
          <w:i w:val="1"/>
          <w:iCs w:val="1"/>
          <w:color w:val="auto"/>
        </w:rPr>
        <w:t xml:space="preserve"> </w:t>
      </w:r>
      <w:r>
        <w:rPr>
          <w:rFonts w:ascii="Arial" w:cs="Arial" w:eastAsia="Arial" w:hAnsi="Arial"/>
          <w:sz w:val="18"/>
          <w:szCs w:val="18"/>
          <w:color w:val="auto"/>
        </w:rPr>
        <w:t>Trading Policy prohibits directors, executive officers and other “designated insiders” from engaging in most transactions involving the Company’s Common Stock during periods, determined by the Company, that those individuals are most likely to be aware of material, non-public information. Directors, executive officers and other designated insiders subject to stock ownership guidelines must clear all their transactions in our Common Stock with the Company’s office of the Chief Legal Officer in advance. Additionally, it is our policy that directors, executive officers and designated insiders are not permitted to hedge their ownership of Company securities, including (a) trading in options, warrants, puts and calls or similar derivative instruments on any security of the Company; (b) selling any security of the Company “short” and (c) purchasing any financial instruments (including prepaid variable forward contracts, equity swaps, collars and exchange funds) or otherwise engaging in transactions that are designed to or have the effect of offsetting any decrease in the market value of any security of the Company granted as compensation or held, directly or indirectly, by the director, executive officer or designated insider. The Company’s Insider Trading Policy also provides that directors, executive officers and designated insiders may not pledge Company securities or hold Company securities in a margin account.</w:t>
      </w:r>
    </w:p>
    <w:p>
      <w:pPr>
        <w:spacing w:after="0" w:line="200" w:lineRule="exact"/>
        <w:rPr>
          <w:sz w:val="20"/>
          <w:szCs w:val="20"/>
          <w:color w:val="auto"/>
        </w:rPr>
      </w:pPr>
    </w:p>
    <w:p>
      <w:pPr>
        <w:spacing w:after="0" w:line="311"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i w:val="1"/>
          <w:iCs w:val="1"/>
          <w:u w:val="single" w:color="auto"/>
          <w:color w:val="auto"/>
        </w:rPr>
        <w:t>Timing of Grants of Certain Equity Awards Close in Time to the Release of Material Nonpublic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does not have a formal policy regarding the timing of awards of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in relation to the disclosure of material nonpublic information by the Company. However, the Company’s long-standing historical practice has been to make annual grants of equity awards, including all stock option awards, in connection with our regularly scheduled first quarter meeting of the MD&amp;C Committee and the Board. This meeting occurs following the release of the Company’s financial results for the fourth quarter and prior fiscal year, when our stock trading window for designated insiders is typically open. As a result, our stock option awards are made at a time when possession of material nonpublic information is not generally anticipated. Stock options are not granted at any other time of the year, as they are not a component of any off-cycle awards. The Company has not timed the disclosure of material nonpublic information for the purpose of affecting the value of executive compensation. The MD&amp;C Committee granted annual long-term equity incentive awards, including stock options, to designated employees, including our named executives, on March 1, 2024 in accordance with our historical practice, and such equity awards were timely reported on a Current Report on Form 8-K. Additionally, on March 1, 2024, the Company filed a Current Report on Form 8- K to make mandatory disclosure of the election of an additional member of our Board pursuant to Item 5.02; the Company does not deem such disclosure to constitute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27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71805" cy="12827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EXECUTIVE COMPENSATION TABLES</w:t>
      </w:r>
    </w:p>
    <w:p>
      <w:pPr>
        <w:spacing w:after="0" w:line="121" w:lineRule="exact"/>
        <w:rPr>
          <w:sz w:val="20"/>
          <w:szCs w:val="20"/>
          <w:color w:val="auto"/>
        </w:rPr>
      </w:pPr>
    </w:p>
    <w:p>
      <w:pPr>
        <w:jc w:val="both"/>
        <w:ind w:left="820" w:right="60"/>
        <w:spacing w:after="0" w:line="259" w:lineRule="auto"/>
        <w:rPr>
          <w:sz w:val="20"/>
          <w:szCs w:val="20"/>
          <w:color w:val="auto"/>
        </w:rPr>
      </w:pPr>
      <w:r>
        <w:rPr>
          <w:rFonts w:ascii="Arial" w:cs="Arial" w:eastAsia="Arial" w:hAnsi="Arial"/>
          <w:sz w:val="18"/>
          <w:szCs w:val="18"/>
          <w:color w:val="auto"/>
        </w:rPr>
        <w:t xml:space="preserve">We are required to present compensation information in the tabular format prescribed by the SEC. This format, including the tables’ column headings, may be different from the way we describe or consider elements and components of compensation internally. The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w:t>
      </w:r>
      <w:r>
        <w:rPr>
          <w:rFonts w:ascii="Arial" w:cs="Arial" w:eastAsia="Arial" w:hAnsi="Arial"/>
          <w:sz w:val="18"/>
          <w:szCs w:val="18"/>
          <w:color w:val="auto"/>
        </w:rPr>
        <w:t>contains a discussion that should be read in conjunction with these tables to gain a complete</w:t>
      </w:r>
      <w:r>
        <w:rPr>
          <w:rFonts w:ascii="Arial" w:cs="Arial" w:eastAsia="Arial" w:hAnsi="Arial"/>
          <w:sz w:val="18"/>
          <w:szCs w:val="18"/>
          <w:i w:val="1"/>
          <w:iCs w:val="1"/>
          <w:color w:val="auto"/>
        </w:rPr>
        <w:t xml:space="preserve"> </w:t>
      </w:r>
      <w:r>
        <w:rPr>
          <w:rFonts w:ascii="Arial" w:cs="Arial" w:eastAsia="Arial" w:hAnsi="Arial"/>
          <w:sz w:val="18"/>
          <w:szCs w:val="18"/>
          <w:color w:val="auto"/>
        </w:rPr>
        <w:t>understanding of our executive compensation philosophy, programs and decisions.</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Summary Compensation Table</w:t>
      </w:r>
    </w:p>
    <w:p>
      <w:pPr>
        <w:spacing w:after="0" w:line="13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Stock</w:t>
            </w:r>
          </w:p>
        </w:tc>
        <w:tc>
          <w:tcPr>
            <w:tcW w:w="180" w:type="dxa"/>
            <w:vAlign w:val="bottom"/>
          </w:tcPr>
          <w:p>
            <w:pPr>
              <w:spacing w:after="0"/>
              <w:rPr>
                <w:sz w:val="14"/>
                <w:szCs w:val="14"/>
                <w:color w:val="auto"/>
              </w:rPr>
            </w:pPr>
          </w:p>
        </w:tc>
        <w:tc>
          <w:tcPr>
            <w:tcW w:w="640" w:type="dxa"/>
            <w:vAlign w:val="bottom"/>
            <w:vMerge w:val="restart"/>
          </w:tcPr>
          <w:p>
            <w:pPr>
              <w:jc w:val="right"/>
              <w:ind w:right="9"/>
              <w:spacing w:after="0"/>
              <w:rPr>
                <w:sz w:val="20"/>
                <w:szCs w:val="20"/>
                <w:color w:val="auto"/>
              </w:rPr>
            </w:pPr>
            <w:r>
              <w:rPr>
                <w:rFonts w:ascii="Arial" w:cs="Arial" w:eastAsia="Arial" w:hAnsi="Arial"/>
                <w:sz w:val="14"/>
                <w:szCs w:val="14"/>
                <w:b w:val="1"/>
                <w:bCs w:val="1"/>
                <w:color w:val="457157"/>
              </w:rPr>
              <w:t>Option</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457157"/>
              </w:rPr>
              <w:t>Non-Equity</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All Other</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457157"/>
              </w:rPr>
              <w:t>Salary</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Incentive Plan</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Total</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Year</w:t>
            </w:r>
          </w:p>
        </w:tc>
        <w:tc>
          <w:tcPr>
            <w:tcW w:w="2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Awards</w:t>
            </w:r>
          </w:p>
        </w:tc>
        <w:tc>
          <w:tcPr>
            <w:tcW w:w="180" w:type="dxa"/>
            <w:vAlign w:val="bottom"/>
          </w:tcPr>
          <w:p>
            <w:pPr>
              <w:spacing w:after="0"/>
              <w:rPr>
                <w:sz w:val="12"/>
                <w:szCs w:val="12"/>
                <w:color w:val="auto"/>
              </w:rPr>
            </w:pPr>
          </w:p>
        </w:tc>
        <w:tc>
          <w:tcPr>
            <w:tcW w:w="1840" w:type="dxa"/>
            <w:vAlign w:val="bottom"/>
            <w:gridSpan w:val="4"/>
          </w:tcPr>
          <w:p>
            <w:pPr>
              <w:jc w:val="right"/>
              <w:spacing w:after="0" w:line="145" w:lineRule="exact"/>
              <w:rPr>
                <w:sz w:val="20"/>
                <w:szCs w:val="20"/>
                <w:color w:val="auto"/>
              </w:rPr>
            </w:pPr>
            <w:r>
              <w:rPr>
                <w:rFonts w:ascii="Arial" w:cs="Arial" w:eastAsia="Arial" w:hAnsi="Arial"/>
                <w:sz w:val="14"/>
                <w:szCs w:val="14"/>
                <w:b w:val="1"/>
                <w:bCs w:val="1"/>
                <w:color w:val="457157"/>
              </w:rPr>
              <w:t>Awards  Compensation</w:t>
            </w:r>
          </w:p>
        </w:tc>
        <w:tc>
          <w:tcPr>
            <w:tcW w:w="60" w:type="dxa"/>
            <w:vAlign w:val="bottom"/>
          </w:tcPr>
          <w:p>
            <w:pPr>
              <w:spacing w:after="0"/>
              <w:rPr>
                <w:sz w:val="12"/>
                <w:szCs w:val="12"/>
                <w:color w:val="auto"/>
              </w:rPr>
            </w:pPr>
          </w:p>
        </w:tc>
        <w:tc>
          <w:tcPr>
            <w:tcW w:w="120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457157"/>
              </w:rPr>
              <w:t>Compensation</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vMerge w:val="continue"/>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w:t>
            </w:r>
          </w:p>
        </w:tc>
        <w:tc>
          <w:tcPr>
            <w:tcW w:w="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w:t>
            </w:r>
            <w:r>
              <w:rPr>
                <w:rFonts w:ascii="Arial" w:cs="Arial" w:eastAsia="Arial" w:hAnsi="Arial"/>
                <w:sz w:val="17"/>
                <w:szCs w:val="17"/>
                <w:b w:val="1"/>
                <w:bCs w:val="1"/>
                <w:color w:val="457157"/>
                <w:vertAlign w:val="superscript"/>
              </w:rPr>
              <w:t>(1)</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w:t>
            </w:r>
            <w:r>
              <w:rPr>
                <w:rFonts w:ascii="Arial" w:cs="Arial" w:eastAsia="Arial" w:hAnsi="Arial"/>
                <w:sz w:val="17"/>
                <w:szCs w:val="17"/>
                <w:b w:val="1"/>
                <w:bCs w:val="1"/>
                <w:color w:val="457157"/>
                <w:vertAlign w:val="superscript"/>
              </w:rPr>
              <w:t>(2)</w:t>
            </w:r>
          </w:p>
        </w:tc>
        <w:tc>
          <w:tcPr>
            <w:tcW w:w="320" w:type="dxa"/>
            <w:vAlign w:val="bottom"/>
            <w:gridSpan w:val="2"/>
            <w:vMerge w:val="restart"/>
          </w:tcPr>
          <w:p>
            <w:pPr>
              <w:jc w:val="right"/>
              <w:ind w:right="112"/>
              <w:spacing w:after="0"/>
              <w:rPr>
                <w:sz w:val="20"/>
                <w:szCs w:val="20"/>
                <w:color w:val="auto"/>
              </w:rPr>
            </w:pPr>
            <w:r>
              <w:rPr>
                <w:rFonts w:ascii="Arial" w:cs="Arial" w:eastAsia="Arial" w:hAnsi="Arial"/>
                <w:sz w:val="14"/>
                <w:szCs w:val="14"/>
                <w:b w:val="1"/>
                <w:bCs w:val="1"/>
                <w:color w:val="457157"/>
              </w:rPr>
              <w:t>​​</w:t>
            </w:r>
          </w:p>
        </w:tc>
        <w:tc>
          <w:tcPr>
            <w:tcW w:w="9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w:t>
            </w:r>
            <w:r>
              <w:rPr>
                <w:rFonts w:ascii="Arial" w:cs="Arial" w:eastAsia="Arial" w:hAnsi="Arial"/>
                <w:sz w:val="8"/>
                <w:szCs w:val="8"/>
                <w:b w:val="1"/>
                <w:bCs w:val="1"/>
                <w:color w:val="457157"/>
              </w:rPr>
              <w:t>(3)</w:t>
            </w:r>
          </w:p>
        </w:tc>
        <w:tc>
          <w:tcPr>
            <w:tcW w:w="22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w:t>
            </w:r>
          </w:p>
        </w:tc>
        <w:tc>
          <w:tcPr>
            <w:tcW w:w="22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w:t>
            </w:r>
            <w:r>
              <w:rPr>
                <w:rFonts w:ascii="Arial" w:cs="Arial" w:eastAsia="Arial" w:hAnsi="Arial"/>
                <w:sz w:val="17"/>
                <w:szCs w:val="17"/>
                <w:b w:val="1"/>
                <w:bCs w:val="1"/>
                <w:color w:val="457157"/>
                <w:vertAlign w:val="superscript"/>
              </w:rPr>
              <w:t>(4)</w:t>
            </w:r>
          </w:p>
        </w:tc>
        <w:tc>
          <w:tcPr>
            <w:tcW w:w="30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w:t>
            </w:r>
          </w:p>
        </w:tc>
        <w:tc>
          <w:tcPr>
            <w:tcW w:w="40" w:type="dxa"/>
            <w:vAlign w:val="bottom"/>
          </w:tcPr>
          <w:p>
            <w:pPr>
              <w:spacing w:after="0"/>
              <w:rPr>
                <w:sz w:val="12"/>
                <w:szCs w:val="12"/>
                <w:color w:val="auto"/>
              </w:rPr>
            </w:pP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54"/>
        </w:trPr>
        <w:tc>
          <w:tcPr>
            <w:tcW w:w="2980" w:type="dxa"/>
            <w:vAlign w:val="bottom"/>
            <w:tcBorders>
              <w:bottom w:val="single" w:sz="8" w:color="457157"/>
            </w:tcBorders>
          </w:tcPr>
          <w:p>
            <w:pPr>
              <w:ind w:left="20"/>
              <w:spacing w:after="0" w:line="54" w:lineRule="exact"/>
              <w:rPr>
                <w:sz w:val="20"/>
                <w:szCs w:val="20"/>
                <w:color w:val="auto"/>
              </w:rPr>
            </w:pPr>
            <w:r>
              <w:rPr>
                <w:rFonts w:ascii="Arial" w:cs="Arial" w:eastAsia="Arial" w:hAnsi="Arial"/>
                <w:sz w:val="6"/>
                <w:szCs w:val="6"/>
                <w:b w:val="1"/>
                <w:bCs w:val="1"/>
                <w:color w:val="457157"/>
              </w:rPr>
              <w:t>​</w:t>
            </w:r>
          </w:p>
        </w:tc>
        <w:tc>
          <w:tcPr>
            <w:tcW w:w="280" w:type="dxa"/>
            <w:vAlign w:val="bottom"/>
            <w:tcBorders>
              <w:bottom w:val="single" w:sz="8" w:color="457157"/>
            </w:tcBorders>
            <w:vMerge w:val="continue"/>
          </w:tcPr>
          <w:p>
            <w:pPr>
              <w:spacing w:after="0"/>
              <w:rPr>
                <w:sz w:val="4"/>
                <w:szCs w:val="4"/>
                <w:color w:val="auto"/>
              </w:rPr>
            </w:pPr>
          </w:p>
        </w:tc>
        <w:tc>
          <w:tcPr>
            <w:tcW w:w="580" w:type="dxa"/>
            <w:vAlign w:val="bottom"/>
            <w:tcBorders>
              <w:bottom w:val="single" w:sz="8" w:color="457157"/>
            </w:tcBorders>
          </w:tcPr>
          <w:p>
            <w:pPr>
              <w:spacing w:after="0"/>
              <w:rPr>
                <w:sz w:val="4"/>
                <w:szCs w:val="4"/>
                <w:color w:val="auto"/>
              </w:rPr>
            </w:pPr>
          </w:p>
        </w:tc>
        <w:tc>
          <w:tcPr>
            <w:tcW w:w="260" w:type="dxa"/>
            <w:vAlign w:val="bottom"/>
            <w:tcBorders>
              <w:bottom w:val="single" w:sz="8" w:color="457157"/>
            </w:tcBorders>
            <w:gridSpan w:val="2"/>
            <w:vMerge w:val="continue"/>
          </w:tcPr>
          <w:p>
            <w:pPr>
              <w:spacing w:after="0"/>
              <w:rPr>
                <w:sz w:val="4"/>
                <w:szCs w:val="4"/>
                <w:color w:val="auto"/>
              </w:rPr>
            </w:pPr>
          </w:p>
        </w:tc>
        <w:tc>
          <w:tcPr>
            <w:tcW w:w="700" w:type="dxa"/>
            <w:vAlign w:val="bottom"/>
            <w:tcBorders>
              <w:bottom w:val="single" w:sz="8" w:color="457157"/>
            </w:tcBorders>
          </w:tcPr>
          <w:p>
            <w:pPr>
              <w:spacing w:after="0"/>
              <w:rPr>
                <w:sz w:val="4"/>
                <w:szCs w:val="4"/>
                <w:color w:val="auto"/>
              </w:rPr>
            </w:pPr>
          </w:p>
        </w:tc>
        <w:tc>
          <w:tcPr>
            <w:tcW w:w="180" w:type="dxa"/>
            <w:vAlign w:val="bottom"/>
            <w:tcBorders>
              <w:bottom w:val="single" w:sz="8" w:color="457157"/>
            </w:tcBorders>
            <w:vMerge w:val="continue"/>
          </w:tcPr>
          <w:p>
            <w:pPr>
              <w:spacing w:after="0"/>
              <w:rPr>
                <w:sz w:val="4"/>
                <w:szCs w:val="4"/>
                <w:color w:val="auto"/>
              </w:rPr>
            </w:pPr>
          </w:p>
        </w:tc>
        <w:tc>
          <w:tcPr>
            <w:tcW w:w="640" w:type="dxa"/>
            <w:vAlign w:val="bottom"/>
            <w:tcBorders>
              <w:bottom w:val="single" w:sz="8" w:color="457157"/>
            </w:tcBorders>
          </w:tcPr>
          <w:p>
            <w:pPr>
              <w:spacing w:after="0"/>
              <w:rPr>
                <w:sz w:val="4"/>
                <w:szCs w:val="4"/>
                <w:color w:val="auto"/>
              </w:rPr>
            </w:pPr>
          </w:p>
        </w:tc>
        <w:tc>
          <w:tcPr>
            <w:tcW w:w="320" w:type="dxa"/>
            <w:vAlign w:val="bottom"/>
            <w:tcBorders>
              <w:bottom w:val="single" w:sz="8" w:color="457157"/>
            </w:tcBorders>
            <w:gridSpan w:val="2"/>
            <w:vMerge w:val="continue"/>
          </w:tcPr>
          <w:p>
            <w:pPr>
              <w:spacing w:after="0"/>
              <w:rPr>
                <w:sz w:val="4"/>
                <w:szCs w:val="4"/>
                <w:color w:val="auto"/>
              </w:rPr>
            </w:pPr>
          </w:p>
        </w:tc>
        <w:tc>
          <w:tcPr>
            <w:tcW w:w="880" w:type="dxa"/>
            <w:vAlign w:val="bottom"/>
            <w:tcBorders>
              <w:bottom w:val="single" w:sz="8" w:color="457157"/>
            </w:tcBorders>
          </w:tcPr>
          <w:p>
            <w:pPr>
              <w:spacing w:after="0"/>
              <w:rPr>
                <w:sz w:val="4"/>
                <w:szCs w:val="4"/>
                <w:color w:val="auto"/>
              </w:rPr>
            </w:pPr>
          </w:p>
        </w:tc>
        <w:tc>
          <w:tcPr>
            <w:tcW w:w="60" w:type="dxa"/>
            <w:vAlign w:val="bottom"/>
            <w:tcBorders>
              <w:bottom w:val="single" w:sz="8" w:color="457157"/>
            </w:tcBorders>
          </w:tcPr>
          <w:p>
            <w:pPr>
              <w:spacing w:after="0"/>
              <w:rPr>
                <w:sz w:val="4"/>
                <w:szCs w:val="4"/>
                <w:color w:val="auto"/>
              </w:rPr>
            </w:pPr>
          </w:p>
        </w:tc>
        <w:tc>
          <w:tcPr>
            <w:tcW w:w="220" w:type="dxa"/>
            <w:vAlign w:val="bottom"/>
            <w:tcBorders>
              <w:bottom w:val="single" w:sz="8" w:color="457157"/>
            </w:tcBorders>
            <w:vMerge w:val="continue"/>
          </w:tcPr>
          <w:p>
            <w:pPr>
              <w:spacing w:after="0"/>
              <w:rPr>
                <w:sz w:val="4"/>
                <w:szCs w:val="4"/>
                <w:color w:val="auto"/>
              </w:rPr>
            </w:pPr>
          </w:p>
        </w:tc>
        <w:tc>
          <w:tcPr>
            <w:tcW w:w="220" w:type="dxa"/>
            <w:vAlign w:val="bottom"/>
            <w:tcBorders>
              <w:bottom w:val="single" w:sz="8" w:color="457157"/>
            </w:tcBorders>
          </w:tcPr>
          <w:p>
            <w:pPr>
              <w:spacing w:after="0"/>
              <w:rPr>
                <w:sz w:val="4"/>
                <w:szCs w:val="4"/>
                <w:color w:val="auto"/>
              </w:rPr>
            </w:pPr>
          </w:p>
        </w:tc>
        <w:tc>
          <w:tcPr>
            <w:tcW w:w="760" w:type="dxa"/>
            <w:vAlign w:val="bottom"/>
            <w:tcBorders>
              <w:bottom w:val="single" w:sz="8" w:color="457157"/>
            </w:tcBorders>
          </w:tcPr>
          <w:p>
            <w:pPr>
              <w:spacing w:after="0"/>
              <w:rPr>
                <w:sz w:val="4"/>
                <w:szCs w:val="4"/>
                <w:color w:val="auto"/>
              </w:rPr>
            </w:pPr>
          </w:p>
        </w:tc>
        <w:tc>
          <w:tcPr>
            <w:tcW w:w="60" w:type="dxa"/>
            <w:vAlign w:val="bottom"/>
            <w:tcBorders>
              <w:bottom w:val="single" w:sz="8" w:color="457157"/>
            </w:tcBorders>
          </w:tcPr>
          <w:p>
            <w:pPr>
              <w:spacing w:after="0"/>
              <w:rPr>
                <w:sz w:val="4"/>
                <w:szCs w:val="4"/>
                <w:color w:val="auto"/>
              </w:rPr>
            </w:pPr>
          </w:p>
        </w:tc>
        <w:tc>
          <w:tcPr>
            <w:tcW w:w="300" w:type="dxa"/>
            <w:vAlign w:val="bottom"/>
            <w:tcBorders>
              <w:bottom w:val="single" w:sz="8" w:color="457157"/>
            </w:tcBorders>
            <w:vMerge w:val="continue"/>
          </w:tcPr>
          <w:p>
            <w:pPr>
              <w:spacing w:after="0"/>
              <w:rPr>
                <w:sz w:val="4"/>
                <w:szCs w:val="4"/>
                <w:color w:val="auto"/>
              </w:rPr>
            </w:pPr>
          </w:p>
        </w:tc>
        <w:tc>
          <w:tcPr>
            <w:tcW w:w="580" w:type="dxa"/>
            <w:vAlign w:val="bottom"/>
            <w:tcBorders>
              <w:bottom w:val="single" w:sz="8" w:color="457157"/>
            </w:tcBorders>
          </w:tcPr>
          <w:p>
            <w:pPr>
              <w:spacing w:after="0"/>
              <w:rPr>
                <w:sz w:val="4"/>
                <w:szCs w:val="4"/>
                <w:color w:val="auto"/>
              </w:rPr>
            </w:pPr>
          </w:p>
        </w:tc>
        <w:tc>
          <w:tcPr>
            <w:tcW w:w="40" w:type="dxa"/>
            <w:vAlign w:val="bottom"/>
            <w:tcBorders>
              <w:bottom w:val="single" w:sz="8" w:color="457157"/>
            </w:tcBorders>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9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James C. Fish, Jr.</w:t>
            </w:r>
          </w:p>
        </w:tc>
        <w:tc>
          <w:tcPr>
            <w:tcW w:w="2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98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b w:val="1"/>
                <w:bCs w:val="1"/>
                <w:color w:val="auto"/>
              </w:rPr>
              <w:t>President and Chief Executive</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980" w:type="dxa"/>
            <w:vAlign w:val="bottom"/>
            <w:tcBorders>
              <w:bottom w:val="single" w:sz="8" w:color="457157"/>
            </w:tcBorders>
            <w:shd w:val="clear" w:color="auto" w:fill="CCEEFF"/>
          </w:tcPr>
          <w:p>
            <w:pPr>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Officer</w:t>
            </w:r>
          </w:p>
        </w:tc>
        <w:tc>
          <w:tcPr>
            <w:tcW w:w="2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580" w:type="dxa"/>
            <w:vAlign w:val="bottom"/>
            <w:tcBorders>
              <w:bottom w:val="single" w:sz="8" w:color="457157"/>
            </w:tcBorders>
            <w:shd w:val="clear" w:color="auto" w:fill="CCEEFF"/>
          </w:tcPr>
          <w:p>
            <w:pPr>
              <w:spacing w:after="0"/>
              <w:rPr>
                <w:sz w:val="18"/>
                <w:szCs w:val="18"/>
                <w:color w:val="auto"/>
              </w:rPr>
            </w:pPr>
          </w:p>
        </w:tc>
        <w:tc>
          <w:tcPr>
            <w:tcW w:w="26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700" w:type="dxa"/>
            <w:vAlign w:val="bottom"/>
            <w:tcBorders>
              <w:bottom w:val="single" w:sz="8" w:color="457157"/>
            </w:tcBorders>
            <w:shd w:val="clear" w:color="auto" w:fill="CCEEFF"/>
          </w:tcPr>
          <w:p>
            <w:pPr>
              <w:spacing w:after="0"/>
              <w:rPr>
                <w:sz w:val="18"/>
                <w:szCs w:val="18"/>
                <w:color w:val="auto"/>
              </w:rPr>
            </w:pPr>
          </w:p>
        </w:tc>
        <w:tc>
          <w:tcPr>
            <w:tcW w:w="1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457157"/>
            </w:tcBorders>
            <w:shd w:val="clear" w:color="auto" w:fill="CCEEFF"/>
          </w:tcPr>
          <w:p>
            <w:pPr>
              <w:spacing w:after="0"/>
              <w:rPr>
                <w:sz w:val="18"/>
                <w:szCs w:val="18"/>
                <w:color w:val="auto"/>
              </w:rPr>
            </w:pP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457157"/>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457157"/>
            </w:tcBorders>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457157"/>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457157"/>
            </w:tcBorders>
            <w:shd w:val="clear" w:color="auto" w:fill="CCEEFF"/>
          </w:tcPr>
          <w:p>
            <w:pPr>
              <w:spacing w:after="0"/>
              <w:rPr>
                <w:sz w:val="18"/>
                <w:szCs w:val="18"/>
                <w:color w:val="auto"/>
              </w:rPr>
            </w:pPr>
          </w:p>
        </w:tc>
        <w:tc>
          <w:tcPr>
            <w:tcW w:w="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980" w:type="dxa"/>
            <w:vAlign w:val="bottom"/>
          </w:tcPr>
          <w:p>
            <w:pPr>
              <w:jc w:val="right"/>
              <w:ind w:right="2532"/>
              <w:spacing w:after="0" w:line="169" w:lineRule="exact"/>
              <w:rPr>
                <w:sz w:val="20"/>
                <w:szCs w:val="20"/>
                <w:color w:val="auto"/>
              </w:rPr>
            </w:pPr>
            <w:r>
              <w:rPr>
                <w:rFonts w:ascii="Arial" w:cs="Arial" w:eastAsia="Arial" w:hAnsi="Arial"/>
                <w:sz w:val="15"/>
                <w:szCs w:val="15"/>
                <w:color w:val="auto"/>
              </w:rPr>
              <w:t>2024</w:t>
            </w:r>
          </w:p>
        </w:tc>
        <w:tc>
          <w:tcPr>
            <w:tcW w:w="1000" w:type="dxa"/>
            <w:vAlign w:val="bottom"/>
            <w:gridSpan w:val="3"/>
          </w:tcPr>
          <w:p>
            <w:pPr>
              <w:jc w:val="center"/>
              <w:ind w:left="112"/>
              <w:spacing w:after="0" w:line="169" w:lineRule="exact"/>
              <w:rPr>
                <w:sz w:val="20"/>
                <w:szCs w:val="20"/>
                <w:color w:val="auto"/>
              </w:rPr>
            </w:pPr>
            <w:r>
              <w:rPr>
                <w:rFonts w:ascii="Arial" w:cs="Arial" w:eastAsia="Arial" w:hAnsi="Arial"/>
                <w:sz w:val="15"/>
                <w:szCs w:val="15"/>
                <w:color w:val="auto"/>
                <w:w w:val="99"/>
              </w:rPr>
              <w:t>​1,429,290</w:t>
            </w:r>
            <w:r>
              <w:rPr>
                <w:rFonts w:ascii="Arial" w:cs="Arial" w:eastAsia="Arial" w:hAnsi="Arial"/>
                <w:sz w:val="19"/>
                <w:szCs w:val="19"/>
                <w:color w:val="auto"/>
                <w:w w:val="99"/>
                <w:vertAlign w:val="superscript"/>
              </w:rPr>
              <w:t>(5)</w:t>
            </w:r>
          </w:p>
        </w:tc>
        <w:tc>
          <w:tcPr>
            <w:tcW w:w="8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​10,292,103</w:t>
            </w:r>
          </w:p>
        </w:tc>
        <w:tc>
          <w:tcPr>
            <w:tcW w:w="8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​1,950,007</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line="169" w:lineRule="exact"/>
              <w:rPr>
                <w:sz w:val="20"/>
                <w:szCs w:val="20"/>
                <w:color w:val="auto"/>
              </w:rPr>
            </w:pPr>
            <w:r>
              <w:rPr>
                <w:rFonts w:ascii="Arial" w:cs="Arial" w:eastAsia="Arial" w:hAnsi="Arial"/>
                <w:sz w:val="15"/>
                <w:szCs w:val="15"/>
                <w:color w:val="auto"/>
              </w:rPr>
              <w:t>3,180,080</w:t>
            </w:r>
          </w:p>
        </w:tc>
        <w:tc>
          <w:tcPr>
            <w:tcW w:w="280" w:type="dxa"/>
            <w:vAlign w:val="bottom"/>
            <w:gridSpan w:val="2"/>
            <w:vMerge w:val="restart"/>
          </w:tcPr>
          <w:p>
            <w:pPr>
              <w:ind w:left="2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4"/>
              <w:spacing w:after="0" w:line="169" w:lineRule="exact"/>
              <w:rPr>
                <w:sz w:val="20"/>
                <w:szCs w:val="20"/>
                <w:color w:val="auto"/>
              </w:rPr>
            </w:pPr>
            <w:r>
              <w:rPr>
                <w:rFonts w:ascii="Arial" w:cs="Arial" w:eastAsia="Arial" w:hAnsi="Arial"/>
                <w:sz w:val="15"/>
                <w:szCs w:val="15"/>
                <w:color w:val="auto"/>
              </w:rPr>
              <w:t>​ 245,640</w:t>
            </w:r>
          </w:p>
        </w:tc>
        <w:tc>
          <w:tcPr>
            <w:tcW w:w="60" w:type="dxa"/>
            <w:vAlign w:val="bottom"/>
          </w:tcPr>
          <w:p>
            <w:pPr>
              <w:spacing w:after="0"/>
              <w:rPr>
                <w:sz w:val="14"/>
                <w:szCs w:val="14"/>
                <w:color w:val="auto"/>
              </w:rPr>
            </w:pPr>
          </w:p>
        </w:tc>
        <w:tc>
          <w:tcPr>
            <w:tcW w:w="8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​17,097,120</w:t>
            </w:r>
          </w:p>
        </w:tc>
        <w:tc>
          <w:tcPr>
            <w:tcW w:w="80" w:type="dxa"/>
            <w:vAlign w:val="bottom"/>
            <w:gridSpan w:val="2"/>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8"/>
        </w:trPr>
        <w:tc>
          <w:tcPr>
            <w:tcW w:w="2980" w:type="dxa"/>
            <w:vAlign w:val="bottom"/>
          </w:tcPr>
          <w:p>
            <w:pPr>
              <w:spacing w:after="0" w:line="68" w:lineRule="exact"/>
              <w:rPr>
                <w:sz w:val="20"/>
                <w:szCs w:val="20"/>
                <w:color w:val="auto"/>
              </w:rPr>
            </w:pPr>
            <w:r>
              <w:rPr>
                <w:rFonts w:ascii="Arial" w:cs="Arial" w:eastAsia="Arial" w:hAnsi="Arial"/>
                <w:sz w:val="7"/>
                <w:szCs w:val="7"/>
                <w:color w:val="auto"/>
              </w:rPr>
              <w:t>​</w:t>
            </w:r>
          </w:p>
        </w:tc>
        <w:tc>
          <w:tcPr>
            <w:tcW w:w="28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580" w:type="dxa"/>
            <w:vAlign w:val="bottom"/>
          </w:tcPr>
          <w:p>
            <w:pPr>
              <w:spacing w:after="0"/>
              <w:rPr>
                <w:sz w:val="5"/>
                <w:szCs w:val="5"/>
                <w:color w:val="auto"/>
              </w:rPr>
            </w:pPr>
          </w:p>
        </w:tc>
        <w:tc>
          <w:tcPr>
            <w:tcW w:w="140" w:type="dxa"/>
            <w:vAlign w:val="bottom"/>
          </w:tcPr>
          <w:p>
            <w:pPr>
              <w:ind w:left="20"/>
              <w:spacing w:after="0" w:line="68" w:lineRule="exact"/>
              <w:rPr>
                <w:sz w:val="20"/>
                <w:szCs w:val="20"/>
                <w:color w:val="auto"/>
              </w:rPr>
            </w:pPr>
            <w:r>
              <w:rPr>
                <w:rFonts w:ascii="Arial" w:cs="Arial" w:eastAsia="Arial" w:hAnsi="Arial"/>
                <w:sz w:val="7"/>
                <w:szCs w:val="7"/>
                <w:color w:val="auto"/>
              </w:rPr>
              <w:t>​​</w:t>
            </w:r>
          </w:p>
        </w:tc>
        <w:tc>
          <w:tcPr>
            <w:tcW w:w="12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70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6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880" w:type="dxa"/>
            <w:vAlign w:val="bottom"/>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220" w:type="dxa"/>
            <w:vAlign w:val="bottom"/>
          </w:tcPr>
          <w:p>
            <w:pPr>
              <w:ind w:left="80"/>
              <w:spacing w:after="0" w:line="68" w:lineRule="exact"/>
              <w:rPr>
                <w:sz w:val="20"/>
                <w:szCs w:val="20"/>
                <w:color w:val="auto"/>
              </w:rPr>
            </w:pPr>
            <w:r>
              <w:rPr>
                <w:rFonts w:ascii="Arial" w:cs="Arial" w:eastAsia="Arial" w:hAnsi="Arial"/>
                <w:sz w:val="7"/>
                <w:szCs w:val="7"/>
                <w:color w:val="auto"/>
              </w:rPr>
              <w:t>​</w:t>
            </w:r>
          </w:p>
        </w:tc>
        <w:tc>
          <w:tcPr>
            <w:tcW w:w="760" w:type="dxa"/>
            <w:vAlign w:val="bottom"/>
          </w:tcPr>
          <w:p>
            <w:pPr>
              <w:spacing w:after="0"/>
              <w:rPr>
                <w:sz w:val="5"/>
                <w:szCs w:val="5"/>
                <w:color w:val="auto"/>
              </w:rPr>
            </w:pPr>
          </w:p>
        </w:tc>
        <w:tc>
          <w:tcPr>
            <w:tcW w:w="360" w:type="dxa"/>
            <w:vAlign w:val="bottom"/>
            <w:gridSpan w:val="2"/>
          </w:tcPr>
          <w:p>
            <w:pPr>
              <w:ind w:left="20"/>
              <w:spacing w:after="0" w:line="68" w:lineRule="exact"/>
              <w:rPr>
                <w:sz w:val="20"/>
                <w:szCs w:val="20"/>
                <w:color w:val="auto"/>
              </w:rPr>
            </w:pPr>
            <w:r>
              <w:rPr>
                <w:rFonts w:ascii="Arial" w:cs="Arial" w:eastAsia="Arial" w:hAnsi="Arial"/>
                <w:sz w:val="7"/>
                <w:szCs w:val="7"/>
                <w:color w:val="auto"/>
              </w:rPr>
              <w:t>​​​​</w:t>
            </w:r>
          </w:p>
        </w:tc>
        <w:tc>
          <w:tcPr>
            <w:tcW w:w="580" w:type="dxa"/>
            <w:vAlign w:val="bottom"/>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980" w:type="dxa"/>
            <w:vAlign w:val="bottom"/>
            <w:tcBorders>
              <w:top w:val="single" w:sz="8" w:color="457157"/>
            </w:tcBorders>
            <w:shd w:val="clear" w:color="auto" w:fill="CCEEFF"/>
          </w:tcPr>
          <w:p>
            <w:pPr>
              <w:jc w:val="right"/>
              <w:ind w:right="2532"/>
              <w:spacing w:after="0" w:line="169" w:lineRule="exact"/>
              <w:rPr>
                <w:sz w:val="20"/>
                <w:szCs w:val="20"/>
                <w:color w:val="auto"/>
              </w:rPr>
            </w:pPr>
            <w:r>
              <w:rPr>
                <w:rFonts w:ascii="Arial" w:cs="Arial" w:eastAsia="Arial" w:hAnsi="Arial"/>
                <w:sz w:val="15"/>
                <w:szCs w:val="15"/>
                <w:color w:val="auto"/>
              </w:rPr>
              <w:t>2023</w:t>
            </w:r>
          </w:p>
        </w:tc>
        <w:tc>
          <w:tcPr>
            <w:tcW w:w="1000" w:type="dxa"/>
            <w:vAlign w:val="bottom"/>
            <w:tcBorders>
              <w:top w:val="single" w:sz="8" w:color="457157"/>
            </w:tcBorders>
            <w:gridSpan w:val="3"/>
            <w:shd w:val="clear" w:color="auto" w:fill="CCEEFF"/>
          </w:tcPr>
          <w:p>
            <w:pPr>
              <w:jc w:val="center"/>
              <w:ind w:left="112"/>
              <w:spacing w:after="0" w:line="169" w:lineRule="exact"/>
              <w:rPr>
                <w:sz w:val="20"/>
                <w:szCs w:val="20"/>
                <w:color w:val="auto"/>
              </w:rPr>
            </w:pPr>
            <w:r>
              <w:rPr>
                <w:rFonts w:ascii="Arial" w:cs="Arial" w:eastAsia="Arial" w:hAnsi="Arial"/>
                <w:sz w:val="15"/>
                <w:szCs w:val="15"/>
                <w:color w:val="auto"/>
                <w:w w:val="99"/>
              </w:rPr>
              <w:t>​1,388,461</w:t>
            </w:r>
            <w:r>
              <w:rPr>
                <w:rFonts w:ascii="Arial" w:cs="Arial" w:eastAsia="Arial" w:hAnsi="Arial"/>
                <w:sz w:val="19"/>
                <w:szCs w:val="19"/>
                <w:color w:val="auto"/>
                <w:w w:val="99"/>
                <w:vertAlign w:val="superscript"/>
              </w:rPr>
              <w:t>(5)</w:t>
            </w:r>
          </w:p>
        </w:tc>
        <w:tc>
          <w:tcPr>
            <w:tcW w:w="120" w:type="dxa"/>
            <w:vAlign w:val="bottom"/>
            <w:tcBorders>
              <w:top w:val="single" w:sz="8" w:color="457157"/>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tcBorders>
              <w:top w:val="single" w:sz="8" w:color="457157"/>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8,405,433</w:t>
            </w:r>
          </w:p>
        </w:tc>
        <w:tc>
          <w:tcPr>
            <w:tcW w:w="820" w:type="dxa"/>
            <w:vAlign w:val="bottom"/>
            <w:tcBorders>
              <w:top w:val="single" w:sz="8" w:color="457157"/>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​1,950,000</w:t>
            </w:r>
          </w:p>
        </w:tc>
        <w:tc>
          <w:tcPr>
            <w:tcW w:w="120" w:type="dxa"/>
            <w:vAlign w:val="bottom"/>
            <w:tcBorders>
              <w:top w:val="single" w:sz="8" w:color="457157"/>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0" w:type="dxa"/>
            <w:vAlign w:val="bottom"/>
            <w:tcBorders>
              <w:top w:val="single" w:sz="8" w:color="457157"/>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w:t>
            </w:r>
          </w:p>
        </w:tc>
        <w:tc>
          <w:tcPr>
            <w:tcW w:w="880" w:type="dxa"/>
            <w:vAlign w:val="bottom"/>
            <w:tcBorders>
              <w:top w:val="single" w:sz="8" w:color="457157"/>
            </w:tcBorders>
            <w:shd w:val="clear" w:color="auto" w:fill="CCEEFF"/>
          </w:tcPr>
          <w:p>
            <w:pPr>
              <w:jc w:val="right"/>
              <w:ind w:right="44"/>
              <w:spacing w:after="0" w:line="169" w:lineRule="exact"/>
              <w:rPr>
                <w:sz w:val="20"/>
                <w:szCs w:val="20"/>
                <w:color w:val="auto"/>
              </w:rPr>
            </w:pPr>
            <w:r>
              <w:rPr>
                <w:rFonts w:ascii="Arial" w:cs="Arial" w:eastAsia="Arial" w:hAnsi="Arial"/>
                <w:sz w:val="15"/>
                <w:szCs w:val="15"/>
                <w:color w:val="auto"/>
              </w:rPr>
              <w:t>2,638,116</w:t>
            </w:r>
          </w:p>
        </w:tc>
        <w:tc>
          <w:tcPr>
            <w:tcW w:w="280" w:type="dxa"/>
            <w:vAlign w:val="bottom"/>
            <w:tcBorders>
              <w:top w:val="single" w:sz="8" w:color="457157"/>
            </w:tcBorders>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457157"/>
            </w:tcBorders>
            <w:gridSpan w:val="2"/>
            <w:shd w:val="clear" w:color="auto" w:fill="CCEEFF"/>
          </w:tcPr>
          <w:p>
            <w:pPr>
              <w:jc w:val="right"/>
              <w:ind w:right="144"/>
              <w:spacing w:after="0" w:line="169" w:lineRule="exact"/>
              <w:rPr>
                <w:sz w:val="20"/>
                <w:szCs w:val="20"/>
                <w:color w:val="auto"/>
              </w:rPr>
            </w:pPr>
            <w:r>
              <w:rPr>
                <w:rFonts w:ascii="Arial" w:cs="Arial" w:eastAsia="Arial" w:hAnsi="Arial"/>
                <w:sz w:val="15"/>
                <w:szCs w:val="15"/>
                <w:color w:val="auto"/>
              </w:rPr>
              <w:t>​ 246,844</w:t>
            </w:r>
          </w:p>
        </w:tc>
        <w:tc>
          <w:tcPr>
            <w:tcW w:w="60" w:type="dxa"/>
            <w:vAlign w:val="bottom"/>
            <w:tcBorders>
              <w:top w:val="single" w:sz="8" w:color="457157"/>
            </w:tcBorders>
            <w:shd w:val="clear" w:color="auto" w:fill="CCEEFF"/>
          </w:tcPr>
          <w:p>
            <w:pPr>
              <w:spacing w:after="0"/>
              <w:rPr>
                <w:sz w:val="14"/>
                <w:szCs w:val="14"/>
                <w:color w:val="auto"/>
              </w:rPr>
            </w:pPr>
          </w:p>
        </w:tc>
        <w:tc>
          <w:tcPr>
            <w:tcW w:w="880" w:type="dxa"/>
            <w:vAlign w:val="bottom"/>
            <w:tcBorders>
              <w:top w:val="single" w:sz="8" w:color="457157"/>
            </w:tcBorders>
            <w:gridSpan w:val="2"/>
            <w:shd w:val="clear" w:color="auto" w:fill="CCEEFF"/>
          </w:tcPr>
          <w:p>
            <w:pPr>
              <w:jc w:val="right"/>
              <w:spacing w:after="0" w:line="169" w:lineRule="exact"/>
              <w:rPr>
                <w:sz w:val="20"/>
                <w:szCs w:val="20"/>
                <w:color w:val="auto"/>
              </w:rPr>
            </w:pPr>
            <w:r>
              <w:rPr>
                <w:rFonts w:ascii="Arial" w:cs="Arial" w:eastAsia="Arial" w:hAnsi="Arial"/>
                <w:sz w:val="15"/>
                <w:szCs w:val="15"/>
                <w:color w:val="auto"/>
              </w:rPr>
              <w:t>​14,628,854</w:t>
            </w:r>
          </w:p>
        </w:tc>
        <w:tc>
          <w:tcPr>
            <w:tcW w:w="40" w:type="dxa"/>
            <w:vAlign w:val="bottom"/>
            <w:tcBorders>
              <w:top w:val="single" w:sz="8" w:color="457157"/>
            </w:tcBorders>
            <w:vMerge w:val="restart"/>
            <w:shd w:val="clear" w:color="auto" w:fill="CCEEFF"/>
          </w:tcPr>
          <w:p>
            <w:pPr>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98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280" w:type="dxa"/>
            <w:vAlign w:val="bottom"/>
            <w:tcBorders>
              <w:bottom w:val="single" w:sz="8" w:color="457157"/>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 ​​</w:t>
            </w:r>
          </w:p>
        </w:tc>
        <w:tc>
          <w:tcPr>
            <w:tcW w:w="580" w:type="dxa"/>
            <w:vAlign w:val="bottom"/>
            <w:tcBorders>
              <w:bottom w:val="single" w:sz="8" w:color="457157"/>
            </w:tcBorders>
            <w:shd w:val="clear" w:color="auto" w:fill="CCEEFF"/>
          </w:tcPr>
          <w:p>
            <w:pPr>
              <w:spacing w:after="0"/>
              <w:rPr>
                <w:sz w:val="5"/>
                <w:szCs w:val="5"/>
                <w:color w:val="auto"/>
              </w:rPr>
            </w:pPr>
          </w:p>
        </w:tc>
        <w:tc>
          <w:tcPr>
            <w:tcW w:w="140" w:type="dxa"/>
            <w:vAlign w:val="bottom"/>
            <w:tcBorders>
              <w:bottom w:val="single" w:sz="8" w:color="457157"/>
            </w:tcBorders>
            <w:shd w:val="clear" w:color="auto" w:fill="CCEEFF"/>
          </w:tcPr>
          <w:p>
            <w:pPr>
              <w:ind w:left="20"/>
              <w:spacing w:after="0" w:line="68" w:lineRule="exact"/>
              <w:rPr>
                <w:sz w:val="20"/>
                <w:szCs w:val="20"/>
                <w:color w:val="auto"/>
              </w:rPr>
            </w:pPr>
            <w:r>
              <w:rPr>
                <w:rFonts w:ascii="Arial" w:cs="Arial" w:eastAsia="Arial" w:hAnsi="Arial"/>
                <w:sz w:val="7"/>
                <w:szCs w:val="7"/>
                <w:color w:val="auto"/>
              </w:rPr>
              <w:t>​​</w:t>
            </w:r>
          </w:p>
        </w:tc>
        <w:tc>
          <w:tcPr>
            <w:tcW w:w="120" w:type="dxa"/>
            <w:vAlign w:val="bottom"/>
            <w:tcBorders>
              <w:bottom w:val="single" w:sz="8" w:color="457157"/>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700" w:type="dxa"/>
            <w:vAlign w:val="bottom"/>
            <w:tcBorders>
              <w:bottom w:val="single" w:sz="8" w:color="457157"/>
            </w:tcBorders>
            <w:shd w:val="clear" w:color="auto" w:fill="CCEEFF"/>
          </w:tcPr>
          <w:p>
            <w:pPr>
              <w:spacing w:after="0"/>
              <w:rPr>
                <w:sz w:val="5"/>
                <w:szCs w:val="5"/>
                <w:color w:val="auto"/>
              </w:rPr>
            </w:pPr>
          </w:p>
        </w:tc>
        <w:tc>
          <w:tcPr>
            <w:tcW w:w="180" w:type="dxa"/>
            <w:vAlign w:val="bottom"/>
            <w:tcBorders>
              <w:bottom w:val="single" w:sz="8" w:color="457157"/>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640" w:type="dxa"/>
            <w:vAlign w:val="bottom"/>
            <w:tcBorders>
              <w:bottom w:val="single" w:sz="8" w:color="457157"/>
            </w:tcBorders>
            <w:shd w:val="clear" w:color="auto" w:fill="CCEEFF"/>
          </w:tcPr>
          <w:p>
            <w:pPr>
              <w:spacing w:after="0"/>
              <w:rPr>
                <w:sz w:val="5"/>
                <w:szCs w:val="5"/>
                <w:color w:val="auto"/>
              </w:rPr>
            </w:pPr>
          </w:p>
        </w:tc>
        <w:tc>
          <w:tcPr>
            <w:tcW w:w="120" w:type="dxa"/>
            <w:vAlign w:val="bottom"/>
            <w:tcBorders>
              <w:bottom w:val="single" w:sz="8" w:color="457157"/>
            </w:tcBorders>
            <w:vMerge w:val="continue"/>
            <w:shd w:val="clear" w:color="auto" w:fill="CCEEFF"/>
          </w:tcPr>
          <w:p>
            <w:pPr>
              <w:spacing w:after="0"/>
              <w:rPr>
                <w:sz w:val="5"/>
                <w:szCs w:val="5"/>
                <w:color w:val="auto"/>
              </w:rPr>
            </w:pPr>
          </w:p>
        </w:tc>
        <w:tc>
          <w:tcPr>
            <w:tcW w:w="200" w:type="dxa"/>
            <w:vAlign w:val="bottom"/>
            <w:tcBorders>
              <w:bottom w:val="single" w:sz="8" w:color="457157"/>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880" w:type="dxa"/>
            <w:vAlign w:val="bottom"/>
            <w:tcBorders>
              <w:bottom w:val="single" w:sz="8" w:color="457157"/>
            </w:tcBorders>
            <w:shd w:val="clear" w:color="auto" w:fill="CCEEFF"/>
          </w:tcPr>
          <w:p>
            <w:pPr>
              <w:spacing w:after="0"/>
              <w:rPr>
                <w:sz w:val="5"/>
                <w:szCs w:val="5"/>
                <w:color w:val="auto"/>
              </w:rPr>
            </w:pPr>
          </w:p>
        </w:tc>
        <w:tc>
          <w:tcPr>
            <w:tcW w:w="280" w:type="dxa"/>
            <w:vAlign w:val="bottom"/>
            <w:tcBorders>
              <w:bottom w:val="single" w:sz="8" w:color="457157"/>
            </w:tcBorders>
            <w:gridSpan w:val="2"/>
            <w:vMerge w:val="continue"/>
            <w:shd w:val="clear" w:color="auto" w:fill="CCEEFF"/>
          </w:tcPr>
          <w:p>
            <w:pPr>
              <w:spacing w:after="0"/>
              <w:rPr>
                <w:sz w:val="5"/>
                <w:szCs w:val="5"/>
                <w:color w:val="auto"/>
              </w:rPr>
            </w:pPr>
          </w:p>
        </w:tc>
        <w:tc>
          <w:tcPr>
            <w:tcW w:w="220" w:type="dxa"/>
            <w:vAlign w:val="bottom"/>
            <w:tcBorders>
              <w:bottom w:val="single" w:sz="8" w:color="457157"/>
            </w:tcBorders>
            <w:shd w:val="clear" w:color="auto" w:fill="CCEEFF"/>
          </w:tcPr>
          <w:p>
            <w:pPr>
              <w:ind w:left="80"/>
              <w:spacing w:after="0" w:line="68" w:lineRule="exact"/>
              <w:rPr>
                <w:sz w:val="20"/>
                <w:szCs w:val="20"/>
                <w:color w:val="auto"/>
              </w:rPr>
            </w:pPr>
            <w:r>
              <w:rPr>
                <w:rFonts w:ascii="Arial" w:cs="Arial" w:eastAsia="Arial" w:hAnsi="Arial"/>
                <w:sz w:val="7"/>
                <w:szCs w:val="7"/>
                <w:color w:val="auto"/>
              </w:rPr>
              <w:t>​</w:t>
            </w:r>
          </w:p>
        </w:tc>
        <w:tc>
          <w:tcPr>
            <w:tcW w:w="760" w:type="dxa"/>
            <w:vAlign w:val="bottom"/>
            <w:tcBorders>
              <w:bottom w:val="single" w:sz="8" w:color="457157"/>
            </w:tcBorders>
            <w:shd w:val="clear" w:color="auto" w:fill="CCEEFF"/>
          </w:tcPr>
          <w:p>
            <w:pPr>
              <w:spacing w:after="0"/>
              <w:rPr>
                <w:sz w:val="5"/>
                <w:szCs w:val="5"/>
                <w:color w:val="auto"/>
              </w:rPr>
            </w:pPr>
          </w:p>
        </w:tc>
        <w:tc>
          <w:tcPr>
            <w:tcW w:w="360" w:type="dxa"/>
            <w:vAlign w:val="bottom"/>
            <w:tcBorders>
              <w:bottom w:val="single" w:sz="8" w:color="457157"/>
            </w:tcBorders>
            <w:gridSpan w:val="2"/>
            <w:shd w:val="clear" w:color="auto" w:fill="CCEEFF"/>
          </w:tcPr>
          <w:p>
            <w:pPr>
              <w:ind w:left="20"/>
              <w:spacing w:after="0" w:line="68" w:lineRule="exact"/>
              <w:rPr>
                <w:sz w:val="20"/>
                <w:szCs w:val="20"/>
                <w:color w:val="auto"/>
              </w:rPr>
            </w:pPr>
            <w:r>
              <w:rPr>
                <w:rFonts w:ascii="Arial" w:cs="Arial" w:eastAsia="Arial" w:hAnsi="Arial"/>
                <w:sz w:val="7"/>
                <w:szCs w:val="7"/>
                <w:color w:val="auto"/>
              </w:rPr>
              <w:t>​​​​</w:t>
            </w:r>
          </w:p>
        </w:tc>
        <w:tc>
          <w:tcPr>
            <w:tcW w:w="580" w:type="dxa"/>
            <w:vAlign w:val="bottom"/>
            <w:tcBorders>
              <w:bottom w:val="single" w:sz="8" w:color="457157"/>
            </w:tcBorders>
            <w:shd w:val="clear" w:color="auto" w:fill="CCEEFF"/>
          </w:tcPr>
          <w:p>
            <w:pPr>
              <w:spacing w:after="0"/>
              <w:rPr>
                <w:sz w:val="5"/>
                <w:szCs w:val="5"/>
                <w:color w:val="auto"/>
              </w:rPr>
            </w:pPr>
          </w:p>
        </w:tc>
        <w:tc>
          <w:tcPr>
            <w:tcW w:w="40" w:type="dxa"/>
            <w:vAlign w:val="bottom"/>
            <w:tcBorders>
              <w:bottom w:val="single" w:sz="8" w:color="457157"/>
            </w:tcBorders>
            <w:vMerge w:val="continue"/>
            <w:shd w:val="clear" w:color="auto" w:fill="CCEEFF"/>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980" w:type="dxa"/>
            <w:vAlign w:val="bottom"/>
          </w:tcPr>
          <w:p>
            <w:pPr>
              <w:jc w:val="right"/>
              <w:ind w:right="2532"/>
              <w:spacing w:after="0" w:line="169" w:lineRule="exact"/>
              <w:rPr>
                <w:sz w:val="20"/>
                <w:szCs w:val="20"/>
                <w:color w:val="auto"/>
              </w:rPr>
            </w:pPr>
            <w:r>
              <w:rPr>
                <w:rFonts w:ascii="Arial" w:cs="Arial" w:eastAsia="Arial" w:hAnsi="Arial"/>
                <w:sz w:val="15"/>
                <w:szCs w:val="15"/>
                <w:color w:val="auto"/>
              </w:rPr>
              <w:t>2022</w:t>
            </w:r>
          </w:p>
        </w:tc>
        <w:tc>
          <w:tcPr>
            <w:tcW w:w="1000" w:type="dxa"/>
            <w:vAlign w:val="bottom"/>
            <w:gridSpan w:val="3"/>
          </w:tcPr>
          <w:p>
            <w:pPr>
              <w:jc w:val="center"/>
              <w:ind w:left="112"/>
              <w:spacing w:after="0" w:line="169" w:lineRule="exact"/>
              <w:rPr>
                <w:sz w:val="20"/>
                <w:szCs w:val="20"/>
                <w:color w:val="auto"/>
              </w:rPr>
            </w:pPr>
            <w:r>
              <w:rPr>
                <w:rFonts w:ascii="Arial" w:cs="Arial" w:eastAsia="Arial" w:hAnsi="Arial"/>
                <w:sz w:val="15"/>
                <w:szCs w:val="15"/>
                <w:color w:val="auto"/>
                <w:w w:val="99"/>
              </w:rPr>
              <w:t>​1,338,462</w:t>
            </w:r>
            <w:r>
              <w:rPr>
                <w:rFonts w:ascii="Arial" w:cs="Arial" w:eastAsia="Arial" w:hAnsi="Arial"/>
                <w:sz w:val="19"/>
                <w:szCs w:val="19"/>
                <w:color w:val="auto"/>
                <w:w w:val="99"/>
                <w:vertAlign w:val="superscript"/>
              </w:rPr>
              <w:t>(5)</w:t>
            </w:r>
          </w:p>
        </w:tc>
        <w:tc>
          <w:tcPr>
            <w:tcW w:w="12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700" w:type="dxa"/>
            <w:vAlign w:val="bottom"/>
          </w:tcPr>
          <w:p>
            <w:pPr>
              <w:jc w:val="right"/>
              <w:spacing w:after="0" w:line="169" w:lineRule="exact"/>
              <w:rPr>
                <w:sz w:val="20"/>
                <w:szCs w:val="20"/>
                <w:color w:val="auto"/>
              </w:rPr>
            </w:pPr>
            <w:r>
              <w:rPr>
                <w:rFonts w:ascii="Arial" w:cs="Arial" w:eastAsia="Arial" w:hAnsi="Arial"/>
                <w:sz w:val="15"/>
                <w:szCs w:val="15"/>
                <w:color w:val="auto"/>
              </w:rPr>
              <w:t>8,023,256</w:t>
            </w:r>
          </w:p>
        </w:tc>
        <w:tc>
          <w:tcPr>
            <w:tcW w:w="8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​1,750,011</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jc w:val="right"/>
              <w:spacing w:after="0" w:line="169" w:lineRule="exact"/>
              <w:rPr>
                <w:sz w:val="20"/>
                <w:szCs w:val="20"/>
                <w:color w:val="auto"/>
              </w:rPr>
            </w:pPr>
            <w:r>
              <w:rPr>
                <w:rFonts w:ascii="Arial" w:cs="Arial" w:eastAsia="Arial" w:hAnsi="Arial"/>
                <w:sz w:val="15"/>
                <w:szCs w:val="15"/>
                <w:color w:val="auto"/>
              </w:rPr>
              <w:t>​</w:t>
            </w:r>
          </w:p>
        </w:tc>
        <w:tc>
          <w:tcPr>
            <w:tcW w:w="880" w:type="dxa"/>
            <w:vAlign w:val="bottom"/>
          </w:tcPr>
          <w:p>
            <w:pPr>
              <w:jc w:val="right"/>
              <w:ind w:right="44"/>
              <w:spacing w:after="0" w:line="169" w:lineRule="exact"/>
              <w:rPr>
                <w:sz w:val="20"/>
                <w:szCs w:val="20"/>
                <w:color w:val="auto"/>
              </w:rPr>
            </w:pPr>
            <w:r>
              <w:rPr>
                <w:rFonts w:ascii="Arial" w:cs="Arial" w:eastAsia="Arial" w:hAnsi="Arial"/>
                <w:sz w:val="15"/>
                <w:szCs w:val="15"/>
                <w:color w:val="auto"/>
              </w:rPr>
              <w:t>3,459,049</w:t>
            </w:r>
          </w:p>
        </w:tc>
        <w:tc>
          <w:tcPr>
            <w:tcW w:w="280" w:type="dxa"/>
            <w:vAlign w:val="bottom"/>
            <w:gridSpan w:val="2"/>
            <w:vMerge w:val="restart"/>
          </w:tcPr>
          <w:p>
            <w:pPr>
              <w:ind w:left="2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144"/>
              <w:spacing w:after="0" w:line="169" w:lineRule="exact"/>
              <w:rPr>
                <w:sz w:val="20"/>
                <w:szCs w:val="20"/>
                <w:color w:val="auto"/>
              </w:rPr>
            </w:pPr>
            <w:r>
              <w:rPr>
                <w:rFonts w:ascii="Arial" w:cs="Arial" w:eastAsia="Arial" w:hAnsi="Arial"/>
                <w:sz w:val="15"/>
                <w:szCs w:val="15"/>
                <w:color w:val="auto"/>
              </w:rPr>
              <w:t>​ 249,906</w:t>
            </w:r>
          </w:p>
        </w:tc>
        <w:tc>
          <w:tcPr>
            <w:tcW w:w="60" w:type="dxa"/>
            <w:vAlign w:val="bottom"/>
          </w:tcPr>
          <w:p>
            <w:pPr>
              <w:spacing w:after="0"/>
              <w:rPr>
                <w:sz w:val="14"/>
                <w:szCs w:val="14"/>
                <w:color w:val="auto"/>
              </w:rPr>
            </w:pPr>
          </w:p>
        </w:tc>
        <w:tc>
          <w:tcPr>
            <w:tcW w:w="8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​14,820,684</w:t>
            </w:r>
          </w:p>
        </w:tc>
        <w:tc>
          <w:tcPr>
            <w:tcW w:w="80" w:type="dxa"/>
            <w:vAlign w:val="bottom"/>
            <w:gridSpan w:val="2"/>
            <w:vMerge w:val="restart"/>
          </w:tcPr>
          <w:p>
            <w:pP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68"/>
        </w:trPr>
        <w:tc>
          <w:tcPr>
            <w:tcW w:w="2980" w:type="dxa"/>
            <w:vAlign w:val="bottom"/>
          </w:tcPr>
          <w:p>
            <w:pPr>
              <w:spacing w:after="0" w:line="68" w:lineRule="exact"/>
              <w:rPr>
                <w:sz w:val="20"/>
                <w:szCs w:val="20"/>
                <w:color w:val="auto"/>
              </w:rPr>
            </w:pPr>
            <w:r>
              <w:rPr>
                <w:rFonts w:ascii="Arial" w:cs="Arial" w:eastAsia="Arial" w:hAnsi="Arial"/>
                <w:sz w:val="7"/>
                <w:szCs w:val="7"/>
                <w:color w:val="auto"/>
              </w:rPr>
              <w:t>​</w:t>
            </w:r>
          </w:p>
        </w:tc>
        <w:tc>
          <w:tcPr>
            <w:tcW w:w="280" w:type="dxa"/>
            <w:vAlign w:val="bottom"/>
          </w:tcPr>
          <w:p>
            <w:pPr>
              <w:jc w:val="right"/>
              <w:spacing w:after="0" w:line="68" w:lineRule="exact"/>
              <w:rPr>
                <w:sz w:val="20"/>
                <w:szCs w:val="20"/>
                <w:color w:val="auto"/>
              </w:rPr>
            </w:pPr>
            <w:r>
              <w:rPr>
                <w:rFonts w:ascii="Arial" w:cs="Arial" w:eastAsia="Arial" w:hAnsi="Arial"/>
                <w:sz w:val="7"/>
                <w:szCs w:val="7"/>
                <w:color w:val="auto"/>
              </w:rPr>
              <w:t>​ ​​</w:t>
            </w:r>
          </w:p>
        </w:tc>
        <w:tc>
          <w:tcPr>
            <w:tcW w:w="580" w:type="dxa"/>
            <w:vAlign w:val="bottom"/>
          </w:tcPr>
          <w:p>
            <w:pPr>
              <w:spacing w:after="0"/>
              <w:rPr>
                <w:sz w:val="5"/>
                <w:szCs w:val="5"/>
                <w:color w:val="auto"/>
              </w:rPr>
            </w:pPr>
          </w:p>
        </w:tc>
        <w:tc>
          <w:tcPr>
            <w:tcW w:w="260" w:type="dxa"/>
            <w:vAlign w:val="bottom"/>
            <w:gridSpan w:val="2"/>
          </w:tcPr>
          <w:p>
            <w:pPr>
              <w:jc w:val="right"/>
              <w:spacing w:after="0" w:line="68" w:lineRule="exact"/>
              <w:rPr>
                <w:sz w:val="20"/>
                <w:szCs w:val="20"/>
                <w:color w:val="auto"/>
              </w:rPr>
            </w:pPr>
            <w:r>
              <w:rPr>
                <w:rFonts w:ascii="Arial" w:cs="Arial" w:eastAsia="Arial" w:hAnsi="Arial"/>
                <w:sz w:val="7"/>
                <w:szCs w:val="7"/>
                <w:color w:val="auto"/>
              </w:rPr>
              <w:t>​​ ​​</w:t>
            </w:r>
          </w:p>
        </w:tc>
        <w:tc>
          <w:tcPr>
            <w:tcW w:w="700" w:type="dxa"/>
            <w:vAlign w:val="bottom"/>
          </w:tcPr>
          <w:p>
            <w:pPr>
              <w:spacing w:after="0"/>
              <w:rPr>
                <w:sz w:val="5"/>
                <w:szCs w:val="5"/>
                <w:color w:val="auto"/>
              </w:rPr>
            </w:pPr>
          </w:p>
        </w:tc>
        <w:tc>
          <w:tcPr>
            <w:tcW w:w="18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6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880" w:type="dxa"/>
            <w:vAlign w:val="bottom"/>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220" w:type="dxa"/>
            <w:vAlign w:val="bottom"/>
          </w:tcPr>
          <w:p>
            <w:pPr>
              <w:ind w:left="80"/>
              <w:spacing w:after="0" w:line="68" w:lineRule="exact"/>
              <w:rPr>
                <w:sz w:val="20"/>
                <w:szCs w:val="20"/>
                <w:color w:val="auto"/>
              </w:rPr>
            </w:pPr>
            <w:r>
              <w:rPr>
                <w:rFonts w:ascii="Arial" w:cs="Arial" w:eastAsia="Arial" w:hAnsi="Arial"/>
                <w:sz w:val="7"/>
                <w:szCs w:val="7"/>
                <w:color w:val="auto"/>
              </w:rPr>
              <w:t>​</w:t>
            </w:r>
          </w:p>
        </w:tc>
        <w:tc>
          <w:tcPr>
            <w:tcW w:w="760" w:type="dxa"/>
            <w:vAlign w:val="bottom"/>
          </w:tcPr>
          <w:p>
            <w:pPr>
              <w:spacing w:after="0"/>
              <w:rPr>
                <w:sz w:val="5"/>
                <w:szCs w:val="5"/>
                <w:color w:val="auto"/>
              </w:rPr>
            </w:pPr>
          </w:p>
        </w:tc>
        <w:tc>
          <w:tcPr>
            <w:tcW w:w="360" w:type="dxa"/>
            <w:vAlign w:val="bottom"/>
            <w:gridSpan w:val="2"/>
          </w:tcPr>
          <w:p>
            <w:pPr>
              <w:ind w:left="20"/>
              <w:spacing w:after="0" w:line="68" w:lineRule="exact"/>
              <w:rPr>
                <w:sz w:val="20"/>
                <w:szCs w:val="20"/>
                <w:color w:val="auto"/>
              </w:rPr>
            </w:pPr>
            <w:r>
              <w:rPr>
                <w:rFonts w:ascii="Arial" w:cs="Arial" w:eastAsia="Arial" w:hAnsi="Arial"/>
                <w:sz w:val="7"/>
                <w:szCs w:val="7"/>
                <w:color w:val="auto"/>
              </w:rPr>
              <w:t>​​​​</w:t>
            </w:r>
          </w:p>
        </w:tc>
        <w:tc>
          <w:tcPr>
            <w:tcW w:w="580" w:type="dxa"/>
            <w:vAlign w:val="bottom"/>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2980" w:type="dxa"/>
            <w:vAlign w:val="bottom"/>
            <w:tcBorders>
              <w:top w:val="single" w:sz="8" w:color="457157"/>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Devina A. Rankin</w:t>
            </w:r>
          </w:p>
        </w:tc>
        <w:tc>
          <w:tcPr>
            <w:tcW w:w="280" w:type="dxa"/>
            <w:vAlign w:val="bottom"/>
            <w:tcBorders>
              <w:top w:val="single" w:sz="8" w:color="457157"/>
            </w:tcBorders>
            <w:shd w:val="clear" w:color="auto" w:fill="CCEEFF"/>
          </w:tcPr>
          <w:p>
            <w:pPr>
              <w:spacing w:after="0"/>
              <w:rPr>
                <w:sz w:val="15"/>
                <w:szCs w:val="15"/>
                <w:color w:val="auto"/>
              </w:rPr>
            </w:pPr>
          </w:p>
        </w:tc>
        <w:tc>
          <w:tcPr>
            <w:tcW w:w="580" w:type="dxa"/>
            <w:vAlign w:val="bottom"/>
            <w:tcBorders>
              <w:top w:val="single" w:sz="8" w:color="457157"/>
            </w:tcBorders>
            <w:shd w:val="clear" w:color="auto" w:fill="CCEEFF"/>
          </w:tcPr>
          <w:p>
            <w:pPr>
              <w:spacing w:after="0"/>
              <w:rPr>
                <w:sz w:val="15"/>
                <w:szCs w:val="15"/>
                <w:color w:val="auto"/>
              </w:rPr>
            </w:pPr>
          </w:p>
        </w:tc>
        <w:tc>
          <w:tcPr>
            <w:tcW w:w="140" w:type="dxa"/>
            <w:vAlign w:val="bottom"/>
            <w:tcBorders>
              <w:top w:val="single" w:sz="8" w:color="457157"/>
            </w:tcBorders>
            <w:shd w:val="clear" w:color="auto" w:fill="CCEEFF"/>
          </w:tcPr>
          <w:p>
            <w:pPr>
              <w:spacing w:after="0"/>
              <w:rPr>
                <w:sz w:val="15"/>
                <w:szCs w:val="15"/>
                <w:color w:val="auto"/>
              </w:rPr>
            </w:pPr>
          </w:p>
        </w:tc>
        <w:tc>
          <w:tcPr>
            <w:tcW w:w="120" w:type="dxa"/>
            <w:vAlign w:val="bottom"/>
            <w:tcBorders>
              <w:top w:val="single" w:sz="8" w:color="457157"/>
            </w:tcBorders>
            <w:shd w:val="clear" w:color="auto" w:fill="CCEEFF"/>
          </w:tcPr>
          <w:p>
            <w:pPr>
              <w:spacing w:after="0"/>
              <w:rPr>
                <w:sz w:val="15"/>
                <w:szCs w:val="15"/>
                <w:color w:val="auto"/>
              </w:rPr>
            </w:pPr>
          </w:p>
        </w:tc>
        <w:tc>
          <w:tcPr>
            <w:tcW w:w="700" w:type="dxa"/>
            <w:vAlign w:val="bottom"/>
            <w:tcBorders>
              <w:top w:val="single" w:sz="8" w:color="457157"/>
            </w:tcBorders>
            <w:shd w:val="clear" w:color="auto" w:fill="CCEEFF"/>
          </w:tcPr>
          <w:p>
            <w:pPr>
              <w:spacing w:after="0"/>
              <w:rPr>
                <w:sz w:val="15"/>
                <w:szCs w:val="15"/>
                <w:color w:val="auto"/>
              </w:rPr>
            </w:pPr>
          </w:p>
        </w:tc>
        <w:tc>
          <w:tcPr>
            <w:tcW w:w="180" w:type="dxa"/>
            <w:vAlign w:val="bottom"/>
            <w:tcBorders>
              <w:top w:val="single" w:sz="8" w:color="457157"/>
            </w:tcBorders>
            <w:shd w:val="clear" w:color="auto" w:fill="CCEEFF"/>
          </w:tcPr>
          <w:p>
            <w:pPr>
              <w:spacing w:after="0"/>
              <w:rPr>
                <w:sz w:val="15"/>
                <w:szCs w:val="15"/>
                <w:color w:val="auto"/>
              </w:rPr>
            </w:pPr>
          </w:p>
        </w:tc>
        <w:tc>
          <w:tcPr>
            <w:tcW w:w="640" w:type="dxa"/>
            <w:vAlign w:val="bottom"/>
            <w:tcBorders>
              <w:top w:val="single" w:sz="8" w:color="457157"/>
            </w:tcBorders>
            <w:shd w:val="clear" w:color="auto" w:fill="CCEEFF"/>
          </w:tcPr>
          <w:p>
            <w:pPr>
              <w:spacing w:after="0"/>
              <w:rPr>
                <w:sz w:val="15"/>
                <w:szCs w:val="15"/>
                <w:color w:val="auto"/>
              </w:rPr>
            </w:pPr>
          </w:p>
        </w:tc>
        <w:tc>
          <w:tcPr>
            <w:tcW w:w="120" w:type="dxa"/>
            <w:vAlign w:val="bottom"/>
            <w:tcBorders>
              <w:top w:val="single" w:sz="8" w:color="457157"/>
            </w:tcBorders>
            <w:shd w:val="clear" w:color="auto" w:fill="CCEEFF"/>
          </w:tcPr>
          <w:p>
            <w:pPr>
              <w:spacing w:after="0"/>
              <w:rPr>
                <w:sz w:val="15"/>
                <w:szCs w:val="15"/>
                <w:color w:val="auto"/>
              </w:rPr>
            </w:pPr>
          </w:p>
        </w:tc>
        <w:tc>
          <w:tcPr>
            <w:tcW w:w="200" w:type="dxa"/>
            <w:vAlign w:val="bottom"/>
            <w:tcBorders>
              <w:top w:val="single" w:sz="8" w:color="457157"/>
            </w:tcBorders>
            <w:shd w:val="clear" w:color="auto" w:fill="CCEEFF"/>
          </w:tcPr>
          <w:p>
            <w:pPr>
              <w:spacing w:after="0"/>
              <w:rPr>
                <w:sz w:val="15"/>
                <w:szCs w:val="15"/>
                <w:color w:val="auto"/>
              </w:rPr>
            </w:pPr>
          </w:p>
        </w:tc>
        <w:tc>
          <w:tcPr>
            <w:tcW w:w="880" w:type="dxa"/>
            <w:vAlign w:val="bottom"/>
            <w:tcBorders>
              <w:top w:val="single" w:sz="8" w:color="457157"/>
            </w:tcBorders>
            <w:shd w:val="clear" w:color="auto" w:fill="CCEEFF"/>
          </w:tcPr>
          <w:p>
            <w:pPr>
              <w:spacing w:after="0"/>
              <w:rPr>
                <w:sz w:val="15"/>
                <w:szCs w:val="15"/>
                <w:color w:val="auto"/>
              </w:rPr>
            </w:pPr>
          </w:p>
        </w:tc>
        <w:tc>
          <w:tcPr>
            <w:tcW w:w="60" w:type="dxa"/>
            <w:vAlign w:val="bottom"/>
            <w:tcBorders>
              <w:top w:val="single" w:sz="8" w:color="457157"/>
            </w:tcBorders>
            <w:shd w:val="clear" w:color="auto" w:fill="CCEEFF"/>
          </w:tcPr>
          <w:p>
            <w:pPr>
              <w:spacing w:after="0"/>
              <w:rPr>
                <w:sz w:val="15"/>
                <w:szCs w:val="15"/>
                <w:color w:val="auto"/>
              </w:rPr>
            </w:pPr>
          </w:p>
        </w:tc>
        <w:tc>
          <w:tcPr>
            <w:tcW w:w="220" w:type="dxa"/>
            <w:vAlign w:val="bottom"/>
            <w:tcBorders>
              <w:top w:val="single" w:sz="8" w:color="457157"/>
            </w:tcBorders>
            <w:shd w:val="clear" w:color="auto" w:fill="CCEEFF"/>
          </w:tcPr>
          <w:p>
            <w:pPr>
              <w:spacing w:after="0"/>
              <w:rPr>
                <w:sz w:val="15"/>
                <w:szCs w:val="15"/>
                <w:color w:val="auto"/>
              </w:rPr>
            </w:pPr>
          </w:p>
        </w:tc>
        <w:tc>
          <w:tcPr>
            <w:tcW w:w="220" w:type="dxa"/>
            <w:vAlign w:val="bottom"/>
            <w:tcBorders>
              <w:top w:val="single" w:sz="8" w:color="457157"/>
            </w:tcBorders>
            <w:shd w:val="clear" w:color="auto" w:fill="CCEEFF"/>
          </w:tcPr>
          <w:p>
            <w:pPr>
              <w:spacing w:after="0"/>
              <w:rPr>
                <w:sz w:val="15"/>
                <w:szCs w:val="15"/>
                <w:color w:val="auto"/>
              </w:rPr>
            </w:pPr>
          </w:p>
        </w:tc>
        <w:tc>
          <w:tcPr>
            <w:tcW w:w="760" w:type="dxa"/>
            <w:vAlign w:val="bottom"/>
            <w:tcBorders>
              <w:top w:val="single" w:sz="8" w:color="457157"/>
            </w:tcBorders>
            <w:shd w:val="clear" w:color="auto" w:fill="CCEEFF"/>
          </w:tcPr>
          <w:p>
            <w:pPr>
              <w:spacing w:after="0"/>
              <w:rPr>
                <w:sz w:val="15"/>
                <w:szCs w:val="15"/>
                <w:color w:val="auto"/>
              </w:rPr>
            </w:pPr>
          </w:p>
        </w:tc>
        <w:tc>
          <w:tcPr>
            <w:tcW w:w="60" w:type="dxa"/>
            <w:vAlign w:val="bottom"/>
            <w:tcBorders>
              <w:top w:val="single" w:sz="8" w:color="457157"/>
            </w:tcBorders>
            <w:shd w:val="clear" w:color="auto" w:fill="CCEEFF"/>
          </w:tcPr>
          <w:p>
            <w:pPr>
              <w:spacing w:after="0"/>
              <w:rPr>
                <w:sz w:val="15"/>
                <w:szCs w:val="15"/>
                <w:color w:val="auto"/>
              </w:rPr>
            </w:pPr>
          </w:p>
        </w:tc>
        <w:tc>
          <w:tcPr>
            <w:tcW w:w="300" w:type="dxa"/>
            <w:vAlign w:val="bottom"/>
            <w:tcBorders>
              <w:top w:val="single" w:sz="8" w:color="457157"/>
            </w:tcBorders>
            <w:shd w:val="clear" w:color="auto" w:fill="CCEEFF"/>
          </w:tcPr>
          <w:p>
            <w:pPr>
              <w:spacing w:after="0"/>
              <w:rPr>
                <w:sz w:val="15"/>
                <w:szCs w:val="15"/>
                <w:color w:val="auto"/>
              </w:rPr>
            </w:pPr>
          </w:p>
        </w:tc>
        <w:tc>
          <w:tcPr>
            <w:tcW w:w="580" w:type="dxa"/>
            <w:vAlign w:val="bottom"/>
            <w:tcBorders>
              <w:top w:val="single" w:sz="8" w:color="457157"/>
            </w:tcBorders>
            <w:shd w:val="clear" w:color="auto" w:fill="CCEEFF"/>
          </w:tcPr>
          <w:p>
            <w:pPr>
              <w:spacing w:after="0"/>
              <w:rPr>
                <w:sz w:val="15"/>
                <w:szCs w:val="15"/>
                <w:color w:val="auto"/>
              </w:rPr>
            </w:pPr>
          </w:p>
        </w:tc>
        <w:tc>
          <w:tcPr>
            <w:tcW w:w="40" w:type="dxa"/>
            <w:vAlign w:val="bottom"/>
            <w:tcBorders>
              <w:top w:val="single" w:sz="8" w:color="457157"/>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980" w:type="dxa"/>
            <w:vAlign w:val="bottom"/>
            <w:tcBorders>
              <w:bottom w:val="single" w:sz="8" w:color="457157"/>
            </w:tcBorders>
            <w:shd w:val="clear" w:color="auto" w:fill="CCEEFF"/>
          </w:tcPr>
          <w:p>
            <w:pPr>
              <w:spacing w:after="0" w:line="222"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EVP and Chief Financial Officer</w:t>
            </w:r>
          </w:p>
        </w:tc>
        <w:tc>
          <w:tcPr>
            <w:tcW w:w="2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580" w:type="dxa"/>
            <w:vAlign w:val="bottom"/>
            <w:tcBorders>
              <w:bottom w:val="single" w:sz="8" w:color="457157"/>
            </w:tcBorders>
            <w:shd w:val="clear" w:color="auto" w:fill="CCEEFF"/>
          </w:tcPr>
          <w:p>
            <w:pPr>
              <w:spacing w:after="0"/>
              <w:rPr>
                <w:sz w:val="19"/>
                <w:szCs w:val="19"/>
                <w:color w:val="auto"/>
              </w:rPr>
            </w:pPr>
          </w:p>
        </w:tc>
        <w:tc>
          <w:tcPr>
            <w:tcW w:w="26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700" w:type="dxa"/>
            <w:vAlign w:val="bottom"/>
            <w:tcBorders>
              <w:bottom w:val="single" w:sz="8" w:color="457157"/>
            </w:tcBorders>
            <w:shd w:val="clear" w:color="auto" w:fill="CCEEFF"/>
          </w:tcPr>
          <w:p>
            <w:pPr>
              <w:spacing w:after="0"/>
              <w:rPr>
                <w:sz w:val="19"/>
                <w:szCs w:val="19"/>
                <w:color w:val="auto"/>
              </w:rPr>
            </w:pPr>
          </w:p>
        </w:tc>
        <w:tc>
          <w:tcPr>
            <w:tcW w:w="1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457157"/>
            </w:tcBorders>
            <w:shd w:val="clear" w:color="auto" w:fill="CCEEFF"/>
          </w:tcPr>
          <w:p>
            <w:pPr>
              <w:spacing w:after="0"/>
              <w:rPr>
                <w:sz w:val="19"/>
                <w:szCs w:val="19"/>
                <w:color w:val="auto"/>
              </w:rPr>
            </w:pP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457157"/>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457157"/>
            </w:tcBorders>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457157"/>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457157"/>
            </w:tcBorders>
            <w:shd w:val="clear" w:color="auto" w:fill="CCEEFF"/>
          </w:tcPr>
          <w:p>
            <w:pPr>
              <w:spacing w:after="0"/>
              <w:rPr>
                <w:sz w:val="19"/>
                <w:szCs w:val="19"/>
                <w:color w:val="auto"/>
              </w:rPr>
            </w:pPr>
          </w:p>
        </w:tc>
        <w:tc>
          <w:tcPr>
            <w:tcW w:w="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80" w:type="dxa"/>
            <w:vAlign w:val="bottom"/>
          </w:tcPr>
          <w:p>
            <w:pPr>
              <w:jc w:val="right"/>
              <w:ind w:right="253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2024</w:t>
            </w:r>
          </w:p>
        </w:tc>
        <w:tc>
          <w:tcPr>
            <w:tcW w:w="28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840" w:type="dxa"/>
            <w:vAlign w:val="bottom"/>
            <w:gridSpan w:val="3"/>
          </w:tcPr>
          <w:p>
            <w:pPr>
              <w:jc w:val="right"/>
              <w:spacing w:after="0" w:line="236" w:lineRule="exact"/>
              <w:rPr>
                <w:sz w:val="20"/>
                <w:szCs w:val="20"/>
                <w:color w:val="auto"/>
              </w:rPr>
            </w:pPr>
            <w:r>
              <w:rPr>
                <w:rFonts w:ascii="Arial" w:cs="Arial" w:eastAsia="Arial" w:hAnsi="Arial"/>
                <w:sz w:val="14"/>
                <w:szCs w:val="14"/>
                <w:color w:val="auto"/>
              </w:rPr>
              <w:t>790,035</w:t>
            </w:r>
            <w:r>
              <w:rPr>
                <w:rFonts w:ascii="Arial" w:cs="Arial" w:eastAsia="Arial" w:hAnsi="Arial"/>
                <w:sz w:val="27"/>
                <w:szCs w:val="27"/>
                <w:color w:val="auto"/>
                <w:vertAlign w:val="subscript"/>
              </w:rPr>
              <w:t>​​ ​​</w:t>
            </w:r>
            <w:r>
              <w:rPr>
                <w:rFonts w:ascii="Arial" w:cs="Arial" w:eastAsia="Arial" w:hAnsi="Arial"/>
                <w:sz w:val="14"/>
                <w:szCs w:val="14"/>
                <w:color w:val="auto"/>
              </w:rPr>
              <w:t>​</w:t>
            </w:r>
          </w:p>
        </w:tc>
        <w:tc>
          <w:tcPr>
            <w:tcW w:w="88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2,427,755</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460,014</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1,203,674</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220" w:type="dxa"/>
            <w:vAlign w:val="bottom"/>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Pr>
          <w:p>
            <w:pPr>
              <w:jc w:val="right"/>
              <w:ind w:right="144"/>
              <w:spacing w:after="0"/>
              <w:rPr>
                <w:sz w:val="20"/>
                <w:szCs w:val="20"/>
                <w:color w:val="auto"/>
              </w:rPr>
            </w:pPr>
            <w:r>
              <w:rPr>
                <w:rFonts w:ascii="Arial" w:cs="Arial" w:eastAsia="Arial" w:hAnsi="Arial"/>
                <w:sz w:val="15"/>
                <w:szCs w:val="15"/>
                <w:color w:val="auto"/>
              </w:rPr>
              <w:t>78,250</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4,959,728</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6"/>
        </w:trPr>
        <w:tc>
          <w:tcPr>
            <w:tcW w:w="2980" w:type="dxa"/>
            <w:vAlign w:val="bottom"/>
            <w:tcBorders>
              <w:top w:val="single" w:sz="8" w:color="457157"/>
              <w:bottom w:val="single" w:sz="8" w:color="457157"/>
            </w:tcBorders>
            <w:shd w:val="clear" w:color="auto" w:fill="CCEEFF"/>
          </w:tcPr>
          <w:p>
            <w:pPr>
              <w:jc w:val="right"/>
              <w:ind w:right="253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2023</w:t>
            </w:r>
          </w:p>
        </w:tc>
        <w:tc>
          <w:tcPr>
            <w:tcW w:w="280" w:type="dxa"/>
            <w:vAlign w:val="bottom"/>
            <w:tcBorders>
              <w:top w:val="single" w:sz="8" w:color="457157"/>
              <w:bottom w:val="single" w:sz="8" w:color="457157"/>
            </w:tcBorders>
            <w:shd w:val="clear" w:color="auto" w:fill="CCEEFF"/>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840" w:type="dxa"/>
            <w:vAlign w:val="bottom"/>
            <w:tcBorders>
              <w:top w:val="single" w:sz="8" w:color="457157"/>
              <w:bottom w:val="single" w:sz="8" w:color="457157"/>
            </w:tcBorders>
            <w:gridSpan w:val="3"/>
            <w:shd w:val="clear" w:color="auto" w:fill="CCEEFF"/>
          </w:tcPr>
          <w:p>
            <w:pPr>
              <w:jc w:val="right"/>
              <w:spacing w:after="0" w:line="236" w:lineRule="exact"/>
              <w:rPr>
                <w:sz w:val="20"/>
                <w:szCs w:val="20"/>
                <w:color w:val="auto"/>
              </w:rPr>
            </w:pPr>
            <w:r>
              <w:rPr>
                <w:rFonts w:ascii="Arial" w:cs="Arial" w:eastAsia="Arial" w:hAnsi="Arial"/>
                <w:sz w:val="14"/>
                <w:szCs w:val="14"/>
                <w:color w:val="auto"/>
              </w:rPr>
              <w:t>760,792</w:t>
            </w:r>
            <w:r>
              <w:rPr>
                <w:rFonts w:ascii="Arial" w:cs="Arial" w:eastAsia="Arial" w:hAnsi="Arial"/>
                <w:sz w:val="27"/>
                <w:szCs w:val="27"/>
                <w:color w:val="auto"/>
                <w:vertAlign w:val="subscript"/>
              </w:rPr>
              <w:t>​​ ​​</w:t>
            </w:r>
            <w:r>
              <w:rPr>
                <w:rFonts w:ascii="Arial" w:cs="Arial" w:eastAsia="Arial" w:hAnsi="Arial"/>
                <w:sz w:val="14"/>
                <w:szCs w:val="14"/>
                <w:color w:val="auto"/>
              </w:rPr>
              <w:t>​</w:t>
            </w:r>
          </w:p>
        </w:tc>
        <w:tc>
          <w:tcPr>
            <w:tcW w:w="880" w:type="dxa"/>
            <w:vAlign w:val="bottom"/>
            <w:tcBorders>
              <w:top w:val="single" w:sz="8" w:color="457157"/>
              <w:bottom w:val="single" w:sz="8" w:color="457157"/>
            </w:tcBorders>
            <w:gridSpan w:val="2"/>
            <w:shd w:val="clear" w:color="auto" w:fill="CCEEFF"/>
          </w:tcPr>
          <w:p>
            <w:pPr>
              <w:jc w:val="right"/>
              <w:spacing w:after="0" w:line="236" w:lineRule="exact"/>
              <w:rPr>
                <w:sz w:val="20"/>
                <w:szCs w:val="20"/>
                <w:color w:val="auto"/>
              </w:rPr>
            </w:pPr>
            <w:r>
              <w:rPr>
                <w:rFonts w:ascii="Arial" w:cs="Arial" w:eastAsia="Arial" w:hAnsi="Arial"/>
                <w:sz w:val="14"/>
                <w:szCs w:val="14"/>
                <w:color w:val="auto"/>
              </w:rPr>
              <w:t>1,982,933</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tcBorders>
              <w:top w:val="single" w:sz="8" w:color="457157"/>
              <w:bottom w:val="single" w:sz="8" w:color="457157"/>
            </w:tcBorders>
            <w:gridSpan w:val="2"/>
            <w:shd w:val="clear" w:color="auto" w:fill="CCEEFF"/>
          </w:tcPr>
          <w:p>
            <w:pPr>
              <w:jc w:val="right"/>
              <w:spacing w:after="0" w:line="236" w:lineRule="exact"/>
              <w:rPr>
                <w:sz w:val="20"/>
                <w:szCs w:val="20"/>
                <w:color w:val="auto"/>
              </w:rPr>
            </w:pPr>
            <w:r>
              <w:rPr>
                <w:rFonts w:ascii="Arial" w:cs="Arial" w:eastAsia="Arial" w:hAnsi="Arial"/>
                <w:sz w:val="14"/>
                <w:szCs w:val="14"/>
                <w:color w:val="auto"/>
              </w:rPr>
              <w:t>460,005</w:t>
            </w:r>
            <w:r>
              <w:rPr>
                <w:rFonts w:ascii="Arial" w:cs="Arial" w:eastAsia="Arial" w:hAnsi="Arial"/>
                <w:sz w:val="27"/>
                <w:szCs w:val="27"/>
                <w:color w:val="auto"/>
                <w:vertAlign w:val="subscript"/>
              </w:rPr>
              <w:t>​​​</w:t>
            </w:r>
          </w:p>
        </w:tc>
        <w:tc>
          <w:tcPr>
            <w:tcW w:w="200" w:type="dxa"/>
            <w:vAlign w:val="bottom"/>
            <w:tcBorders>
              <w:top w:val="single" w:sz="8" w:color="457157"/>
              <w:bottom w:val="single" w:sz="8" w:color="457157"/>
            </w:tcBorders>
            <w:shd w:val="clear" w:color="auto" w:fill="CCEEFF"/>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Borders>
              <w:top w:val="single" w:sz="8" w:color="457157"/>
              <w:bottom w:val="single" w:sz="8" w:color="457157"/>
            </w:tcBorders>
            <w:shd w:val="clear" w:color="auto" w:fill="CCEEFF"/>
          </w:tcPr>
          <w:p>
            <w:pPr>
              <w:jc w:val="right"/>
              <w:ind w:right="44"/>
              <w:spacing w:after="0"/>
              <w:rPr>
                <w:sz w:val="20"/>
                <w:szCs w:val="20"/>
                <w:color w:val="auto"/>
              </w:rPr>
            </w:pPr>
            <w:r>
              <w:rPr>
                <w:rFonts w:ascii="Arial" w:cs="Arial" w:eastAsia="Arial" w:hAnsi="Arial"/>
                <w:sz w:val="15"/>
                <w:szCs w:val="15"/>
                <w:color w:val="auto"/>
              </w:rPr>
              <w:t>915,228</w:t>
            </w:r>
          </w:p>
        </w:tc>
        <w:tc>
          <w:tcPr>
            <w:tcW w:w="280" w:type="dxa"/>
            <w:vAlign w:val="bottom"/>
            <w:tcBorders>
              <w:top w:val="single" w:sz="8" w:color="457157"/>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20" w:type="dxa"/>
            <w:vAlign w:val="bottom"/>
            <w:tcBorders>
              <w:top w:val="single" w:sz="8" w:color="457157"/>
              <w:bottom w:val="single" w:sz="8" w:color="457157"/>
            </w:tcBorders>
            <w:shd w:val="clear" w:color="auto" w:fill="CCEEFF"/>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Borders>
              <w:top w:val="single" w:sz="8" w:color="457157"/>
              <w:bottom w:val="single" w:sz="8" w:color="457157"/>
            </w:tcBorders>
            <w:shd w:val="clear" w:color="auto" w:fill="CCEEFF"/>
          </w:tcPr>
          <w:p>
            <w:pPr>
              <w:jc w:val="right"/>
              <w:ind w:right="144"/>
              <w:spacing w:after="0"/>
              <w:rPr>
                <w:sz w:val="20"/>
                <w:szCs w:val="20"/>
                <w:color w:val="auto"/>
              </w:rPr>
            </w:pPr>
            <w:r>
              <w:rPr>
                <w:rFonts w:ascii="Arial" w:cs="Arial" w:eastAsia="Arial" w:hAnsi="Arial"/>
                <w:sz w:val="15"/>
                <w:szCs w:val="15"/>
                <w:color w:val="auto"/>
              </w:rPr>
              <w:t>95,142</w:t>
            </w:r>
          </w:p>
        </w:tc>
        <w:tc>
          <w:tcPr>
            <w:tcW w:w="980" w:type="dxa"/>
            <w:vAlign w:val="bottom"/>
            <w:tcBorders>
              <w:top w:val="single" w:sz="8" w:color="457157"/>
              <w:bottom w:val="single" w:sz="8" w:color="457157"/>
            </w:tcBorders>
            <w:gridSpan w:val="4"/>
            <w:shd w:val="clear" w:color="auto" w:fill="CCEEFF"/>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4,214,100</w:t>
            </w:r>
            <w:r>
              <w:rPr>
                <w:rFonts w:ascii="Arial" w:cs="Arial" w:eastAsia="Arial" w:hAnsi="Arial"/>
                <w:sz w:val="27"/>
                <w:szCs w:val="27"/>
                <w:color w:val="auto"/>
                <w:vertAlign w:val="subscript"/>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980" w:type="dxa"/>
            <w:vAlign w:val="bottom"/>
          </w:tcPr>
          <w:p>
            <w:pPr>
              <w:jc w:val="right"/>
              <w:ind w:right="253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28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840" w:type="dxa"/>
            <w:vAlign w:val="bottom"/>
            <w:gridSpan w:val="3"/>
          </w:tcPr>
          <w:p>
            <w:pPr>
              <w:jc w:val="right"/>
              <w:spacing w:after="0" w:line="236" w:lineRule="exact"/>
              <w:rPr>
                <w:sz w:val="20"/>
                <w:szCs w:val="20"/>
                <w:color w:val="auto"/>
              </w:rPr>
            </w:pPr>
            <w:r>
              <w:rPr>
                <w:rFonts w:ascii="Arial" w:cs="Arial" w:eastAsia="Arial" w:hAnsi="Arial"/>
                <w:sz w:val="14"/>
                <w:szCs w:val="14"/>
                <w:color w:val="auto"/>
              </w:rPr>
              <w:t>730,288</w:t>
            </w:r>
            <w:r>
              <w:rPr>
                <w:rFonts w:ascii="Arial" w:cs="Arial" w:eastAsia="Arial" w:hAnsi="Arial"/>
                <w:sz w:val="27"/>
                <w:szCs w:val="27"/>
                <w:color w:val="auto"/>
                <w:vertAlign w:val="subscript"/>
              </w:rPr>
              <w:t>​​ ​​</w:t>
            </w:r>
            <w:r>
              <w:rPr>
                <w:rFonts w:ascii="Arial" w:cs="Arial" w:eastAsia="Arial" w:hAnsi="Arial"/>
                <w:sz w:val="14"/>
                <w:szCs w:val="14"/>
                <w:color w:val="auto"/>
              </w:rPr>
              <w:t>​</w:t>
            </w:r>
          </w:p>
        </w:tc>
        <w:tc>
          <w:tcPr>
            <w:tcW w:w="88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3,008,095</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439,988</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1,258,404</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220" w:type="dxa"/>
            <w:vAlign w:val="bottom"/>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Pr>
          <w:p>
            <w:pPr>
              <w:jc w:val="right"/>
              <w:ind w:right="144"/>
              <w:spacing w:after="0"/>
              <w:rPr>
                <w:sz w:val="20"/>
                <w:szCs w:val="20"/>
                <w:color w:val="auto"/>
              </w:rPr>
            </w:pPr>
            <w:r>
              <w:rPr>
                <w:rFonts w:ascii="Arial" w:cs="Arial" w:eastAsia="Arial" w:hAnsi="Arial"/>
                <w:sz w:val="15"/>
                <w:szCs w:val="15"/>
                <w:color w:val="auto"/>
              </w:rPr>
              <w:t>98,980</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5,535,755</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177"/>
        </w:trPr>
        <w:tc>
          <w:tcPr>
            <w:tcW w:w="2980" w:type="dxa"/>
            <w:vAlign w:val="bottom"/>
            <w:tcBorders>
              <w:top w:val="single" w:sz="8" w:color="457157"/>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John J. Morris, Jr.</w:t>
            </w:r>
          </w:p>
        </w:tc>
        <w:tc>
          <w:tcPr>
            <w:tcW w:w="280" w:type="dxa"/>
            <w:vAlign w:val="bottom"/>
            <w:tcBorders>
              <w:top w:val="single" w:sz="8" w:color="457157"/>
            </w:tcBorders>
            <w:shd w:val="clear" w:color="auto" w:fill="CCEEFF"/>
          </w:tcPr>
          <w:p>
            <w:pPr>
              <w:spacing w:after="0"/>
              <w:rPr>
                <w:sz w:val="15"/>
                <w:szCs w:val="15"/>
                <w:color w:val="auto"/>
              </w:rPr>
            </w:pPr>
          </w:p>
        </w:tc>
        <w:tc>
          <w:tcPr>
            <w:tcW w:w="580" w:type="dxa"/>
            <w:vAlign w:val="bottom"/>
            <w:tcBorders>
              <w:top w:val="single" w:sz="8" w:color="457157"/>
            </w:tcBorders>
            <w:shd w:val="clear" w:color="auto" w:fill="CCEEFF"/>
          </w:tcPr>
          <w:p>
            <w:pPr>
              <w:spacing w:after="0"/>
              <w:rPr>
                <w:sz w:val="15"/>
                <w:szCs w:val="15"/>
                <w:color w:val="auto"/>
              </w:rPr>
            </w:pPr>
          </w:p>
        </w:tc>
        <w:tc>
          <w:tcPr>
            <w:tcW w:w="140" w:type="dxa"/>
            <w:vAlign w:val="bottom"/>
            <w:tcBorders>
              <w:top w:val="single" w:sz="8" w:color="457157"/>
            </w:tcBorders>
            <w:shd w:val="clear" w:color="auto" w:fill="CCEEFF"/>
          </w:tcPr>
          <w:p>
            <w:pPr>
              <w:spacing w:after="0"/>
              <w:rPr>
                <w:sz w:val="15"/>
                <w:szCs w:val="15"/>
                <w:color w:val="auto"/>
              </w:rPr>
            </w:pPr>
          </w:p>
        </w:tc>
        <w:tc>
          <w:tcPr>
            <w:tcW w:w="120" w:type="dxa"/>
            <w:vAlign w:val="bottom"/>
            <w:tcBorders>
              <w:top w:val="single" w:sz="8" w:color="457157"/>
            </w:tcBorders>
            <w:shd w:val="clear" w:color="auto" w:fill="CCEEFF"/>
          </w:tcPr>
          <w:p>
            <w:pPr>
              <w:spacing w:after="0"/>
              <w:rPr>
                <w:sz w:val="15"/>
                <w:szCs w:val="15"/>
                <w:color w:val="auto"/>
              </w:rPr>
            </w:pPr>
          </w:p>
        </w:tc>
        <w:tc>
          <w:tcPr>
            <w:tcW w:w="700" w:type="dxa"/>
            <w:vAlign w:val="bottom"/>
            <w:tcBorders>
              <w:top w:val="single" w:sz="8" w:color="457157"/>
            </w:tcBorders>
            <w:shd w:val="clear" w:color="auto" w:fill="CCEEFF"/>
          </w:tcPr>
          <w:p>
            <w:pPr>
              <w:spacing w:after="0"/>
              <w:rPr>
                <w:sz w:val="15"/>
                <w:szCs w:val="15"/>
                <w:color w:val="auto"/>
              </w:rPr>
            </w:pPr>
          </w:p>
        </w:tc>
        <w:tc>
          <w:tcPr>
            <w:tcW w:w="180" w:type="dxa"/>
            <w:vAlign w:val="bottom"/>
            <w:tcBorders>
              <w:top w:val="single" w:sz="8" w:color="457157"/>
            </w:tcBorders>
            <w:shd w:val="clear" w:color="auto" w:fill="CCEEFF"/>
          </w:tcPr>
          <w:p>
            <w:pPr>
              <w:spacing w:after="0"/>
              <w:rPr>
                <w:sz w:val="15"/>
                <w:szCs w:val="15"/>
                <w:color w:val="auto"/>
              </w:rPr>
            </w:pPr>
          </w:p>
        </w:tc>
        <w:tc>
          <w:tcPr>
            <w:tcW w:w="640" w:type="dxa"/>
            <w:vAlign w:val="bottom"/>
            <w:tcBorders>
              <w:top w:val="single" w:sz="8" w:color="457157"/>
            </w:tcBorders>
            <w:shd w:val="clear" w:color="auto" w:fill="CCEEFF"/>
          </w:tcPr>
          <w:p>
            <w:pPr>
              <w:spacing w:after="0"/>
              <w:rPr>
                <w:sz w:val="15"/>
                <w:szCs w:val="15"/>
                <w:color w:val="auto"/>
              </w:rPr>
            </w:pPr>
          </w:p>
        </w:tc>
        <w:tc>
          <w:tcPr>
            <w:tcW w:w="120" w:type="dxa"/>
            <w:vAlign w:val="bottom"/>
            <w:tcBorders>
              <w:top w:val="single" w:sz="8" w:color="457157"/>
            </w:tcBorders>
            <w:shd w:val="clear" w:color="auto" w:fill="CCEEFF"/>
          </w:tcPr>
          <w:p>
            <w:pPr>
              <w:spacing w:after="0"/>
              <w:rPr>
                <w:sz w:val="15"/>
                <w:szCs w:val="15"/>
                <w:color w:val="auto"/>
              </w:rPr>
            </w:pPr>
          </w:p>
        </w:tc>
        <w:tc>
          <w:tcPr>
            <w:tcW w:w="200" w:type="dxa"/>
            <w:vAlign w:val="bottom"/>
            <w:tcBorders>
              <w:top w:val="single" w:sz="8" w:color="457157"/>
            </w:tcBorders>
            <w:shd w:val="clear" w:color="auto" w:fill="CCEEFF"/>
          </w:tcPr>
          <w:p>
            <w:pPr>
              <w:spacing w:after="0"/>
              <w:rPr>
                <w:sz w:val="15"/>
                <w:szCs w:val="15"/>
                <w:color w:val="auto"/>
              </w:rPr>
            </w:pPr>
          </w:p>
        </w:tc>
        <w:tc>
          <w:tcPr>
            <w:tcW w:w="880" w:type="dxa"/>
            <w:vAlign w:val="bottom"/>
            <w:tcBorders>
              <w:top w:val="single" w:sz="8" w:color="457157"/>
            </w:tcBorders>
            <w:shd w:val="clear" w:color="auto" w:fill="CCEEFF"/>
          </w:tcPr>
          <w:p>
            <w:pPr>
              <w:spacing w:after="0"/>
              <w:rPr>
                <w:sz w:val="15"/>
                <w:szCs w:val="15"/>
                <w:color w:val="auto"/>
              </w:rPr>
            </w:pPr>
          </w:p>
        </w:tc>
        <w:tc>
          <w:tcPr>
            <w:tcW w:w="60" w:type="dxa"/>
            <w:vAlign w:val="bottom"/>
            <w:tcBorders>
              <w:top w:val="single" w:sz="8" w:color="457157"/>
            </w:tcBorders>
            <w:shd w:val="clear" w:color="auto" w:fill="CCEEFF"/>
          </w:tcPr>
          <w:p>
            <w:pPr>
              <w:spacing w:after="0"/>
              <w:rPr>
                <w:sz w:val="15"/>
                <w:szCs w:val="15"/>
                <w:color w:val="auto"/>
              </w:rPr>
            </w:pPr>
          </w:p>
        </w:tc>
        <w:tc>
          <w:tcPr>
            <w:tcW w:w="220" w:type="dxa"/>
            <w:vAlign w:val="bottom"/>
            <w:tcBorders>
              <w:top w:val="single" w:sz="8" w:color="457157"/>
            </w:tcBorders>
            <w:shd w:val="clear" w:color="auto" w:fill="CCEEFF"/>
          </w:tcPr>
          <w:p>
            <w:pPr>
              <w:spacing w:after="0"/>
              <w:rPr>
                <w:sz w:val="15"/>
                <w:szCs w:val="15"/>
                <w:color w:val="auto"/>
              </w:rPr>
            </w:pPr>
          </w:p>
        </w:tc>
        <w:tc>
          <w:tcPr>
            <w:tcW w:w="220" w:type="dxa"/>
            <w:vAlign w:val="bottom"/>
            <w:tcBorders>
              <w:top w:val="single" w:sz="8" w:color="457157"/>
            </w:tcBorders>
            <w:shd w:val="clear" w:color="auto" w:fill="CCEEFF"/>
          </w:tcPr>
          <w:p>
            <w:pPr>
              <w:spacing w:after="0"/>
              <w:rPr>
                <w:sz w:val="15"/>
                <w:szCs w:val="15"/>
                <w:color w:val="auto"/>
              </w:rPr>
            </w:pPr>
          </w:p>
        </w:tc>
        <w:tc>
          <w:tcPr>
            <w:tcW w:w="760" w:type="dxa"/>
            <w:vAlign w:val="bottom"/>
            <w:tcBorders>
              <w:top w:val="single" w:sz="8" w:color="457157"/>
            </w:tcBorders>
            <w:shd w:val="clear" w:color="auto" w:fill="CCEEFF"/>
          </w:tcPr>
          <w:p>
            <w:pPr>
              <w:spacing w:after="0"/>
              <w:rPr>
                <w:sz w:val="15"/>
                <w:szCs w:val="15"/>
                <w:color w:val="auto"/>
              </w:rPr>
            </w:pPr>
          </w:p>
        </w:tc>
        <w:tc>
          <w:tcPr>
            <w:tcW w:w="60" w:type="dxa"/>
            <w:vAlign w:val="bottom"/>
            <w:tcBorders>
              <w:top w:val="single" w:sz="8" w:color="457157"/>
            </w:tcBorders>
            <w:shd w:val="clear" w:color="auto" w:fill="CCEEFF"/>
          </w:tcPr>
          <w:p>
            <w:pPr>
              <w:spacing w:after="0"/>
              <w:rPr>
                <w:sz w:val="15"/>
                <w:szCs w:val="15"/>
                <w:color w:val="auto"/>
              </w:rPr>
            </w:pPr>
          </w:p>
        </w:tc>
        <w:tc>
          <w:tcPr>
            <w:tcW w:w="300" w:type="dxa"/>
            <w:vAlign w:val="bottom"/>
            <w:tcBorders>
              <w:top w:val="single" w:sz="8" w:color="457157"/>
            </w:tcBorders>
            <w:shd w:val="clear" w:color="auto" w:fill="CCEEFF"/>
          </w:tcPr>
          <w:p>
            <w:pPr>
              <w:spacing w:after="0"/>
              <w:rPr>
                <w:sz w:val="15"/>
                <w:szCs w:val="15"/>
                <w:color w:val="auto"/>
              </w:rPr>
            </w:pPr>
          </w:p>
        </w:tc>
        <w:tc>
          <w:tcPr>
            <w:tcW w:w="580" w:type="dxa"/>
            <w:vAlign w:val="bottom"/>
            <w:tcBorders>
              <w:top w:val="single" w:sz="8" w:color="457157"/>
            </w:tcBorders>
            <w:shd w:val="clear" w:color="auto" w:fill="CCEEFF"/>
          </w:tcPr>
          <w:p>
            <w:pPr>
              <w:spacing w:after="0"/>
              <w:rPr>
                <w:sz w:val="15"/>
                <w:szCs w:val="15"/>
                <w:color w:val="auto"/>
              </w:rPr>
            </w:pPr>
          </w:p>
        </w:tc>
        <w:tc>
          <w:tcPr>
            <w:tcW w:w="40" w:type="dxa"/>
            <w:vAlign w:val="bottom"/>
            <w:tcBorders>
              <w:top w:val="single" w:sz="8" w:color="457157"/>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980" w:type="dxa"/>
            <w:vAlign w:val="bottom"/>
            <w:tcBorders>
              <w:bottom w:val="single" w:sz="8" w:color="457157"/>
            </w:tcBorders>
            <w:shd w:val="clear" w:color="auto" w:fill="CCEEFF"/>
          </w:tcPr>
          <w:p>
            <w:pPr>
              <w:spacing w:after="0" w:line="222"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EVP and Chief Operating Officer</w:t>
            </w:r>
          </w:p>
        </w:tc>
        <w:tc>
          <w:tcPr>
            <w:tcW w:w="2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580" w:type="dxa"/>
            <w:vAlign w:val="bottom"/>
            <w:tcBorders>
              <w:bottom w:val="single" w:sz="8" w:color="457157"/>
            </w:tcBorders>
            <w:shd w:val="clear" w:color="auto" w:fill="CCEEFF"/>
          </w:tcPr>
          <w:p>
            <w:pPr>
              <w:spacing w:after="0"/>
              <w:rPr>
                <w:sz w:val="19"/>
                <w:szCs w:val="19"/>
                <w:color w:val="auto"/>
              </w:rPr>
            </w:pPr>
          </w:p>
        </w:tc>
        <w:tc>
          <w:tcPr>
            <w:tcW w:w="26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700" w:type="dxa"/>
            <w:vAlign w:val="bottom"/>
            <w:tcBorders>
              <w:bottom w:val="single" w:sz="8" w:color="457157"/>
            </w:tcBorders>
            <w:shd w:val="clear" w:color="auto" w:fill="CCEEFF"/>
          </w:tcPr>
          <w:p>
            <w:pPr>
              <w:spacing w:after="0"/>
              <w:rPr>
                <w:sz w:val="19"/>
                <w:szCs w:val="19"/>
                <w:color w:val="auto"/>
              </w:rPr>
            </w:pPr>
          </w:p>
        </w:tc>
        <w:tc>
          <w:tcPr>
            <w:tcW w:w="1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457157"/>
            </w:tcBorders>
            <w:shd w:val="clear" w:color="auto" w:fill="CCEEFF"/>
          </w:tcPr>
          <w:p>
            <w:pPr>
              <w:spacing w:after="0"/>
              <w:rPr>
                <w:sz w:val="19"/>
                <w:szCs w:val="19"/>
                <w:color w:val="auto"/>
              </w:rPr>
            </w:pP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457157"/>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457157"/>
            </w:tcBorders>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457157"/>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457157"/>
            </w:tcBorders>
            <w:shd w:val="clear" w:color="auto" w:fill="CCEEFF"/>
          </w:tcPr>
          <w:p>
            <w:pPr>
              <w:spacing w:after="0"/>
              <w:rPr>
                <w:sz w:val="19"/>
                <w:szCs w:val="19"/>
                <w:color w:val="auto"/>
              </w:rPr>
            </w:pPr>
          </w:p>
        </w:tc>
        <w:tc>
          <w:tcPr>
            <w:tcW w:w="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980" w:type="dxa"/>
            <w:vAlign w:val="bottom"/>
          </w:tcPr>
          <w:p>
            <w:pPr>
              <w:jc w:val="right"/>
              <w:ind w:right="253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2024</w:t>
            </w:r>
          </w:p>
        </w:tc>
        <w:tc>
          <w:tcPr>
            <w:tcW w:w="28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720" w:type="dxa"/>
            <w:vAlign w:val="bottom"/>
            <w:gridSpan w:val="5"/>
          </w:tcPr>
          <w:p>
            <w:pPr>
              <w:jc w:val="right"/>
              <w:spacing w:after="0" w:line="236" w:lineRule="exact"/>
              <w:rPr>
                <w:sz w:val="20"/>
                <w:szCs w:val="20"/>
                <w:color w:val="auto"/>
              </w:rPr>
            </w:pPr>
            <w:r>
              <w:rPr>
                <w:rFonts w:ascii="Arial" w:cs="Arial" w:eastAsia="Arial" w:hAnsi="Arial"/>
                <w:sz w:val="14"/>
                <w:szCs w:val="14"/>
                <w:color w:val="auto"/>
              </w:rPr>
              <w:t>806,946</w:t>
            </w:r>
            <w:r>
              <w:rPr>
                <w:rFonts w:ascii="Arial" w:cs="Arial" w:eastAsia="Arial" w:hAnsi="Arial"/>
                <w:sz w:val="27"/>
                <w:szCs w:val="27"/>
                <w:color w:val="auto"/>
                <w:vertAlign w:val="subscript"/>
              </w:rPr>
              <w:t>​​ ​​</w:t>
            </w:r>
            <w:r>
              <w:rPr>
                <w:rFonts w:ascii="Arial" w:cs="Arial" w:eastAsia="Arial" w:hAnsi="Arial"/>
                <w:sz w:val="14"/>
                <w:szCs w:val="14"/>
                <w:color w:val="auto"/>
              </w:rPr>
              <w:t>​ 3,113,792</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590,003</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1,352,403</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980" w:type="dxa"/>
            <w:vAlign w:val="bottom"/>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136,349</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5,999,493</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7"/>
        </w:trPr>
        <w:tc>
          <w:tcPr>
            <w:tcW w:w="2980" w:type="dxa"/>
            <w:vAlign w:val="bottom"/>
            <w:tcBorders>
              <w:top w:val="single" w:sz="8" w:color="457157"/>
              <w:bottom w:val="single" w:sz="8" w:color="457157"/>
            </w:tcBorders>
            <w:shd w:val="clear" w:color="auto" w:fill="CCEEFF"/>
          </w:tcPr>
          <w:p>
            <w:pPr>
              <w:jc w:val="right"/>
              <w:ind w:right="253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2023</w:t>
            </w:r>
          </w:p>
        </w:tc>
        <w:tc>
          <w:tcPr>
            <w:tcW w:w="280" w:type="dxa"/>
            <w:vAlign w:val="bottom"/>
            <w:tcBorders>
              <w:top w:val="single" w:sz="8" w:color="457157"/>
              <w:bottom w:val="single" w:sz="8" w:color="457157"/>
            </w:tcBorders>
            <w:shd w:val="clear" w:color="auto" w:fill="CCEEFF"/>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840" w:type="dxa"/>
            <w:vAlign w:val="bottom"/>
            <w:tcBorders>
              <w:top w:val="single" w:sz="8" w:color="457157"/>
              <w:bottom w:val="single" w:sz="8" w:color="457157"/>
            </w:tcBorders>
            <w:gridSpan w:val="3"/>
            <w:shd w:val="clear" w:color="auto" w:fill="CCEEFF"/>
          </w:tcPr>
          <w:p>
            <w:pPr>
              <w:jc w:val="right"/>
              <w:spacing w:after="0" w:line="236" w:lineRule="exact"/>
              <w:rPr>
                <w:sz w:val="20"/>
                <w:szCs w:val="20"/>
                <w:color w:val="auto"/>
              </w:rPr>
            </w:pPr>
            <w:r>
              <w:rPr>
                <w:rFonts w:ascii="Arial" w:cs="Arial" w:eastAsia="Arial" w:hAnsi="Arial"/>
                <w:sz w:val="14"/>
                <w:szCs w:val="14"/>
                <w:color w:val="auto"/>
              </w:rPr>
              <w:t>777,031</w:t>
            </w:r>
            <w:r>
              <w:rPr>
                <w:rFonts w:ascii="Arial" w:cs="Arial" w:eastAsia="Arial" w:hAnsi="Arial"/>
                <w:sz w:val="27"/>
                <w:szCs w:val="27"/>
                <w:color w:val="auto"/>
                <w:vertAlign w:val="subscript"/>
              </w:rPr>
              <w:t>​​ ​​</w:t>
            </w:r>
            <w:r>
              <w:rPr>
                <w:rFonts w:ascii="Arial" w:cs="Arial" w:eastAsia="Arial" w:hAnsi="Arial"/>
                <w:sz w:val="14"/>
                <w:szCs w:val="14"/>
                <w:color w:val="auto"/>
              </w:rPr>
              <w:t>​</w:t>
            </w:r>
          </w:p>
        </w:tc>
        <w:tc>
          <w:tcPr>
            <w:tcW w:w="880" w:type="dxa"/>
            <w:vAlign w:val="bottom"/>
            <w:tcBorders>
              <w:top w:val="single" w:sz="8" w:color="457157"/>
              <w:bottom w:val="single" w:sz="8" w:color="457157"/>
            </w:tcBorders>
            <w:gridSpan w:val="2"/>
            <w:shd w:val="clear" w:color="auto" w:fill="CCEEFF"/>
          </w:tcPr>
          <w:p>
            <w:pPr>
              <w:jc w:val="right"/>
              <w:spacing w:after="0" w:line="236" w:lineRule="exact"/>
              <w:rPr>
                <w:sz w:val="20"/>
                <w:szCs w:val="20"/>
                <w:color w:val="auto"/>
              </w:rPr>
            </w:pPr>
            <w:r>
              <w:rPr>
                <w:rFonts w:ascii="Arial" w:cs="Arial" w:eastAsia="Arial" w:hAnsi="Arial"/>
                <w:sz w:val="14"/>
                <w:szCs w:val="14"/>
                <w:color w:val="auto"/>
              </w:rPr>
              <w:t>2,327,562</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tcBorders>
              <w:top w:val="single" w:sz="8" w:color="457157"/>
              <w:bottom w:val="single" w:sz="8" w:color="457157"/>
            </w:tcBorders>
            <w:gridSpan w:val="2"/>
            <w:shd w:val="clear" w:color="auto" w:fill="CCEEFF"/>
          </w:tcPr>
          <w:p>
            <w:pPr>
              <w:jc w:val="right"/>
              <w:spacing w:after="0" w:line="236" w:lineRule="exact"/>
              <w:rPr>
                <w:sz w:val="20"/>
                <w:szCs w:val="20"/>
                <w:color w:val="auto"/>
              </w:rPr>
            </w:pPr>
            <w:r>
              <w:rPr>
                <w:rFonts w:ascii="Arial" w:cs="Arial" w:eastAsia="Arial" w:hAnsi="Arial"/>
                <w:sz w:val="14"/>
                <w:szCs w:val="14"/>
                <w:color w:val="auto"/>
              </w:rPr>
              <w:t>539,987</w:t>
            </w:r>
            <w:r>
              <w:rPr>
                <w:rFonts w:ascii="Arial" w:cs="Arial" w:eastAsia="Arial" w:hAnsi="Arial"/>
                <w:sz w:val="27"/>
                <w:szCs w:val="27"/>
                <w:color w:val="auto"/>
                <w:vertAlign w:val="subscript"/>
              </w:rPr>
              <w:t>​​​</w:t>
            </w:r>
          </w:p>
        </w:tc>
        <w:tc>
          <w:tcPr>
            <w:tcW w:w="200" w:type="dxa"/>
            <w:vAlign w:val="bottom"/>
            <w:tcBorders>
              <w:top w:val="single" w:sz="8" w:color="457157"/>
              <w:bottom w:val="single" w:sz="8" w:color="457157"/>
            </w:tcBorders>
            <w:shd w:val="clear" w:color="auto" w:fill="CCEEFF"/>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Borders>
              <w:top w:val="single" w:sz="8" w:color="457157"/>
              <w:bottom w:val="single" w:sz="8" w:color="457157"/>
            </w:tcBorders>
            <w:shd w:val="clear" w:color="auto" w:fill="CCEEFF"/>
          </w:tcPr>
          <w:p>
            <w:pPr>
              <w:jc w:val="right"/>
              <w:ind w:right="44"/>
              <w:spacing w:after="0"/>
              <w:rPr>
                <w:sz w:val="20"/>
                <w:szCs w:val="20"/>
                <w:color w:val="auto"/>
              </w:rPr>
            </w:pPr>
            <w:r>
              <w:rPr>
                <w:rFonts w:ascii="Arial" w:cs="Arial" w:eastAsia="Arial" w:hAnsi="Arial"/>
                <w:sz w:val="15"/>
                <w:szCs w:val="15"/>
                <w:color w:val="auto"/>
              </w:rPr>
              <w:t>1,028,241</w:t>
            </w:r>
          </w:p>
        </w:tc>
        <w:tc>
          <w:tcPr>
            <w:tcW w:w="280" w:type="dxa"/>
            <w:vAlign w:val="bottom"/>
            <w:tcBorders>
              <w:top w:val="single" w:sz="8" w:color="457157"/>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457157"/>
              <w:bottom w:val="single" w:sz="8" w:color="457157"/>
            </w:tcBorders>
            <w:gridSpan w:val="2"/>
            <w:shd w:val="clear" w:color="auto" w:fill="CCEEFF"/>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144,151</w:t>
            </w:r>
          </w:p>
        </w:tc>
        <w:tc>
          <w:tcPr>
            <w:tcW w:w="980" w:type="dxa"/>
            <w:vAlign w:val="bottom"/>
            <w:tcBorders>
              <w:top w:val="single" w:sz="8" w:color="457157"/>
              <w:bottom w:val="single" w:sz="8" w:color="457157"/>
            </w:tcBorders>
            <w:gridSpan w:val="4"/>
            <w:shd w:val="clear" w:color="auto" w:fill="CCEEFF"/>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4,816,972</w:t>
            </w:r>
            <w:r>
              <w:rPr>
                <w:rFonts w:ascii="Arial" w:cs="Arial" w:eastAsia="Arial" w:hAnsi="Arial"/>
                <w:sz w:val="27"/>
                <w:szCs w:val="27"/>
                <w:color w:val="auto"/>
                <w:vertAlign w:val="subscript"/>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80" w:type="dxa"/>
            <w:vAlign w:val="bottom"/>
          </w:tcPr>
          <w:p>
            <w:pPr>
              <w:jc w:val="right"/>
              <w:ind w:right="253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28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840" w:type="dxa"/>
            <w:vAlign w:val="bottom"/>
            <w:gridSpan w:val="3"/>
          </w:tcPr>
          <w:p>
            <w:pPr>
              <w:jc w:val="right"/>
              <w:spacing w:after="0" w:line="236" w:lineRule="exact"/>
              <w:rPr>
                <w:sz w:val="20"/>
                <w:szCs w:val="20"/>
                <w:color w:val="auto"/>
              </w:rPr>
            </w:pPr>
            <w:r>
              <w:rPr>
                <w:rFonts w:ascii="Arial" w:cs="Arial" w:eastAsia="Arial" w:hAnsi="Arial"/>
                <w:sz w:val="14"/>
                <w:szCs w:val="14"/>
                <w:color w:val="auto"/>
              </w:rPr>
              <w:t>748,736</w:t>
            </w:r>
            <w:r>
              <w:rPr>
                <w:rFonts w:ascii="Arial" w:cs="Arial" w:eastAsia="Arial" w:hAnsi="Arial"/>
                <w:sz w:val="27"/>
                <w:szCs w:val="27"/>
                <w:color w:val="auto"/>
                <w:vertAlign w:val="subscript"/>
              </w:rPr>
              <w:t>​​ ​​</w:t>
            </w:r>
            <w:r>
              <w:rPr>
                <w:rFonts w:ascii="Arial" w:cs="Arial" w:eastAsia="Arial" w:hAnsi="Arial"/>
                <w:sz w:val="14"/>
                <w:szCs w:val="14"/>
                <w:color w:val="auto"/>
              </w:rPr>
              <w:t>​</w:t>
            </w:r>
          </w:p>
        </w:tc>
        <w:tc>
          <w:tcPr>
            <w:tcW w:w="88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3,870,479</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519,995</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1,391,871</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980" w:type="dxa"/>
            <w:vAlign w:val="bottom"/>
            <w:gridSpan w:val="2"/>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131,155</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6,662,236</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177"/>
        </w:trPr>
        <w:tc>
          <w:tcPr>
            <w:tcW w:w="2980" w:type="dxa"/>
            <w:vAlign w:val="bottom"/>
            <w:tcBorders>
              <w:top w:val="single" w:sz="8" w:color="457157"/>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Tara J. Hemmer</w:t>
            </w:r>
          </w:p>
        </w:tc>
        <w:tc>
          <w:tcPr>
            <w:tcW w:w="280" w:type="dxa"/>
            <w:vAlign w:val="bottom"/>
            <w:tcBorders>
              <w:top w:val="single" w:sz="8" w:color="457157"/>
            </w:tcBorders>
            <w:shd w:val="clear" w:color="auto" w:fill="CCEEFF"/>
          </w:tcPr>
          <w:p>
            <w:pPr>
              <w:spacing w:after="0"/>
              <w:rPr>
                <w:sz w:val="15"/>
                <w:szCs w:val="15"/>
                <w:color w:val="auto"/>
              </w:rPr>
            </w:pPr>
          </w:p>
        </w:tc>
        <w:tc>
          <w:tcPr>
            <w:tcW w:w="580" w:type="dxa"/>
            <w:vAlign w:val="bottom"/>
            <w:tcBorders>
              <w:top w:val="single" w:sz="8" w:color="457157"/>
            </w:tcBorders>
            <w:shd w:val="clear" w:color="auto" w:fill="CCEEFF"/>
          </w:tcPr>
          <w:p>
            <w:pPr>
              <w:spacing w:after="0"/>
              <w:rPr>
                <w:sz w:val="15"/>
                <w:szCs w:val="15"/>
                <w:color w:val="auto"/>
              </w:rPr>
            </w:pPr>
          </w:p>
        </w:tc>
        <w:tc>
          <w:tcPr>
            <w:tcW w:w="140" w:type="dxa"/>
            <w:vAlign w:val="bottom"/>
            <w:tcBorders>
              <w:top w:val="single" w:sz="8" w:color="457157"/>
            </w:tcBorders>
            <w:shd w:val="clear" w:color="auto" w:fill="CCEEFF"/>
          </w:tcPr>
          <w:p>
            <w:pPr>
              <w:spacing w:after="0"/>
              <w:rPr>
                <w:sz w:val="15"/>
                <w:szCs w:val="15"/>
                <w:color w:val="auto"/>
              </w:rPr>
            </w:pPr>
          </w:p>
        </w:tc>
        <w:tc>
          <w:tcPr>
            <w:tcW w:w="120" w:type="dxa"/>
            <w:vAlign w:val="bottom"/>
            <w:tcBorders>
              <w:top w:val="single" w:sz="8" w:color="457157"/>
            </w:tcBorders>
            <w:shd w:val="clear" w:color="auto" w:fill="CCEEFF"/>
          </w:tcPr>
          <w:p>
            <w:pPr>
              <w:spacing w:after="0"/>
              <w:rPr>
                <w:sz w:val="15"/>
                <w:szCs w:val="15"/>
                <w:color w:val="auto"/>
              </w:rPr>
            </w:pPr>
          </w:p>
        </w:tc>
        <w:tc>
          <w:tcPr>
            <w:tcW w:w="700" w:type="dxa"/>
            <w:vAlign w:val="bottom"/>
            <w:tcBorders>
              <w:top w:val="single" w:sz="8" w:color="457157"/>
            </w:tcBorders>
            <w:shd w:val="clear" w:color="auto" w:fill="CCEEFF"/>
          </w:tcPr>
          <w:p>
            <w:pPr>
              <w:spacing w:after="0"/>
              <w:rPr>
                <w:sz w:val="15"/>
                <w:szCs w:val="15"/>
                <w:color w:val="auto"/>
              </w:rPr>
            </w:pPr>
          </w:p>
        </w:tc>
        <w:tc>
          <w:tcPr>
            <w:tcW w:w="180" w:type="dxa"/>
            <w:vAlign w:val="bottom"/>
            <w:tcBorders>
              <w:top w:val="single" w:sz="8" w:color="457157"/>
            </w:tcBorders>
            <w:shd w:val="clear" w:color="auto" w:fill="CCEEFF"/>
          </w:tcPr>
          <w:p>
            <w:pPr>
              <w:spacing w:after="0"/>
              <w:rPr>
                <w:sz w:val="15"/>
                <w:szCs w:val="15"/>
                <w:color w:val="auto"/>
              </w:rPr>
            </w:pPr>
          </w:p>
        </w:tc>
        <w:tc>
          <w:tcPr>
            <w:tcW w:w="640" w:type="dxa"/>
            <w:vAlign w:val="bottom"/>
            <w:tcBorders>
              <w:top w:val="single" w:sz="8" w:color="457157"/>
            </w:tcBorders>
            <w:shd w:val="clear" w:color="auto" w:fill="CCEEFF"/>
          </w:tcPr>
          <w:p>
            <w:pPr>
              <w:spacing w:after="0"/>
              <w:rPr>
                <w:sz w:val="15"/>
                <w:szCs w:val="15"/>
                <w:color w:val="auto"/>
              </w:rPr>
            </w:pPr>
          </w:p>
        </w:tc>
        <w:tc>
          <w:tcPr>
            <w:tcW w:w="120" w:type="dxa"/>
            <w:vAlign w:val="bottom"/>
            <w:tcBorders>
              <w:top w:val="single" w:sz="8" w:color="457157"/>
            </w:tcBorders>
            <w:shd w:val="clear" w:color="auto" w:fill="CCEEFF"/>
          </w:tcPr>
          <w:p>
            <w:pPr>
              <w:spacing w:after="0"/>
              <w:rPr>
                <w:sz w:val="15"/>
                <w:szCs w:val="15"/>
                <w:color w:val="auto"/>
              </w:rPr>
            </w:pPr>
          </w:p>
        </w:tc>
        <w:tc>
          <w:tcPr>
            <w:tcW w:w="200" w:type="dxa"/>
            <w:vAlign w:val="bottom"/>
            <w:tcBorders>
              <w:top w:val="single" w:sz="8" w:color="457157"/>
            </w:tcBorders>
            <w:shd w:val="clear" w:color="auto" w:fill="CCEEFF"/>
          </w:tcPr>
          <w:p>
            <w:pPr>
              <w:spacing w:after="0"/>
              <w:rPr>
                <w:sz w:val="15"/>
                <w:szCs w:val="15"/>
                <w:color w:val="auto"/>
              </w:rPr>
            </w:pPr>
          </w:p>
        </w:tc>
        <w:tc>
          <w:tcPr>
            <w:tcW w:w="880" w:type="dxa"/>
            <w:vAlign w:val="bottom"/>
            <w:tcBorders>
              <w:top w:val="single" w:sz="8" w:color="457157"/>
            </w:tcBorders>
            <w:shd w:val="clear" w:color="auto" w:fill="CCEEFF"/>
          </w:tcPr>
          <w:p>
            <w:pPr>
              <w:spacing w:after="0"/>
              <w:rPr>
                <w:sz w:val="15"/>
                <w:szCs w:val="15"/>
                <w:color w:val="auto"/>
              </w:rPr>
            </w:pPr>
          </w:p>
        </w:tc>
        <w:tc>
          <w:tcPr>
            <w:tcW w:w="60" w:type="dxa"/>
            <w:vAlign w:val="bottom"/>
            <w:tcBorders>
              <w:top w:val="single" w:sz="8" w:color="457157"/>
            </w:tcBorders>
            <w:shd w:val="clear" w:color="auto" w:fill="CCEEFF"/>
          </w:tcPr>
          <w:p>
            <w:pPr>
              <w:spacing w:after="0"/>
              <w:rPr>
                <w:sz w:val="15"/>
                <w:szCs w:val="15"/>
                <w:color w:val="auto"/>
              </w:rPr>
            </w:pPr>
          </w:p>
        </w:tc>
        <w:tc>
          <w:tcPr>
            <w:tcW w:w="220" w:type="dxa"/>
            <w:vAlign w:val="bottom"/>
            <w:tcBorders>
              <w:top w:val="single" w:sz="8" w:color="457157"/>
            </w:tcBorders>
            <w:shd w:val="clear" w:color="auto" w:fill="CCEEFF"/>
          </w:tcPr>
          <w:p>
            <w:pPr>
              <w:spacing w:after="0"/>
              <w:rPr>
                <w:sz w:val="15"/>
                <w:szCs w:val="15"/>
                <w:color w:val="auto"/>
              </w:rPr>
            </w:pPr>
          </w:p>
        </w:tc>
        <w:tc>
          <w:tcPr>
            <w:tcW w:w="220" w:type="dxa"/>
            <w:vAlign w:val="bottom"/>
            <w:tcBorders>
              <w:top w:val="single" w:sz="8" w:color="457157"/>
            </w:tcBorders>
            <w:shd w:val="clear" w:color="auto" w:fill="CCEEFF"/>
          </w:tcPr>
          <w:p>
            <w:pPr>
              <w:spacing w:after="0"/>
              <w:rPr>
                <w:sz w:val="15"/>
                <w:szCs w:val="15"/>
                <w:color w:val="auto"/>
              </w:rPr>
            </w:pPr>
          </w:p>
        </w:tc>
        <w:tc>
          <w:tcPr>
            <w:tcW w:w="760" w:type="dxa"/>
            <w:vAlign w:val="bottom"/>
            <w:tcBorders>
              <w:top w:val="single" w:sz="8" w:color="457157"/>
            </w:tcBorders>
            <w:shd w:val="clear" w:color="auto" w:fill="CCEEFF"/>
          </w:tcPr>
          <w:p>
            <w:pPr>
              <w:spacing w:after="0"/>
              <w:rPr>
                <w:sz w:val="15"/>
                <w:szCs w:val="15"/>
                <w:color w:val="auto"/>
              </w:rPr>
            </w:pPr>
          </w:p>
        </w:tc>
        <w:tc>
          <w:tcPr>
            <w:tcW w:w="60" w:type="dxa"/>
            <w:vAlign w:val="bottom"/>
            <w:tcBorders>
              <w:top w:val="single" w:sz="8" w:color="457157"/>
            </w:tcBorders>
            <w:shd w:val="clear" w:color="auto" w:fill="CCEEFF"/>
          </w:tcPr>
          <w:p>
            <w:pPr>
              <w:spacing w:after="0"/>
              <w:rPr>
                <w:sz w:val="15"/>
                <w:szCs w:val="15"/>
                <w:color w:val="auto"/>
              </w:rPr>
            </w:pPr>
          </w:p>
        </w:tc>
        <w:tc>
          <w:tcPr>
            <w:tcW w:w="300" w:type="dxa"/>
            <w:vAlign w:val="bottom"/>
            <w:tcBorders>
              <w:top w:val="single" w:sz="8" w:color="457157"/>
            </w:tcBorders>
            <w:shd w:val="clear" w:color="auto" w:fill="CCEEFF"/>
          </w:tcPr>
          <w:p>
            <w:pPr>
              <w:spacing w:after="0"/>
              <w:rPr>
                <w:sz w:val="15"/>
                <w:szCs w:val="15"/>
                <w:color w:val="auto"/>
              </w:rPr>
            </w:pPr>
          </w:p>
        </w:tc>
        <w:tc>
          <w:tcPr>
            <w:tcW w:w="580" w:type="dxa"/>
            <w:vAlign w:val="bottom"/>
            <w:tcBorders>
              <w:top w:val="single" w:sz="8" w:color="457157"/>
            </w:tcBorders>
            <w:shd w:val="clear" w:color="auto" w:fill="CCEEFF"/>
          </w:tcPr>
          <w:p>
            <w:pPr>
              <w:spacing w:after="0"/>
              <w:rPr>
                <w:sz w:val="15"/>
                <w:szCs w:val="15"/>
                <w:color w:val="auto"/>
              </w:rPr>
            </w:pPr>
          </w:p>
        </w:tc>
        <w:tc>
          <w:tcPr>
            <w:tcW w:w="40" w:type="dxa"/>
            <w:vAlign w:val="bottom"/>
            <w:tcBorders>
              <w:top w:val="single" w:sz="8" w:color="457157"/>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980" w:type="dxa"/>
            <w:vAlign w:val="bottom"/>
            <w:tcBorders>
              <w:bottom w:val="single" w:sz="8" w:color="457157"/>
            </w:tcBorders>
            <w:shd w:val="clear" w:color="auto" w:fill="CCEEFF"/>
          </w:tcPr>
          <w:p>
            <w:pPr>
              <w:spacing w:after="0" w:line="222"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SVP and Chief Sustainability Officer</w:t>
            </w:r>
          </w:p>
        </w:tc>
        <w:tc>
          <w:tcPr>
            <w:tcW w:w="2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580" w:type="dxa"/>
            <w:vAlign w:val="bottom"/>
            <w:tcBorders>
              <w:bottom w:val="single" w:sz="8" w:color="457157"/>
            </w:tcBorders>
            <w:shd w:val="clear" w:color="auto" w:fill="CCEEFF"/>
          </w:tcPr>
          <w:p>
            <w:pPr>
              <w:spacing w:after="0"/>
              <w:rPr>
                <w:sz w:val="19"/>
                <w:szCs w:val="19"/>
                <w:color w:val="auto"/>
              </w:rPr>
            </w:pPr>
          </w:p>
        </w:tc>
        <w:tc>
          <w:tcPr>
            <w:tcW w:w="26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700" w:type="dxa"/>
            <w:vAlign w:val="bottom"/>
            <w:tcBorders>
              <w:bottom w:val="single" w:sz="8" w:color="457157"/>
            </w:tcBorders>
            <w:shd w:val="clear" w:color="auto" w:fill="CCEEFF"/>
          </w:tcPr>
          <w:p>
            <w:pPr>
              <w:spacing w:after="0"/>
              <w:rPr>
                <w:sz w:val="19"/>
                <w:szCs w:val="19"/>
                <w:color w:val="auto"/>
              </w:rPr>
            </w:pPr>
          </w:p>
        </w:tc>
        <w:tc>
          <w:tcPr>
            <w:tcW w:w="1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457157"/>
            </w:tcBorders>
            <w:shd w:val="clear" w:color="auto" w:fill="CCEEFF"/>
          </w:tcPr>
          <w:p>
            <w:pPr>
              <w:spacing w:after="0"/>
              <w:rPr>
                <w:sz w:val="19"/>
                <w:szCs w:val="19"/>
                <w:color w:val="auto"/>
              </w:rPr>
            </w:pP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457157"/>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457157"/>
            </w:tcBorders>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457157"/>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457157"/>
            </w:tcBorders>
            <w:shd w:val="clear" w:color="auto" w:fill="CCEEFF"/>
          </w:tcPr>
          <w:p>
            <w:pPr>
              <w:spacing w:after="0"/>
              <w:rPr>
                <w:sz w:val="19"/>
                <w:szCs w:val="19"/>
                <w:color w:val="auto"/>
              </w:rPr>
            </w:pPr>
          </w:p>
        </w:tc>
        <w:tc>
          <w:tcPr>
            <w:tcW w:w="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980" w:type="dxa"/>
            <w:vAlign w:val="bottom"/>
          </w:tcPr>
          <w:p>
            <w:pPr>
              <w:jc w:val="right"/>
              <w:ind w:right="253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2024</w:t>
            </w:r>
          </w:p>
        </w:tc>
        <w:tc>
          <w:tcPr>
            <w:tcW w:w="28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720" w:type="dxa"/>
            <w:vAlign w:val="bottom"/>
            <w:gridSpan w:val="5"/>
          </w:tcPr>
          <w:p>
            <w:pPr>
              <w:jc w:val="right"/>
              <w:spacing w:after="0" w:line="236" w:lineRule="exact"/>
              <w:rPr>
                <w:sz w:val="20"/>
                <w:szCs w:val="20"/>
                <w:color w:val="auto"/>
              </w:rPr>
            </w:pPr>
            <w:r>
              <w:rPr>
                <w:rFonts w:ascii="Arial" w:cs="Arial" w:eastAsia="Arial" w:hAnsi="Arial"/>
                <w:sz w:val="14"/>
                <w:szCs w:val="14"/>
                <w:color w:val="auto"/>
              </w:rPr>
              <w:t>691,573</w:t>
            </w:r>
            <w:r>
              <w:rPr>
                <w:rFonts w:ascii="Arial" w:cs="Arial" w:eastAsia="Arial" w:hAnsi="Arial"/>
                <w:sz w:val="27"/>
                <w:szCs w:val="27"/>
                <w:color w:val="auto"/>
                <w:vertAlign w:val="subscript"/>
              </w:rPr>
              <w:t>​​ ​​</w:t>
            </w:r>
            <w:r>
              <w:rPr>
                <w:rFonts w:ascii="Arial" w:cs="Arial" w:eastAsia="Arial" w:hAnsi="Arial"/>
                <w:sz w:val="14"/>
                <w:szCs w:val="14"/>
                <w:color w:val="auto"/>
              </w:rPr>
              <w:t>​ 2,111,358</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399,986</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1,034,468</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220" w:type="dxa"/>
            <w:vAlign w:val="bottom"/>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tcPr>
          <w:p>
            <w:pPr>
              <w:jc w:val="right"/>
              <w:ind w:right="144"/>
              <w:spacing w:after="0"/>
              <w:rPr>
                <w:sz w:val="20"/>
                <w:szCs w:val="20"/>
                <w:color w:val="auto"/>
              </w:rPr>
            </w:pPr>
            <w:r>
              <w:rPr>
                <w:rFonts w:ascii="Arial" w:cs="Arial" w:eastAsia="Arial" w:hAnsi="Arial"/>
                <w:sz w:val="15"/>
                <w:szCs w:val="15"/>
                <w:color w:val="auto"/>
              </w:rPr>
              <w:t>64,743</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4,302,128</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7"/>
        </w:trPr>
        <w:tc>
          <w:tcPr>
            <w:tcW w:w="2980" w:type="dxa"/>
            <w:vAlign w:val="bottom"/>
            <w:tcBorders>
              <w:top w:val="single" w:sz="8" w:color="457157"/>
              <w:bottom w:val="single" w:sz="8" w:color="457157"/>
            </w:tcBorders>
            <w:shd w:val="clear" w:color="auto" w:fill="CCEEFF"/>
          </w:tcPr>
          <w:p>
            <w:pPr>
              <w:jc w:val="right"/>
              <w:ind w:right="253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2023</w:t>
            </w:r>
          </w:p>
        </w:tc>
        <w:tc>
          <w:tcPr>
            <w:tcW w:w="280" w:type="dxa"/>
            <w:vAlign w:val="bottom"/>
            <w:tcBorders>
              <w:top w:val="single" w:sz="8" w:color="457157"/>
              <w:bottom w:val="single" w:sz="8" w:color="457157"/>
            </w:tcBorders>
            <w:shd w:val="clear" w:color="auto" w:fill="CCEEFF"/>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840" w:type="dxa"/>
            <w:vAlign w:val="bottom"/>
            <w:tcBorders>
              <w:top w:val="single" w:sz="8" w:color="457157"/>
              <w:bottom w:val="single" w:sz="8" w:color="457157"/>
            </w:tcBorders>
            <w:gridSpan w:val="3"/>
            <w:shd w:val="clear" w:color="auto" w:fill="CCEEFF"/>
          </w:tcPr>
          <w:p>
            <w:pPr>
              <w:jc w:val="right"/>
              <w:spacing w:after="0" w:line="236" w:lineRule="exact"/>
              <w:rPr>
                <w:sz w:val="20"/>
                <w:szCs w:val="20"/>
                <w:color w:val="auto"/>
              </w:rPr>
            </w:pPr>
            <w:r>
              <w:rPr>
                <w:rFonts w:ascii="Arial" w:cs="Arial" w:eastAsia="Arial" w:hAnsi="Arial"/>
                <w:sz w:val="14"/>
                <w:szCs w:val="14"/>
                <w:color w:val="auto"/>
              </w:rPr>
              <w:t>662,769</w:t>
            </w:r>
            <w:r>
              <w:rPr>
                <w:rFonts w:ascii="Arial" w:cs="Arial" w:eastAsia="Arial" w:hAnsi="Arial"/>
                <w:sz w:val="27"/>
                <w:szCs w:val="27"/>
                <w:color w:val="auto"/>
                <w:vertAlign w:val="subscript"/>
              </w:rPr>
              <w:t>​​ ​​</w:t>
            </w:r>
            <w:r>
              <w:rPr>
                <w:rFonts w:ascii="Arial" w:cs="Arial" w:eastAsia="Arial" w:hAnsi="Arial"/>
                <w:sz w:val="14"/>
                <w:szCs w:val="14"/>
                <w:color w:val="auto"/>
              </w:rPr>
              <w:t>​</w:t>
            </w:r>
          </w:p>
        </w:tc>
        <w:tc>
          <w:tcPr>
            <w:tcW w:w="880" w:type="dxa"/>
            <w:vAlign w:val="bottom"/>
            <w:tcBorders>
              <w:top w:val="single" w:sz="8" w:color="457157"/>
              <w:bottom w:val="single" w:sz="8" w:color="457157"/>
            </w:tcBorders>
            <w:gridSpan w:val="2"/>
            <w:shd w:val="clear" w:color="auto" w:fill="CCEEFF"/>
          </w:tcPr>
          <w:p>
            <w:pPr>
              <w:jc w:val="right"/>
              <w:spacing w:after="0" w:line="236" w:lineRule="exact"/>
              <w:rPr>
                <w:sz w:val="20"/>
                <w:szCs w:val="20"/>
                <w:color w:val="auto"/>
              </w:rPr>
            </w:pPr>
            <w:r>
              <w:rPr>
                <w:rFonts w:ascii="Arial" w:cs="Arial" w:eastAsia="Arial" w:hAnsi="Arial"/>
                <w:sz w:val="14"/>
                <w:szCs w:val="14"/>
                <w:color w:val="auto"/>
              </w:rPr>
              <w:t>1,551,818</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tcBorders>
              <w:top w:val="single" w:sz="8" w:color="457157"/>
              <w:bottom w:val="single" w:sz="8" w:color="457157"/>
            </w:tcBorders>
            <w:gridSpan w:val="2"/>
            <w:shd w:val="clear" w:color="auto" w:fill="CCEEFF"/>
          </w:tcPr>
          <w:p>
            <w:pPr>
              <w:jc w:val="right"/>
              <w:spacing w:after="0" w:line="236" w:lineRule="exact"/>
              <w:rPr>
                <w:sz w:val="20"/>
                <w:szCs w:val="20"/>
                <w:color w:val="auto"/>
              </w:rPr>
            </w:pPr>
            <w:r>
              <w:rPr>
                <w:rFonts w:ascii="Arial" w:cs="Arial" w:eastAsia="Arial" w:hAnsi="Arial"/>
                <w:sz w:val="14"/>
                <w:szCs w:val="14"/>
                <w:color w:val="auto"/>
              </w:rPr>
              <w:t>360,003</w:t>
            </w:r>
            <w:r>
              <w:rPr>
                <w:rFonts w:ascii="Arial" w:cs="Arial" w:eastAsia="Arial" w:hAnsi="Arial"/>
                <w:sz w:val="27"/>
                <w:szCs w:val="27"/>
                <w:color w:val="auto"/>
                <w:vertAlign w:val="subscript"/>
              </w:rPr>
              <w:t>​​​</w:t>
            </w:r>
          </w:p>
        </w:tc>
        <w:tc>
          <w:tcPr>
            <w:tcW w:w="200" w:type="dxa"/>
            <w:vAlign w:val="bottom"/>
            <w:tcBorders>
              <w:top w:val="single" w:sz="8" w:color="457157"/>
              <w:bottom w:val="single" w:sz="8" w:color="457157"/>
            </w:tcBorders>
            <w:shd w:val="clear" w:color="auto" w:fill="CCEEFF"/>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880" w:type="dxa"/>
            <w:vAlign w:val="bottom"/>
            <w:tcBorders>
              <w:top w:val="single" w:sz="8" w:color="457157"/>
              <w:bottom w:val="single" w:sz="8" w:color="457157"/>
            </w:tcBorders>
            <w:shd w:val="clear" w:color="auto" w:fill="CCEEFF"/>
          </w:tcPr>
          <w:p>
            <w:pPr>
              <w:jc w:val="right"/>
              <w:ind w:right="44"/>
              <w:spacing w:after="0"/>
              <w:rPr>
                <w:sz w:val="20"/>
                <w:szCs w:val="20"/>
                <w:color w:val="auto"/>
              </w:rPr>
            </w:pPr>
            <w:r>
              <w:rPr>
                <w:rFonts w:ascii="Arial" w:cs="Arial" w:eastAsia="Arial" w:hAnsi="Arial"/>
                <w:sz w:val="15"/>
                <w:szCs w:val="15"/>
                <w:color w:val="auto"/>
              </w:rPr>
              <w:t>717,576</w:t>
            </w:r>
          </w:p>
        </w:tc>
        <w:tc>
          <w:tcPr>
            <w:tcW w:w="280" w:type="dxa"/>
            <w:vAlign w:val="bottom"/>
            <w:tcBorders>
              <w:top w:val="single" w:sz="8" w:color="457157"/>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80" w:type="dxa"/>
            <w:vAlign w:val="bottom"/>
            <w:tcBorders>
              <w:top w:val="single" w:sz="8" w:color="457157"/>
              <w:bottom w:val="single" w:sz="8" w:color="457157"/>
            </w:tcBorders>
            <w:gridSpan w:val="2"/>
            <w:shd w:val="clear" w:color="auto" w:fill="CCEEFF"/>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102,639</w:t>
            </w:r>
          </w:p>
        </w:tc>
        <w:tc>
          <w:tcPr>
            <w:tcW w:w="980" w:type="dxa"/>
            <w:vAlign w:val="bottom"/>
            <w:tcBorders>
              <w:top w:val="single" w:sz="8" w:color="457157"/>
              <w:bottom w:val="single" w:sz="8" w:color="457157"/>
            </w:tcBorders>
            <w:gridSpan w:val="4"/>
            <w:shd w:val="clear" w:color="auto" w:fill="CCEEFF"/>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3,394,805</w:t>
            </w:r>
            <w:r>
              <w:rPr>
                <w:rFonts w:ascii="Arial" w:cs="Arial" w:eastAsia="Arial" w:hAnsi="Arial"/>
                <w:sz w:val="27"/>
                <w:szCs w:val="27"/>
                <w:color w:val="auto"/>
                <w:vertAlign w:val="subscript"/>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980" w:type="dxa"/>
            <w:vAlign w:val="bottom"/>
          </w:tcPr>
          <w:p>
            <w:pPr>
              <w:jc w:val="right"/>
              <w:ind w:right="253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2022</w:t>
            </w:r>
          </w:p>
        </w:tc>
        <w:tc>
          <w:tcPr>
            <w:tcW w:w="28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840" w:type="dxa"/>
            <w:vAlign w:val="bottom"/>
            <w:gridSpan w:val="3"/>
          </w:tcPr>
          <w:p>
            <w:pPr>
              <w:jc w:val="right"/>
              <w:spacing w:after="0" w:line="236" w:lineRule="exact"/>
              <w:rPr>
                <w:sz w:val="20"/>
                <w:szCs w:val="20"/>
                <w:color w:val="auto"/>
              </w:rPr>
            </w:pPr>
            <w:r>
              <w:rPr>
                <w:rFonts w:ascii="Arial" w:cs="Arial" w:eastAsia="Arial" w:hAnsi="Arial"/>
                <w:sz w:val="14"/>
                <w:szCs w:val="14"/>
                <w:color w:val="auto"/>
              </w:rPr>
              <w:t>630,506</w:t>
            </w:r>
            <w:r>
              <w:rPr>
                <w:rFonts w:ascii="Arial" w:cs="Arial" w:eastAsia="Arial" w:hAnsi="Arial"/>
                <w:sz w:val="27"/>
                <w:szCs w:val="27"/>
                <w:color w:val="auto"/>
                <w:vertAlign w:val="subscript"/>
              </w:rPr>
              <w:t>​​ ​​</w:t>
            </w:r>
            <w:r>
              <w:rPr>
                <w:rFonts w:ascii="Arial" w:cs="Arial" w:eastAsia="Arial" w:hAnsi="Arial"/>
                <w:sz w:val="14"/>
                <w:szCs w:val="14"/>
                <w:color w:val="auto"/>
              </w:rPr>
              <w:t>​</w:t>
            </w:r>
          </w:p>
        </w:tc>
        <w:tc>
          <w:tcPr>
            <w:tcW w:w="88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2,302,032</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339,992</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978,476</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220" w:type="dxa"/>
            <w:vAlign w:val="bottom"/>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Pr>
          <w:p>
            <w:pPr>
              <w:jc w:val="right"/>
              <w:ind w:right="144"/>
              <w:spacing w:after="0"/>
              <w:rPr>
                <w:sz w:val="20"/>
                <w:szCs w:val="20"/>
                <w:color w:val="auto"/>
              </w:rPr>
            </w:pPr>
            <w:r>
              <w:rPr>
                <w:rFonts w:ascii="Arial" w:cs="Arial" w:eastAsia="Arial" w:hAnsi="Arial"/>
                <w:sz w:val="15"/>
                <w:szCs w:val="15"/>
                <w:color w:val="auto"/>
              </w:rPr>
              <w:t>70,648</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4,321,654</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177"/>
        </w:trPr>
        <w:tc>
          <w:tcPr>
            <w:tcW w:w="2980" w:type="dxa"/>
            <w:vAlign w:val="bottom"/>
            <w:tcBorders>
              <w:top w:val="single" w:sz="8" w:color="457157"/>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Rafael E. Carrasco</w:t>
            </w:r>
          </w:p>
        </w:tc>
        <w:tc>
          <w:tcPr>
            <w:tcW w:w="280" w:type="dxa"/>
            <w:vAlign w:val="bottom"/>
            <w:tcBorders>
              <w:top w:val="single" w:sz="8" w:color="457157"/>
            </w:tcBorders>
            <w:shd w:val="clear" w:color="auto" w:fill="CCEEFF"/>
          </w:tcPr>
          <w:p>
            <w:pPr>
              <w:spacing w:after="0"/>
              <w:rPr>
                <w:sz w:val="15"/>
                <w:szCs w:val="15"/>
                <w:color w:val="auto"/>
              </w:rPr>
            </w:pPr>
          </w:p>
        </w:tc>
        <w:tc>
          <w:tcPr>
            <w:tcW w:w="580" w:type="dxa"/>
            <w:vAlign w:val="bottom"/>
            <w:tcBorders>
              <w:top w:val="single" w:sz="8" w:color="457157"/>
            </w:tcBorders>
            <w:shd w:val="clear" w:color="auto" w:fill="CCEEFF"/>
          </w:tcPr>
          <w:p>
            <w:pPr>
              <w:spacing w:after="0"/>
              <w:rPr>
                <w:sz w:val="15"/>
                <w:szCs w:val="15"/>
                <w:color w:val="auto"/>
              </w:rPr>
            </w:pPr>
          </w:p>
        </w:tc>
        <w:tc>
          <w:tcPr>
            <w:tcW w:w="140" w:type="dxa"/>
            <w:vAlign w:val="bottom"/>
            <w:tcBorders>
              <w:top w:val="single" w:sz="8" w:color="457157"/>
            </w:tcBorders>
            <w:shd w:val="clear" w:color="auto" w:fill="CCEEFF"/>
          </w:tcPr>
          <w:p>
            <w:pPr>
              <w:spacing w:after="0"/>
              <w:rPr>
                <w:sz w:val="15"/>
                <w:szCs w:val="15"/>
                <w:color w:val="auto"/>
              </w:rPr>
            </w:pPr>
          </w:p>
        </w:tc>
        <w:tc>
          <w:tcPr>
            <w:tcW w:w="120" w:type="dxa"/>
            <w:vAlign w:val="bottom"/>
            <w:tcBorders>
              <w:top w:val="single" w:sz="8" w:color="457157"/>
            </w:tcBorders>
            <w:shd w:val="clear" w:color="auto" w:fill="CCEEFF"/>
          </w:tcPr>
          <w:p>
            <w:pPr>
              <w:spacing w:after="0"/>
              <w:rPr>
                <w:sz w:val="15"/>
                <w:szCs w:val="15"/>
                <w:color w:val="auto"/>
              </w:rPr>
            </w:pPr>
          </w:p>
        </w:tc>
        <w:tc>
          <w:tcPr>
            <w:tcW w:w="700" w:type="dxa"/>
            <w:vAlign w:val="bottom"/>
            <w:tcBorders>
              <w:top w:val="single" w:sz="8" w:color="457157"/>
            </w:tcBorders>
            <w:shd w:val="clear" w:color="auto" w:fill="CCEEFF"/>
          </w:tcPr>
          <w:p>
            <w:pPr>
              <w:spacing w:after="0"/>
              <w:rPr>
                <w:sz w:val="15"/>
                <w:szCs w:val="15"/>
                <w:color w:val="auto"/>
              </w:rPr>
            </w:pPr>
          </w:p>
        </w:tc>
        <w:tc>
          <w:tcPr>
            <w:tcW w:w="180" w:type="dxa"/>
            <w:vAlign w:val="bottom"/>
            <w:tcBorders>
              <w:top w:val="single" w:sz="8" w:color="457157"/>
            </w:tcBorders>
            <w:shd w:val="clear" w:color="auto" w:fill="CCEEFF"/>
          </w:tcPr>
          <w:p>
            <w:pPr>
              <w:spacing w:after="0"/>
              <w:rPr>
                <w:sz w:val="15"/>
                <w:szCs w:val="15"/>
                <w:color w:val="auto"/>
              </w:rPr>
            </w:pPr>
          </w:p>
        </w:tc>
        <w:tc>
          <w:tcPr>
            <w:tcW w:w="640" w:type="dxa"/>
            <w:vAlign w:val="bottom"/>
            <w:tcBorders>
              <w:top w:val="single" w:sz="8" w:color="457157"/>
            </w:tcBorders>
            <w:shd w:val="clear" w:color="auto" w:fill="CCEEFF"/>
          </w:tcPr>
          <w:p>
            <w:pPr>
              <w:spacing w:after="0"/>
              <w:rPr>
                <w:sz w:val="15"/>
                <w:szCs w:val="15"/>
                <w:color w:val="auto"/>
              </w:rPr>
            </w:pPr>
          </w:p>
        </w:tc>
        <w:tc>
          <w:tcPr>
            <w:tcW w:w="120" w:type="dxa"/>
            <w:vAlign w:val="bottom"/>
            <w:tcBorders>
              <w:top w:val="single" w:sz="8" w:color="457157"/>
            </w:tcBorders>
            <w:shd w:val="clear" w:color="auto" w:fill="CCEEFF"/>
          </w:tcPr>
          <w:p>
            <w:pPr>
              <w:spacing w:after="0"/>
              <w:rPr>
                <w:sz w:val="15"/>
                <w:szCs w:val="15"/>
                <w:color w:val="auto"/>
              </w:rPr>
            </w:pPr>
          </w:p>
        </w:tc>
        <w:tc>
          <w:tcPr>
            <w:tcW w:w="200" w:type="dxa"/>
            <w:vAlign w:val="bottom"/>
            <w:tcBorders>
              <w:top w:val="single" w:sz="8" w:color="457157"/>
            </w:tcBorders>
            <w:shd w:val="clear" w:color="auto" w:fill="CCEEFF"/>
          </w:tcPr>
          <w:p>
            <w:pPr>
              <w:spacing w:after="0"/>
              <w:rPr>
                <w:sz w:val="15"/>
                <w:szCs w:val="15"/>
                <w:color w:val="auto"/>
              </w:rPr>
            </w:pPr>
          </w:p>
        </w:tc>
        <w:tc>
          <w:tcPr>
            <w:tcW w:w="880" w:type="dxa"/>
            <w:vAlign w:val="bottom"/>
            <w:tcBorders>
              <w:top w:val="single" w:sz="8" w:color="457157"/>
            </w:tcBorders>
            <w:shd w:val="clear" w:color="auto" w:fill="CCEEFF"/>
          </w:tcPr>
          <w:p>
            <w:pPr>
              <w:spacing w:after="0"/>
              <w:rPr>
                <w:sz w:val="15"/>
                <w:szCs w:val="15"/>
                <w:color w:val="auto"/>
              </w:rPr>
            </w:pPr>
          </w:p>
        </w:tc>
        <w:tc>
          <w:tcPr>
            <w:tcW w:w="60" w:type="dxa"/>
            <w:vAlign w:val="bottom"/>
            <w:tcBorders>
              <w:top w:val="single" w:sz="8" w:color="457157"/>
            </w:tcBorders>
            <w:shd w:val="clear" w:color="auto" w:fill="CCEEFF"/>
          </w:tcPr>
          <w:p>
            <w:pPr>
              <w:spacing w:after="0"/>
              <w:rPr>
                <w:sz w:val="15"/>
                <w:szCs w:val="15"/>
                <w:color w:val="auto"/>
              </w:rPr>
            </w:pPr>
          </w:p>
        </w:tc>
        <w:tc>
          <w:tcPr>
            <w:tcW w:w="220" w:type="dxa"/>
            <w:vAlign w:val="bottom"/>
            <w:tcBorders>
              <w:top w:val="single" w:sz="8" w:color="457157"/>
            </w:tcBorders>
            <w:shd w:val="clear" w:color="auto" w:fill="CCEEFF"/>
          </w:tcPr>
          <w:p>
            <w:pPr>
              <w:spacing w:after="0"/>
              <w:rPr>
                <w:sz w:val="15"/>
                <w:szCs w:val="15"/>
                <w:color w:val="auto"/>
              </w:rPr>
            </w:pPr>
          </w:p>
        </w:tc>
        <w:tc>
          <w:tcPr>
            <w:tcW w:w="220" w:type="dxa"/>
            <w:vAlign w:val="bottom"/>
            <w:tcBorders>
              <w:top w:val="single" w:sz="8" w:color="457157"/>
            </w:tcBorders>
            <w:shd w:val="clear" w:color="auto" w:fill="CCEEFF"/>
          </w:tcPr>
          <w:p>
            <w:pPr>
              <w:spacing w:after="0"/>
              <w:rPr>
                <w:sz w:val="15"/>
                <w:szCs w:val="15"/>
                <w:color w:val="auto"/>
              </w:rPr>
            </w:pPr>
          </w:p>
        </w:tc>
        <w:tc>
          <w:tcPr>
            <w:tcW w:w="760" w:type="dxa"/>
            <w:vAlign w:val="bottom"/>
            <w:tcBorders>
              <w:top w:val="single" w:sz="8" w:color="457157"/>
            </w:tcBorders>
            <w:shd w:val="clear" w:color="auto" w:fill="CCEEFF"/>
          </w:tcPr>
          <w:p>
            <w:pPr>
              <w:spacing w:after="0"/>
              <w:rPr>
                <w:sz w:val="15"/>
                <w:szCs w:val="15"/>
                <w:color w:val="auto"/>
              </w:rPr>
            </w:pPr>
          </w:p>
        </w:tc>
        <w:tc>
          <w:tcPr>
            <w:tcW w:w="60" w:type="dxa"/>
            <w:vAlign w:val="bottom"/>
            <w:tcBorders>
              <w:top w:val="single" w:sz="8" w:color="457157"/>
            </w:tcBorders>
            <w:shd w:val="clear" w:color="auto" w:fill="CCEEFF"/>
          </w:tcPr>
          <w:p>
            <w:pPr>
              <w:spacing w:after="0"/>
              <w:rPr>
                <w:sz w:val="15"/>
                <w:szCs w:val="15"/>
                <w:color w:val="auto"/>
              </w:rPr>
            </w:pPr>
          </w:p>
        </w:tc>
        <w:tc>
          <w:tcPr>
            <w:tcW w:w="300" w:type="dxa"/>
            <w:vAlign w:val="bottom"/>
            <w:tcBorders>
              <w:top w:val="single" w:sz="8" w:color="457157"/>
            </w:tcBorders>
            <w:shd w:val="clear" w:color="auto" w:fill="CCEEFF"/>
          </w:tcPr>
          <w:p>
            <w:pPr>
              <w:spacing w:after="0"/>
              <w:rPr>
                <w:sz w:val="15"/>
                <w:szCs w:val="15"/>
                <w:color w:val="auto"/>
              </w:rPr>
            </w:pPr>
          </w:p>
        </w:tc>
        <w:tc>
          <w:tcPr>
            <w:tcW w:w="580" w:type="dxa"/>
            <w:vAlign w:val="bottom"/>
            <w:tcBorders>
              <w:top w:val="single" w:sz="8" w:color="457157"/>
            </w:tcBorders>
            <w:shd w:val="clear" w:color="auto" w:fill="CCEEFF"/>
          </w:tcPr>
          <w:p>
            <w:pPr>
              <w:spacing w:after="0"/>
              <w:rPr>
                <w:sz w:val="15"/>
                <w:szCs w:val="15"/>
                <w:color w:val="auto"/>
              </w:rPr>
            </w:pPr>
          </w:p>
        </w:tc>
        <w:tc>
          <w:tcPr>
            <w:tcW w:w="40" w:type="dxa"/>
            <w:vAlign w:val="bottom"/>
            <w:tcBorders>
              <w:top w:val="single" w:sz="8" w:color="457157"/>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98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b w:val="1"/>
                <w:bCs w:val="1"/>
                <w:color w:val="auto"/>
              </w:rPr>
              <w:t>SVP — Enterprise Strategy;</w:t>
            </w: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8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b w:val="1"/>
                <w:bCs w:val="1"/>
                <w:color w:val="auto"/>
              </w:rPr>
              <w:t>President — WM Healthcare</w:t>
            </w: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80" w:type="dxa"/>
            <w:vAlign w:val="bottom"/>
            <w:tcBorders>
              <w:bottom w:val="single" w:sz="8" w:color="457157"/>
            </w:tcBorders>
            <w:shd w:val="clear" w:color="auto" w:fill="CCEEFF"/>
          </w:tcPr>
          <w:p>
            <w:pPr>
              <w:spacing w:after="0" w:line="216"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Solutions</w:t>
            </w:r>
          </w:p>
        </w:tc>
        <w:tc>
          <w:tcPr>
            <w:tcW w:w="2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580" w:type="dxa"/>
            <w:vAlign w:val="bottom"/>
            <w:tcBorders>
              <w:bottom w:val="single" w:sz="8" w:color="457157"/>
            </w:tcBorders>
            <w:shd w:val="clear" w:color="auto" w:fill="CCEEFF"/>
          </w:tcPr>
          <w:p>
            <w:pPr>
              <w:spacing w:after="0"/>
              <w:rPr>
                <w:sz w:val="18"/>
                <w:szCs w:val="18"/>
                <w:color w:val="auto"/>
              </w:rPr>
            </w:pPr>
          </w:p>
        </w:tc>
        <w:tc>
          <w:tcPr>
            <w:tcW w:w="26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w:t>
            </w:r>
          </w:p>
        </w:tc>
        <w:tc>
          <w:tcPr>
            <w:tcW w:w="700" w:type="dxa"/>
            <w:vAlign w:val="bottom"/>
            <w:tcBorders>
              <w:bottom w:val="single" w:sz="8" w:color="457157"/>
            </w:tcBorders>
            <w:shd w:val="clear" w:color="auto" w:fill="CCEEFF"/>
          </w:tcPr>
          <w:p>
            <w:pPr>
              <w:spacing w:after="0"/>
              <w:rPr>
                <w:sz w:val="18"/>
                <w:szCs w:val="18"/>
                <w:color w:val="auto"/>
              </w:rPr>
            </w:pPr>
          </w:p>
        </w:tc>
        <w:tc>
          <w:tcPr>
            <w:tcW w:w="1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40" w:type="dxa"/>
            <w:vAlign w:val="bottom"/>
            <w:tcBorders>
              <w:bottom w:val="single" w:sz="8" w:color="457157"/>
            </w:tcBorders>
            <w:shd w:val="clear" w:color="auto" w:fill="CCEEFF"/>
          </w:tcPr>
          <w:p>
            <w:pPr>
              <w:spacing w:after="0"/>
              <w:rPr>
                <w:sz w:val="18"/>
                <w:szCs w:val="18"/>
                <w:color w:val="auto"/>
              </w:rPr>
            </w:pPr>
          </w:p>
        </w:tc>
        <w:tc>
          <w:tcPr>
            <w:tcW w:w="12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2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457157"/>
            </w:tcBorders>
            <w:shd w:val="clear" w:color="auto" w:fill="CCEEFF"/>
          </w:tcPr>
          <w:p>
            <w:pPr>
              <w:jc w:val="right"/>
              <w:ind w:right="4"/>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220" w:type="dxa"/>
            <w:vAlign w:val="bottom"/>
            <w:tcBorders>
              <w:bottom w:val="single" w:sz="8" w:color="457157"/>
            </w:tcBorders>
            <w:shd w:val="clear" w:color="auto" w:fill="CCEEFF"/>
          </w:tcPr>
          <w:p>
            <w:pPr>
              <w:ind w:left="80"/>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457157"/>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457157"/>
            </w:tcBorders>
            <w:shd w:val="clear" w:color="auto" w:fill="CCEEFF"/>
          </w:tcPr>
          <w:p>
            <w:pPr>
              <w:spacing w:after="0"/>
              <w:rPr>
                <w:sz w:val="18"/>
                <w:szCs w:val="18"/>
                <w:color w:val="auto"/>
              </w:rPr>
            </w:pPr>
          </w:p>
        </w:tc>
        <w:tc>
          <w:tcPr>
            <w:tcW w:w="4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980" w:type="dxa"/>
            <w:vAlign w:val="bottom"/>
          </w:tcPr>
          <w:p>
            <w:pPr>
              <w:jc w:val="right"/>
              <w:ind w:right="253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2024</w:t>
            </w:r>
          </w:p>
        </w:tc>
        <w:tc>
          <w:tcPr>
            <w:tcW w:w="280" w:type="dxa"/>
            <w:vAlign w:val="bottom"/>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1720" w:type="dxa"/>
            <w:vAlign w:val="bottom"/>
            <w:gridSpan w:val="5"/>
          </w:tcPr>
          <w:p>
            <w:pPr>
              <w:jc w:val="right"/>
              <w:spacing w:after="0" w:line="236" w:lineRule="exact"/>
              <w:rPr>
                <w:sz w:val="20"/>
                <w:szCs w:val="20"/>
                <w:color w:val="auto"/>
              </w:rPr>
            </w:pPr>
            <w:r>
              <w:rPr>
                <w:rFonts w:ascii="Arial" w:cs="Arial" w:eastAsia="Arial" w:hAnsi="Arial"/>
                <w:sz w:val="14"/>
                <w:szCs w:val="14"/>
                <w:color w:val="auto"/>
              </w:rPr>
              <w:t>667,708</w:t>
            </w:r>
            <w:r>
              <w:rPr>
                <w:rFonts w:ascii="Arial" w:cs="Arial" w:eastAsia="Arial" w:hAnsi="Arial"/>
                <w:sz w:val="27"/>
                <w:szCs w:val="27"/>
                <w:color w:val="auto"/>
                <w:vertAlign w:val="subscript"/>
              </w:rPr>
              <w:t>​​ ​​</w:t>
            </w:r>
            <w:r>
              <w:rPr>
                <w:rFonts w:ascii="Arial" w:cs="Arial" w:eastAsia="Arial" w:hAnsi="Arial"/>
                <w:sz w:val="14"/>
                <w:szCs w:val="14"/>
                <w:color w:val="auto"/>
              </w:rPr>
              <w:t>​ 2,111,358</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gridSpan w:val="2"/>
          </w:tcPr>
          <w:p>
            <w:pPr>
              <w:jc w:val="right"/>
              <w:spacing w:after="0" w:line="236" w:lineRule="exact"/>
              <w:rPr>
                <w:sz w:val="20"/>
                <w:szCs w:val="20"/>
                <w:color w:val="auto"/>
              </w:rPr>
            </w:pPr>
            <w:r>
              <w:rPr>
                <w:rFonts w:ascii="Arial" w:cs="Arial" w:eastAsia="Arial" w:hAnsi="Arial"/>
                <w:sz w:val="14"/>
                <w:szCs w:val="14"/>
                <w:color w:val="auto"/>
              </w:rPr>
              <w:t>399,986</w:t>
            </w:r>
            <w:r>
              <w:rPr>
                <w:rFonts w:ascii="Arial" w:cs="Arial" w:eastAsia="Arial" w:hAnsi="Arial"/>
                <w:sz w:val="27"/>
                <w:szCs w:val="27"/>
                <w:color w:val="auto"/>
                <w:vertAlign w:val="subscript"/>
              </w:rPr>
              <w:t>​​​</w:t>
            </w:r>
          </w:p>
        </w:tc>
        <w:tc>
          <w:tcPr>
            <w:tcW w:w="200" w:type="dxa"/>
            <w:vAlign w:val="bottom"/>
          </w:tcPr>
          <w:p>
            <w:pPr>
              <w:jc w:val="right"/>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880" w:type="dxa"/>
            <w:vAlign w:val="bottom"/>
          </w:tcPr>
          <w:p>
            <w:pPr>
              <w:jc w:val="right"/>
              <w:ind w:right="44"/>
              <w:spacing w:after="0"/>
              <w:rPr>
                <w:sz w:val="20"/>
                <w:szCs w:val="20"/>
                <w:color w:val="auto"/>
              </w:rPr>
            </w:pPr>
            <w:r>
              <w:rPr>
                <w:rFonts w:ascii="Arial" w:cs="Arial" w:eastAsia="Arial" w:hAnsi="Arial"/>
                <w:sz w:val="15"/>
                <w:szCs w:val="15"/>
                <w:color w:val="auto"/>
              </w:rPr>
              <w:t>925,683</w:t>
            </w:r>
          </w:p>
        </w:tc>
        <w:tc>
          <w:tcPr>
            <w:tcW w:w="28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220" w:type="dxa"/>
            <w:vAlign w:val="bottom"/>
          </w:tcPr>
          <w:p>
            <w:pPr>
              <w:ind w:left="8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tcPr>
          <w:p>
            <w:pPr>
              <w:jc w:val="right"/>
              <w:ind w:right="144"/>
              <w:spacing w:after="0"/>
              <w:rPr>
                <w:sz w:val="20"/>
                <w:szCs w:val="20"/>
                <w:color w:val="auto"/>
              </w:rPr>
            </w:pPr>
            <w:r>
              <w:rPr>
                <w:rFonts w:ascii="Arial" w:cs="Arial" w:eastAsia="Arial" w:hAnsi="Arial"/>
                <w:sz w:val="15"/>
                <w:szCs w:val="15"/>
                <w:color w:val="auto"/>
              </w:rPr>
              <w:t>40,158</w:t>
            </w:r>
          </w:p>
        </w:tc>
        <w:tc>
          <w:tcPr>
            <w:tcW w:w="1020" w:type="dxa"/>
            <w:vAlign w:val="bottom"/>
            <w:gridSpan w:val="5"/>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4,144,893</w:t>
            </w:r>
            <w:r>
              <w:rPr>
                <w:rFonts w:ascii="Arial" w:cs="Arial" w:eastAsia="Arial" w:hAnsi="Arial"/>
                <w:sz w:val="27"/>
                <w:szCs w:val="27"/>
                <w:color w:val="auto"/>
                <w:vertAlign w:val="subscript"/>
              </w:rPr>
              <w:t>​​</w:t>
            </w:r>
          </w:p>
        </w:tc>
        <w:tc>
          <w:tcPr>
            <w:tcW w:w="0" w:type="dxa"/>
            <w:vAlign w:val="bottom"/>
          </w:tcPr>
          <w:p>
            <w:pPr>
              <w:spacing w:after="0"/>
              <w:rPr>
                <w:sz w:val="1"/>
                <w:szCs w:val="1"/>
                <w:color w:val="auto"/>
              </w:rPr>
            </w:pPr>
          </w:p>
        </w:tc>
      </w:tr>
      <w:tr>
        <w:trPr>
          <w:trHeight w:val="236"/>
        </w:trPr>
        <w:tc>
          <w:tcPr>
            <w:tcW w:w="2980" w:type="dxa"/>
            <w:vAlign w:val="bottom"/>
            <w:tcBorders>
              <w:top w:val="single" w:sz="8" w:color="457157"/>
              <w:bottom w:val="single" w:sz="8" w:color="457157"/>
            </w:tcBorders>
            <w:shd w:val="clear" w:color="auto" w:fill="CCEEFF"/>
          </w:tcPr>
          <w:p>
            <w:pPr>
              <w:jc w:val="right"/>
              <w:ind w:right="2532"/>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2023</w:t>
            </w:r>
          </w:p>
        </w:tc>
        <w:tc>
          <w:tcPr>
            <w:tcW w:w="280" w:type="dxa"/>
            <w:vAlign w:val="bottom"/>
            <w:tcBorders>
              <w:top w:val="single" w:sz="8" w:color="457157"/>
              <w:bottom w:val="single" w:sz="8" w:color="457157"/>
            </w:tcBorders>
            <w:shd w:val="clear" w:color="auto" w:fill="CCEEFF"/>
          </w:tcPr>
          <w:p>
            <w:pPr>
              <w:jc w:val="right"/>
              <w:spacing w:after="0" w:line="236" w:lineRule="exact"/>
              <w:rPr>
                <w:sz w:val="20"/>
                <w:szCs w:val="20"/>
                <w:color w:val="auto"/>
              </w:rPr>
            </w:pPr>
            <w:r>
              <w:rPr>
                <w:rFonts w:ascii="Arial" w:cs="Arial" w:eastAsia="Arial" w:hAnsi="Arial"/>
                <w:sz w:val="14"/>
                <w:szCs w:val="14"/>
                <w:color w:val="auto"/>
              </w:rPr>
              <w:t>​ ​​</w:t>
            </w:r>
            <w:r>
              <w:rPr>
                <w:rFonts w:ascii="Arial" w:cs="Arial" w:eastAsia="Arial" w:hAnsi="Arial"/>
                <w:sz w:val="27"/>
                <w:szCs w:val="27"/>
                <w:color w:val="auto"/>
                <w:vertAlign w:val="superscript"/>
              </w:rPr>
              <w:t>​</w:t>
            </w:r>
          </w:p>
        </w:tc>
        <w:tc>
          <w:tcPr>
            <w:tcW w:w="840" w:type="dxa"/>
            <w:vAlign w:val="bottom"/>
            <w:tcBorders>
              <w:top w:val="single" w:sz="8" w:color="457157"/>
              <w:bottom w:val="single" w:sz="8" w:color="457157"/>
            </w:tcBorders>
            <w:gridSpan w:val="3"/>
            <w:shd w:val="clear" w:color="auto" w:fill="CCEEFF"/>
          </w:tcPr>
          <w:p>
            <w:pPr>
              <w:jc w:val="right"/>
              <w:spacing w:after="0" w:line="236" w:lineRule="exact"/>
              <w:rPr>
                <w:sz w:val="20"/>
                <w:szCs w:val="20"/>
                <w:color w:val="auto"/>
              </w:rPr>
            </w:pPr>
            <w:r>
              <w:rPr>
                <w:rFonts w:ascii="Arial" w:cs="Arial" w:eastAsia="Arial" w:hAnsi="Arial"/>
                <w:sz w:val="14"/>
                <w:szCs w:val="14"/>
                <w:color w:val="auto"/>
              </w:rPr>
              <w:t>633,592</w:t>
            </w:r>
            <w:r>
              <w:rPr>
                <w:rFonts w:ascii="Arial" w:cs="Arial" w:eastAsia="Arial" w:hAnsi="Arial"/>
                <w:sz w:val="27"/>
                <w:szCs w:val="27"/>
                <w:color w:val="auto"/>
                <w:vertAlign w:val="subscript"/>
              </w:rPr>
              <w:t>​​ ​​</w:t>
            </w:r>
            <w:r>
              <w:rPr>
                <w:rFonts w:ascii="Arial" w:cs="Arial" w:eastAsia="Arial" w:hAnsi="Arial"/>
                <w:sz w:val="14"/>
                <w:szCs w:val="14"/>
                <w:color w:val="auto"/>
              </w:rPr>
              <w:t>​</w:t>
            </w:r>
          </w:p>
        </w:tc>
        <w:tc>
          <w:tcPr>
            <w:tcW w:w="880" w:type="dxa"/>
            <w:vAlign w:val="bottom"/>
            <w:tcBorders>
              <w:top w:val="single" w:sz="8" w:color="457157"/>
              <w:bottom w:val="single" w:sz="8" w:color="457157"/>
            </w:tcBorders>
            <w:gridSpan w:val="2"/>
            <w:shd w:val="clear" w:color="auto" w:fill="CCEEFF"/>
          </w:tcPr>
          <w:p>
            <w:pPr>
              <w:jc w:val="right"/>
              <w:spacing w:after="0" w:line="236" w:lineRule="exact"/>
              <w:rPr>
                <w:sz w:val="20"/>
                <w:szCs w:val="20"/>
                <w:color w:val="auto"/>
              </w:rPr>
            </w:pPr>
            <w:r>
              <w:rPr>
                <w:rFonts w:ascii="Arial" w:cs="Arial" w:eastAsia="Arial" w:hAnsi="Arial"/>
                <w:sz w:val="14"/>
                <w:szCs w:val="14"/>
                <w:color w:val="auto"/>
              </w:rPr>
              <w:t>1,724,132</w:t>
            </w:r>
            <w:r>
              <w:rPr>
                <w:rFonts w:ascii="Arial" w:cs="Arial" w:eastAsia="Arial" w:hAnsi="Arial"/>
                <w:sz w:val="27"/>
                <w:szCs w:val="27"/>
                <w:color w:val="auto"/>
                <w:vertAlign w:val="subscript"/>
              </w:rPr>
              <w:t>​​​​</w:t>
            </w:r>
            <w:r>
              <w:rPr>
                <w:rFonts w:ascii="Arial" w:cs="Arial" w:eastAsia="Arial" w:hAnsi="Arial"/>
                <w:sz w:val="14"/>
                <w:szCs w:val="14"/>
                <w:color w:val="auto"/>
              </w:rPr>
              <w:t>​</w:t>
            </w:r>
          </w:p>
        </w:tc>
        <w:tc>
          <w:tcPr>
            <w:tcW w:w="760" w:type="dxa"/>
            <w:vAlign w:val="bottom"/>
            <w:tcBorders>
              <w:top w:val="single" w:sz="8" w:color="457157"/>
              <w:bottom w:val="single" w:sz="8" w:color="457157"/>
            </w:tcBorders>
            <w:gridSpan w:val="2"/>
            <w:shd w:val="clear" w:color="auto" w:fill="CCEEFF"/>
          </w:tcPr>
          <w:p>
            <w:pPr>
              <w:jc w:val="right"/>
              <w:spacing w:after="0" w:line="236" w:lineRule="exact"/>
              <w:rPr>
                <w:sz w:val="20"/>
                <w:szCs w:val="20"/>
                <w:color w:val="auto"/>
              </w:rPr>
            </w:pPr>
            <w:r>
              <w:rPr>
                <w:rFonts w:ascii="Arial" w:cs="Arial" w:eastAsia="Arial" w:hAnsi="Arial"/>
                <w:sz w:val="14"/>
                <w:szCs w:val="14"/>
                <w:color w:val="auto"/>
              </w:rPr>
              <w:t>400,010</w:t>
            </w:r>
            <w:r>
              <w:rPr>
                <w:rFonts w:ascii="Arial" w:cs="Arial" w:eastAsia="Arial" w:hAnsi="Arial"/>
                <w:sz w:val="27"/>
                <w:szCs w:val="27"/>
                <w:color w:val="auto"/>
                <w:vertAlign w:val="subscript"/>
              </w:rPr>
              <w:t>​​​</w:t>
            </w:r>
          </w:p>
        </w:tc>
        <w:tc>
          <w:tcPr>
            <w:tcW w:w="200" w:type="dxa"/>
            <w:vAlign w:val="bottom"/>
            <w:tcBorders>
              <w:top w:val="single" w:sz="8" w:color="457157"/>
              <w:bottom w:val="single" w:sz="8" w:color="457157"/>
            </w:tcBorders>
            <w:shd w:val="clear" w:color="auto" w:fill="CCEEFF"/>
          </w:tcPr>
          <w:p>
            <w:pPr>
              <w:jc w:val="right"/>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880" w:type="dxa"/>
            <w:vAlign w:val="bottom"/>
            <w:tcBorders>
              <w:top w:val="single" w:sz="8" w:color="457157"/>
              <w:bottom w:val="single" w:sz="8" w:color="457157"/>
            </w:tcBorders>
            <w:shd w:val="clear" w:color="auto" w:fill="CCEEFF"/>
          </w:tcPr>
          <w:p>
            <w:pPr>
              <w:jc w:val="right"/>
              <w:ind w:right="44"/>
              <w:spacing w:after="0"/>
              <w:rPr>
                <w:sz w:val="20"/>
                <w:szCs w:val="20"/>
                <w:color w:val="auto"/>
              </w:rPr>
            </w:pPr>
            <w:r>
              <w:rPr>
                <w:rFonts w:ascii="Arial" w:cs="Arial" w:eastAsia="Arial" w:hAnsi="Arial"/>
                <w:sz w:val="15"/>
                <w:szCs w:val="15"/>
                <w:color w:val="auto"/>
              </w:rPr>
              <w:t>686,538</w:t>
            </w:r>
          </w:p>
        </w:tc>
        <w:tc>
          <w:tcPr>
            <w:tcW w:w="280" w:type="dxa"/>
            <w:vAlign w:val="bottom"/>
            <w:tcBorders>
              <w:top w:val="single" w:sz="8" w:color="457157"/>
              <w:bottom w:val="single" w:sz="8" w:color="457157"/>
            </w:tcBorders>
            <w:gridSpan w:val="2"/>
            <w:shd w:val="clear" w:color="auto" w:fill="CCEEFF"/>
          </w:tcPr>
          <w:p>
            <w:pPr>
              <w:ind w:left="20"/>
              <w:spacing w:after="0"/>
              <w:rPr>
                <w:sz w:val="20"/>
                <w:szCs w:val="20"/>
                <w:color w:val="auto"/>
              </w:rPr>
            </w:pPr>
            <w:r>
              <w:rPr>
                <w:rFonts w:ascii="Arial" w:cs="Arial" w:eastAsia="Arial" w:hAnsi="Arial"/>
                <w:sz w:val="15"/>
                <w:szCs w:val="15"/>
                <w:color w:val="auto"/>
              </w:rPr>
              <w:t>​​​</w:t>
            </w:r>
          </w:p>
        </w:tc>
        <w:tc>
          <w:tcPr>
            <w:tcW w:w="220" w:type="dxa"/>
            <w:vAlign w:val="bottom"/>
            <w:tcBorders>
              <w:top w:val="single" w:sz="8" w:color="457157"/>
              <w:bottom w:val="single" w:sz="8" w:color="457157"/>
            </w:tcBorders>
            <w:shd w:val="clear" w:color="auto" w:fill="CCEEFF"/>
          </w:tcPr>
          <w:p>
            <w:pPr>
              <w:ind w:left="80"/>
              <w:spacing w:after="0" w:line="236" w:lineRule="exact"/>
              <w:rPr>
                <w:sz w:val="20"/>
                <w:szCs w:val="20"/>
                <w:color w:val="auto"/>
              </w:rPr>
            </w:pPr>
            <w:r>
              <w:rPr>
                <w:rFonts w:ascii="Arial" w:cs="Arial" w:eastAsia="Arial" w:hAnsi="Arial"/>
                <w:sz w:val="14"/>
                <w:szCs w:val="14"/>
                <w:color w:val="auto"/>
              </w:rPr>
              <w:t>​</w:t>
            </w:r>
            <w:r>
              <w:rPr>
                <w:rFonts w:ascii="Arial" w:cs="Arial" w:eastAsia="Arial" w:hAnsi="Arial"/>
                <w:sz w:val="27"/>
                <w:szCs w:val="27"/>
                <w:color w:val="auto"/>
                <w:vertAlign w:val="superscript"/>
              </w:rPr>
              <w:t>​</w:t>
            </w:r>
          </w:p>
        </w:tc>
        <w:tc>
          <w:tcPr>
            <w:tcW w:w="760" w:type="dxa"/>
            <w:vAlign w:val="bottom"/>
            <w:tcBorders>
              <w:top w:val="single" w:sz="8" w:color="457157"/>
              <w:bottom w:val="single" w:sz="8" w:color="457157"/>
            </w:tcBorders>
            <w:shd w:val="clear" w:color="auto" w:fill="CCEEFF"/>
          </w:tcPr>
          <w:p>
            <w:pPr>
              <w:jc w:val="right"/>
              <w:ind w:right="144"/>
              <w:spacing w:after="0"/>
              <w:rPr>
                <w:sz w:val="20"/>
                <w:szCs w:val="20"/>
                <w:color w:val="auto"/>
              </w:rPr>
            </w:pPr>
            <w:r>
              <w:rPr>
                <w:rFonts w:ascii="Arial" w:cs="Arial" w:eastAsia="Arial" w:hAnsi="Arial"/>
                <w:sz w:val="15"/>
                <w:szCs w:val="15"/>
                <w:color w:val="auto"/>
              </w:rPr>
              <w:t>16,036</w:t>
            </w:r>
          </w:p>
        </w:tc>
        <w:tc>
          <w:tcPr>
            <w:tcW w:w="980" w:type="dxa"/>
            <w:vAlign w:val="bottom"/>
            <w:tcBorders>
              <w:top w:val="single" w:sz="8" w:color="457157"/>
              <w:bottom w:val="single" w:sz="8" w:color="457157"/>
            </w:tcBorders>
            <w:gridSpan w:val="4"/>
            <w:shd w:val="clear" w:color="auto" w:fill="CCEEFF"/>
          </w:tcPr>
          <w:p>
            <w:pPr>
              <w:ind w:left="20"/>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3,460,308</w:t>
            </w:r>
            <w:r>
              <w:rPr>
                <w:rFonts w:ascii="Arial" w:cs="Arial" w:eastAsia="Arial" w:hAnsi="Arial"/>
                <w:sz w:val="27"/>
                <w:szCs w:val="27"/>
                <w:color w:val="auto"/>
                <w:vertAlign w:val="subscript"/>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jc w:val="both"/>
        <w:ind w:left="1180" w:right="60" w:hanging="364"/>
        <w:spacing w:after="0" w:line="253" w:lineRule="auto"/>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PSUs granted to all named executives annually. The grant date fair values were calculated in accordance with ASC Topic 718, as further described in Note 14 in the Notes to the Consolidated Financial Statements in our 2024 Annual Report on Form 10-K. The grant date fair value of a TSR PSU granted in 2024, based on a multifactor Monte Carlo model, is $307.21, and because total shareholder return is a market condition, projected achievement is embedded in the grant date fair value. The grant date fair value of a Cash Flow PSU granted in 2024 is $204.7585, which is the average of the high and low market price of our Common Stock on the date of the grant, in accordance with our 2023 Stock Incentive Plan. The table below shows (a) the aggregate grant date fair value of Cash Flow PSUs assuming target level of performance is achieved (this is the amount included in the Stock Awards column in the Summary Compensation Table) and (b) the aggregate grant date fair value of the same PSUs assuming the Company will reach the highest level of achievement for this performance measure and maximum payouts will be earned.</w:t>
      </w:r>
    </w:p>
    <w:p>
      <w:pPr>
        <w:spacing w:after="0" w:line="200" w:lineRule="exact"/>
        <w:rPr>
          <w:sz w:val="20"/>
          <w:szCs w:val="20"/>
          <w:color w:val="auto"/>
        </w:rPr>
      </w:pPr>
    </w:p>
    <w:p>
      <w:pPr>
        <w:spacing w:after="0" w:line="221"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2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3860" w:type="dxa"/>
            <w:vAlign w:val="bottom"/>
            <w:shd w:val="clear" w:color="auto" w:fill="457157"/>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1740" w:type="dxa"/>
            <w:vAlign w:val="bottom"/>
            <w:shd w:val="clear" w:color="auto" w:fill="457157"/>
          </w:tcPr>
          <w:p>
            <w:pPr>
              <w:spacing w:after="0"/>
              <w:rPr>
                <w:sz w:val="19"/>
                <w:szCs w:val="19"/>
                <w:color w:val="auto"/>
              </w:rPr>
            </w:pPr>
          </w:p>
        </w:tc>
        <w:tc>
          <w:tcPr>
            <w:tcW w:w="320" w:type="dxa"/>
            <w:vAlign w:val="bottom"/>
            <w:shd w:val="clear" w:color="auto" w:fill="457157"/>
          </w:tcPr>
          <w:p>
            <w:pPr>
              <w:spacing w:after="0"/>
              <w:rPr>
                <w:sz w:val="19"/>
                <w:szCs w:val="19"/>
                <w:color w:val="auto"/>
              </w:rPr>
            </w:pPr>
          </w:p>
        </w:tc>
        <w:tc>
          <w:tcPr>
            <w:tcW w:w="1180" w:type="dxa"/>
            <w:vAlign w:val="bottom"/>
            <w:shd w:val="clear" w:color="auto" w:fill="457157"/>
          </w:tcPr>
          <w:p>
            <w:pPr>
              <w:spacing w:after="0"/>
              <w:rPr>
                <w:sz w:val="19"/>
                <w:szCs w:val="19"/>
                <w:color w:val="auto"/>
              </w:rPr>
            </w:pPr>
          </w:p>
        </w:tc>
        <w:tc>
          <w:tcPr>
            <w:tcW w:w="380" w:type="dxa"/>
            <w:vAlign w:val="bottom"/>
            <w:shd w:val="clear" w:color="auto" w:fill="457157"/>
          </w:tcPr>
          <w:p>
            <w:pPr>
              <w:spacing w:after="0"/>
              <w:rPr>
                <w:sz w:val="19"/>
                <w:szCs w:val="19"/>
                <w:color w:val="auto"/>
              </w:rPr>
            </w:pPr>
          </w:p>
        </w:tc>
        <w:tc>
          <w:tcPr>
            <w:tcW w:w="300" w:type="dxa"/>
            <w:vAlign w:val="bottom"/>
            <w:shd w:val="clear" w:color="auto" w:fill="457157"/>
          </w:tcPr>
          <w:p>
            <w:pPr>
              <w:spacing w:after="0"/>
              <w:rPr>
                <w:sz w:val="19"/>
                <w:szCs w:val="19"/>
                <w:color w:val="auto"/>
              </w:rPr>
            </w:pPr>
          </w:p>
        </w:tc>
        <w:tc>
          <w:tcPr>
            <w:tcW w:w="1180" w:type="dxa"/>
            <w:vAlign w:val="bottom"/>
            <w:shd w:val="clear" w:color="auto" w:fill="457157"/>
          </w:tcPr>
          <w:p>
            <w:pPr>
              <w:spacing w:after="0"/>
              <w:rPr>
                <w:sz w:val="19"/>
                <w:szCs w:val="19"/>
                <w:color w:val="auto"/>
              </w:rPr>
            </w:pPr>
          </w:p>
        </w:tc>
        <w:tc>
          <w:tcPr>
            <w:tcW w:w="100" w:type="dxa"/>
            <w:vAlign w:val="bottom"/>
            <w:shd w:val="clear" w:color="auto" w:fill="457157"/>
          </w:tcPr>
          <w:p>
            <w:pPr>
              <w:spacing w:after="0"/>
              <w:rPr>
                <w:sz w:val="19"/>
                <w:szCs w:val="19"/>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20"/>
                <w:szCs w:val="20"/>
                <w:color w:val="auto"/>
              </w:rPr>
            </w:pPr>
            <w:r>
              <w:rPr>
                <w:rFonts w:ascii="Arial" w:cs="Arial" w:eastAsia="Arial" w:hAnsi="Arial"/>
                <w:sz w:val="16"/>
                <w:szCs w:val="16"/>
                <w:b w:val="1"/>
                <w:bCs w:val="1"/>
                <w:color w:val="auto"/>
              </w:rPr>
              <w:t>​</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3860" w:type="dxa"/>
            <w:vAlign w:val="bottom"/>
          </w:tcPr>
          <w:p>
            <w:pPr>
              <w:spacing w:after="0"/>
              <w:rPr>
                <w:sz w:val="24"/>
                <w:szCs w:val="24"/>
                <w:color w:val="auto"/>
              </w:rPr>
            </w:pPr>
          </w:p>
        </w:tc>
        <w:tc>
          <w:tcPr>
            <w:tcW w:w="3240" w:type="dxa"/>
            <w:vAlign w:val="bottom"/>
            <w:gridSpan w:val="3"/>
          </w:tcPr>
          <w:p>
            <w:pPr>
              <w:jc w:val="right"/>
              <w:spacing w:after="0"/>
              <w:rPr>
                <w:sz w:val="20"/>
                <w:szCs w:val="20"/>
                <w:color w:val="auto"/>
              </w:rPr>
            </w:pPr>
            <w:r>
              <w:rPr>
                <w:rFonts w:ascii="Arial" w:cs="Arial" w:eastAsia="Arial" w:hAnsi="Arial"/>
                <w:sz w:val="14"/>
                <w:szCs w:val="14"/>
                <w:b w:val="1"/>
                <w:bCs w:val="1"/>
                <w:color w:val="457157"/>
              </w:rPr>
              <w:t>Aggregate Grant Date</w:t>
            </w: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457157"/>
              </w:rPr>
              <w:t>Aggregate Grant Date</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Fair Value of Cash</w:t>
            </w:r>
          </w:p>
        </w:tc>
        <w:tc>
          <w:tcPr>
            <w:tcW w:w="380" w:type="dxa"/>
            <w:vAlign w:val="bottom"/>
          </w:tcPr>
          <w:p>
            <w:pPr>
              <w:spacing w:after="0"/>
              <w:rPr>
                <w:sz w:val="12"/>
                <w:szCs w:val="12"/>
                <w:color w:val="auto"/>
              </w:rPr>
            </w:pP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Fair Value of Cash</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Flow PSUs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Flow PSUs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00" w:type="dxa"/>
            <w:vAlign w:val="bottom"/>
            <w:gridSpan w:val="2"/>
          </w:tcPr>
          <w:p>
            <w:pPr>
              <w:ind w:left="200"/>
              <w:spacing w:after="0" w:line="139" w:lineRule="exact"/>
              <w:rPr>
                <w:sz w:val="20"/>
                <w:szCs w:val="20"/>
                <w:color w:val="auto"/>
              </w:rPr>
            </w:pPr>
            <w:r>
              <w:rPr>
                <w:rFonts w:ascii="Arial" w:cs="Arial" w:eastAsia="Arial" w:hAnsi="Arial"/>
                <w:sz w:val="14"/>
                <w:szCs w:val="14"/>
                <w:b w:val="1"/>
                <w:bCs w:val="1"/>
                <w:color w:val="457157"/>
              </w:rPr>
              <w:t>Assuming Target</w:t>
            </w:r>
          </w:p>
        </w:tc>
        <w:tc>
          <w:tcPr>
            <w:tcW w:w="380" w:type="dxa"/>
            <w:vAlign w:val="bottom"/>
          </w:tcPr>
          <w:p>
            <w:pPr>
              <w:spacing w:after="0"/>
              <w:rPr>
                <w:sz w:val="12"/>
                <w:szCs w:val="12"/>
                <w:color w:val="auto"/>
              </w:rPr>
            </w:pPr>
          </w:p>
        </w:tc>
        <w:tc>
          <w:tcPr>
            <w:tcW w:w="1480" w:type="dxa"/>
            <w:vAlign w:val="bottom"/>
            <w:gridSpan w:val="2"/>
          </w:tcPr>
          <w:p>
            <w:pPr>
              <w:jc w:val="right"/>
              <w:spacing w:after="0" w:line="139" w:lineRule="exact"/>
              <w:rPr>
                <w:sz w:val="20"/>
                <w:szCs w:val="20"/>
                <w:color w:val="auto"/>
              </w:rPr>
            </w:pPr>
            <w:r>
              <w:rPr>
                <w:rFonts w:ascii="Arial" w:cs="Arial" w:eastAsia="Arial" w:hAnsi="Arial"/>
                <w:sz w:val="14"/>
                <w:szCs w:val="14"/>
                <w:b w:val="1"/>
                <w:bCs w:val="1"/>
                <w:color w:val="457157"/>
              </w:rPr>
              <w:t>Assuming Highest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6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w:t>
            </w:r>
          </w:p>
        </w:tc>
        <w:tc>
          <w:tcPr>
            <w:tcW w:w="324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457157"/>
              </w:rPr>
              <w:t>Level of Performance</w:t>
            </w:r>
          </w:p>
        </w:tc>
        <w:tc>
          <w:tcPr>
            <w:tcW w:w="1860" w:type="dxa"/>
            <w:vAlign w:val="bottom"/>
            <w:gridSpan w:val="3"/>
          </w:tcPr>
          <w:p>
            <w:pPr>
              <w:jc w:val="right"/>
              <w:spacing w:after="0" w:line="145" w:lineRule="exact"/>
              <w:rPr>
                <w:sz w:val="20"/>
                <w:szCs w:val="20"/>
                <w:color w:val="auto"/>
              </w:rPr>
            </w:pPr>
            <w:r>
              <w:rPr>
                <w:rFonts w:ascii="Arial" w:cs="Arial" w:eastAsia="Arial" w:hAnsi="Arial"/>
                <w:sz w:val="14"/>
                <w:szCs w:val="14"/>
                <w:b w:val="1"/>
                <w:bCs w:val="1"/>
                <w:color w:val="457157"/>
              </w:rPr>
              <w:t>Level of Performance</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860" w:type="dxa"/>
            <w:vAlign w:val="bottom"/>
            <w:vMerge w:val="continue"/>
          </w:tcPr>
          <w:p>
            <w:pPr>
              <w:spacing w:after="0"/>
              <w:rPr>
                <w:sz w:val="15"/>
                <w:szCs w:val="15"/>
                <w:color w:val="auto"/>
              </w:rPr>
            </w:pPr>
          </w:p>
        </w:tc>
        <w:tc>
          <w:tcPr>
            <w:tcW w:w="1740" w:type="dxa"/>
            <w:vAlign w:val="bottom"/>
          </w:tcPr>
          <w:p>
            <w:pPr>
              <w:ind w:left="880"/>
              <w:spacing w:after="0"/>
              <w:rPr>
                <w:sz w:val="20"/>
                <w:szCs w:val="20"/>
                <w:color w:val="auto"/>
              </w:rPr>
            </w:pPr>
            <w:r>
              <w:rPr>
                <w:rFonts w:ascii="Arial" w:cs="Arial" w:eastAsia="Arial" w:hAnsi="Arial"/>
                <w:sz w:val="14"/>
                <w:szCs w:val="14"/>
                <w:b w:val="1"/>
                <w:bCs w:val="1"/>
                <w:color w:val="457157"/>
              </w:rPr>
              <w:t>​ ​ Year  ​ ​</w:t>
            </w:r>
          </w:p>
        </w:tc>
        <w:tc>
          <w:tcPr>
            <w:tcW w:w="320" w:type="dxa"/>
            <w:vAlign w:val="bottom"/>
          </w:tcPr>
          <w:p>
            <w:pPr>
              <w:spacing w:after="0"/>
              <w:rPr>
                <w:sz w:val="15"/>
                <w:szCs w:val="15"/>
                <w:color w:val="auto"/>
              </w:rPr>
            </w:pPr>
          </w:p>
        </w:tc>
        <w:tc>
          <w:tcPr>
            <w:tcW w:w="1560" w:type="dxa"/>
            <w:vAlign w:val="bottom"/>
            <w:gridSpan w:val="2"/>
          </w:tcPr>
          <w:p>
            <w:pPr>
              <w:ind w:left="260"/>
              <w:spacing w:after="0"/>
              <w:rPr>
                <w:sz w:val="20"/>
                <w:szCs w:val="20"/>
                <w:color w:val="auto"/>
              </w:rPr>
            </w:pPr>
            <w:r>
              <w:rPr>
                <w:rFonts w:ascii="Arial" w:cs="Arial" w:eastAsia="Arial" w:hAnsi="Arial"/>
                <w:sz w:val="14"/>
                <w:szCs w:val="14"/>
                <w:b w:val="1"/>
                <w:bCs w:val="1"/>
                <w:color w:val="457157"/>
              </w:rPr>
              <w:t>Achieved ($)  ​ ​</w:t>
            </w:r>
          </w:p>
        </w:tc>
        <w:tc>
          <w:tcPr>
            <w:tcW w:w="30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457157"/>
              </w:rPr>
              <w:t>Achieved ($) ​</w:t>
            </w:r>
          </w:p>
        </w:tc>
        <w:tc>
          <w:tcPr>
            <w:tcW w:w="0" w:type="dxa"/>
            <w:vAlign w:val="bottom"/>
          </w:tcPr>
          <w:p>
            <w:pPr>
              <w:spacing w:after="0"/>
              <w:rPr>
                <w:sz w:val="1"/>
                <w:szCs w:val="1"/>
                <w:color w:val="auto"/>
              </w:rPr>
            </w:pPr>
          </w:p>
        </w:tc>
      </w:tr>
      <w:tr>
        <w:trPr>
          <w:trHeight w:val="209"/>
        </w:trPr>
        <w:tc>
          <w:tcPr>
            <w:tcW w:w="386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James C. Fish, Jr.</w:t>
            </w:r>
          </w:p>
        </w:tc>
        <w:tc>
          <w:tcPr>
            <w:tcW w:w="1740" w:type="dxa"/>
            <w:vAlign w:val="bottom"/>
            <w:tcBorders>
              <w:top w:val="single" w:sz="8" w:color="457157"/>
              <w:bottom w:val="single" w:sz="8" w:color="457157"/>
            </w:tcBorders>
            <w:shd w:val="clear" w:color="auto" w:fill="CCEEFF"/>
          </w:tcPr>
          <w:p>
            <w:pPr>
              <w:ind w:left="8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2024​​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4,116,260</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8,232,520</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8"/>
                <w:szCs w:val="18"/>
                <w:color w:val="auto"/>
              </w:rPr>
              <w:t>​​</w:t>
            </w:r>
          </w:p>
        </w:tc>
        <w:tc>
          <w:tcPr>
            <w:tcW w:w="1740" w:type="dxa"/>
            <w:vAlign w:val="bottom"/>
          </w:tcPr>
          <w:p>
            <w:pPr>
              <w:ind w:left="8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2023​​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3,851,651</w:t>
            </w:r>
          </w:p>
        </w:tc>
        <w:tc>
          <w:tcPr>
            <w:tcW w:w="380" w:type="dxa"/>
            <w:vAlign w:val="bottom"/>
          </w:tcPr>
          <w:p>
            <w:pPr>
              <w:spacing w:after="0"/>
              <w:rPr>
                <w:sz w:val="20"/>
                <w:szCs w:val="20"/>
                <w:color w:val="auto"/>
              </w:rPr>
            </w:pPr>
            <w:r>
              <w:rPr>
                <w:rFonts w:ascii="Arial" w:cs="Arial" w:eastAsia="Arial" w:hAnsi="Arial"/>
                <w:sz w:val="18"/>
                <w:szCs w:val="18"/>
                <w:color w:val="auto"/>
              </w:rPr>
              <w:t>​ ​ ​</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7,703,302</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6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457157"/>
              <w:bottom w:val="single" w:sz="8" w:color="457157"/>
            </w:tcBorders>
            <w:shd w:val="clear" w:color="auto" w:fill="CCEEFF"/>
          </w:tcPr>
          <w:p>
            <w:pPr>
              <w:ind w:left="8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2022​​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3,468,403</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6,936,806</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Devina A. Rankin</w:t>
            </w:r>
          </w:p>
        </w:tc>
        <w:tc>
          <w:tcPr>
            <w:tcW w:w="1740" w:type="dxa"/>
            <w:vAlign w:val="bottom"/>
          </w:tcPr>
          <w:p>
            <w:pPr>
              <w:ind w:left="8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2024​​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970,965</w:t>
            </w:r>
          </w:p>
        </w:tc>
        <w:tc>
          <w:tcPr>
            <w:tcW w:w="380" w:type="dxa"/>
            <w:vAlign w:val="bottom"/>
          </w:tcPr>
          <w:p>
            <w:pPr>
              <w:spacing w:after="0"/>
              <w:rPr>
                <w:sz w:val="20"/>
                <w:szCs w:val="20"/>
                <w:color w:val="auto"/>
              </w:rPr>
            </w:pPr>
            <w:r>
              <w:rPr>
                <w:rFonts w:ascii="Arial" w:cs="Arial" w:eastAsia="Arial" w:hAnsi="Arial"/>
                <w:sz w:val="18"/>
                <w:szCs w:val="18"/>
                <w:color w:val="auto"/>
              </w:rPr>
              <w:t>​ ​ ​</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1,941,930</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86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457157"/>
              <w:bottom w:val="single" w:sz="8" w:color="457157"/>
            </w:tcBorders>
            <w:shd w:val="clear" w:color="auto" w:fill="CCEEFF"/>
          </w:tcPr>
          <w:p>
            <w:pPr>
              <w:ind w:left="8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2023​​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908,646</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1,817,292</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Arial" w:cs="Arial" w:eastAsia="Arial" w:hAnsi="Arial"/>
                <w:sz w:val="18"/>
                <w:szCs w:val="18"/>
                <w:color w:val="auto"/>
              </w:rPr>
              <w:t>​​</w:t>
            </w:r>
          </w:p>
        </w:tc>
        <w:tc>
          <w:tcPr>
            <w:tcW w:w="1740" w:type="dxa"/>
            <w:vAlign w:val="bottom"/>
          </w:tcPr>
          <w:p>
            <w:pPr>
              <w:ind w:left="8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2022​​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871,981</w:t>
            </w:r>
          </w:p>
        </w:tc>
        <w:tc>
          <w:tcPr>
            <w:tcW w:w="380" w:type="dxa"/>
            <w:vAlign w:val="bottom"/>
          </w:tcPr>
          <w:p>
            <w:pPr>
              <w:spacing w:after="0"/>
              <w:rPr>
                <w:sz w:val="20"/>
                <w:szCs w:val="20"/>
                <w:color w:val="auto"/>
              </w:rPr>
            </w:pPr>
            <w:r>
              <w:rPr>
                <w:rFonts w:ascii="Arial" w:cs="Arial" w:eastAsia="Arial" w:hAnsi="Arial"/>
                <w:sz w:val="18"/>
                <w:szCs w:val="18"/>
                <w:color w:val="auto"/>
              </w:rPr>
              <w:t>​ ​ ​</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1,743,962</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86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John J. Morris, Jr.</w:t>
            </w:r>
          </w:p>
        </w:tc>
        <w:tc>
          <w:tcPr>
            <w:tcW w:w="1740" w:type="dxa"/>
            <w:vAlign w:val="bottom"/>
            <w:tcBorders>
              <w:top w:val="single" w:sz="8" w:color="457157"/>
              <w:bottom w:val="single" w:sz="8" w:color="457157"/>
            </w:tcBorders>
            <w:shd w:val="clear" w:color="auto" w:fill="CCEEFF"/>
          </w:tcPr>
          <w:p>
            <w:pPr>
              <w:ind w:left="8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2024​​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1,245,341</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2,490,682</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Arial" w:cs="Arial" w:eastAsia="Arial" w:hAnsi="Arial"/>
                <w:sz w:val="18"/>
                <w:szCs w:val="18"/>
                <w:color w:val="auto"/>
              </w:rPr>
              <w:t>​​</w:t>
            </w:r>
          </w:p>
        </w:tc>
        <w:tc>
          <w:tcPr>
            <w:tcW w:w="1740" w:type="dxa"/>
            <w:vAlign w:val="bottom"/>
          </w:tcPr>
          <w:p>
            <w:pPr>
              <w:ind w:left="8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2023​​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1,066,567</w:t>
            </w:r>
          </w:p>
        </w:tc>
        <w:tc>
          <w:tcPr>
            <w:tcW w:w="380" w:type="dxa"/>
            <w:vAlign w:val="bottom"/>
          </w:tcPr>
          <w:p>
            <w:pPr>
              <w:spacing w:after="0"/>
              <w:rPr>
                <w:sz w:val="20"/>
                <w:szCs w:val="20"/>
                <w:color w:val="auto"/>
              </w:rPr>
            </w:pPr>
            <w:r>
              <w:rPr>
                <w:rFonts w:ascii="Arial" w:cs="Arial" w:eastAsia="Arial" w:hAnsi="Arial"/>
                <w:sz w:val="18"/>
                <w:szCs w:val="18"/>
                <w:color w:val="auto"/>
              </w:rPr>
              <w:t>​ ​ ​</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2,133,134</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86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457157"/>
              <w:bottom w:val="single" w:sz="8" w:color="457157"/>
            </w:tcBorders>
            <w:shd w:val="clear" w:color="auto" w:fill="CCEEFF"/>
          </w:tcPr>
          <w:p>
            <w:pPr>
              <w:ind w:left="8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2022​​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1,030,615</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2,061,230</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Tara J. Hemmer</w:t>
            </w:r>
          </w:p>
        </w:tc>
        <w:tc>
          <w:tcPr>
            <w:tcW w:w="1740" w:type="dxa"/>
            <w:vAlign w:val="bottom"/>
          </w:tcPr>
          <w:p>
            <w:pPr>
              <w:ind w:left="8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2024​​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844,424</w:t>
            </w:r>
          </w:p>
        </w:tc>
        <w:tc>
          <w:tcPr>
            <w:tcW w:w="380" w:type="dxa"/>
            <w:vAlign w:val="bottom"/>
          </w:tcPr>
          <w:p>
            <w:pPr>
              <w:spacing w:after="0"/>
              <w:rPr>
                <w:sz w:val="20"/>
                <w:szCs w:val="20"/>
                <w:color w:val="auto"/>
              </w:rPr>
            </w:pPr>
            <w:r>
              <w:rPr>
                <w:rFonts w:ascii="Arial" w:cs="Arial" w:eastAsia="Arial" w:hAnsi="Arial"/>
                <w:sz w:val="18"/>
                <w:szCs w:val="18"/>
                <w:color w:val="auto"/>
              </w:rPr>
              <w:t>​ ​ ​</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1,688,848</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6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457157"/>
              <w:bottom w:val="single" w:sz="8" w:color="457157"/>
            </w:tcBorders>
            <w:shd w:val="clear" w:color="auto" w:fill="CCEEFF"/>
          </w:tcPr>
          <w:p>
            <w:pPr>
              <w:ind w:left="8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2023​​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711,095</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1,422,190</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8"/>
                <w:szCs w:val="18"/>
                <w:color w:val="auto"/>
              </w:rPr>
              <w:t>​​</w:t>
            </w:r>
          </w:p>
        </w:tc>
        <w:tc>
          <w:tcPr>
            <w:tcW w:w="1740" w:type="dxa"/>
            <w:vAlign w:val="bottom"/>
          </w:tcPr>
          <w:p>
            <w:pPr>
              <w:ind w:left="8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2022​​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673,869</w:t>
            </w:r>
          </w:p>
        </w:tc>
        <w:tc>
          <w:tcPr>
            <w:tcW w:w="380" w:type="dxa"/>
            <w:vAlign w:val="bottom"/>
          </w:tcPr>
          <w:p>
            <w:pPr>
              <w:spacing w:after="0"/>
              <w:rPr>
                <w:sz w:val="20"/>
                <w:szCs w:val="20"/>
                <w:color w:val="auto"/>
              </w:rPr>
            </w:pPr>
            <w:r>
              <w:rPr>
                <w:rFonts w:ascii="Arial" w:cs="Arial" w:eastAsia="Arial" w:hAnsi="Arial"/>
                <w:sz w:val="18"/>
                <w:szCs w:val="18"/>
                <w:color w:val="auto"/>
              </w:rPr>
              <w:t>​ ​ ​</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1,347,738</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86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Rafael E. Carrasco</w:t>
            </w:r>
          </w:p>
        </w:tc>
        <w:tc>
          <w:tcPr>
            <w:tcW w:w="1740" w:type="dxa"/>
            <w:vAlign w:val="bottom"/>
            <w:tcBorders>
              <w:top w:val="single" w:sz="8" w:color="457157"/>
              <w:bottom w:val="single" w:sz="8" w:color="457157"/>
            </w:tcBorders>
            <w:shd w:val="clear" w:color="auto" w:fill="CCEEFF"/>
          </w:tcPr>
          <w:p>
            <w:pPr>
              <w:ind w:left="8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2024​​ ​</w:t>
            </w:r>
          </w:p>
        </w:tc>
        <w:tc>
          <w:tcPr>
            <w:tcW w:w="320" w:type="dxa"/>
            <w:vAlign w:val="bottom"/>
            <w:tcBorders>
              <w:top w:val="single" w:sz="8" w:color="457157"/>
              <w:bottom w:val="single" w:sz="8" w:color="457157"/>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52"/>
              <w:spacing w:after="0"/>
              <w:rPr>
                <w:sz w:val="20"/>
                <w:szCs w:val="20"/>
                <w:color w:val="auto"/>
              </w:rPr>
            </w:pPr>
            <w:r>
              <w:rPr>
                <w:rFonts w:ascii="Arial" w:cs="Arial" w:eastAsia="Arial" w:hAnsi="Arial"/>
                <w:sz w:val="18"/>
                <w:szCs w:val="18"/>
                <w:color w:val="auto"/>
              </w:rPr>
              <w:t>844,424</w:t>
            </w:r>
          </w:p>
        </w:tc>
        <w:tc>
          <w:tcPr>
            <w:tcW w:w="38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 ​</w:t>
            </w:r>
          </w:p>
        </w:tc>
        <w:tc>
          <w:tcPr>
            <w:tcW w:w="300" w:type="dxa"/>
            <w:vAlign w:val="bottom"/>
            <w:tcBorders>
              <w:top w:val="single" w:sz="8" w:color="457157"/>
              <w:bottom w:val="single" w:sz="8" w:color="457157"/>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457157"/>
              <w:bottom w:val="single" w:sz="8" w:color="457157"/>
            </w:tcBorders>
            <w:shd w:val="clear" w:color="auto" w:fill="CCEEFF"/>
          </w:tcPr>
          <w:p>
            <w:pPr>
              <w:jc w:val="right"/>
              <w:ind w:right="232"/>
              <w:spacing w:after="0"/>
              <w:rPr>
                <w:sz w:val="20"/>
                <w:szCs w:val="20"/>
                <w:color w:val="auto"/>
              </w:rPr>
            </w:pPr>
            <w:r>
              <w:rPr>
                <w:rFonts w:ascii="Arial" w:cs="Arial" w:eastAsia="Arial" w:hAnsi="Arial"/>
                <w:sz w:val="18"/>
                <w:szCs w:val="18"/>
                <w:color w:val="auto"/>
              </w:rPr>
              <w:t>1,688,848</w:t>
            </w:r>
          </w:p>
        </w:tc>
        <w:tc>
          <w:tcPr>
            <w:tcW w:w="10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20"/>
              <w:spacing w:after="0"/>
              <w:rPr>
                <w:sz w:val="20"/>
                <w:szCs w:val="20"/>
                <w:color w:val="auto"/>
              </w:rPr>
            </w:pPr>
            <w:r>
              <w:rPr>
                <w:rFonts w:ascii="Arial" w:cs="Arial" w:eastAsia="Arial" w:hAnsi="Arial"/>
                <w:sz w:val="18"/>
                <w:szCs w:val="18"/>
                <w:color w:val="auto"/>
              </w:rPr>
              <w:t>​​</w:t>
            </w:r>
          </w:p>
        </w:tc>
        <w:tc>
          <w:tcPr>
            <w:tcW w:w="1740" w:type="dxa"/>
            <w:vAlign w:val="bottom"/>
          </w:tcPr>
          <w:p>
            <w:pPr>
              <w:ind w:left="8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2023​​ ​</w:t>
            </w:r>
          </w:p>
        </w:tc>
        <w:tc>
          <w:tcPr>
            <w:tcW w:w="320" w:type="dxa"/>
            <w:vAlign w:val="bottom"/>
          </w:tcPr>
          <w:p>
            <w:pPr>
              <w:ind w:left="20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52"/>
              <w:spacing w:after="0"/>
              <w:rPr>
                <w:sz w:val="20"/>
                <w:szCs w:val="20"/>
                <w:color w:val="auto"/>
              </w:rPr>
            </w:pPr>
            <w:r>
              <w:rPr>
                <w:rFonts w:ascii="Arial" w:cs="Arial" w:eastAsia="Arial" w:hAnsi="Arial"/>
                <w:sz w:val="18"/>
                <w:szCs w:val="18"/>
                <w:color w:val="auto"/>
              </w:rPr>
              <w:t>790,055</w:t>
            </w:r>
          </w:p>
        </w:tc>
        <w:tc>
          <w:tcPr>
            <w:tcW w:w="380" w:type="dxa"/>
            <w:vAlign w:val="bottom"/>
          </w:tcPr>
          <w:p>
            <w:pPr>
              <w:spacing w:after="0"/>
              <w:rPr>
                <w:sz w:val="20"/>
                <w:szCs w:val="20"/>
                <w:color w:val="auto"/>
              </w:rPr>
            </w:pPr>
            <w:r>
              <w:rPr>
                <w:rFonts w:ascii="Arial" w:cs="Arial" w:eastAsia="Arial" w:hAnsi="Arial"/>
                <w:sz w:val="18"/>
                <w:szCs w:val="18"/>
                <w:color w:val="auto"/>
              </w:rPr>
              <w:t>​ ​ ​</w:t>
            </w:r>
          </w:p>
        </w:tc>
        <w:tc>
          <w:tcPr>
            <w:tcW w:w="300" w:type="dxa"/>
            <w:vAlign w:val="bottom"/>
          </w:tcPr>
          <w:p>
            <w:pPr>
              <w:ind w:lef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1,580,110</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60" w:type="dxa"/>
            <w:vAlign w:val="bottom"/>
            <w:shd w:val="clear" w:color="auto" w:fill="457157"/>
          </w:tcPr>
          <w:p>
            <w:pPr>
              <w:spacing w:after="0" w:line="20" w:lineRule="exact"/>
              <w:rPr>
                <w:sz w:val="1"/>
                <w:szCs w:val="1"/>
                <w:color w:val="auto"/>
              </w:rPr>
            </w:pPr>
          </w:p>
        </w:tc>
        <w:tc>
          <w:tcPr>
            <w:tcW w:w="174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1180" w:type="dxa"/>
            <w:vAlign w:val="bottom"/>
            <w:shd w:val="clear" w:color="auto" w:fill="457157"/>
          </w:tcPr>
          <w:p>
            <w:pPr>
              <w:spacing w:after="0" w:line="20" w:lineRule="exact"/>
              <w:rPr>
                <w:sz w:val="1"/>
                <w:szCs w:val="1"/>
                <w:color w:val="auto"/>
              </w:rPr>
            </w:pPr>
          </w:p>
        </w:tc>
        <w:tc>
          <w:tcPr>
            <w:tcW w:w="38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18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jc w:val="both"/>
        <w:ind w:left="1180" w:right="60" w:hanging="364"/>
        <w:spacing w:after="0" w:line="261"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in this column represent the grant date fair value of stock options granted annually, in accordance with ASC Topic 718. The grant date fair value of the options granted in 2024, calculated using a Black-Scholes option pricing model, is $43.00 per option. See Note 14 in the Notes to the Consolidated Financial Statements in our 2024 Annual Report on Form 10-K for additional information.</w:t>
      </w:r>
    </w:p>
    <w:p>
      <w:pPr>
        <w:spacing w:after="0" w:line="260" w:lineRule="exact"/>
        <w:rPr>
          <w:rFonts w:ascii="Arial" w:cs="Arial" w:eastAsia="Arial" w:hAnsi="Arial"/>
          <w:sz w:val="18"/>
          <w:szCs w:val="18"/>
          <w:color w:val="auto"/>
        </w:rPr>
      </w:pPr>
    </w:p>
    <w:p>
      <w:pPr>
        <w:jc w:val="both"/>
        <w:ind w:left="1180" w:right="60" w:hanging="364"/>
        <w:spacing w:after="0" w:line="265" w:lineRule="auto"/>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Amounts in this column represent cash incentive awards earned and paid based on the achievement of performance criteria. See “Compensation Discussion and Analysis — Named Executive’s 2024 Compensation Program and Results — Annual Cash Incentive” for additional information.</w:t>
      </w:r>
    </w:p>
    <w:p>
      <w:pPr>
        <w:spacing w:after="0" w:line="259" w:lineRule="exact"/>
        <w:rPr>
          <w:rFonts w:ascii="Arial" w:cs="Arial" w:eastAsia="Arial" w:hAnsi="Arial"/>
          <w:sz w:val="18"/>
          <w:szCs w:val="18"/>
          <w:color w:val="auto"/>
        </w:rPr>
      </w:pPr>
    </w:p>
    <w:p>
      <w:pPr>
        <w:ind w:left="1180" w:hanging="364"/>
        <w:spacing w:after="0"/>
        <w:tabs>
          <w:tab w:leader="none" w:pos="1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amounts included in “All Other Compensation” for 2024 are shown below (in dollars):</w:t>
      </w:r>
    </w:p>
    <w:p>
      <w:pPr>
        <w:spacing w:after="0" w:line="74"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457157"/>
              </w:rPr>
              <w:t>401(k) Plan</w:t>
            </w:r>
          </w:p>
        </w:tc>
        <w:tc>
          <w:tcPr>
            <w:tcW w:w="2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457157"/>
              </w:rPr>
              <w:t>409A Deferral</w:t>
            </w:r>
          </w:p>
        </w:tc>
        <w:tc>
          <w:tcPr>
            <w:tcW w:w="1300" w:type="dxa"/>
            <w:vAlign w:val="bottom"/>
            <w:gridSpan w:val="2"/>
            <w:vMerge w:val="restart"/>
          </w:tcPr>
          <w:p>
            <w:pPr>
              <w:jc w:val="center"/>
              <w:ind w:left="93"/>
              <w:spacing w:after="0"/>
              <w:rPr>
                <w:sz w:val="20"/>
                <w:szCs w:val="20"/>
                <w:color w:val="auto"/>
              </w:rPr>
            </w:pPr>
            <w:r>
              <w:rPr>
                <w:rFonts w:ascii="Arial" w:cs="Arial" w:eastAsia="Arial" w:hAnsi="Arial"/>
                <w:sz w:val="14"/>
                <w:szCs w:val="14"/>
                <w:b w:val="1"/>
                <w:bCs w:val="1"/>
                <w:color w:val="457157"/>
              </w:rPr>
              <w:t>Life Insurance</w:t>
            </w: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457157"/>
              </w:rPr>
              <w:t>Perquisites and</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w:t>
            </w:r>
          </w:p>
        </w:tc>
        <w:tc>
          <w:tcPr>
            <w:tcW w:w="5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Matching</w:t>
            </w:r>
          </w:p>
        </w:tc>
        <w:tc>
          <w:tcPr>
            <w:tcW w:w="22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Plan Matching</w:t>
            </w: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Other Personal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100" w:type="dxa"/>
            <w:vAlign w:val="bottom"/>
            <w:vMerge w:val="continue"/>
          </w:tcPr>
          <w:p>
            <w:pPr>
              <w:spacing w:after="0"/>
              <w:rPr>
                <w:sz w:val="16"/>
                <w:szCs w:val="16"/>
                <w:color w:val="auto"/>
              </w:rPr>
            </w:pPr>
          </w:p>
        </w:tc>
        <w:tc>
          <w:tcPr>
            <w:tcW w:w="3120" w:type="dxa"/>
            <w:vAlign w:val="bottom"/>
            <w:gridSpan w:val="6"/>
          </w:tcPr>
          <w:p>
            <w:pPr>
              <w:ind w:left="380"/>
              <w:spacing w:after="0"/>
              <w:rPr>
                <w:sz w:val="20"/>
                <w:szCs w:val="20"/>
                <w:color w:val="auto"/>
              </w:rPr>
            </w:pPr>
            <w:r>
              <w:rPr>
                <w:rFonts w:ascii="Arial" w:cs="Arial" w:eastAsia="Arial" w:hAnsi="Arial"/>
                <w:sz w:val="14"/>
                <w:szCs w:val="14"/>
                <w:b w:val="1"/>
                <w:bCs w:val="1"/>
                <w:color w:val="457157"/>
              </w:rPr>
              <w:t>​ ​Contributions ​ ​ Contributions ​ ​</w:t>
            </w: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457157"/>
              </w:rPr>
              <w:t>Premiums ​ ​</w:t>
            </w:r>
          </w:p>
        </w:tc>
        <w:tc>
          <w:tcPr>
            <w:tcW w:w="32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457157"/>
              </w:rPr>
              <w:t>Benefits</w:t>
            </w:r>
            <w:r>
              <w:rPr>
                <w:rFonts w:ascii="Arial" w:cs="Arial" w:eastAsia="Arial" w:hAnsi="Arial"/>
                <w:sz w:val="8"/>
                <w:szCs w:val="8"/>
                <w:b w:val="1"/>
                <w:bCs w:val="1"/>
                <w:color w:val="457157"/>
              </w:rPr>
              <w:t>(a)</w:t>
            </w:r>
            <w:r>
              <w:rPr>
                <w:rFonts w:ascii="Arial" w:cs="Arial" w:eastAsia="Arial" w:hAnsi="Arial"/>
                <w:sz w:val="14"/>
                <w:szCs w:val="14"/>
                <w:b w:val="1"/>
                <w:bCs w:val="1"/>
                <w:color w:val="457157"/>
              </w:rPr>
              <w:t xml:space="preserve"> ​</w:t>
            </w:r>
          </w:p>
        </w:tc>
        <w:tc>
          <w:tcPr>
            <w:tcW w:w="0" w:type="dxa"/>
            <w:vAlign w:val="bottom"/>
          </w:tcPr>
          <w:p>
            <w:pPr>
              <w:spacing w:after="0"/>
              <w:rPr>
                <w:sz w:val="1"/>
                <w:szCs w:val="1"/>
                <w:color w:val="auto"/>
              </w:rPr>
            </w:pPr>
          </w:p>
        </w:tc>
      </w:tr>
      <w:tr>
        <w:trPr>
          <w:trHeight w:val="20"/>
        </w:trPr>
        <w:tc>
          <w:tcPr>
            <w:tcW w:w="210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1160" w:type="dxa"/>
            <w:vAlign w:val="bottom"/>
            <w:gridSpan w:val="2"/>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10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James C. Fish, Jr.</w:t>
            </w:r>
          </w:p>
        </w:tc>
        <w:tc>
          <w:tcPr>
            <w:tcW w:w="540" w:type="dxa"/>
            <w:vAlign w:val="bottom"/>
          </w:tcPr>
          <w:p>
            <w:pPr>
              <w:ind w:left="340"/>
              <w:spacing w:after="0"/>
              <w:rPr>
                <w:sz w:val="20"/>
                <w:szCs w:val="20"/>
                <w:color w:val="auto"/>
              </w:rPr>
            </w:pPr>
            <w:r>
              <w:rPr>
                <w:rFonts w:ascii="Arial" w:cs="Arial" w:eastAsia="Arial" w:hAnsi="Arial"/>
                <w:sz w:val="18"/>
                <w:szCs w:val="18"/>
                <w:color w:val="auto"/>
              </w:rPr>
              <w:t>​ ​</w:t>
            </w:r>
          </w:p>
        </w:tc>
        <w:tc>
          <w:tcPr>
            <w:tcW w:w="920" w:type="dxa"/>
            <w:vAlign w:val="bottom"/>
          </w:tcPr>
          <w:p>
            <w:pPr>
              <w:ind w:left="100"/>
              <w:spacing w:after="0"/>
              <w:rPr>
                <w:sz w:val="20"/>
                <w:szCs w:val="20"/>
                <w:color w:val="auto"/>
              </w:rPr>
            </w:pPr>
            <w:r>
              <w:rPr>
                <w:rFonts w:ascii="Arial" w:cs="Arial" w:eastAsia="Arial" w:hAnsi="Arial"/>
                <w:sz w:val="18"/>
                <w:szCs w:val="18"/>
                <w:color w:val="auto"/>
              </w:rPr>
              <w:t>​​ 15,525</w:t>
            </w:r>
          </w:p>
        </w:tc>
        <w:tc>
          <w:tcPr>
            <w:tcW w:w="220" w:type="dxa"/>
            <w:vAlign w:val="bottom"/>
          </w:tcPr>
          <w:p>
            <w:pPr>
              <w:ind w:left="20"/>
              <w:spacing w:after="0"/>
              <w:rPr>
                <w:sz w:val="20"/>
                <w:szCs w:val="20"/>
                <w:color w:val="auto"/>
              </w:rPr>
            </w:pPr>
            <w:r>
              <w:rPr>
                <w:rFonts w:ascii="Arial" w:cs="Arial" w:eastAsia="Arial" w:hAnsi="Arial"/>
                <w:sz w:val="18"/>
                <w:szCs w:val="18"/>
                <w:color w:val="auto"/>
              </w:rPr>
              <w:t>​​ ​</w:t>
            </w:r>
          </w:p>
        </w:tc>
        <w:tc>
          <w:tcPr>
            <w:tcW w:w="1080" w:type="dxa"/>
            <w:vAlign w:val="bottom"/>
            <w:gridSpan w:val="2"/>
          </w:tcPr>
          <w:p>
            <w:pPr>
              <w:jc w:val="right"/>
              <w:ind w:right="50"/>
              <w:spacing w:after="0"/>
              <w:rPr>
                <w:sz w:val="20"/>
                <w:szCs w:val="20"/>
                <w:color w:val="auto"/>
              </w:rPr>
            </w:pPr>
            <w:r>
              <w:rPr>
                <w:rFonts w:ascii="Arial" w:cs="Arial" w:eastAsia="Arial" w:hAnsi="Arial"/>
                <w:sz w:val="18"/>
                <w:szCs w:val="18"/>
                <w:color w:val="auto"/>
              </w:rPr>
              <w:t>​​ 124,458</w:t>
            </w:r>
          </w:p>
        </w:tc>
        <w:tc>
          <w:tcPr>
            <w:tcW w:w="360" w:type="dxa"/>
            <w:vAlign w:val="bottom"/>
          </w:tcPr>
          <w:p>
            <w:pPr>
              <w:ind w:left="20"/>
              <w:spacing w:after="0"/>
              <w:rPr>
                <w:sz w:val="20"/>
                <w:szCs w:val="20"/>
                <w:color w:val="auto"/>
              </w:rPr>
            </w:pPr>
            <w:r>
              <w:rPr>
                <w:rFonts w:ascii="Arial" w:cs="Arial" w:eastAsia="Arial" w:hAnsi="Arial"/>
                <w:sz w:val="18"/>
                <w:szCs w:val="18"/>
                <w:color w:val="auto"/>
              </w:rPr>
              <w:t>​​ ​</w:t>
            </w:r>
          </w:p>
        </w:tc>
        <w:tc>
          <w:tcPr>
            <w:tcW w:w="940" w:type="dxa"/>
            <w:vAlign w:val="bottom"/>
          </w:tcPr>
          <w:p>
            <w:pPr>
              <w:jc w:val="center"/>
              <w:ind w:right="73"/>
              <w:spacing w:after="0"/>
              <w:rPr>
                <w:sz w:val="20"/>
                <w:szCs w:val="20"/>
                <w:color w:val="auto"/>
              </w:rPr>
            </w:pPr>
            <w:r>
              <w:rPr>
                <w:rFonts w:ascii="Arial" w:cs="Arial" w:eastAsia="Arial" w:hAnsi="Arial"/>
                <w:sz w:val="18"/>
                <w:szCs w:val="18"/>
                <w:color w:val="auto"/>
              </w:rPr>
              <w:t>​​ 2,344</w:t>
            </w:r>
          </w:p>
        </w:tc>
        <w:tc>
          <w:tcPr>
            <w:tcW w:w="240" w:type="dxa"/>
            <w:vAlign w:val="bottom"/>
          </w:tcPr>
          <w:p>
            <w:pPr>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14"/>
              <w:spacing w:after="0"/>
              <w:rPr>
                <w:sz w:val="20"/>
                <w:szCs w:val="20"/>
                <w:color w:val="auto"/>
              </w:rPr>
            </w:pPr>
            <w:r>
              <w:rPr>
                <w:rFonts w:ascii="Arial" w:cs="Arial" w:eastAsia="Arial" w:hAnsi="Arial"/>
                <w:sz w:val="18"/>
                <w:szCs w:val="18"/>
                <w:color w:val="auto"/>
              </w:rPr>
              <w:t>​​ 103,313</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0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0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Devina A. Rankin</w:t>
            </w:r>
          </w:p>
        </w:tc>
        <w:tc>
          <w:tcPr>
            <w:tcW w:w="540" w:type="dxa"/>
            <w:vAlign w:val="bottom"/>
          </w:tcPr>
          <w:p>
            <w:pPr>
              <w:ind w:left="340"/>
              <w:spacing w:after="0"/>
              <w:rPr>
                <w:sz w:val="20"/>
                <w:szCs w:val="20"/>
                <w:color w:val="auto"/>
              </w:rPr>
            </w:pPr>
            <w:r>
              <w:rPr>
                <w:rFonts w:ascii="Arial" w:cs="Arial" w:eastAsia="Arial" w:hAnsi="Arial"/>
                <w:sz w:val="18"/>
                <w:szCs w:val="18"/>
                <w:color w:val="auto"/>
              </w:rPr>
              <w:t>​ ​</w:t>
            </w:r>
          </w:p>
        </w:tc>
        <w:tc>
          <w:tcPr>
            <w:tcW w:w="920" w:type="dxa"/>
            <w:vAlign w:val="bottom"/>
          </w:tcPr>
          <w:p>
            <w:pPr>
              <w:ind w:left="100"/>
              <w:spacing w:after="0"/>
              <w:rPr>
                <w:sz w:val="20"/>
                <w:szCs w:val="20"/>
                <w:color w:val="auto"/>
              </w:rPr>
            </w:pPr>
            <w:r>
              <w:rPr>
                <w:rFonts w:ascii="Arial" w:cs="Arial" w:eastAsia="Arial" w:hAnsi="Arial"/>
                <w:sz w:val="18"/>
                <w:szCs w:val="18"/>
                <w:color w:val="auto"/>
              </w:rPr>
              <w:t>​​ 15,525</w:t>
            </w:r>
          </w:p>
        </w:tc>
        <w:tc>
          <w:tcPr>
            <w:tcW w:w="220" w:type="dxa"/>
            <w:vAlign w:val="bottom"/>
          </w:tcPr>
          <w:p>
            <w:pPr>
              <w:ind w:left="20"/>
              <w:spacing w:after="0"/>
              <w:rPr>
                <w:sz w:val="20"/>
                <w:szCs w:val="20"/>
                <w:color w:val="auto"/>
              </w:rPr>
            </w:pPr>
            <w:r>
              <w:rPr>
                <w:rFonts w:ascii="Arial" w:cs="Arial" w:eastAsia="Arial" w:hAnsi="Arial"/>
                <w:sz w:val="18"/>
                <w:szCs w:val="18"/>
                <w:color w:val="auto"/>
              </w:rPr>
              <w:t>​​ ​</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61,212</w:t>
            </w:r>
          </w:p>
        </w:tc>
        <w:tc>
          <w:tcPr>
            <w:tcW w:w="360" w:type="dxa"/>
            <w:vAlign w:val="bottom"/>
          </w:tcPr>
          <w:p>
            <w:pPr>
              <w:ind w:left="20"/>
              <w:spacing w:after="0"/>
              <w:rPr>
                <w:sz w:val="20"/>
                <w:szCs w:val="20"/>
                <w:color w:val="auto"/>
              </w:rPr>
            </w:pPr>
            <w:r>
              <w:rPr>
                <w:rFonts w:ascii="Arial" w:cs="Arial" w:eastAsia="Arial" w:hAnsi="Arial"/>
                <w:sz w:val="18"/>
                <w:szCs w:val="18"/>
                <w:color w:val="auto"/>
              </w:rPr>
              <w:t>​​ ​</w:t>
            </w:r>
          </w:p>
        </w:tc>
        <w:tc>
          <w:tcPr>
            <w:tcW w:w="940" w:type="dxa"/>
            <w:vAlign w:val="bottom"/>
          </w:tcPr>
          <w:p>
            <w:pPr>
              <w:jc w:val="center"/>
              <w:ind w:right="73"/>
              <w:spacing w:after="0"/>
              <w:rPr>
                <w:sz w:val="20"/>
                <w:szCs w:val="20"/>
                <w:color w:val="auto"/>
              </w:rPr>
            </w:pPr>
            <w:r>
              <w:rPr>
                <w:rFonts w:ascii="Arial" w:cs="Arial" w:eastAsia="Arial" w:hAnsi="Arial"/>
                <w:sz w:val="18"/>
                <w:szCs w:val="18"/>
                <w:color w:val="auto"/>
              </w:rPr>
              <w:t>​​ 1,513</w:t>
            </w:r>
          </w:p>
        </w:tc>
        <w:tc>
          <w:tcPr>
            <w:tcW w:w="240" w:type="dxa"/>
            <w:vAlign w:val="bottom"/>
          </w:tcPr>
          <w:p>
            <w:pPr>
              <w:spacing w:after="0"/>
              <w:rPr>
                <w:sz w:val="20"/>
                <w:szCs w:val="20"/>
                <w:color w:val="auto"/>
              </w:rPr>
            </w:pPr>
            <w:r>
              <w:rPr>
                <w:rFonts w:ascii="Arial" w:cs="Arial" w:eastAsia="Arial" w:hAnsi="Arial"/>
                <w:sz w:val="18"/>
                <w:szCs w:val="18"/>
                <w:color w:val="auto"/>
              </w:rPr>
              <w:t>​​ ​</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0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0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John J. Morris, Jr.</w:t>
            </w:r>
          </w:p>
        </w:tc>
        <w:tc>
          <w:tcPr>
            <w:tcW w:w="540" w:type="dxa"/>
            <w:vAlign w:val="bottom"/>
          </w:tcPr>
          <w:p>
            <w:pPr>
              <w:ind w:left="340"/>
              <w:spacing w:after="0"/>
              <w:rPr>
                <w:sz w:val="20"/>
                <w:szCs w:val="20"/>
                <w:color w:val="auto"/>
              </w:rPr>
            </w:pPr>
            <w:r>
              <w:rPr>
                <w:rFonts w:ascii="Arial" w:cs="Arial" w:eastAsia="Arial" w:hAnsi="Arial"/>
                <w:sz w:val="18"/>
                <w:szCs w:val="18"/>
                <w:color w:val="auto"/>
              </w:rPr>
              <w:t>​ ​</w:t>
            </w:r>
          </w:p>
        </w:tc>
        <w:tc>
          <w:tcPr>
            <w:tcW w:w="920" w:type="dxa"/>
            <w:vAlign w:val="bottom"/>
          </w:tcPr>
          <w:p>
            <w:pPr>
              <w:ind w:left="100"/>
              <w:spacing w:after="0"/>
              <w:rPr>
                <w:sz w:val="20"/>
                <w:szCs w:val="20"/>
                <w:color w:val="auto"/>
              </w:rPr>
            </w:pPr>
            <w:r>
              <w:rPr>
                <w:rFonts w:ascii="Arial" w:cs="Arial" w:eastAsia="Arial" w:hAnsi="Arial"/>
                <w:sz w:val="18"/>
                <w:szCs w:val="18"/>
                <w:color w:val="auto"/>
              </w:rPr>
              <w:t>​​ 15,525</w:t>
            </w:r>
          </w:p>
        </w:tc>
        <w:tc>
          <w:tcPr>
            <w:tcW w:w="220" w:type="dxa"/>
            <w:vAlign w:val="bottom"/>
          </w:tcPr>
          <w:p>
            <w:pPr>
              <w:ind w:left="20"/>
              <w:spacing w:after="0"/>
              <w:rPr>
                <w:sz w:val="20"/>
                <w:szCs w:val="20"/>
                <w:color w:val="auto"/>
              </w:rPr>
            </w:pPr>
            <w:r>
              <w:rPr>
                <w:rFonts w:ascii="Arial" w:cs="Arial" w:eastAsia="Arial" w:hAnsi="Arial"/>
                <w:sz w:val="18"/>
                <w:szCs w:val="18"/>
                <w:color w:val="auto"/>
              </w:rPr>
              <w:t>​​ ​</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67,058</w:t>
            </w:r>
          </w:p>
        </w:tc>
        <w:tc>
          <w:tcPr>
            <w:tcW w:w="360" w:type="dxa"/>
            <w:vAlign w:val="bottom"/>
          </w:tcPr>
          <w:p>
            <w:pPr>
              <w:ind w:left="20"/>
              <w:spacing w:after="0"/>
              <w:rPr>
                <w:sz w:val="20"/>
                <w:szCs w:val="20"/>
                <w:color w:val="auto"/>
              </w:rPr>
            </w:pPr>
            <w:r>
              <w:rPr>
                <w:rFonts w:ascii="Arial" w:cs="Arial" w:eastAsia="Arial" w:hAnsi="Arial"/>
                <w:sz w:val="18"/>
                <w:szCs w:val="18"/>
                <w:color w:val="auto"/>
              </w:rPr>
              <w:t>​​ ​</w:t>
            </w:r>
          </w:p>
        </w:tc>
        <w:tc>
          <w:tcPr>
            <w:tcW w:w="940" w:type="dxa"/>
            <w:vAlign w:val="bottom"/>
          </w:tcPr>
          <w:p>
            <w:pPr>
              <w:jc w:val="center"/>
              <w:ind w:right="73"/>
              <w:spacing w:after="0"/>
              <w:rPr>
                <w:sz w:val="20"/>
                <w:szCs w:val="20"/>
                <w:color w:val="auto"/>
              </w:rPr>
            </w:pPr>
            <w:r>
              <w:rPr>
                <w:rFonts w:ascii="Arial" w:cs="Arial" w:eastAsia="Arial" w:hAnsi="Arial"/>
                <w:sz w:val="18"/>
                <w:szCs w:val="18"/>
                <w:color w:val="auto"/>
              </w:rPr>
              <w:t>​​ 1,556</w:t>
            </w:r>
          </w:p>
        </w:tc>
        <w:tc>
          <w:tcPr>
            <w:tcW w:w="240" w:type="dxa"/>
            <w:vAlign w:val="bottom"/>
          </w:tcPr>
          <w:p>
            <w:pPr>
              <w:spacing w:after="0"/>
              <w:rPr>
                <w:sz w:val="20"/>
                <w:szCs w:val="20"/>
                <w:color w:val="auto"/>
              </w:rPr>
            </w:pPr>
            <w:r>
              <w:rPr>
                <w:rFonts w:ascii="Arial" w:cs="Arial" w:eastAsia="Arial" w:hAnsi="Arial"/>
                <w:sz w:val="18"/>
                <w:szCs w:val="18"/>
                <w:color w:val="auto"/>
              </w:rPr>
              <w:t>​​ ​</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52,210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0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0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Tara J. Hemmer</w:t>
            </w:r>
          </w:p>
        </w:tc>
        <w:tc>
          <w:tcPr>
            <w:tcW w:w="540" w:type="dxa"/>
            <w:vAlign w:val="bottom"/>
          </w:tcPr>
          <w:p>
            <w:pPr>
              <w:ind w:left="340"/>
              <w:spacing w:after="0"/>
              <w:rPr>
                <w:sz w:val="20"/>
                <w:szCs w:val="20"/>
                <w:color w:val="auto"/>
              </w:rPr>
            </w:pPr>
            <w:r>
              <w:rPr>
                <w:rFonts w:ascii="Arial" w:cs="Arial" w:eastAsia="Arial" w:hAnsi="Arial"/>
                <w:sz w:val="18"/>
                <w:szCs w:val="18"/>
                <w:color w:val="auto"/>
              </w:rPr>
              <w:t>​ ​</w:t>
            </w:r>
          </w:p>
        </w:tc>
        <w:tc>
          <w:tcPr>
            <w:tcW w:w="920" w:type="dxa"/>
            <w:vAlign w:val="bottom"/>
          </w:tcPr>
          <w:p>
            <w:pPr>
              <w:ind w:left="100"/>
              <w:spacing w:after="0"/>
              <w:rPr>
                <w:sz w:val="20"/>
                <w:szCs w:val="20"/>
                <w:color w:val="auto"/>
              </w:rPr>
            </w:pPr>
            <w:r>
              <w:rPr>
                <w:rFonts w:ascii="Arial" w:cs="Arial" w:eastAsia="Arial" w:hAnsi="Arial"/>
                <w:sz w:val="18"/>
                <w:szCs w:val="18"/>
                <w:color w:val="auto"/>
              </w:rPr>
              <w:t>​​ 15,525</w:t>
            </w:r>
          </w:p>
        </w:tc>
        <w:tc>
          <w:tcPr>
            <w:tcW w:w="220" w:type="dxa"/>
            <w:vAlign w:val="bottom"/>
          </w:tcPr>
          <w:p>
            <w:pPr>
              <w:ind w:left="20"/>
              <w:spacing w:after="0"/>
              <w:rPr>
                <w:sz w:val="20"/>
                <w:szCs w:val="20"/>
                <w:color w:val="auto"/>
              </w:rPr>
            </w:pPr>
            <w:r>
              <w:rPr>
                <w:rFonts w:ascii="Arial" w:cs="Arial" w:eastAsia="Arial" w:hAnsi="Arial"/>
                <w:sz w:val="18"/>
                <w:szCs w:val="18"/>
                <w:color w:val="auto"/>
              </w:rPr>
              <w:t>​​ ​</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47,887</w:t>
            </w:r>
          </w:p>
        </w:tc>
        <w:tc>
          <w:tcPr>
            <w:tcW w:w="360" w:type="dxa"/>
            <w:vAlign w:val="bottom"/>
          </w:tcPr>
          <w:p>
            <w:pPr>
              <w:ind w:left="20"/>
              <w:spacing w:after="0"/>
              <w:rPr>
                <w:sz w:val="20"/>
                <w:szCs w:val="20"/>
                <w:color w:val="auto"/>
              </w:rPr>
            </w:pPr>
            <w:r>
              <w:rPr>
                <w:rFonts w:ascii="Arial" w:cs="Arial" w:eastAsia="Arial" w:hAnsi="Arial"/>
                <w:sz w:val="18"/>
                <w:szCs w:val="18"/>
                <w:color w:val="auto"/>
              </w:rPr>
              <w:t>​​ ​</w:t>
            </w:r>
          </w:p>
        </w:tc>
        <w:tc>
          <w:tcPr>
            <w:tcW w:w="940" w:type="dxa"/>
            <w:vAlign w:val="bottom"/>
          </w:tcPr>
          <w:p>
            <w:pPr>
              <w:jc w:val="center"/>
              <w:ind w:right="73"/>
              <w:spacing w:after="0"/>
              <w:rPr>
                <w:sz w:val="20"/>
                <w:szCs w:val="20"/>
                <w:color w:val="auto"/>
              </w:rPr>
            </w:pPr>
            <w:r>
              <w:rPr>
                <w:rFonts w:ascii="Arial" w:cs="Arial" w:eastAsia="Arial" w:hAnsi="Arial"/>
                <w:sz w:val="18"/>
                <w:szCs w:val="18"/>
                <w:color w:val="auto"/>
              </w:rPr>
              <w:t>​​ 1,331</w:t>
            </w:r>
          </w:p>
        </w:tc>
        <w:tc>
          <w:tcPr>
            <w:tcW w:w="240" w:type="dxa"/>
            <w:vAlign w:val="bottom"/>
          </w:tcPr>
          <w:p>
            <w:pPr>
              <w:spacing w:after="0"/>
              <w:rPr>
                <w:sz w:val="20"/>
                <w:szCs w:val="20"/>
                <w:color w:val="auto"/>
              </w:rPr>
            </w:pPr>
            <w:r>
              <w:rPr>
                <w:rFonts w:ascii="Arial" w:cs="Arial" w:eastAsia="Arial" w:hAnsi="Arial"/>
                <w:sz w:val="18"/>
                <w:szCs w:val="18"/>
                <w:color w:val="auto"/>
              </w:rPr>
              <w:t>​​ ​</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0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00" w:type="dxa"/>
            <w:vAlign w:val="bottom"/>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Rafael E. Carrasco</w:t>
            </w:r>
          </w:p>
        </w:tc>
        <w:tc>
          <w:tcPr>
            <w:tcW w:w="540" w:type="dxa"/>
            <w:vAlign w:val="bottom"/>
          </w:tcPr>
          <w:p>
            <w:pPr>
              <w:ind w:left="340"/>
              <w:spacing w:after="0"/>
              <w:rPr>
                <w:sz w:val="20"/>
                <w:szCs w:val="20"/>
                <w:color w:val="auto"/>
              </w:rPr>
            </w:pPr>
            <w:r>
              <w:rPr>
                <w:rFonts w:ascii="Arial" w:cs="Arial" w:eastAsia="Arial" w:hAnsi="Arial"/>
                <w:sz w:val="18"/>
                <w:szCs w:val="18"/>
                <w:color w:val="auto"/>
              </w:rPr>
              <w:t>​ ​</w:t>
            </w:r>
          </w:p>
        </w:tc>
        <w:tc>
          <w:tcPr>
            <w:tcW w:w="920" w:type="dxa"/>
            <w:vAlign w:val="bottom"/>
          </w:tcPr>
          <w:p>
            <w:pPr>
              <w:ind w:left="100"/>
              <w:spacing w:after="0"/>
              <w:rPr>
                <w:sz w:val="20"/>
                <w:szCs w:val="20"/>
                <w:color w:val="auto"/>
              </w:rPr>
            </w:pPr>
            <w:r>
              <w:rPr>
                <w:rFonts w:ascii="Arial" w:cs="Arial" w:eastAsia="Arial" w:hAnsi="Arial"/>
                <w:sz w:val="18"/>
                <w:szCs w:val="18"/>
                <w:color w:val="auto"/>
              </w:rPr>
              <w:t>​​ 15,525</w:t>
            </w:r>
          </w:p>
        </w:tc>
        <w:tc>
          <w:tcPr>
            <w:tcW w:w="220" w:type="dxa"/>
            <w:vAlign w:val="bottom"/>
          </w:tcPr>
          <w:p>
            <w:pPr>
              <w:ind w:left="20"/>
              <w:spacing w:after="0"/>
              <w:rPr>
                <w:sz w:val="20"/>
                <w:szCs w:val="20"/>
                <w:color w:val="auto"/>
              </w:rPr>
            </w:pPr>
            <w:r>
              <w:rPr>
                <w:rFonts w:ascii="Arial" w:cs="Arial" w:eastAsia="Arial" w:hAnsi="Arial"/>
                <w:sz w:val="18"/>
                <w:szCs w:val="18"/>
                <w:color w:val="auto"/>
              </w:rPr>
              <w:t>​​ ​</w:t>
            </w:r>
          </w:p>
        </w:tc>
        <w:tc>
          <w:tcPr>
            <w:tcW w:w="300" w:type="dxa"/>
            <w:vAlign w:val="bottom"/>
          </w:tcPr>
          <w:p>
            <w:pPr>
              <w:ind w:left="1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23,347</w:t>
            </w:r>
          </w:p>
        </w:tc>
        <w:tc>
          <w:tcPr>
            <w:tcW w:w="360" w:type="dxa"/>
            <w:vAlign w:val="bottom"/>
          </w:tcPr>
          <w:p>
            <w:pPr>
              <w:ind w:left="20"/>
              <w:spacing w:after="0"/>
              <w:rPr>
                <w:sz w:val="20"/>
                <w:szCs w:val="20"/>
                <w:color w:val="auto"/>
              </w:rPr>
            </w:pPr>
            <w:r>
              <w:rPr>
                <w:rFonts w:ascii="Arial" w:cs="Arial" w:eastAsia="Arial" w:hAnsi="Arial"/>
                <w:sz w:val="18"/>
                <w:szCs w:val="18"/>
                <w:color w:val="auto"/>
              </w:rPr>
              <w:t>​​ ​</w:t>
            </w:r>
          </w:p>
        </w:tc>
        <w:tc>
          <w:tcPr>
            <w:tcW w:w="940" w:type="dxa"/>
            <w:vAlign w:val="bottom"/>
          </w:tcPr>
          <w:p>
            <w:pPr>
              <w:jc w:val="center"/>
              <w:ind w:right="73"/>
              <w:spacing w:after="0"/>
              <w:rPr>
                <w:sz w:val="20"/>
                <w:szCs w:val="20"/>
                <w:color w:val="auto"/>
              </w:rPr>
            </w:pPr>
            <w:r>
              <w:rPr>
                <w:rFonts w:ascii="Arial" w:cs="Arial" w:eastAsia="Arial" w:hAnsi="Arial"/>
                <w:sz w:val="18"/>
                <w:szCs w:val="18"/>
                <w:color w:val="auto"/>
              </w:rPr>
              <w:t>​​ 1,286</w:t>
            </w:r>
          </w:p>
        </w:tc>
        <w:tc>
          <w:tcPr>
            <w:tcW w:w="240" w:type="dxa"/>
            <w:vAlign w:val="bottom"/>
          </w:tcPr>
          <w:p>
            <w:pPr>
              <w:spacing w:after="0"/>
              <w:rPr>
                <w:sz w:val="20"/>
                <w:szCs w:val="20"/>
                <w:color w:val="auto"/>
              </w:rPr>
            </w:pPr>
            <w:r>
              <w:rPr>
                <w:rFonts w:ascii="Arial" w:cs="Arial" w:eastAsia="Arial" w:hAnsi="Arial"/>
                <w:sz w:val="18"/>
                <w:szCs w:val="18"/>
                <w:color w:val="auto"/>
              </w:rPr>
              <w:t>​​ ​</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00" w:type="dxa"/>
            <w:vAlign w:val="bottom"/>
            <w:shd w:val="clear" w:color="auto" w:fill="457157"/>
          </w:tcPr>
          <w:p>
            <w:pPr>
              <w:spacing w:after="0" w:line="20" w:lineRule="exact"/>
              <w:rPr>
                <w:sz w:val="1"/>
                <w:szCs w:val="1"/>
                <w:color w:val="auto"/>
              </w:rPr>
            </w:pPr>
          </w:p>
        </w:tc>
        <w:tc>
          <w:tcPr>
            <w:tcW w:w="540" w:type="dxa"/>
            <w:vAlign w:val="bottom"/>
            <w:shd w:val="clear" w:color="auto" w:fill="457157"/>
          </w:tcPr>
          <w:p>
            <w:pPr>
              <w:spacing w:after="0" w:line="20" w:lineRule="exact"/>
              <w:rPr>
                <w:sz w:val="1"/>
                <w:szCs w:val="1"/>
                <w:color w:val="auto"/>
              </w:rPr>
            </w:pPr>
          </w:p>
        </w:tc>
        <w:tc>
          <w:tcPr>
            <w:tcW w:w="9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94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-745490</wp:posOffset>
            </wp:positionV>
            <wp:extent cx="4843145"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843145" cy="1543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-445135</wp:posOffset>
            </wp:positionV>
            <wp:extent cx="4843145" cy="146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843145" cy="146050"/>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-153670</wp:posOffset>
            </wp:positionV>
            <wp:extent cx="4843145" cy="146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843145" cy="146050"/>
                    </a:xfrm>
                    <a:prstGeom prst="rect">
                      <a:avLst/>
                    </a:prstGeom>
                    <a:noFill/>
                  </pic:spPr>
                </pic:pic>
              </a:graphicData>
            </a:graphic>
          </wp:anchor>
        </w:drawing>
      </w:r>
    </w:p>
    <w:p>
      <w:pPr>
        <w:spacing w:after="0" w:line="15" w:lineRule="exact"/>
        <w:rPr>
          <w:sz w:val="20"/>
          <w:szCs w:val="20"/>
          <w:color w:val="auto"/>
        </w:rPr>
      </w:pPr>
    </w:p>
    <w:p>
      <w:pPr>
        <w:jc w:val="both"/>
        <w:ind w:left="1900" w:right="40" w:hanging="364"/>
        <w:spacing w:after="0" w:line="252" w:lineRule="auto"/>
        <w:tabs>
          <w:tab w:leader="none" w:pos="19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This column includes perquisites and personal benefits received by a named executive officer in 2024, to the extent that the total incremental cost of such perquisites and personal benefits was at least $10,000, consisting of (i) incremental cost for personal use of Company aircraft in the following amounts: Mr. Fish — $99,098 and Mr. Morris —  $47,117; (ii) $4,215 of income that was imputed for the cost of the executive’s guest’s participation in Company events and (iii) $878 for the value of certain gifts and awards received by Mr. Morris. Annually, we calculate an hourly direct operating cost for Company aircraft using industry standard measurements of costs for fuel, catering, telecommunications, maintenance, landing and hangar fees, flight plans and permits, and crew. We then allocate incremental cost to the named executive based on the amount of aircraft time required for the personal use, multiplied by the direct operating cost. When a deviation is made from business travel to pick up or drop off the executive in another location for a personal purpose, we calculate the time difference resulting from the flight plan deviation and multiply it by the direct operating cost. We also allocate incremental cost to the named executive in the unusual event that a deadhead flight is required to position the aircraft to serve personal needs. We own and operate our aircraft primarily for business use; therefore, we do not include purchase costs or other fixed costs associated with our aircraft in the direct operating cost.</w:t>
      </w:r>
    </w:p>
    <w:p>
      <w:pPr>
        <w:spacing w:after="0" w:line="200" w:lineRule="exact"/>
        <w:rPr>
          <w:rFonts w:ascii="Arial" w:cs="Arial" w:eastAsia="Arial" w:hAnsi="Arial"/>
          <w:sz w:val="18"/>
          <w:szCs w:val="18"/>
          <w:color w:val="auto"/>
        </w:rPr>
      </w:pPr>
    </w:p>
    <w:p>
      <w:pPr>
        <w:spacing w:after="0" w:line="291" w:lineRule="exact"/>
        <w:rPr>
          <w:rFonts w:ascii="Arial" w:cs="Arial" w:eastAsia="Arial" w:hAnsi="Arial"/>
          <w:sz w:val="18"/>
          <w:szCs w:val="18"/>
          <w:color w:val="auto"/>
        </w:rPr>
      </w:pPr>
    </w:p>
    <w:p>
      <w:pPr>
        <w:jc w:val="both"/>
        <w:ind w:left="1180" w:right="60" w:hanging="364"/>
        <w:spacing w:after="0" w:line="268"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$100,000 of base salary in each of 2022 and 2024 and $200,000 of base salary in 2023 to which Mr. Fish was entitled but voluntarily relinquished to fund scholarships and other programs that benefit Company employees.</w:t>
      </w:r>
    </w:p>
    <w:p>
      <w:pPr>
        <w:spacing w:after="0" w:line="240"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Grant of Plan-Based Awards in 2024</w:t>
      </w:r>
    </w:p>
    <w:p>
      <w:pPr>
        <w:spacing w:after="0" w:line="213"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457157"/>
              </w:rPr>
              <w:t>All 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457157"/>
              </w:rPr>
              <w:t>All other</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17"/>
              <w:spacing w:after="0"/>
              <w:rPr>
                <w:sz w:val="20"/>
                <w:szCs w:val="20"/>
                <w:color w:val="auto"/>
              </w:rPr>
            </w:pPr>
            <w:r>
              <w:rPr>
                <w:rFonts w:ascii="Arial" w:cs="Arial" w:eastAsia="Arial" w:hAnsi="Arial"/>
                <w:sz w:val="14"/>
                <w:szCs w:val="14"/>
                <w:b w:val="1"/>
                <w:bCs w:val="1"/>
                <w:color w:val="457157"/>
              </w:rPr>
              <w:t>Grant</w:t>
            </w: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2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457157"/>
              </w:rPr>
              <w:t>Estimated Possible Payouts</w:t>
            </w:r>
          </w:p>
        </w:tc>
        <w:tc>
          <w:tcPr>
            <w:tcW w:w="19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457157"/>
              </w:rPr>
              <w:t>Estimated Future Payouts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Stock</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gridSpan w:val="4"/>
          </w:tcPr>
          <w:p>
            <w:pPr>
              <w:jc w:val="right"/>
              <w:spacing w:after="0" w:line="145" w:lineRule="exact"/>
              <w:rPr>
                <w:sz w:val="20"/>
                <w:szCs w:val="20"/>
                <w:color w:val="auto"/>
              </w:rPr>
            </w:pPr>
            <w:r>
              <w:rPr>
                <w:rFonts w:ascii="Arial" w:cs="Arial" w:eastAsia="Arial" w:hAnsi="Arial"/>
                <w:sz w:val="14"/>
                <w:szCs w:val="14"/>
                <w:b w:val="1"/>
                <w:bCs w:val="1"/>
                <w:color w:val="457157"/>
              </w:rPr>
              <w:t>Option Exercise  Closing</w:t>
            </w:r>
          </w:p>
        </w:tc>
        <w:tc>
          <w:tcPr>
            <w:tcW w:w="120" w:type="dxa"/>
            <w:vAlign w:val="bottom"/>
          </w:tcPr>
          <w:p>
            <w:pPr>
              <w:spacing w:after="0"/>
              <w:rPr>
                <w:sz w:val="12"/>
                <w:szCs w:val="12"/>
                <w:color w:val="auto"/>
              </w:rPr>
            </w:pPr>
          </w:p>
        </w:tc>
        <w:tc>
          <w:tcPr>
            <w:tcW w:w="800" w:type="dxa"/>
            <w:vAlign w:val="bottom"/>
            <w:gridSpan w:val="2"/>
          </w:tcPr>
          <w:p>
            <w:pPr>
              <w:jc w:val="right"/>
              <w:ind w:right="17"/>
              <w:spacing w:after="0" w:line="145" w:lineRule="exact"/>
              <w:rPr>
                <w:sz w:val="20"/>
                <w:szCs w:val="20"/>
                <w:color w:val="auto"/>
              </w:rPr>
            </w:pPr>
            <w:r>
              <w:rPr>
                <w:rFonts w:ascii="Arial" w:cs="Arial" w:eastAsia="Arial" w:hAnsi="Arial"/>
                <w:sz w:val="14"/>
                <w:szCs w:val="14"/>
                <w:b w:val="1"/>
                <w:bCs w:val="1"/>
                <w:color w:val="457157"/>
              </w:rPr>
              <w:t>Date Fair</w:t>
            </w:r>
          </w:p>
        </w:tc>
        <w:tc>
          <w:tcPr>
            <w:tcW w:w="0" w:type="dxa"/>
            <w:vAlign w:val="bottom"/>
          </w:tcPr>
          <w:p>
            <w:pPr>
              <w:spacing w:after="0"/>
              <w:rPr>
                <w:sz w:val="1"/>
                <w:szCs w:val="1"/>
                <w:color w:val="auto"/>
              </w:rPr>
            </w:pPr>
          </w:p>
        </w:tc>
      </w:tr>
      <w:tr>
        <w:trPr>
          <w:trHeight w:val="85"/>
        </w:trPr>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20" w:type="dxa"/>
            <w:vAlign w:val="bottom"/>
            <w:gridSpan w:val="4"/>
            <w:vMerge w:val="continue"/>
          </w:tcPr>
          <w:p>
            <w:pPr>
              <w:spacing w:after="0"/>
              <w:rPr>
                <w:sz w:val="7"/>
                <w:szCs w:val="7"/>
                <w:color w:val="auto"/>
              </w:rPr>
            </w:pPr>
          </w:p>
        </w:tc>
        <w:tc>
          <w:tcPr>
            <w:tcW w:w="198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457157"/>
              </w:rPr>
              <w:t>Awards:</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457157"/>
              </w:rPr>
              <w:t>Awards:</w:t>
            </w:r>
          </w:p>
        </w:tc>
        <w:tc>
          <w:tcPr>
            <w:tcW w:w="120" w:type="dxa"/>
            <w:vAlign w:val="bottom"/>
          </w:tcPr>
          <w:p>
            <w:pPr>
              <w:spacing w:after="0"/>
              <w:rPr>
                <w:sz w:val="7"/>
                <w:szCs w:val="7"/>
                <w:color w:val="auto"/>
              </w:rPr>
            </w:pPr>
          </w:p>
        </w:tc>
        <w:tc>
          <w:tcPr>
            <w:tcW w:w="720" w:type="dxa"/>
            <w:vAlign w:val="bottom"/>
            <w:vMerge w:val="restart"/>
          </w:tcPr>
          <w:p>
            <w:pPr>
              <w:jc w:val="right"/>
              <w:ind w:right="61"/>
              <w:spacing w:after="0" w:line="149" w:lineRule="exact"/>
              <w:rPr>
                <w:sz w:val="20"/>
                <w:szCs w:val="20"/>
                <w:color w:val="auto"/>
              </w:rPr>
            </w:pPr>
            <w:r>
              <w:rPr>
                <w:rFonts w:ascii="Arial" w:cs="Arial" w:eastAsia="Arial" w:hAnsi="Arial"/>
                <w:sz w:val="14"/>
                <w:szCs w:val="14"/>
                <w:b w:val="1"/>
                <w:bCs w:val="1"/>
                <w:color w:val="457157"/>
              </w:rPr>
              <w:t>or Base</w:t>
            </w:r>
          </w:p>
        </w:tc>
        <w:tc>
          <w:tcPr>
            <w:tcW w:w="580" w:type="dxa"/>
            <w:vAlign w:val="bottom"/>
            <w:vMerge w:val="restart"/>
          </w:tcPr>
          <w:p>
            <w:pPr>
              <w:jc w:val="right"/>
              <w:spacing w:after="0" w:line="149" w:lineRule="exact"/>
              <w:rPr>
                <w:sz w:val="20"/>
                <w:szCs w:val="20"/>
                <w:color w:val="auto"/>
              </w:rPr>
            </w:pPr>
            <w:r>
              <w:rPr>
                <w:rFonts w:ascii="Arial" w:cs="Arial" w:eastAsia="Arial" w:hAnsi="Arial"/>
                <w:sz w:val="14"/>
                <w:szCs w:val="14"/>
                <w:b w:val="1"/>
                <w:bCs w:val="1"/>
                <w:color w:val="457157"/>
              </w:rPr>
              <w:t>Market</w:t>
            </w:r>
          </w:p>
        </w:tc>
        <w:tc>
          <w:tcPr>
            <w:tcW w:w="120" w:type="dxa"/>
            <w:vAlign w:val="bottom"/>
          </w:tcPr>
          <w:p>
            <w:pPr>
              <w:spacing w:after="0"/>
              <w:rPr>
                <w:sz w:val="7"/>
                <w:szCs w:val="7"/>
                <w:color w:val="auto"/>
              </w:rPr>
            </w:pPr>
          </w:p>
        </w:tc>
        <w:tc>
          <w:tcPr>
            <w:tcW w:w="800" w:type="dxa"/>
            <w:vAlign w:val="bottom"/>
            <w:gridSpan w:val="2"/>
            <w:vMerge w:val="restart"/>
          </w:tcPr>
          <w:p>
            <w:pPr>
              <w:jc w:val="right"/>
              <w:ind w:right="17"/>
              <w:spacing w:after="0" w:line="149" w:lineRule="exact"/>
              <w:rPr>
                <w:sz w:val="20"/>
                <w:szCs w:val="20"/>
                <w:color w:val="auto"/>
              </w:rPr>
            </w:pPr>
            <w:r>
              <w:rPr>
                <w:rFonts w:ascii="Arial" w:cs="Arial" w:eastAsia="Arial" w:hAnsi="Arial"/>
                <w:sz w:val="14"/>
                <w:szCs w:val="14"/>
                <w:b w:val="1"/>
                <w:bCs w:val="1"/>
                <w:color w:val="457157"/>
              </w:rPr>
              <w:t>Value of</w:t>
            </w:r>
          </w:p>
        </w:tc>
        <w:tc>
          <w:tcPr>
            <w:tcW w:w="0" w:type="dxa"/>
            <w:vAlign w:val="bottom"/>
          </w:tcPr>
          <w:p>
            <w:pPr>
              <w:spacing w:after="0"/>
              <w:rPr>
                <w:sz w:val="1"/>
                <w:szCs w:val="1"/>
                <w:color w:val="auto"/>
              </w:rPr>
            </w:pPr>
          </w:p>
        </w:tc>
      </w:tr>
      <w:tr>
        <w:trPr>
          <w:trHeight w:val="63"/>
        </w:trPr>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300" w:type="dxa"/>
            <w:vAlign w:val="bottom"/>
            <w:gridSpan w:val="3"/>
            <w:vMerge w:val="restart"/>
          </w:tcPr>
          <w:p>
            <w:pPr>
              <w:jc w:val="right"/>
              <w:ind w:right="160"/>
              <w:spacing w:after="0" w:line="145" w:lineRule="exact"/>
              <w:rPr>
                <w:sz w:val="20"/>
                <w:szCs w:val="20"/>
                <w:color w:val="auto"/>
              </w:rPr>
            </w:pPr>
            <w:r>
              <w:rPr>
                <w:rFonts w:ascii="Arial" w:cs="Arial" w:eastAsia="Arial" w:hAnsi="Arial"/>
                <w:sz w:val="14"/>
                <w:szCs w:val="14"/>
                <w:b w:val="1"/>
                <w:bCs w:val="1"/>
                <w:color w:val="457157"/>
              </w:rPr>
              <w:t>Under Non-Equity Incentive</w:t>
            </w:r>
          </w:p>
        </w:tc>
        <w:tc>
          <w:tcPr>
            <w:tcW w:w="120" w:type="dxa"/>
            <w:vAlign w:val="bottom"/>
          </w:tcPr>
          <w:p>
            <w:pPr>
              <w:spacing w:after="0"/>
              <w:rPr>
                <w:sz w:val="5"/>
                <w:szCs w:val="5"/>
                <w:color w:val="auto"/>
              </w:rPr>
            </w:pPr>
          </w:p>
        </w:tc>
        <w:tc>
          <w:tcPr>
            <w:tcW w:w="1860" w:type="dxa"/>
            <w:vAlign w:val="bottom"/>
            <w:gridSpan w:val="4"/>
            <w:vMerge w:val="restart"/>
          </w:tcPr>
          <w:p>
            <w:pPr>
              <w:jc w:val="center"/>
              <w:ind w:right="38"/>
              <w:spacing w:after="0" w:line="145" w:lineRule="exact"/>
              <w:rPr>
                <w:sz w:val="20"/>
                <w:szCs w:val="20"/>
                <w:color w:val="auto"/>
              </w:rPr>
            </w:pPr>
            <w:r>
              <w:rPr>
                <w:rFonts w:ascii="Arial" w:cs="Arial" w:eastAsia="Arial" w:hAnsi="Arial"/>
                <w:sz w:val="14"/>
                <w:szCs w:val="14"/>
                <w:b w:val="1"/>
                <w:bCs w:val="1"/>
                <w:color w:val="457157"/>
              </w:rPr>
              <w:t>Under Equity Incentive</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3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8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2"/>
            <w:vMerge w:val="restart"/>
          </w:tcPr>
          <w:p>
            <w:pPr>
              <w:jc w:val="right"/>
              <w:spacing w:after="0" w:line="135" w:lineRule="exact"/>
              <w:rPr>
                <w:sz w:val="20"/>
                <w:szCs w:val="20"/>
                <w:color w:val="auto"/>
              </w:rPr>
            </w:pPr>
            <w:r>
              <w:rPr>
                <w:rFonts w:ascii="Arial" w:cs="Arial" w:eastAsia="Arial" w:hAnsi="Arial"/>
                <w:sz w:val="14"/>
                <w:szCs w:val="14"/>
                <w:b w:val="1"/>
                <w:bCs w:val="1"/>
                <w:color w:val="457157"/>
              </w:rPr>
              <w:t>Number of</w:t>
            </w:r>
          </w:p>
        </w:tc>
        <w:tc>
          <w:tcPr>
            <w:tcW w:w="80" w:type="dxa"/>
            <w:vAlign w:val="bottom"/>
          </w:tcPr>
          <w:p>
            <w:pPr>
              <w:spacing w:after="0"/>
              <w:rPr>
                <w:sz w:val="7"/>
                <w:szCs w:val="7"/>
                <w:color w:val="auto"/>
              </w:rPr>
            </w:pPr>
          </w:p>
        </w:tc>
        <w:tc>
          <w:tcPr>
            <w:tcW w:w="840" w:type="dxa"/>
            <w:vAlign w:val="bottom"/>
            <w:gridSpan w:val="2"/>
            <w:vMerge w:val="restart"/>
          </w:tcPr>
          <w:p>
            <w:pPr>
              <w:jc w:val="right"/>
              <w:spacing w:after="0" w:line="135" w:lineRule="exact"/>
              <w:rPr>
                <w:sz w:val="20"/>
                <w:szCs w:val="20"/>
                <w:color w:val="auto"/>
              </w:rPr>
            </w:pPr>
            <w:r>
              <w:rPr>
                <w:rFonts w:ascii="Arial" w:cs="Arial" w:eastAsia="Arial" w:hAnsi="Arial"/>
                <w:sz w:val="14"/>
                <w:szCs w:val="14"/>
                <w:b w:val="1"/>
                <w:bCs w:val="1"/>
                <w:color w:val="457157"/>
              </w:rPr>
              <w:t>Number of</w:t>
            </w:r>
          </w:p>
        </w:tc>
        <w:tc>
          <w:tcPr>
            <w:tcW w:w="120" w:type="dxa"/>
            <w:vAlign w:val="bottom"/>
          </w:tcPr>
          <w:p>
            <w:pPr>
              <w:spacing w:after="0"/>
              <w:rPr>
                <w:sz w:val="7"/>
                <w:szCs w:val="7"/>
                <w:color w:val="auto"/>
              </w:rPr>
            </w:pPr>
          </w:p>
        </w:tc>
        <w:tc>
          <w:tcPr>
            <w:tcW w:w="2220" w:type="dxa"/>
            <w:vAlign w:val="bottom"/>
            <w:gridSpan w:val="5"/>
            <w:vMerge w:val="restart"/>
          </w:tcPr>
          <w:p>
            <w:pPr>
              <w:jc w:val="right"/>
              <w:ind w:right="17"/>
              <w:spacing w:after="0" w:line="135" w:lineRule="exact"/>
              <w:rPr>
                <w:sz w:val="20"/>
                <w:szCs w:val="20"/>
                <w:color w:val="auto"/>
              </w:rPr>
            </w:pPr>
            <w:r>
              <w:rPr>
                <w:rFonts w:ascii="Arial" w:cs="Arial" w:eastAsia="Arial" w:hAnsi="Arial"/>
                <w:sz w:val="14"/>
                <w:szCs w:val="14"/>
                <w:b w:val="1"/>
                <w:bCs w:val="1"/>
                <w:color w:val="457157"/>
              </w:rPr>
              <w:t>Price of Price on  Stock and</w:t>
            </w: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vMerge w:val="restart"/>
          </w:tcPr>
          <w:p>
            <w:pPr>
              <w:spacing w:after="0" w:line="155" w:lineRule="exact"/>
              <w:rPr>
                <w:sz w:val="20"/>
                <w:szCs w:val="20"/>
                <w:color w:val="auto"/>
              </w:rPr>
            </w:pPr>
            <w:r>
              <w:rPr>
                <w:rFonts w:ascii="Arial" w:cs="Arial" w:eastAsia="Arial" w:hAnsi="Arial"/>
                <w:sz w:val="14"/>
                <w:szCs w:val="14"/>
                <w:b w:val="1"/>
                <w:bCs w:val="1"/>
                <w:color w:val="457157"/>
              </w:rPr>
              <w:t>​</w:t>
            </w:r>
          </w:p>
        </w:tc>
        <w:tc>
          <w:tcPr>
            <w:tcW w:w="1800" w:type="dxa"/>
            <w:vAlign w:val="bottom"/>
            <w:gridSpan w:val="2"/>
            <w:vMerge w:val="restart"/>
          </w:tcPr>
          <w:p>
            <w:pPr>
              <w:jc w:val="right"/>
              <w:ind w:right="140"/>
              <w:spacing w:after="0" w:line="155" w:lineRule="exact"/>
              <w:rPr>
                <w:sz w:val="20"/>
                <w:szCs w:val="20"/>
                <w:color w:val="auto"/>
              </w:rPr>
            </w:pPr>
            <w:r>
              <w:rPr>
                <w:rFonts w:ascii="Arial" w:cs="Arial" w:eastAsia="Arial" w:hAnsi="Arial"/>
                <w:sz w:val="14"/>
                <w:szCs w:val="14"/>
                <w:b w:val="1"/>
                <w:bCs w:val="1"/>
                <w:color w:val="457157"/>
              </w:rPr>
              <w:t>Plan Awards</w:t>
            </w:r>
            <w:r>
              <w:rPr>
                <w:rFonts w:ascii="Arial" w:cs="Arial" w:eastAsia="Arial" w:hAnsi="Arial"/>
                <w:sz w:val="8"/>
                <w:szCs w:val="8"/>
                <w:b w:val="1"/>
                <w:bCs w:val="1"/>
                <w:color w:val="457157"/>
              </w:rPr>
              <w:t>(1)</w:t>
            </w:r>
          </w:p>
        </w:tc>
        <w:tc>
          <w:tcPr>
            <w:tcW w:w="500" w:type="dxa"/>
            <w:vAlign w:val="bottom"/>
            <w:vMerge w:val="restart"/>
          </w:tcPr>
          <w:p>
            <w:pPr>
              <w:jc w:val="right"/>
              <w:spacing w:after="0" w:line="155" w:lineRule="exact"/>
              <w:rPr>
                <w:sz w:val="20"/>
                <w:szCs w:val="20"/>
                <w:color w:val="auto"/>
              </w:rPr>
            </w:pPr>
            <w:r>
              <w:rPr>
                <w:rFonts w:ascii="Arial" w:cs="Arial" w:eastAsia="Arial" w:hAnsi="Arial"/>
                <w:sz w:val="14"/>
                <w:szCs w:val="14"/>
                <w:b w:val="1"/>
                <w:bCs w:val="1"/>
                <w:color w:val="457157"/>
              </w:rPr>
              <w:t>​</w:t>
            </w:r>
          </w:p>
        </w:tc>
        <w:tc>
          <w:tcPr>
            <w:tcW w:w="120" w:type="dxa"/>
            <w:vAlign w:val="bottom"/>
          </w:tcPr>
          <w:p>
            <w:pPr>
              <w:spacing w:after="0"/>
              <w:rPr>
                <w:sz w:val="4"/>
                <w:szCs w:val="4"/>
                <w:color w:val="auto"/>
              </w:rPr>
            </w:pPr>
          </w:p>
        </w:tc>
        <w:tc>
          <w:tcPr>
            <w:tcW w:w="1860" w:type="dxa"/>
            <w:vAlign w:val="bottom"/>
            <w:gridSpan w:val="4"/>
            <w:vMerge w:val="restart"/>
          </w:tcPr>
          <w:p>
            <w:pPr>
              <w:ind w:left="360"/>
              <w:spacing w:after="0" w:line="155" w:lineRule="exact"/>
              <w:rPr>
                <w:sz w:val="20"/>
                <w:szCs w:val="20"/>
                <w:color w:val="auto"/>
              </w:rPr>
            </w:pPr>
            <w:r>
              <w:rPr>
                <w:rFonts w:ascii="Arial" w:cs="Arial" w:eastAsia="Arial" w:hAnsi="Arial"/>
                <w:sz w:val="14"/>
                <w:szCs w:val="14"/>
                <w:b w:val="1"/>
                <w:bCs w:val="1"/>
                <w:color w:val="457157"/>
              </w:rPr>
              <w:t>Plan Awards</w:t>
            </w:r>
            <w:r>
              <w:rPr>
                <w:rFonts w:ascii="Arial" w:cs="Arial" w:eastAsia="Arial" w:hAnsi="Arial"/>
                <w:sz w:val="8"/>
                <w:szCs w:val="8"/>
                <w:b w:val="1"/>
                <w:bCs w:val="1"/>
                <w:color w:val="457157"/>
              </w:rPr>
              <w:t>(2)</w:t>
            </w:r>
          </w:p>
        </w:tc>
        <w:tc>
          <w:tcPr>
            <w:tcW w:w="10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22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line="115" w:lineRule="exact"/>
              <w:rPr>
                <w:sz w:val="20"/>
                <w:szCs w:val="20"/>
                <w:color w:val="auto"/>
              </w:rPr>
            </w:pPr>
            <w:r>
              <w:rPr>
                <w:rFonts w:ascii="Arial" w:cs="Arial" w:eastAsia="Arial" w:hAnsi="Arial"/>
                <w:sz w:val="13"/>
                <w:szCs w:val="13"/>
                <w:b w:val="1"/>
                <w:bCs w:val="1"/>
                <w:color w:val="457157"/>
              </w:rPr>
              <w:t>​</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Borders>
              <w:bottom w:val="single" w:sz="8" w:color="457157"/>
            </w:tcBorders>
            <w:vMerge w:val="continue"/>
          </w:tcPr>
          <w:p>
            <w:pPr>
              <w:spacing w:after="0"/>
              <w:rPr>
                <w:sz w:val="10"/>
                <w:szCs w:val="10"/>
                <w:color w:val="auto"/>
              </w:rPr>
            </w:pPr>
          </w:p>
        </w:tc>
        <w:tc>
          <w:tcPr>
            <w:tcW w:w="1800" w:type="dxa"/>
            <w:vAlign w:val="bottom"/>
            <w:tcBorders>
              <w:bottom w:val="single" w:sz="8" w:color="457157"/>
            </w:tcBorders>
            <w:gridSpan w:val="2"/>
            <w:vMerge w:val="continue"/>
          </w:tcPr>
          <w:p>
            <w:pPr>
              <w:spacing w:after="0"/>
              <w:rPr>
                <w:sz w:val="10"/>
                <w:szCs w:val="10"/>
                <w:color w:val="auto"/>
              </w:rPr>
            </w:pPr>
          </w:p>
        </w:tc>
        <w:tc>
          <w:tcPr>
            <w:tcW w:w="500" w:type="dxa"/>
            <w:vAlign w:val="bottom"/>
            <w:tcBorders>
              <w:bottom w:val="single" w:sz="8" w:color="457157"/>
            </w:tcBorders>
            <w:vMerge w:val="continue"/>
          </w:tcPr>
          <w:p>
            <w:pPr>
              <w:spacing w:after="0"/>
              <w:rPr>
                <w:sz w:val="10"/>
                <w:szCs w:val="10"/>
                <w:color w:val="auto"/>
              </w:rPr>
            </w:pPr>
          </w:p>
        </w:tc>
        <w:tc>
          <w:tcPr>
            <w:tcW w:w="120" w:type="dxa"/>
            <w:vAlign w:val="bottom"/>
            <w:tcBorders>
              <w:bottom w:val="single" w:sz="8" w:color="457157"/>
            </w:tcBorders>
          </w:tcPr>
          <w:p>
            <w:pPr>
              <w:spacing w:after="0"/>
              <w:rPr>
                <w:sz w:val="10"/>
                <w:szCs w:val="10"/>
                <w:color w:val="auto"/>
              </w:rPr>
            </w:pPr>
          </w:p>
        </w:tc>
        <w:tc>
          <w:tcPr>
            <w:tcW w:w="1860" w:type="dxa"/>
            <w:vAlign w:val="bottom"/>
            <w:tcBorders>
              <w:bottom w:val="single" w:sz="8" w:color="457157"/>
            </w:tcBorders>
            <w:gridSpan w:val="4"/>
            <w:vMerge w:val="continue"/>
          </w:tcPr>
          <w:p>
            <w:pPr>
              <w:spacing w:after="0"/>
              <w:rPr>
                <w:sz w:val="10"/>
                <w:szCs w:val="10"/>
                <w:color w:val="auto"/>
              </w:rPr>
            </w:pPr>
          </w:p>
        </w:tc>
        <w:tc>
          <w:tcPr>
            <w:tcW w:w="100" w:type="dxa"/>
            <w:vAlign w:val="bottom"/>
            <w:tcBorders>
              <w:bottom w:val="single" w:sz="8" w:color="457157"/>
            </w:tcBorders>
          </w:tcPr>
          <w:p>
            <w:pPr>
              <w:spacing w:after="0"/>
              <w:rPr>
                <w:sz w:val="10"/>
                <w:szCs w:val="10"/>
                <w:color w:val="auto"/>
              </w:rPr>
            </w:pPr>
          </w:p>
        </w:tc>
        <w:tc>
          <w:tcPr>
            <w:tcW w:w="820" w:type="dxa"/>
            <w:vAlign w:val="bottom"/>
            <w:gridSpan w:val="2"/>
          </w:tcPr>
          <w:p>
            <w:pPr>
              <w:jc w:val="right"/>
              <w:spacing w:after="0" w:line="122" w:lineRule="exact"/>
              <w:rPr>
                <w:sz w:val="20"/>
                <w:szCs w:val="20"/>
                <w:color w:val="auto"/>
              </w:rPr>
            </w:pPr>
            <w:r>
              <w:rPr>
                <w:rFonts w:ascii="Arial" w:cs="Arial" w:eastAsia="Arial" w:hAnsi="Arial"/>
                <w:sz w:val="14"/>
                <w:szCs w:val="14"/>
                <w:b w:val="1"/>
                <w:bCs w:val="1"/>
                <w:color w:val="457157"/>
                <w:vertAlign w:val="superscript"/>
              </w:rPr>
              <w:t>​</w:t>
            </w:r>
            <w:r>
              <w:rPr>
                <w:rFonts w:ascii="Arial" w:cs="Arial" w:eastAsia="Arial" w:hAnsi="Arial"/>
                <w:sz w:val="9"/>
                <w:szCs w:val="9"/>
                <w:b w:val="1"/>
                <w:bCs w:val="1"/>
                <w:color w:val="457157"/>
              </w:rPr>
              <w:t xml:space="preserve"> Shares of</w:t>
            </w:r>
          </w:p>
        </w:tc>
        <w:tc>
          <w:tcPr>
            <w:tcW w:w="80" w:type="dxa"/>
            <w:vAlign w:val="bottom"/>
          </w:tcPr>
          <w:p>
            <w:pPr>
              <w:spacing w:after="0"/>
              <w:rPr>
                <w:sz w:val="10"/>
                <w:szCs w:val="10"/>
                <w:color w:val="auto"/>
              </w:rPr>
            </w:pPr>
          </w:p>
        </w:tc>
        <w:tc>
          <w:tcPr>
            <w:tcW w:w="840" w:type="dxa"/>
            <w:vAlign w:val="bottom"/>
            <w:gridSpan w:val="2"/>
          </w:tcPr>
          <w:p>
            <w:pPr>
              <w:jc w:val="right"/>
              <w:spacing w:after="0" w:line="122" w:lineRule="exact"/>
              <w:rPr>
                <w:sz w:val="20"/>
                <w:szCs w:val="20"/>
                <w:color w:val="auto"/>
              </w:rPr>
            </w:pPr>
            <w:r>
              <w:rPr>
                <w:rFonts w:ascii="Arial" w:cs="Arial" w:eastAsia="Arial" w:hAnsi="Arial"/>
                <w:sz w:val="14"/>
                <w:szCs w:val="14"/>
                <w:b w:val="1"/>
                <w:bCs w:val="1"/>
                <w:color w:val="457157"/>
              </w:rPr>
              <w:t>Securities</w:t>
            </w:r>
          </w:p>
        </w:tc>
        <w:tc>
          <w:tcPr>
            <w:tcW w:w="120" w:type="dxa"/>
            <w:vAlign w:val="bottom"/>
          </w:tcPr>
          <w:p>
            <w:pPr>
              <w:spacing w:after="0"/>
              <w:rPr>
                <w:sz w:val="10"/>
                <w:szCs w:val="10"/>
                <w:color w:val="auto"/>
              </w:rPr>
            </w:pPr>
          </w:p>
        </w:tc>
        <w:tc>
          <w:tcPr>
            <w:tcW w:w="720" w:type="dxa"/>
            <w:vAlign w:val="bottom"/>
          </w:tcPr>
          <w:p>
            <w:pPr>
              <w:jc w:val="right"/>
              <w:ind w:right="61"/>
              <w:spacing w:after="0" w:line="122" w:lineRule="exact"/>
              <w:rPr>
                <w:sz w:val="20"/>
                <w:szCs w:val="20"/>
                <w:color w:val="auto"/>
              </w:rPr>
            </w:pPr>
            <w:r>
              <w:rPr>
                <w:rFonts w:ascii="Arial" w:cs="Arial" w:eastAsia="Arial" w:hAnsi="Arial"/>
                <w:sz w:val="14"/>
                <w:szCs w:val="14"/>
                <w:b w:val="1"/>
                <w:bCs w:val="1"/>
                <w:color w:val="457157"/>
              </w:rPr>
              <w:t>Option</w:t>
            </w:r>
          </w:p>
        </w:tc>
        <w:tc>
          <w:tcPr>
            <w:tcW w:w="580" w:type="dxa"/>
            <w:vAlign w:val="bottom"/>
          </w:tcPr>
          <w:p>
            <w:pPr>
              <w:jc w:val="right"/>
              <w:spacing w:after="0" w:line="122" w:lineRule="exact"/>
              <w:rPr>
                <w:sz w:val="20"/>
                <w:szCs w:val="20"/>
                <w:color w:val="auto"/>
              </w:rPr>
            </w:pPr>
            <w:r>
              <w:rPr>
                <w:rFonts w:ascii="Arial" w:cs="Arial" w:eastAsia="Arial" w:hAnsi="Arial"/>
                <w:sz w:val="14"/>
                <w:szCs w:val="14"/>
                <w:b w:val="1"/>
                <w:bCs w:val="1"/>
                <w:color w:val="457157"/>
              </w:rPr>
              <w:t>Date of</w:t>
            </w:r>
          </w:p>
        </w:tc>
        <w:tc>
          <w:tcPr>
            <w:tcW w:w="120" w:type="dxa"/>
            <w:vAlign w:val="bottom"/>
          </w:tcPr>
          <w:p>
            <w:pPr>
              <w:spacing w:after="0"/>
              <w:rPr>
                <w:sz w:val="10"/>
                <w:szCs w:val="10"/>
                <w:color w:val="auto"/>
              </w:rPr>
            </w:pPr>
          </w:p>
        </w:tc>
        <w:tc>
          <w:tcPr>
            <w:tcW w:w="800" w:type="dxa"/>
            <w:vAlign w:val="bottom"/>
            <w:gridSpan w:val="2"/>
          </w:tcPr>
          <w:p>
            <w:pPr>
              <w:jc w:val="right"/>
              <w:ind w:right="17"/>
              <w:spacing w:after="0" w:line="122" w:lineRule="exact"/>
              <w:rPr>
                <w:sz w:val="20"/>
                <w:szCs w:val="20"/>
                <w:color w:val="auto"/>
              </w:rPr>
            </w:pPr>
            <w:r>
              <w:rPr>
                <w:rFonts w:ascii="Arial" w:cs="Arial" w:eastAsia="Arial" w:hAnsi="Arial"/>
                <w:sz w:val="14"/>
                <w:szCs w:val="14"/>
                <w:b w:val="1"/>
                <w:bCs w:val="1"/>
                <w:color w:val="457157"/>
              </w:rPr>
              <w:t>Option</w:t>
            </w:r>
          </w:p>
        </w:tc>
        <w:tc>
          <w:tcPr>
            <w:tcW w:w="0" w:type="dxa"/>
            <w:vAlign w:val="bottom"/>
          </w:tcPr>
          <w:p>
            <w:pPr>
              <w:spacing w:after="0"/>
              <w:rPr>
                <w:sz w:val="1"/>
                <w:szCs w:val="1"/>
                <w:color w:val="auto"/>
              </w:rPr>
            </w:pPr>
          </w:p>
        </w:tc>
      </w:tr>
      <w:tr>
        <w:trPr>
          <w:trHeight w:val="155"/>
        </w:trPr>
        <w:tc>
          <w:tcPr>
            <w:tcW w:w="1220" w:type="dxa"/>
            <w:vAlign w:val="bottom"/>
            <w:gridSpan w:val="4"/>
            <w:vMerge w:val="restart"/>
          </w:tcPr>
          <w:p>
            <w:pPr>
              <w:spacing w:after="0"/>
              <w:rPr>
                <w:sz w:val="20"/>
                <w:szCs w:val="20"/>
                <w:color w:val="auto"/>
              </w:rPr>
            </w:pPr>
            <w:r>
              <w:rPr>
                <w:rFonts w:ascii="Arial" w:cs="Arial" w:eastAsia="Arial" w:hAnsi="Arial"/>
                <w:sz w:val="14"/>
                <w:szCs w:val="14"/>
                <w:b w:val="1"/>
                <w:bCs w:val="1"/>
                <w:color w:val="457157"/>
              </w:rPr>
              <w:t>​Grant Date</w:t>
            </w:r>
          </w:p>
        </w:tc>
        <w:tc>
          <w:tcPr>
            <w:tcW w:w="940" w:type="dxa"/>
            <w:vAlign w:val="bottom"/>
            <w:gridSpan w:val="2"/>
          </w:tcPr>
          <w:p>
            <w:pPr>
              <w:jc w:val="right"/>
              <w:ind w:right="101"/>
              <w:spacing w:after="0" w:line="155" w:lineRule="exact"/>
              <w:rPr>
                <w:sz w:val="20"/>
                <w:szCs w:val="20"/>
                <w:color w:val="auto"/>
              </w:rPr>
            </w:pPr>
            <w:r>
              <w:rPr>
                <w:rFonts w:ascii="Arial" w:cs="Arial" w:eastAsia="Arial" w:hAnsi="Arial"/>
                <w:sz w:val="14"/>
                <w:szCs w:val="14"/>
                <w:b w:val="1"/>
                <w:bCs w:val="1"/>
                <w:color w:val="457157"/>
              </w:rPr>
              <w:t>Threshold</w:t>
            </w:r>
          </w:p>
        </w:tc>
        <w:tc>
          <w:tcPr>
            <w:tcW w:w="3660" w:type="dxa"/>
            <w:vAlign w:val="bottom"/>
            <w:gridSpan w:val="9"/>
          </w:tcPr>
          <w:p>
            <w:pPr>
              <w:jc w:val="right"/>
              <w:ind w:right="100"/>
              <w:spacing w:after="0" w:line="155" w:lineRule="exact"/>
              <w:rPr>
                <w:sz w:val="20"/>
                <w:szCs w:val="20"/>
                <w:color w:val="auto"/>
              </w:rPr>
            </w:pPr>
            <w:r>
              <w:rPr>
                <w:rFonts w:ascii="Arial" w:cs="Arial" w:eastAsia="Arial" w:hAnsi="Arial"/>
                <w:sz w:val="14"/>
                <w:szCs w:val="14"/>
                <w:b w:val="1"/>
                <w:bCs w:val="1"/>
                <w:color w:val="457157"/>
              </w:rPr>
              <w:t>Target Maximum Threshold Target Maximum</w:t>
            </w:r>
          </w:p>
        </w:tc>
        <w:tc>
          <w:tcPr>
            <w:tcW w:w="720" w:type="dxa"/>
            <w:vAlign w:val="bottom"/>
          </w:tcPr>
          <w:p>
            <w:pPr>
              <w:jc w:val="center"/>
              <w:spacing w:after="0" w:line="155" w:lineRule="exact"/>
              <w:rPr>
                <w:sz w:val="20"/>
                <w:szCs w:val="20"/>
                <w:color w:val="auto"/>
              </w:rPr>
            </w:pPr>
            <w:r>
              <w:rPr>
                <w:rFonts w:ascii="Arial" w:cs="Arial" w:eastAsia="Arial" w:hAnsi="Arial"/>
                <w:sz w:val="14"/>
                <w:szCs w:val="14"/>
                <w:b w:val="1"/>
                <w:bCs w:val="1"/>
                <w:color w:val="457157"/>
              </w:rPr>
              <w:t>Stock or</w:t>
            </w:r>
          </w:p>
        </w:tc>
        <w:tc>
          <w:tcPr>
            <w:tcW w:w="80" w:type="dxa"/>
            <w:vAlign w:val="bottom"/>
          </w:tcPr>
          <w:p>
            <w:pPr>
              <w:spacing w:after="0"/>
              <w:rPr>
                <w:sz w:val="13"/>
                <w:szCs w:val="13"/>
                <w:color w:val="auto"/>
              </w:rPr>
            </w:pPr>
          </w:p>
        </w:tc>
        <w:tc>
          <w:tcPr>
            <w:tcW w:w="8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457157"/>
              </w:rPr>
              <w:t>Underlying</w:t>
            </w:r>
          </w:p>
        </w:tc>
        <w:tc>
          <w:tcPr>
            <w:tcW w:w="120" w:type="dxa"/>
            <w:vAlign w:val="bottom"/>
          </w:tcPr>
          <w:p>
            <w:pPr>
              <w:spacing w:after="0"/>
              <w:rPr>
                <w:sz w:val="13"/>
                <w:szCs w:val="13"/>
                <w:color w:val="auto"/>
              </w:rPr>
            </w:pPr>
          </w:p>
        </w:tc>
        <w:tc>
          <w:tcPr>
            <w:tcW w:w="720" w:type="dxa"/>
            <w:vAlign w:val="bottom"/>
          </w:tcPr>
          <w:p>
            <w:pPr>
              <w:jc w:val="right"/>
              <w:ind w:right="61"/>
              <w:spacing w:after="0" w:line="155" w:lineRule="exact"/>
              <w:rPr>
                <w:sz w:val="20"/>
                <w:szCs w:val="20"/>
                <w:color w:val="auto"/>
              </w:rPr>
            </w:pPr>
            <w:r>
              <w:rPr>
                <w:rFonts w:ascii="Arial" w:cs="Arial" w:eastAsia="Arial" w:hAnsi="Arial"/>
                <w:sz w:val="14"/>
                <w:szCs w:val="14"/>
                <w:b w:val="1"/>
                <w:bCs w:val="1"/>
                <w:color w:val="457157"/>
              </w:rPr>
              <w:t>Awards</w:t>
            </w:r>
          </w:p>
        </w:tc>
        <w:tc>
          <w:tcPr>
            <w:tcW w:w="580" w:type="dxa"/>
            <w:vAlign w:val="bottom"/>
          </w:tcPr>
          <w:p>
            <w:pPr>
              <w:jc w:val="right"/>
              <w:spacing w:after="0" w:line="155" w:lineRule="exact"/>
              <w:rPr>
                <w:sz w:val="20"/>
                <w:szCs w:val="20"/>
                <w:color w:val="auto"/>
              </w:rPr>
            </w:pPr>
            <w:r>
              <w:rPr>
                <w:rFonts w:ascii="Arial" w:cs="Arial" w:eastAsia="Arial" w:hAnsi="Arial"/>
                <w:sz w:val="14"/>
                <w:szCs w:val="14"/>
                <w:b w:val="1"/>
                <w:bCs w:val="1"/>
                <w:color w:val="457157"/>
              </w:rPr>
              <w:t>Grant</w:t>
            </w:r>
          </w:p>
        </w:tc>
        <w:tc>
          <w:tcPr>
            <w:tcW w:w="120" w:type="dxa"/>
            <w:vAlign w:val="bottom"/>
          </w:tcPr>
          <w:p>
            <w:pPr>
              <w:spacing w:after="0"/>
              <w:rPr>
                <w:sz w:val="13"/>
                <w:szCs w:val="13"/>
                <w:color w:val="auto"/>
              </w:rPr>
            </w:pPr>
          </w:p>
        </w:tc>
        <w:tc>
          <w:tcPr>
            <w:tcW w:w="800" w:type="dxa"/>
            <w:vAlign w:val="bottom"/>
            <w:gridSpan w:val="2"/>
          </w:tcPr>
          <w:p>
            <w:pPr>
              <w:jc w:val="right"/>
              <w:ind w:right="17"/>
              <w:spacing w:after="0" w:line="155" w:lineRule="exact"/>
              <w:rPr>
                <w:sz w:val="20"/>
                <w:szCs w:val="20"/>
                <w:color w:val="auto"/>
              </w:rPr>
            </w:pPr>
            <w:r>
              <w:rPr>
                <w:rFonts w:ascii="Arial" w:cs="Arial" w:eastAsia="Arial" w:hAnsi="Arial"/>
                <w:sz w:val="14"/>
                <w:szCs w:val="14"/>
                <w:b w:val="1"/>
                <w:bCs w:val="1"/>
                <w:color w:val="457157"/>
              </w:rPr>
              <w:t>Awards</w:t>
            </w:r>
          </w:p>
        </w:tc>
        <w:tc>
          <w:tcPr>
            <w:tcW w:w="0" w:type="dxa"/>
            <w:vAlign w:val="bottom"/>
          </w:tcPr>
          <w:p>
            <w:pPr>
              <w:spacing w:after="0"/>
              <w:rPr>
                <w:sz w:val="1"/>
                <w:szCs w:val="1"/>
                <w:color w:val="auto"/>
              </w:rPr>
            </w:pPr>
          </w:p>
        </w:tc>
      </w:tr>
      <w:tr>
        <w:trPr>
          <w:trHeight w:val="176"/>
        </w:trPr>
        <w:tc>
          <w:tcPr>
            <w:tcW w:w="1220" w:type="dxa"/>
            <w:vAlign w:val="bottom"/>
            <w:gridSpan w:val="4"/>
            <w:vMerge w:val="continue"/>
          </w:tcPr>
          <w:p>
            <w:pPr>
              <w:spacing w:after="0"/>
              <w:rPr>
                <w:sz w:val="15"/>
                <w:szCs w:val="15"/>
                <w:color w:val="auto"/>
              </w:rPr>
            </w:pPr>
          </w:p>
        </w:tc>
        <w:tc>
          <w:tcPr>
            <w:tcW w:w="1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820" w:type="dxa"/>
            <w:vAlign w:val="bottom"/>
          </w:tcPr>
          <w:p>
            <w:pPr>
              <w:jc w:val="right"/>
              <w:ind w:right="1"/>
              <w:spacing w:after="0"/>
              <w:rPr>
                <w:sz w:val="20"/>
                <w:szCs w:val="20"/>
                <w:color w:val="auto"/>
              </w:rPr>
            </w:pPr>
            <w:r>
              <w:rPr>
                <w:rFonts w:ascii="Arial" w:cs="Arial" w:eastAsia="Arial" w:hAnsi="Arial"/>
                <w:sz w:val="14"/>
                <w:szCs w:val="14"/>
                <w:b w:val="1"/>
                <w:bCs w:val="1"/>
                <w:color w:val="457157"/>
              </w:rPr>
              <w:t>($)​</w:t>
            </w:r>
          </w:p>
        </w:tc>
        <w:tc>
          <w:tcPr>
            <w:tcW w:w="980" w:type="dxa"/>
            <w:vAlign w:val="bottom"/>
          </w:tcPr>
          <w:p>
            <w:pPr>
              <w:jc w:val="right"/>
              <w:ind w:right="220"/>
              <w:spacing w:after="0"/>
              <w:rPr>
                <w:sz w:val="20"/>
                <w:szCs w:val="20"/>
                <w:color w:val="auto"/>
              </w:rPr>
            </w:pPr>
            <w:r>
              <w:rPr>
                <w:rFonts w:ascii="Arial" w:cs="Arial" w:eastAsia="Arial" w:hAnsi="Arial"/>
                <w:sz w:val="14"/>
                <w:szCs w:val="14"/>
                <w:b w:val="1"/>
                <w:bCs w:val="1"/>
                <w:color w:val="457157"/>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1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457157"/>
              </w:rPr>
              <w: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457157"/>
              </w:rPr>
              <w:t>(#)​</w:t>
            </w:r>
          </w:p>
        </w:tc>
        <w:tc>
          <w:tcPr>
            <w:tcW w:w="1760" w:type="dxa"/>
            <w:vAlign w:val="bottom"/>
            <w:gridSpan w:val="5"/>
          </w:tcPr>
          <w:p>
            <w:pPr>
              <w:ind w:left="100"/>
              <w:spacing w:after="0"/>
              <w:rPr>
                <w:sz w:val="20"/>
                <w:szCs w:val="20"/>
                <w:color w:val="auto"/>
              </w:rPr>
            </w:pPr>
            <w:r>
              <w:rPr>
                <w:rFonts w:ascii="Arial" w:cs="Arial" w:eastAsia="Arial" w:hAnsi="Arial"/>
                <w:sz w:val="14"/>
                <w:szCs w:val="14"/>
                <w:b w:val="1"/>
                <w:bCs w:val="1"/>
                <w:color w:val="457157"/>
              </w:rPr>
              <w:t>Units (#)​Options(#)</w:t>
            </w:r>
            <w:r>
              <w:rPr>
                <w:rFonts w:ascii="Arial" w:cs="Arial" w:eastAsia="Arial" w:hAnsi="Arial"/>
                <w:sz w:val="8"/>
                <w:szCs w:val="8"/>
                <w:b w:val="1"/>
                <w:bCs w:val="1"/>
                <w:color w:val="457157"/>
              </w:rPr>
              <w:t>(3)</w:t>
            </w:r>
            <w:r>
              <w:rPr>
                <w:rFonts w:ascii="Arial" w:cs="Arial" w:eastAsia="Arial" w:hAnsi="Arial"/>
                <w:sz w:val="14"/>
                <w:szCs w:val="14"/>
                <w:b w:val="1"/>
                <w:bCs w:val="1"/>
                <w:color w:val="457157"/>
              </w:rPr>
              <w:t xml:space="preserve"> ​</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457157"/>
              </w:rPr>
              <w:t>($/sh)</w:t>
            </w:r>
            <w:r>
              <w:rPr>
                <w:rFonts w:ascii="Arial" w:cs="Arial" w:eastAsia="Arial" w:hAnsi="Arial"/>
                <w:sz w:val="8"/>
                <w:szCs w:val="8"/>
                <w:b w:val="1"/>
                <w:bCs w:val="1"/>
                <w:color w:val="457157"/>
              </w:rPr>
              <w:t>(4)</w:t>
            </w:r>
            <w:r>
              <w:rPr>
                <w:rFonts w:ascii="Arial" w:cs="Arial" w:eastAsia="Arial" w:hAnsi="Arial"/>
                <w:sz w:val="14"/>
                <w:szCs w:val="14"/>
                <w:b w:val="1"/>
                <w:bCs w:val="1"/>
                <w:color w:val="457157"/>
              </w:rPr>
              <w:t xml:space="preserve"> ​</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457157"/>
              </w:rPr>
              <w:t>($/sh)​</w:t>
            </w:r>
          </w:p>
        </w:tc>
        <w:tc>
          <w:tcPr>
            <w:tcW w:w="800" w:type="dxa"/>
            <w:vAlign w:val="bottom"/>
            <w:gridSpan w:val="2"/>
          </w:tcPr>
          <w:p>
            <w:pPr>
              <w:jc w:val="right"/>
              <w:spacing w:after="0" w:line="176" w:lineRule="exact"/>
              <w:rPr>
                <w:sz w:val="20"/>
                <w:szCs w:val="20"/>
                <w:color w:val="auto"/>
              </w:rPr>
            </w:pPr>
            <w:r>
              <w:rPr>
                <w:rFonts w:ascii="Arial" w:cs="Arial" w:eastAsia="Arial" w:hAnsi="Arial"/>
                <w:sz w:val="14"/>
                <w:szCs w:val="14"/>
                <w:b w:val="1"/>
                <w:bCs w:val="1"/>
                <w:color w:val="457157"/>
              </w:rPr>
              <w:t>($)</w:t>
            </w:r>
            <w:r>
              <w:rPr>
                <w:rFonts w:ascii="Arial" w:cs="Arial" w:eastAsia="Arial" w:hAnsi="Arial"/>
                <w:sz w:val="17"/>
                <w:szCs w:val="17"/>
                <w:b w:val="1"/>
                <w:bCs w:val="1"/>
                <w:color w:val="457157"/>
                <w:vertAlign w:val="superscript"/>
              </w:rPr>
              <w:t>(5)</w:t>
            </w:r>
            <w:r>
              <w:rPr>
                <w:rFonts w:ascii="Arial" w:cs="Arial" w:eastAsia="Arial" w:hAnsi="Arial"/>
                <w:sz w:val="14"/>
                <w:szCs w:val="14"/>
                <w:b w:val="1"/>
                <w:bCs w:val="1"/>
                <w:color w:val="457157"/>
              </w:rPr>
              <w:t xml:space="preserve"> ​</w:t>
            </w:r>
          </w:p>
        </w:tc>
        <w:tc>
          <w:tcPr>
            <w:tcW w:w="0" w:type="dxa"/>
            <w:vAlign w:val="bottom"/>
          </w:tcPr>
          <w:p>
            <w:pPr>
              <w:spacing w:after="0"/>
              <w:rPr>
                <w:sz w:val="1"/>
                <w:szCs w:val="1"/>
                <w:color w:val="auto"/>
              </w:rPr>
            </w:pPr>
          </w:p>
        </w:tc>
      </w:tr>
      <w:tr>
        <w:trPr>
          <w:trHeight w:val="196"/>
        </w:trPr>
        <w:tc>
          <w:tcPr>
            <w:tcW w:w="600" w:type="dxa"/>
            <w:vAlign w:val="bottom"/>
            <w:tcBorders>
              <w:top w:val="single" w:sz="8" w:color="457157"/>
              <w:bottom w:val="single" w:sz="8" w:color="457157"/>
            </w:tcBorders>
            <w:gridSpan w:val="3"/>
            <w:shd w:val="clear" w:color="auto" w:fill="CCEEFF"/>
          </w:tcPr>
          <w:p>
            <w:pPr>
              <w:spacing w:after="0"/>
              <w:rPr>
                <w:sz w:val="20"/>
                <w:szCs w:val="20"/>
                <w:color w:val="auto"/>
              </w:rPr>
            </w:pPr>
            <w:r>
              <w:rPr>
                <w:rFonts w:ascii="Arial" w:cs="Arial" w:eastAsia="Arial" w:hAnsi="Arial"/>
                <w:sz w:val="17"/>
                <w:szCs w:val="17"/>
                <w:b w:val="1"/>
                <w:bCs w:val="1"/>
                <w:color w:val="auto"/>
              </w:rPr>
              <w:t>James​</w:t>
            </w:r>
          </w:p>
        </w:tc>
        <w:tc>
          <w:tcPr>
            <w:tcW w:w="1560" w:type="dxa"/>
            <w:vAlign w:val="bottom"/>
            <w:tcBorders>
              <w:top w:val="single" w:sz="8" w:color="457157"/>
              <w:bottom w:val="single" w:sz="8" w:color="457157"/>
            </w:tcBorders>
            <w:gridSpan w:val="3"/>
            <w:shd w:val="clear" w:color="auto" w:fill="CCEEFF"/>
          </w:tcPr>
          <w:p>
            <w:pPr>
              <w:jc w:val="right"/>
              <w:ind w:right="541"/>
              <w:spacing w:after="0"/>
              <w:rPr>
                <w:sz w:val="20"/>
                <w:szCs w:val="20"/>
                <w:color w:val="auto"/>
              </w:rPr>
            </w:pPr>
            <w:r>
              <w:rPr>
                <w:rFonts w:ascii="Arial" w:cs="Arial" w:eastAsia="Arial" w:hAnsi="Arial"/>
                <w:sz w:val="17"/>
                <w:szCs w:val="17"/>
                <w:b w:val="1"/>
                <w:bCs w:val="1"/>
                <w:color w:val="auto"/>
              </w:rPr>
              <w:t>C. Fish, Jr.</w:t>
            </w:r>
          </w:p>
        </w:tc>
        <w:tc>
          <w:tcPr>
            <w:tcW w:w="980" w:type="dxa"/>
            <w:vAlign w:val="bottom"/>
            <w:tcBorders>
              <w:top w:val="single" w:sz="8" w:color="457157"/>
              <w:bottom w:val="single" w:sz="8" w:color="457157"/>
            </w:tcBorders>
            <w:shd w:val="clear" w:color="auto" w:fill="CCEEFF"/>
          </w:tcPr>
          <w:p>
            <w:pPr>
              <w:jc w:val="right"/>
              <w:ind w:right="200"/>
              <w:spacing w:after="0"/>
              <w:rPr>
                <w:sz w:val="20"/>
                <w:szCs w:val="20"/>
                <w:color w:val="auto"/>
              </w:rPr>
            </w:pPr>
            <w:r>
              <w:rPr>
                <w:rFonts w:ascii="Arial" w:cs="Arial" w:eastAsia="Arial" w:hAnsi="Arial"/>
                <w:sz w:val="17"/>
                <w:szCs w:val="17"/>
                <w:b w:val="1"/>
                <w:bCs w:val="1"/>
                <w:color w:val="auto"/>
              </w:rPr>
              <w:t>​</w:t>
            </w:r>
          </w:p>
        </w:tc>
        <w:tc>
          <w:tcPr>
            <w:tcW w:w="50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 w:type="dxa"/>
            <w:vAlign w:val="bottom"/>
            <w:tcBorders>
              <w:top w:val="single" w:sz="8" w:color="457157"/>
              <w:bottom w:val="single" w:sz="8" w:color="457157"/>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top w:val="single" w:sz="8" w:color="457157"/>
              <w:bottom w:val="single" w:sz="8" w:color="457157"/>
            </w:tcBorders>
            <w:shd w:val="clear" w:color="auto" w:fill="CCEEFF"/>
          </w:tcPr>
          <w:p>
            <w:pPr>
              <w:spacing w:after="0"/>
              <w:rPr>
                <w:sz w:val="17"/>
                <w:szCs w:val="17"/>
                <w:color w:val="auto"/>
              </w:rPr>
            </w:pPr>
          </w:p>
        </w:tc>
        <w:tc>
          <w:tcPr>
            <w:tcW w:w="22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50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20" w:type="dxa"/>
            <w:vAlign w:val="bottom"/>
            <w:tcBorders>
              <w:top w:val="single" w:sz="8" w:color="457157"/>
              <w:bottom w:val="single" w:sz="8" w:color="457157"/>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20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720" w:type="dxa"/>
            <w:vAlign w:val="bottom"/>
            <w:tcBorders>
              <w:top w:val="single" w:sz="8" w:color="457157"/>
              <w:bottom w:val="single" w:sz="8" w:color="457157"/>
            </w:tcBorders>
            <w:shd w:val="clear" w:color="auto" w:fill="CCEEFF"/>
          </w:tcPr>
          <w:p>
            <w:pPr>
              <w:jc w:val="center"/>
              <w:spacing w:after="0"/>
              <w:rPr>
                <w:sz w:val="20"/>
                <w:szCs w:val="20"/>
                <w:color w:val="auto"/>
              </w:rPr>
            </w:pPr>
            <w:r>
              <w:rPr>
                <w:rFonts w:ascii="Arial" w:cs="Arial" w:eastAsia="Arial" w:hAnsi="Arial"/>
                <w:sz w:val="17"/>
                <w:szCs w:val="17"/>
                <w:b w:val="1"/>
                <w:bCs w:val="1"/>
                <w:color w:val="auto"/>
              </w:rPr>
              <w:t>​</w:t>
            </w:r>
          </w:p>
        </w:tc>
        <w:tc>
          <w:tcPr>
            <w:tcW w:w="80" w:type="dxa"/>
            <w:vAlign w:val="bottom"/>
            <w:tcBorders>
              <w:top w:val="single" w:sz="8" w:color="457157"/>
              <w:bottom w:val="single" w:sz="8" w:color="457157"/>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180" w:type="dxa"/>
            <w:vAlign w:val="bottom"/>
            <w:tcBorders>
              <w:top w:val="single" w:sz="8" w:color="457157"/>
              <w:bottom w:val="single" w:sz="8" w:color="457157"/>
            </w:tcBorders>
            <w:shd w:val="clear" w:color="auto" w:fill="CCEEFF"/>
          </w:tcPr>
          <w:p>
            <w:pPr>
              <w:ind w:left="120"/>
              <w:spacing w:after="0"/>
              <w:rPr>
                <w:sz w:val="20"/>
                <w:szCs w:val="20"/>
                <w:color w:val="auto"/>
              </w:rPr>
            </w:pPr>
            <w:r>
              <w:rPr>
                <w:rFonts w:ascii="Arial" w:cs="Arial" w:eastAsia="Arial" w:hAnsi="Arial"/>
                <w:sz w:val="17"/>
                <w:szCs w:val="17"/>
                <w:b w:val="1"/>
                <w:bCs w:val="1"/>
                <w:color w:val="auto"/>
              </w:rPr>
              <w:t>​</w:t>
            </w:r>
          </w:p>
        </w:tc>
        <w:tc>
          <w:tcPr>
            <w:tcW w:w="660" w:type="dxa"/>
            <w:vAlign w:val="bottom"/>
            <w:tcBorders>
              <w:top w:val="single" w:sz="8" w:color="457157"/>
              <w:bottom w:val="single" w:sz="8" w:color="457157"/>
            </w:tcBorders>
            <w:shd w:val="clear" w:color="auto" w:fill="CCEEFF"/>
          </w:tcPr>
          <w:p>
            <w:pPr>
              <w:ind w:left="520"/>
              <w:spacing w:after="0"/>
              <w:rPr>
                <w:sz w:val="20"/>
                <w:szCs w:val="20"/>
                <w:color w:val="auto"/>
              </w:rPr>
            </w:pPr>
            <w:r>
              <w:rPr>
                <w:rFonts w:ascii="Arial" w:cs="Arial" w:eastAsia="Arial" w:hAnsi="Arial"/>
                <w:sz w:val="17"/>
                <w:szCs w:val="17"/>
                <w:b w:val="1"/>
                <w:bCs w:val="1"/>
                <w:color w:val="auto"/>
              </w:rPr>
              <w:t>​</w:t>
            </w:r>
          </w:p>
        </w:tc>
        <w:tc>
          <w:tcPr>
            <w:tcW w:w="120" w:type="dxa"/>
            <w:vAlign w:val="bottom"/>
            <w:tcBorders>
              <w:top w:val="single" w:sz="8" w:color="457157"/>
              <w:bottom w:val="single" w:sz="8" w:color="457157"/>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72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580" w:type="dxa"/>
            <w:vAlign w:val="bottom"/>
            <w:tcBorders>
              <w:top w:val="single" w:sz="8" w:color="457157"/>
              <w:bottom w:val="single" w:sz="8" w:color="457157"/>
            </w:tcBorders>
            <w:shd w:val="clear" w:color="auto" w:fill="CCEEFF"/>
          </w:tcPr>
          <w:p>
            <w:pPr>
              <w:spacing w:after="0"/>
              <w:rPr>
                <w:sz w:val="17"/>
                <w:szCs w:val="17"/>
                <w:color w:val="auto"/>
              </w:rPr>
            </w:pPr>
          </w:p>
        </w:tc>
        <w:tc>
          <w:tcPr>
            <w:tcW w:w="12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Borders>
              <w:top w:val="single" w:sz="8" w:color="457157"/>
              <w:bottom w:val="single" w:sz="8" w:color="457157"/>
            </w:tcBorders>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69"/>
        </w:trPr>
        <w:tc>
          <w:tcPr>
            <w:tcW w:w="420" w:type="dxa"/>
            <w:vAlign w:val="bottom"/>
            <w:tcBorders>
              <w:bottom w:val="single" w:sz="8" w:color="457157"/>
            </w:tcBorders>
            <w:gridSpan w:val="2"/>
          </w:tcPr>
          <w:p>
            <w:pPr>
              <w:spacing w:after="0" w:line="169" w:lineRule="exact"/>
              <w:rPr>
                <w:sz w:val="20"/>
                <w:szCs w:val="20"/>
                <w:color w:val="auto"/>
              </w:rPr>
            </w:pPr>
            <w:r>
              <w:rPr>
                <w:rFonts w:ascii="Arial" w:cs="Arial" w:eastAsia="Arial" w:hAnsi="Arial"/>
                <w:sz w:val="17"/>
                <w:szCs w:val="17"/>
                <w:color w:val="auto"/>
              </w:rPr>
              <w:t>Cash​</w:t>
            </w:r>
          </w:p>
        </w:tc>
        <w:tc>
          <w:tcPr>
            <w:tcW w:w="3220" w:type="dxa"/>
            <w:vAlign w:val="bottom"/>
            <w:tcBorders>
              <w:bottom w:val="single" w:sz="8" w:color="457157"/>
            </w:tcBorders>
            <w:gridSpan w:val="6"/>
          </w:tcPr>
          <w:p>
            <w:pPr>
              <w:ind w:left="60"/>
              <w:spacing w:after="0" w:line="169" w:lineRule="exact"/>
              <w:rPr>
                <w:sz w:val="20"/>
                <w:szCs w:val="20"/>
                <w:color w:val="auto"/>
              </w:rPr>
            </w:pPr>
            <w:r>
              <w:rPr>
                <w:rFonts w:ascii="Arial" w:cs="Arial" w:eastAsia="Arial" w:hAnsi="Arial"/>
                <w:sz w:val="17"/>
                <w:szCs w:val="17"/>
                <w:color w:val="auto"/>
              </w:rPr>
              <w:t xml:space="preserve">Incentive </w:t>
            </w:r>
            <w:r>
              <w:rPr>
                <w:rFonts w:ascii="Arial" w:cs="Arial" w:eastAsia="Arial" w:hAnsi="Arial"/>
                <w:sz w:val="17"/>
                <w:szCs w:val="17"/>
                <w:b w:val="1"/>
                <w:bCs w:val="1"/>
                <w:color w:val="auto"/>
              </w:rPr>
              <w:t>​</w:t>
            </w:r>
            <w:r>
              <w:rPr>
                <w:rFonts w:ascii="Arial" w:cs="Arial" w:eastAsia="Arial" w:hAnsi="Arial"/>
                <w:sz w:val="17"/>
                <w:szCs w:val="17"/>
                <w:color w:val="auto"/>
              </w:rPr>
              <w:t xml:space="preserve"> 1,392,000</w:t>
            </w:r>
            <w:r>
              <w:rPr>
                <w:rFonts w:ascii="Arial" w:cs="Arial" w:eastAsia="Arial" w:hAnsi="Arial"/>
                <w:sz w:val="17"/>
                <w:szCs w:val="17"/>
                <w:b w:val="1"/>
                <w:bCs w:val="1"/>
                <w:color w:val="auto"/>
              </w:rPr>
              <w:t>​</w:t>
            </w:r>
            <w:r>
              <w:rPr>
                <w:rFonts w:ascii="Arial" w:cs="Arial" w:eastAsia="Arial" w:hAnsi="Arial"/>
                <w:sz w:val="17"/>
                <w:szCs w:val="17"/>
                <w:color w:val="auto"/>
              </w:rPr>
              <w:t>2,320,000</w:t>
            </w:r>
            <w:r>
              <w:rPr>
                <w:rFonts w:ascii="Arial" w:cs="Arial" w:eastAsia="Arial" w:hAnsi="Arial"/>
                <w:sz w:val="17"/>
                <w:szCs w:val="17"/>
                <w:b w:val="1"/>
                <w:bCs w:val="1"/>
                <w:color w:val="auto"/>
              </w:rPr>
              <w:t>​</w:t>
            </w:r>
            <w:r>
              <w:rPr>
                <w:rFonts w:ascii="Arial" w:cs="Arial" w:eastAsia="Arial" w:hAnsi="Arial"/>
                <w:sz w:val="17"/>
                <w:szCs w:val="17"/>
                <w:color w:val="auto"/>
              </w:rPr>
              <w:t>4,640,000​</w:t>
            </w:r>
          </w:p>
        </w:tc>
        <w:tc>
          <w:tcPr>
            <w:tcW w:w="120" w:type="dxa"/>
            <w:vAlign w:val="bottom"/>
            <w:tcBorders>
              <w:bottom w:val="single" w:sz="8" w:color="457157"/>
            </w:tcBorders>
          </w:tcPr>
          <w:p>
            <w:pPr>
              <w:ind w:left="40"/>
              <w:spacing w:after="0" w:line="169"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4"/>
                <w:szCs w:val="14"/>
                <w:color w:val="auto"/>
              </w:rPr>
            </w:pPr>
          </w:p>
        </w:tc>
        <w:tc>
          <w:tcPr>
            <w:tcW w:w="220" w:type="dxa"/>
            <w:vAlign w:val="bottom"/>
            <w:tcBorders>
              <w:bottom w:val="single" w:sz="8" w:color="457157"/>
            </w:tcBorders>
          </w:tcPr>
          <w:p>
            <w:pPr>
              <w:jc w:val="right"/>
              <w:spacing w:after="0" w:line="169"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line="169"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457157"/>
            </w:tcBorders>
          </w:tcPr>
          <w:p>
            <w:pPr>
              <w:ind w:left="20"/>
              <w:spacing w:after="0" w:line="169"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tcPr>
          <w:p>
            <w:pPr>
              <w:jc w:val="right"/>
              <w:spacing w:after="0" w:line="169" w:lineRule="exact"/>
              <w:rPr>
                <w:sz w:val="20"/>
                <w:szCs w:val="20"/>
                <w:color w:val="auto"/>
              </w:rPr>
            </w:pPr>
            <w:r>
              <w:rPr>
                <w:rFonts w:ascii="Arial" w:cs="Arial" w:eastAsia="Arial" w:hAnsi="Arial"/>
                <w:sz w:val="17"/>
                <w:szCs w:val="17"/>
                <w:color w:val="auto"/>
              </w:rPr>
              <w:t>​ ​​</w:t>
            </w:r>
          </w:p>
        </w:tc>
        <w:tc>
          <w:tcPr>
            <w:tcW w:w="720" w:type="dxa"/>
            <w:vAlign w:val="bottom"/>
            <w:tcBorders>
              <w:bottom w:val="single" w:sz="8" w:color="457157"/>
            </w:tcBorders>
          </w:tcPr>
          <w:p>
            <w:pPr>
              <w:jc w:val="center"/>
              <w:spacing w:after="0" w:line="169"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40"/>
              <w:spacing w:after="0" w:line="169"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457157"/>
            </w:tcBorders>
          </w:tcPr>
          <w:p>
            <w:pPr>
              <w:ind w:left="120"/>
              <w:spacing w:after="0" w:line="169"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tcPr>
          <w:p>
            <w:pPr>
              <w:ind w:left="520"/>
              <w:spacing w:after="0" w:line="169"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ind w:left="40"/>
              <w:spacing w:after="0" w:line="169"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line="169"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80" w:type="dxa"/>
            <w:vAlign w:val="bottom"/>
            <w:tcBorders>
              <w:bottom w:val="single" w:sz="8" w:color="457157"/>
            </w:tcBorders>
          </w:tcPr>
          <w:p>
            <w:pPr>
              <w:spacing w:after="0"/>
              <w:rPr>
                <w:sz w:val="14"/>
                <w:szCs w:val="14"/>
                <w:color w:val="auto"/>
              </w:rPr>
            </w:pPr>
          </w:p>
        </w:tc>
        <w:tc>
          <w:tcPr>
            <w:tcW w:w="120" w:type="dxa"/>
            <w:vAlign w:val="bottom"/>
            <w:tcBorders>
              <w:bottom w:val="single" w:sz="8" w:color="457157"/>
            </w:tcBorders>
          </w:tcPr>
          <w:p>
            <w:pPr>
              <w:jc w:val="right"/>
              <w:spacing w:after="0" w:line="169"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60" w:type="dxa"/>
            <w:vAlign w:val="bottom"/>
            <w:tcBorders>
              <w:bottom w:val="single" w:sz="8" w:color="457157"/>
            </w:tcBorders>
          </w:tcPr>
          <w:p>
            <w:pPr>
              <w:spacing w:after="0"/>
              <w:rPr>
                <w:sz w:val="14"/>
                <w:szCs w:val="14"/>
                <w:color w:val="auto"/>
              </w:rPr>
            </w:pPr>
          </w:p>
        </w:tc>
        <w:tc>
          <w:tcPr>
            <w:tcW w:w="40" w:type="dxa"/>
            <w:vAlign w:val="bottom"/>
          </w:tcPr>
          <w:p>
            <w:pPr>
              <w:jc w:val="right"/>
              <w:spacing w:after="0" w:line="16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9"/>
        </w:trPr>
        <w:tc>
          <w:tcPr>
            <w:tcW w:w="100" w:type="dxa"/>
            <w:vAlign w:val="bottom"/>
            <w:tcBorders>
              <w:bottom w:val="single" w:sz="8" w:color="457157"/>
            </w:tcBorders>
            <w:shd w:val="clear" w:color="auto" w:fill="CCEEFF"/>
          </w:tcPr>
          <w:p>
            <w:pPr>
              <w:spacing w:after="0" w:line="169"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457157"/>
            </w:tcBorders>
            <w:gridSpan w:val="3"/>
            <w:shd w:val="clear" w:color="auto" w:fill="CCEEFF"/>
          </w:tcPr>
          <w:p>
            <w:pPr>
              <w:jc w:val="right"/>
              <w:ind w:right="457"/>
              <w:spacing w:after="0" w:line="169" w:lineRule="exact"/>
              <w:rPr>
                <w:sz w:val="20"/>
                <w:szCs w:val="20"/>
                <w:color w:val="auto"/>
              </w:rPr>
            </w:pPr>
            <w:r>
              <w:rPr>
                <w:rFonts w:ascii="Arial" w:cs="Arial" w:eastAsia="Arial" w:hAnsi="Arial"/>
                <w:sz w:val="17"/>
                <w:szCs w:val="17"/>
                <w:color w:val="auto"/>
              </w:rPr>
              <w:t>3/1/24</w:t>
            </w:r>
          </w:p>
        </w:tc>
        <w:tc>
          <w:tcPr>
            <w:tcW w:w="120" w:type="dxa"/>
            <w:vAlign w:val="bottom"/>
            <w:tcBorders>
              <w:bottom w:val="single" w:sz="8" w:color="457157"/>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457157"/>
            </w:tcBorders>
            <w:shd w:val="clear" w:color="auto" w:fill="CCEEFF"/>
          </w:tcPr>
          <w:p>
            <w:pPr>
              <w:jc w:val="right"/>
              <w:spacing w:after="0" w:line="169" w:lineRule="exact"/>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457157"/>
            </w:tcBorders>
            <w:shd w:val="clear" w:color="auto" w:fill="CCEEFF"/>
          </w:tcPr>
          <w:p>
            <w:pPr>
              <w:jc w:val="right"/>
              <w:ind w:right="200"/>
              <w:spacing w:after="0" w:line="169"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line="169" w:lineRule="exact"/>
              <w:rPr>
                <w:sz w:val="20"/>
                <w:szCs w:val="20"/>
                <w:color w:val="auto"/>
              </w:rPr>
            </w:pPr>
            <w:r>
              <w:rPr>
                <w:rFonts w:ascii="Arial" w:cs="Arial" w:eastAsia="Arial" w:hAnsi="Arial"/>
                <w:sz w:val="17"/>
                <w:szCs w:val="17"/>
                <w:color w:val="auto"/>
              </w:rPr>
              <w:t>​</w:t>
            </w:r>
          </w:p>
        </w:tc>
        <w:tc>
          <w:tcPr>
            <w:tcW w:w="640" w:type="dxa"/>
            <w:vAlign w:val="bottom"/>
            <w:tcBorders>
              <w:bottom w:val="single" w:sz="8" w:color="457157"/>
            </w:tcBorders>
            <w:gridSpan w:val="2"/>
            <w:shd w:val="clear" w:color="auto" w:fill="CCEEFF"/>
          </w:tcPr>
          <w:p>
            <w:pPr>
              <w:ind w:left="40"/>
              <w:spacing w:after="0" w:line="169" w:lineRule="exact"/>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20,103</w:t>
            </w:r>
          </w:p>
        </w:tc>
        <w:tc>
          <w:tcPr>
            <w:tcW w:w="720" w:type="dxa"/>
            <w:vAlign w:val="bottom"/>
            <w:tcBorders>
              <w:bottom w:val="single" w:sz="8" w:color="457157"/>
            </w:tcBorders>
            <w:gridSpan w:val="2"/>
            <w:shd w:val="clear" w:color="auto" w:fill="CCEEFF"/>
          </w:tcPr>
          <w:p>
            <w:pPr>
              <w:jc w:val="right"/>
              <w:spacing w:after="0" w:line="169"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40,206​</w:t>
            </w:r>
          </w:p>
        </w:tc>
        <w:tc>
          <w:tcPr>
            <w:tcW w:w="620" w:type="dxa"/>
            <w:vAlign w:val="bottom"/>
            <w:tcBorders>
              <w:bottom w:val="single" w:sz="8" w:color="457157"/>
            </w:tcBorders>
            <w:shd w:val="clear" w:color="auto" w:fill="CCEEFF"/>
          </w:tcPr>
          <w:p>
            <w:pPr>
              <w:ind w:left="20"/>
              <w:spacing w:after="0" w:line="169" w:lineRule="exact"/>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80,412</w:t>
            </w:r>
          </w:p>
        </w:tc>
        <w:tc>
          <w:tcPr>
            <w:tcW w:w="200" w:type="dxa"/>
            <w:vAlign w:val="bottom"/>
            <w:tcBorders>
              <w:bottom w:val="single" w:sz="8" w:color="457157"/>
            </w:tcBorders>
            <w:gridSpan w:val="2"/>
            <w:shd w:val="clear" w:color="auto" w:fill="CCEEFF"/>
          </w:tcPr>
          <w:p>
            <w:pPr>
              <w:jc w:val="right"/>
              <w:spacing w:after="0" w:line="169"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457157"/>
            </w:tcBorders>
            <w:shd w:val="clear" w:color="auto" w:fill="CCEEFF"/>
          </w:tcPr>
          <w:p>
            <w:pPr>
              <w:jc w:val="center"/>
              <w:spacing w:after="0" w:line="169"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shd w:val="clear" w:color="auto" w:fill="CCEEFF"/>
          </w:tcPr>
          <w:p>
            <w:pPr>
              <w:ind w:left="40"/>
              <w:spacing w:after="0" w:line="169"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457157"/>
            </w:tcBorders>
            <w:shd w:val="clear" w:color="auto" w:fill="CCEEFF"/>
          </w:tcPr>
          <w:p>
            <w:pPr>
              <w:ind w:left="120"/>
              <w:spacing w:after="0" w:line="169"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shd w:val="clear" w:color="auto" w:fill="CCEEFF"/>
          </w:tcPr>
          <w:p>
            <w:pPr>
              <w:ind w:left="520"/>
              <w:spacing w:after="0" w:line="169"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ind w:left="40"/>
              <w:spacing w:after="0" w:line="169"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line="169"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80" w:type="dxa"/>
            <w:vAlign w:val="bottom"/>
            <w:tcBorders>
              <w:bottom w:val="single" w:sz="8" w:color="457157"/>
            </w:tcBorders>
            <w:shd w:val="clear" w:color="auto" w:fill="CCEEFF"/>
          </w:tcPr>
          <w:p>
            <w:pPr>
              <w:spacing w:after="0"/>
              <w:rPr>
                <w:sz w:val="14"/>
                <w:szCs w:val="14"/>
                <w:color w:val="auto"/>
              </w:rPr>
            </w:pPr>
          </w:p>
        </w:tc>
        <w:tc>
          <w:tcPr>
            <w:tcW w:w="880" w:type="dxa"/>
            <w:vAlign w:val="bottom"/>
            <w:tcBorders>
              <w:bottom w:val="single" w:sz="8" w:color="457157"/>
            </w:tcBorders>
            <w:gridSpan w:val="2"/>
            <w:shd w:val="clear" w:color="auto" w:fill="CCEEFF"/>
          </w:tcPr>
          <w:p>
            <w:pPr>
              <w:jc w:val="right"/>
              <w:spacing w:after="0" w:line="169"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10,292,103​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0" w:type="dxa"/>
            <w:vAlign w:val="bottom"/>
            <w:tcBorders>
              <w:bottom w:val="single" w:sz="8" w:color="457157"/>
            </w:tcBorders>
          </w:tcPr>
          <w:p>
            <w:pPr>
              <w:spacing w:after="0" w:line="169"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457157"/>
            </w:tcBorders>
            <w:gridSpan w:val="3"/>
          </w:tcPr>
          <w:p>
            <w:pPr>
              <w:jc w:val="right"/>
              <w:ind w:right="457"/>
              <w:spacing w:after="0" w:line="169" w:lineRule="exact"/>
              <w:rPr>
                <w:sz w:val="20"/>
                <w:szCs w:val="20"/>
                <w:color w:val="auto"/>
              </w:rPr>
            </w:pPr>
            <w:r>
              <w:rPr>
                <w:rFonts w:ascii="Arial" w:cs="Arial" w:eastAsia="Arial" w:hAnsi="Arial"/>
                <w:sz w:val="17"/>
                <w:szCs w:val="17"/>
                <w:color w:val="auto"/>
              </w:rPr>
              <w:t>3/1/24</w:t>
            </w:r>
          </w:p>
        </w:tc>
        <w:tc>
          <w:tcPr>
            <w:tcW w:w="120" w:type="dxa"/>
            <w:vAlign w:val="bottom"/>
            <w:tcBorders>
              <w:bottom w:val="single" w:sz="8" w:color="457157"/>
            </w:tcBorders>
          </w:tcPr>
          <w:p>
            <w:pPr>
              <w:spacing w:after="0" w:line="169"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457157"/>
            </w:tcBorders>
          </w:tcPr>
          <w:p>
            <w:pPr>
              <w:jc w:val="right"/>
              <w:spacing w:after="0" w:line="169" w:lineRule="exact"/>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457157"/>
            </w:tcBorders>
          </w:tcPr>
          <w:p>
            <w:pPr>
              <w:jc w:val="right"/>
              <w:ind w:right="200"/>
              <w:spacing w:after="0" w:line="169"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line="169"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ind w:left="40"/>
              <w:spacing w:after="0" w:line="169"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4"/>
                <w:szCs w:val="14"/>
                <w:color w:val="auto"/>
              </w:rPr>
            </w:pPr>
          </w:p>
        </w:tc>
        <w:tc>
          <w:tcPr>
            <w:tcW w:w="220" w:type="dxa"/>
            <w:vAlign w:val="bottom"/>
            <w:tcBorders>
              <w:bottom w:val="single" w:sz="8" w:color="457157"/>
            </w:tcBorders>
          </w:tcPr>
          <w:p>
            <w:pPr>
              <w:jc w:val="right"/>
              <w:spacing w:after="0" w:line="169"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line="169"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457157"/>
            </w:tcBorders>
          </w:tcPr>
          <w:p>
            <w:pPr>
              <w:ind w:left="20"/>
              <w:spacing w:after="0" w:line="169"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tcPr>
          <w:p>
            <w:pPr>
              <w:jc w:val="right"/>
              <w:spacing w:after="0" w:line="169" w:lineRule="exact"/>
              <w:rPr>
                <w:sz w:val="20"/>
                <w:szCs w:val="20"/>
                <w:color w:val="auto"/>
              </w:rPr>
            </w:pPr>
            <w:r>
              <w:rPr>
                <w:rFonts w:ascii="Arial" w:cs="Arial" w:eastAsia="Arial" w:hAnsi="Arial"/>
                <w:sz w:val="17"/>
                <w:szCs w:val="17"/>
                <w:color w:val="auto"/>
              </w:rPr>
              <w:t>​ ​​</w:t>
            </w:r>
          </w:p>
        </w:tc>
        <w:tc>
          <w:tcPr>
            <w:tcW w:w="720" w:type="dxa"/>
            <w:vAlign w:val="bottom"/>
            <w:tcBorders>
              <w:bottom w:val="single" w:sz="8" w:color="457157"/>
            </w:tcBorders>
          </w:tcPr>
          <w:p>
            <w:pPr>
              <w:jc w:val="center"/>
              <w:spacing w:after="0" w:line="169"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40"/>
              <w:spacing w:after="0" w:line="169"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457157"/>
            </w:tcBorders>
            <w:gridSpan w:val="2"/>
          </w:tcPr>
          <w:p>
            <w:pPr>
              <w:ind w:left="120"/>
              <w:spacing w:after="0" w:line="169" w:lineRule="exact"/>
              <w:rPr>
                <w:sz w:val="20"/>
                <w:szCs w:val="20"/>
                <w:color w:val="auto"/>
              </w:rPr>
            </w:pPr>
            <w:r>
              <w:rPr>
                <w:rFonts w:ascii="Arial" w:cs="Arial" w:eastAsia="Arial" w:hAnsi="Arial"/>
                <w:sz w:val="17"/>
                <w:szCs w:val="17"/>
                <w:color w:val="auto"/>
              </w:rPr>
              <w:t>​45,349</w:t>
            </w:r>
          </w:p>
        </w:tc>
        <w:tc>
          <w:tcPr>
            <w:tcW w:w="840" w:type="dxa"/>
            <w:vAlign w:val="bottom"/>
            <w:tcBorders>
              <w:bottom w:val="single" w:sz="8" w:color="457157"/>
            </w:tcBorders>
            <w:gridSpan w:val="2"/>
          </w:tcPr>
          <w:p>
            <w:pPr>
              <w:jc w:val="right"/>
              <w:spacing w:after="0" w:line="169"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204.7585​</w:t>
            </w:r>
            <w:r>
              <w:rPr>
                <w:rFonts w:ascii="Arial" w:cs="Arial" w:eastAsia="Arial" w:hAnsi="Arial"/>
                <w:sz w:val="17"/>
                <w:szCs w:val="17"/>
                <w:b w:val="1"/>
                <w:bCs w:val="1"/>
                <w:color w:val="auto"/>
              </w:rPr>
              <w:t>​</w:t>
            </w:r>
          </w:p>
        </w:tc>
        <w:tc>
          <w:tcPr>
            <w:tcW w:w="1460" w:type="dxa"/>
            <w:vAlign w:val="bottom"/>
            <w:tcBorders>
              <w:bottom w:val="single" w:sz="8" w:color="457157"/>
            </w:tcBorders>
            <w:gridSpan w:val="3"/>
          </w:tcPr>
          <w:p>
            <w:pPr>
              <w:jc w:val="right"/>
              <w:spacing w:after="0" w:line="169" w:lineRule="exact"/>
              <w:rPr>
                <w:sz w:val="20"/>
                <w:szCs w:val="20"/>
                <w:color w:val="auto"/>
              </w:rPr>
            </w:pPr>
            <w:r>
              <w:rPr>
                <w:rFonts w:ascii="Arial" w:cs="Arial" w:eastAsia="Arial" w:hAnsi="Arial"/>
                <w:sz w:val="17"/>
                <w:szCs w:val="17"/>
                <w:color w:val="auto"/>
              </w:rPr>
              <w:t xml:space="preserve">205.79 </w:t>
            </w:r>
            <w:r>
              <w:rPr>
                <w:rFonts w:ascii="Arial" w:cs="Arial" w:eastAsia="Arial" w:hAnsi="Arial"/>
                <w:sz w:val="17"/>
                <w:szCs w:val="17"/>
                <w:b w:val="1"/>
                <w:bCs w:val="1"/>
                <w:color w:val="auto"/>
              </w:rPr>
              <w:t>​</w:t>
            </w:r>
            <w:r>
              <w:rPr>
                <w:rFonts w:ascii="Arial" w:cs="Arial" w:eastAsia="Arial" w:hAnsi="Arial"/>
                <w:sz w:val="17"/>
                <w:szCs w:val="17"/>
                <w:color w:val="auto"/>
              </w:rPr>
              <w:t xml:space="preserve"> 1,950,007​</w:t>
            </w:r>
          </w:p>
        </w:tc>
        <w:tc>
          <w:tcPr>
            <w:tcW w:w="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69"/>
        </w:trPr>
        <w:tc>
          <w:tcPr>
            <w:tcW w:w="600" w:type="dxa"/>
            <w:vAlign w:val="bottom"/>
            <w:tcBorders>
              <w:bottom w:val="single" w:sz="8" w:color="457157"/>
            </w:tcBorders>
            <w:gridSpan w:val="3"/>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Devina​</w:t>
            </w:r>
          </w:p>
        </w:tc>
        <w:tc>
          <w:tcPr>
            <w:tcW w:w="1560" w:type="dxa"/>
            <w:vAlign w:val="bottom"/>
            <w:tcBorders>
              <w:bottom w:val="single" w:sz="8" w:color="457157"/>
            </w:tcBorders>
            <w:gridSpan w:val="3"/>
            <w:shd w:val="clear" w:color="auto" w:fill="CCEEFF"/>
          </w:tcPr>
          <w:p>
            <w:pPr>
              <w:jc w:val="right"/>
              <w:ind w:right="601"/>
              <w:spacing w:after="0" w:line="169" w:lineRule="exact"/>
              <w:rPr>
                <w:sz w:val="20"/>
                <w:szCs w:val="20"/>
                <w:color w:val="auto"/>
              </w:rPr>
            </w:pPr>
            <w:r>
              <w:rPr>
                <w:rFonts w:ascii="Arial" w:cs="Arial" w:eastAsia="Arial" w:hAnsi="Arial"/>
                <w:sz w:val="17"/>
                <w:szCs w:val="17"/>
                <w:b w:val="1"/>
                <w:bCs w:val="1"/>
                <w:color w:val="auto"/>
              </w:rPr>
              <w:t>A. Rankin</w:t>
            </w:r>
          </w:p>
        </w:tc>
        <w:tc>
          <w:tcPr>
            <w:tcW w:w="980" w:type="dxa"/>
            <w:vAlign w:val="bottom"/>
            <w:tcBorders>
              <w:bottom w:val="single" w:sz="8" w:color="457157"/>
            </w:tcBorders>
            <w:shd w:val="clear" w:color="auto" w:fill="CCEEFF"/>
          </w:tcPr>
          <w:p>
            <w:pPr>
              <w:jc w:val="right"/>
              <w:ind w:right="200"/>
              <w:spacing w:after="0" w:line="169"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line="169" w:lineRule="exact"/>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shd w:val="clear" w:color="auto" w:fill="CCEEFF"/>
          </w:tcPr>
          <w:p>
            <w:pPr>
              <w:ind w:left="40"/>
              <w:spacing w:after="0" w:line="169"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4"/>
                <w:szCs w:val="14"/>
                <w:color w:val="auto"/>
              </w:rPr>
            </w:pPr>
          </w:p>
        </w:tc>
        <w:tc>
          <w:tcPr>
            <w:tcW w:w="220" w:type="dxa"/>
            <w:vAlign w:val="bottom"/>
            <w:tcBorders>
              <w:bottom w:val="single" w:sz="8" w:color="457157"/>
            </w:tcBorders>
            <w:shd w:val="clear" w:color="auto" w:fill="CCEEFF"/>
          </w:tcPr>
          <w:p>
            <w:pPr>
              <w:jc w:val="right"/>
              <w:spacing w:after="0" w:line="169" w:lineRule="exact"/>
              <w:rPr>
                <w:sz w:val="20"/>
                <w:szCs w:val="20"/>
                <w:color w:val="auto"/>
              </w:rPr>
            </w:pPr>
            <w:r>
              <w:rPr>
                <w:rFonts w:ascii="Arial" w:cs="Arial" w:eastAsia="Arial" w:hAnsi="Arial"/>
                <w:sz w:val="17"/>
                <w:szCs w:val="17"/>
                <w:b w:val="1"/>
                <w:bCs w:val="1"/>
                <w:color w:val="auto"/>
              </w:rPr>
              <w:t>​ ​​</w:t>
            </w:r>
          </w:p>
        </w:tc>
        <w:tc>
          <w:tcPr>
            <w:tcW w:w="500" w:type="dxa"/>
            <w:vAlign w:val="bottom"/>
            <w:tcBorders>
              <w:bottom w:val="single" w:sz="8" w:color="457157"/>
            </w:tcBorders>
            <w:shd w:val="clear" w:color="auto" w:fill="CCEEFF"/>
          </w:tcPr>
          <w:p>
            <w:pPr>
              <w:jc w:val="right"/>
              <w:spacing w:after="0" w:line="169" w:lineRule="exact"/>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457157"/>
            </w:tcBorders>
            <w:shd w:val="clear" w:color="auto" w:fill="CCEEFF"/>
          </w:tcPr>
          <w:p>
            <w:pPr>
              <w:ind w:left="20"/>
              <w:spacing w:after="0" w:line="169"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shd w:val="clear" w:color="auto" w:fill="CCEEFF"/>
          </w:tcPr>
          <w:p>
            <w:pPr>
              <w:jc w:val="right"/>
              <w:spacing w:after="0" w:line="169" w:lineRule="exact"/>
              <w:rPr>
                <w:sz w:val="20"/>
                <w:szCs w:val="20"/>
                <w:color w:val="auto"/>
              </w:rPr>
            </w:pPr>
            <w:r>
              <w:rPr>
                <w:rFonts w:ascii="Arial" w:cs="Arial" w:eastAsia="Arial" w:hAnsi="Arial"/>
                <w:sz w:val="17"/>
                <w:szCs w:val="17"/>
                <w:b w:val="1"/>
                <w:bCs w:val="1"/>
                <w:color w:val="auto"/>
              </w:rPr>
              <w:t>​ ​​</w:t>
            </w:r>
          </w:p>
        </w:tc>
        <w:tc>
          <w:tcPr>
            <w:tcW w:w="720" w:type="dxa"/>
            <w:vAlign w:val="bottom"/>
            <w:tcBorders>
              <w:bottom w:val="single" w:sz="8" w:color="457157"/>
            </w:tcBorders>
            <w:shd w:val="clear" w:color="auto" w:fill="CCEEFF"/>
          </w:tcPr>
          <w:p>
            <w:pPr>
              <w:jc w:val="center"/>
              <w:spacing w:after="0" w:line="169" w:lineRule="exact"/>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457157"/>
            </w:tcBorders>
            <w:shd w:val="clear" w:color="auto" w:fill="CCEEFF"/>
          </w:tcPr>
          <w:p>
            <w:pPr>
              <w:ind w:left="40"/>
              <w:spacing w:after="0" w:line="169" w:lineRule="exact"/>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457157"/>
            </w:tcBorders>
            <w:shd w:val="clear" w:color="auto" w:fill="CCEEFF"/>
          </w:tcPr>
          <w:p>
            <w:pPr>
              <w:ind w:left="120"/>
              <w:spacing w:after="0" w:line="169" w:lineRule="exact"/>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457157"/>
            </w:tcBorders>
            <w:shd w:val="clear" w:color="auto" w:fill="CCEEFF"/>
          </w:tcPr>
          <w:p>
            <w:pPr>
              <w:ind w:left="520"/>
              <w:spacing w:after="0" w:line="169" w:lineRule="exact"/>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shd w:val="clear" w:color="auto" w:fill="CCEEFF"/>
          </w:tcPr>
          <w:p>
            <w:pPr>
              <w:ind w:left="40"/>
              <w:spacing w:after="0" w:line="169" w:lineRule="exact"/>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line="169" w:lineRule="exact"/>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457157"/>
            </w:tcBorders>
            <w:shd w:val="clear" w:color="auto" w:fill="CCEEFF"/>
          </w:tcPr>
          <w:p>
            <w:pPr>
              <w:spacing w:after="0"/>
              <w:rPr>
                <w:sz w:val="14"/>
                <w:szCs w:val="14"/>
                <w:color w:val="auto"/>
              </w:rPr>
            </w:pPr>
          </w:p>
        </w:tc>
        <w:tc>
          <w:tcPr>
            <w:tcW w:w="120" w:type="dxa"/>
            <w:vAlign w:val="bottom"/>
            <w:tcBorders>
              <w:bottom w:val="single" w:sz="8" w:color="457157"/>
            </w:tcBorders>
            <w:shd w:val="clear" w:color="auto" w:fill="CCEEFF"/>
          </w:tcPr>
          <w:p>
            <w:pPr>
              <w:jc w:val="right"/>
              <w:spacing w:after="0" w:line="169" w:lineRule="exact"/>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457157"/>
            </w:tcBorders>
            <w:shd w:val="clear" w:color="auto" w:fill="CCEEFF"/>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20" w:type="dxa"/>
            <w:vAlign w:val="bottom"/>
            <w:tcBorders>
              <w:bottom w:val="single" w:sz="8" w:color="457157"/>
            </w:tcBorders>
            <w:gridSpan w:val="2"/>
          </w:tcPr>
          <w:p>
            <w:pPr>
              <w:spacing w:after="0" w:line="183" w:lineRule="exact"/>
              <w:rPr>
                <w:sz w:val="20"/>
                <w:szCs w:val="20"/>
                <w:color w:val="auto"/>
              </w:rPr>
            </w:pPr>
            <w:r>
              <w:rPr>
                <w:rFonts w:ascii="Arial" w:cs="Arial" w:eastAsia="Arial" w:hAnsi="Arial"/>
                <w:sz w:val="17"/>
                <w:szCs w:val="17"/>
                <w:color w:val="auto"/>
              </w:rPr>
              <w:t>Cash​</w:t>
            </w:r>
          </w:p>
        </w:tc>
        <w:tc>
          <w:tcPr>
            <w:tcW w:w="920" w:type="dxa"/>
            <w:vAlign w:val="bottom"/>
            <w:tcBorders>
              <w:bottom w:val="single" w:sz="8" w:color="457157"/>
            </w:tcBorders>
            <w:gridSpan w:val="3"/>
          </w:tcPr>
          <w:p>
            <w:pPr>
              <w:ind w:left="60"/>
              <w:spacing w:after="0" w:line="183" w:lineRule="exact"/>
              <w:rPr>
                <w:sz w:val="20"/>
                <w:szCs w:val="20"/>
                <w:color w:val="auto"/>
              </w:rPr>
            </w:pPr>
            <w:r>
              <w:rPr>
                <w:rFonts w:ascii="Arial" w:cs="Arial" w:eastAsia="Arial" w:hAnsi="Arial"/>
                <w:sz w:val="17"/>
                <w:szCs w:val="17"/>
                <w:color w:val="auto"/>
              </w:rPr>
              <w:t xml:space="preserve">Incentive </w:t>
            </w:r>
            <w:r>
              <w:rPr>
                <w:rFonts w:ascii="Arial" w:cs="Arial" w:eastAsia="Arial" w:hAnsi="Arial"/>
                <w:sz w:val="17"/>
                <w:szCs w:val="17"/>
                <w:b w:val="1"/>
                <w:bCs w:val="1"/>
                <w:color w:val="auto"/>
              </w:rPr>
              <w:t>​</w:t>
            </w:r>
          </w:p>
        </w:tc>
        <w:tc>
          <w:tcPr>
            <w:tcW w:w="8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478,980</w:t>
            </w:r>
            <w:r>
              <w:rPr>
                <w:rFonts w:ascii="Arial" w:cs="Arial" w:eastAsia="Arial" w:hAnsi="Arial"/>
                <w:sz w:val="17"/>
                <w:szCs w:val="17"/>
                <w:b w:val="1"/>
                <w:bCs w:val="1"/>
                <w:color w:val="auto"/>
              </w:rPr>
              <w:t>​</w:t>
            </w:r>
          </w:p>
        </w:tc>
        <w:tc>
          <w:tcPr>
            <w:tcW w:w="148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color w:val="auto"/>
              </w:rPr>
              <w:t>798,300</w:t>
            </w:r>
            <w:r>
              <w:rPr>
                <w:rFonts w:ascii="Arial" w:cs="Arial" w:eastAsia="Arial" w:hAnsi="Arial"/>
                <w:sz w:val="17"/>
                <w:szCs w:val="17"/>
                <w:b w:val="1"/>
                <w:bCs w:val="1"/>
                <w:color w:val="auto"/>
              </w:rPr>
              <w:t>​</w:t>
            </w:r>
            <w:r>
              <w:rPr>
                <w:rFonts w:ascii="Arial" w:cs="Arial" w:eastAsia="Arial" w:hAnsi="Arial"/>
                <w:sz w:val="17"/>
                <w:szCs w:val="17"/>
                <w:color w:val="auto"/>
              </w:rPr>
              <w:t>1,596,600​</w:t>
            </w:r>
          </w:p>
        </w:tc>
        <w:tc>
          <w:tcPr>
            <w:tcW w:w="12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5"/>
                <w:szCs w:val="15"/>
                <w:color w:val="auto"/>
              </w:rPr>
            </w:pPr>
          </w:p>
        </w:tc>
        <w:tc>
          <w:tcPr>
            <w:tcW w:w="2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color w:val="auto"/>
              </w:rPr>
              <w:t>​ ​​</w:t>
            </w:r>
          </w:p>
        </w:tc>
        <w:tc>
          <w:tcPr>
            <w:tcW w:w="720" w:type="dxa"/>
            <w:vAlign w:val="bottom"/>
            <w:tcBorders>
              <w:bottom w:val="single" w:sz="8" w:color="457157"/>
            </w:tcBorders>
          </w:tcPr>
          <w:p>
            <w:pPr>
              <w:jc w:val="center"/>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457157"/>
            </w:tcBorders>
          </w:tcPr>
          <w:p>
            <w:pPr>
              <w:ind w:left="120"/>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tcPr>
          <w:p>
            <w:pPr>
              <w:ind w:left="520"/>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80" w:type="dxa"/>
            <w:vAlign w:val="bottom"/>
            <w:tcBorders>
              <w:bottom w:val="single" w:sz="8" w:color="457157"/>
            </w:tcBorders>
          </w:tcPr>
          <w:p>
            <w:pPr>
              <w:spacing w:after="0"/>
              <w:rPr>
                <w:sz w:val="15"/>
                <w:szCs w:val="15"/>
                <w:color w:val="auto"/>
              </w:rPr>
            </w:pPr>
          </w:p>
        </w:tc>
        <w:tc>
          <w:tcPr>
            <w:tcW w:w="1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60" w:type="dxa"/>
            <w:vAlign w:val="bottom"/>
            <w:tcBorders>
              <w:bottom w:val="single" w:sz="8" w:color="457157"/>
            </w:tcBorders>
          </w:tcPr>
          <w:p>
            <w:pPr>
              <w:spacing w:after="0"/>
              <w:rPr>
                <w:sz w:val="15"/>
                <w:szCs w:val="15"/>
                <w:color w:val="auto"/>
              </w:rPr>
            </w:pPr>
          </w:p>
        </w:tc>
        <w:tc>
          <w:tcPr>
            <w:tcW w:w="4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100" w:type="dxa"/>
            <w:vAlign w:val="bottom"/>
            <w:tcBorders>
              <w:bottom w:val="single" w:sz="8" w:color="457157"/>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457157"/>
            </w:tcBorders>
            <w:gridSpan w:val="3"/>
            <w:shd w:val="clear" w:color="auto" w:fill="CCEEFF"/>
          </w:tcPr>
          <w:p>
            <w:pPr>
              <w:jc w:val="right"/>
              <w:ind w:right="457"/>
              <w:spacing w:after="0" w:line="183" w:lineRule="exact"/>
              <w:rPr>
                <w:sz w:val="20"/>
                <w:szCs w:val="20"/>
                <w:color w:val="auto"/>
              </w:rPr>
            </w:pPr>
            <w:r>
              <w:rPr>
                <w:rFonts w:ascii="Arial" w:cs="Arial" w:eastAsia="Arial" w:hAnsi="Arial"/>
                <w:sz w:val="17"/>
                <w:szCs w:val="17"/>
                <w:color w:val="auto"/>
              </w:rPr>
              <w:t>3/1/24</w:t>
            </w:r>
          </w:p>
        </w:tc>
        <w:tc>
          <w:tcPr>
            <w:tcW w:w="120" w:type="dxa"/>
            <w:vAlign w:val="bottom"/>
            <w:tcBorders>
              <w:bottom w:val="single" w:sz="8" w:color="457157"/>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457157"/>
            </w:tcBorders>
            <w:shd w:val="clear" w:color="auto" w:fill="CCEEFF"/>
          </w:tcPr>
          <w:p>
            <w:pPr>
              <w:jc w:val="right"/>
              <w:ind w:right="200"/>
              <w:spacing w:after="0" w:line="183"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4,742</w:t>
            </w:r>
          </w:p>
        </w:tc>
        <w:tc>
          <w:tcPr>
            <w:tcW w:w="2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9,484​</w:t>
            </w:r>
          </w:p>
        </w:tc>
        <w:tc>
          <w:tcPr>
            <w:tcW w:w="62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18,968</w:t>
            </w:r>
          </w:p>
        </w:tc>
        <w:tc>
          <w:tcPr>
            <w:tcW w:w="200" w:type="dxa"/>
            <w:vAlign w:val="bottom"/>
            <w:tcBorders>
              <w:bottom w:val="single" w:sz="8" w:color="457157"/>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457157"/>
            </w:tcBorders>
            <w:shd w:val="clear" w:color="auto" w:fill="CCEEFF"/>
          </w:tcPr>
          <w:p>
            <w:pPr>
              <w:jc w:val="center"/>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457157"/>
            </w:tcBorders>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shd w:val="clear" w:color="auto" w:fill="CCEEFF"/>
          </w:tcPr>
          <w:p>
            <w:pPr>
              <w:ind w:left="520"/>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80" w:type="dxa"/>
            <w:vAlign w:val="bottom"/>
            <w:tcBorders>
              <w:bottom w:val="single" w:sz="8" w:color="457157"/>
            </w:tcBorders>
            <w:shd w:val="clear" w:color="auto" w:fill="CCEEFF"/>
          </w:tcPr>
          <w:p>
            <w:pPr>
              <w:spacing w:after="0"/>
              <w:rPr>
                <w:sz w:val="15"/>
                <w:szCs w:val="15"/>
                <w:color w:val="auto"/>
              </w:rPr>
            </w:pPr>
          </w:p>
        </w:tc>
        <w:tc>
          <w:tcPr>
            <w:tcW w:w="880" w:type="dxa"/>
            <w:vAlign w:val="bottom"/>
            <w:tcBorders>
              <w:bottom w:val="single" w:sz="8" w:color="457157"/>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2,427,755​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457157"/>
            </w:tcBorders>
          </w:tcPr>
          <w:p>
            <w:pPr>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457157"/>
            </w:tcBorders>
            <w:gridSpan w:val="3"/>
          </w:tcPr>
          <w:p>
            <w:pPr>
              <w:jc w:val="right"/>
              <w:ind w:right="457"/>
              <w:spacing w:after="0" w:line="183" w:lineRule="exact"/>
              <w:rPr>
                <w:sz w:val="20"/>
                <w:szCs w:val="20"/>
                <w:color w:val="auto"/>
              </w:rPr>
            </w:pPr>
            <w:r>
              <w:rPr>
                <w:rFonts w:ascii="Arial" w:cs="Arial" w:eastAsia="Arial" w:hAnsi="Arial"/>
                <w:sz w:val="17"/>
                <w:szCs w:val="17"/>
                <w:color w:val="auto"/>
              </w:rPr>
              <w:t>3/1/24</w:t>
            </w:r>
          </w:p>
        </w:tc>
        <w:tc>
          <w:tcPr>
            <w:tcW w:w="120" w:type="dxa"/>
            <w:vAlign w:val="bottom"/>
            <w:tcBorders>
              <w:bottom w:val="single" w:sz="8" w:color="457157"/>
            </w:tcBorders>
          </w:tcPr>
          <w:p>
            <w:pPr>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457157"/>
            </w:tcBorders>
          </w:tcPr>
          <w:p>
            <w:pPr>
              <w:jc w:val="right"/>
              <w:ind w:right="200"/>
              <w:spacing w:after="0" w:line="183"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5"/>
                <w:szCs w:val="15"/>
                <w:color w:val="auto"/>
              </w:rPr>
            </w:pPr>
          </w:p>
        </w:tc>
        <w:tc>
          <w:tcPr>
            <w:tcW w:w="2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color w:val="auto"/>
              </w:rPr>
              <w:t>​ ​​</w:t>
            </w:r>
          </w:p>
        </w:tc>
        <w:tc>
          <w:tcPr>
            <w:tcW w:w="720" w:type="dxa"/>
            <w:vAlign w:val="bottom"/>
            <w:tcBorders>
              <w:bottom w:val="single" w:sz="8" w:color="457157"/>
            </w:tcBorders>
          </w:tcPr>
          <w:p>
            <w:pPr>
              <w:jc w:val="center"/>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457157"/>
            </w:tcBorders>
            <w:gridSpan w:val="2"/>
          </w:tcPr>
          <w:p>
            <w:pPr>
              <w:ind w:left="120"/>
              <w:spacing w:after="0" w:line="183" w:lineRule="exact"/>
              <w:rPr>
                <w:sz w:val="20"/>
                <w:szCs w:val="20"/>
                <w:color w:val="auto"/>
              </w:rPr>
            </w:pPr>
            <w:r>
              <w:rPr>
                <w:rFonts w:ascii="Arial" w:cs="Arial" w:eastAsia="Arial" w:hAnsi="Arial"/>
                <w:sz w:val="17"/>
                <w:szCs w:val="17"/>
                <w:color w:val="auto"/>
              </w:rPr>
              <w:t>​10,698</w:t>
            </w:r>
          </w:p>
        </w:tc>
        <w:tc>
          <w:tcPr>
            <w:tcW w:w="84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204.7585​</w:t>
            </w:r>
            <w:r>
              <w:rPr>
                <w:rFonts w:ascii="Arial" w:cs="Arial" w:eastAsia="Arial" w:hAnsi="Arial"/>
                <w:sz w:val="17"/>
                <w:szCs w:val="17"/>
                <w:b w:val="1"/>
                <w:bCs w:val="1"/>
                <w:color w:val="auto"/>
              </w:rPr>
              <w:t>​</w:t>
            </w:r>
          </w:p>
        </w:tc>
        <w:tc>
          <w:tcPr>
            <w:tcW w:w="70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color w:val="auto"/>
              </w:rPr>
              <w:t xml:space="preserve">205.79 </w:t>
            </w:r>
            <w:r>
              <w:rPr>
                <w:rFonts w:ascii="Arial" w:cs="Arial" w:eastAsia="Arial" w:hAnsi="Arial"/>
                <w:sz w:val="17"/>
                <w:szCs w:val="17"/>
                <w:b w:val="1"/>
                <w:bCs w:val="1"/>
                <w:color w:val="auto"/>
              </w:rPr>
              <w:t>​</w:t>
            </w:r>
          </w:p>
        </w:tc>
        <w:tc>
          <w:tcPr>
            <w:tcW w:w="76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460,014​</w:t>
            </w:r>
          </w:p>
        </w:tc>
        <w:tc>
          <w:tcPr>
            <w:tcW w:w="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3"/>
        </w:trPr>
        <w:tc>
          <w:tcPr>
            <w:tcW w:w="420" w:type="dxa"/>
            <w:vAlign w:val="bottom"/>
            <w:tcBorders>
              <w:bottom w:val="single" w:sz="8" w:color="457157"/>
            </w:tcBorders>
            <w:gridSpan w:val="2"/>
            <w:shd w:val="clear" w:color="auto" w:fill="CCEEFF"/>
          </w:tcPr>
          <w:p>
            <w:pPr>
              <w:spacing w:after="0" w:line="183" w:lineRule="exact"/>
              <w:rPr>
                <w:sz w:val="20"/>
                <w:szCs w:val="20"/>
                <w:color w:val="auto"/>
              </w:rPr>
            </w:pPr>
            <w:r>
              <w:rPr>
                <w:rFonts w:ascii="Arial" w:cs="Arial" w:eastAsia="Arial" w:hAnsi="Arial"/>
                <w:sz w:val="17"/>
                <w:szCs w:val="17"/>
                <w:b w:val="1"/>
                <w:bCs w:val="1"/>
                <w:color w:val="auto"/>
                <w:w w:val="98"/>
              </w:rPr>
              <w:t>John​</w:t>
            </w:r>
          </w:p>
        </w:tc>
        <w:tc>
          <w:tcPr>
            <w:tcW w:w="1740" w:type="dxa"/>
            <w:vAlign w:val="bottom"/>
            <w:tcBorders>
              <w:bottom w:val="single" w:sz="8" w:color="457157"/>
            </w:tcBorders>
            <w:gridSpan w:val="4"/>
            <w:shd w:val="clear" w:color="auto" w:fill="CCEEFF"/>
          </w:tcPr>
          <w:p>
            <w:pPr>
              <w:ind w:left="60"/>
              <w:spacing w:after="0" w:line="183" w:lineRule="exact"/>
              <w:rPr>
                <w:sz w:val="20"/>
                <w:szCs w:val="20"/>
                <w:color w:val="auto"/>
              </w:rPr>
            </w:pPr>
            <w:r>
              <w:rPr>
                <w:rFonts w:ascii="Arial" w:cs="Arial" w:eastAsia="Arial" w:hAnsi="Arial"/>
                <w:sz w:val="17"/>
                <w:szCs w:val="17"/>
                <w:b w:val="1"/>
                <w:bCs w:val="1"/>
                <w:color w:val="auto"/>
              </w:rPr>
              <w:t>J. Morris, Jr.</w:t>
            </w:r>
          </w:p>
        </w:tc>
        <w:tc>
          <w:tcPr>
            <w:tcW w:w="980" w:type="dxa"/>
            <w:vAlign w:val="bottom"/>
            <w:tcBorders>
              <w:bottom w:val="single" w:sz="8" w:color="457157"/>
            </w:tcBorders>
            <w:shd w:val="clear" w:color="auto" w:fill="CCEEFF"/>
          </w:tcPr>
          <w:p>
            <w:pPr>
              <w:jc w:val="right"/>
              <w:ind w:right="200"/>
              <w:spacing w:after="0" w:line="183"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5"/>
                <w:szCs w:val="15"/>
                <w:color w:val="auto"/>
              </w:rPr>
            </w:pPr>
          </w:p>
        </w:tc>
        <w:tc>
          <w:tcPr>
            <w:tcW w:w="2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 ​​</w:t>
            </w:r>
          </w:p>
        </w:tc>
        <w:tc>
          <w:tcPr>
            <w:tcW w:w="50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 ​​</w:t>
            </w:r>
          </w:p>
        </w:tc>
        <w:tc>
          <w:tcPr>
            <w:tcW w:w="720" w:type="dxa"/>
            <w:vAlign w:val="bottom"/>
            <w:tcBorders>
              <w:bottom w:val="single" w:sz="8" w:color="457157"/>
            </w:tcBorders>
            <w:shd w:val="clear" w:color="auto" w:fill="CCEEFF"/>
          </w:tcPr>
          <w:p>
            <w:pPr>
              <w:jc w:val="center"/>
              <w:spacing w:after="0" w:line="183" w:lineRule="exact"/>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457157"/>
            </w:tcBorders>
            <w:shd w:val="clear" w:color="auto" w:fill="CCEEFF"/>
          </w:tcPr>
          <w:p>
            <w:pPr>
              <w:ind w:left="120"/>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457157"/>
            </w:tcBorders>
            <w:shd w:val="clear" w:color="auto" w:fill="CCEEFF"/>
          </w:tcPr>
          <w:p>
            <w:pPr>
              <w:ind w:left="520"/>
              <w:spacing w:after="0" w:line="183" w:lineRule="exact"/>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457157"/>
            </w:tcBorders>
            <w:shd w:val="clear" w:color="auto" w:fill="CCEEFF"/>
          </w:tcPr>
          <w:p>
            <w:pPr>
              <w:spacing w:after="0"/>
              <w:rPr>
                <w:sz w:val="15"/>
                <w:szCs w:val="15"/>
                <w:color w:val="auto"/>
              </w:rPr>
            </w:pPr>
          </w:p>
        </w:tc>
        <w:tc>
          <w:tcPr>
            <w:tcW w:w="1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457157"/>
            </w:tcBorders>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0" w:type="dxa"/>
            <w:vAlign w:val="bottom"/>
            <w:tcBorders>
              <w:bottom w:val="single" w:sz="8" w:color="457157"/>
            </w:tcBorders>
            <w:gridSpan w:val="2"/>
          </w:tcPr>
          <w:p>
            <w:pPr>
              <w:spacing w:after="0" w:line="183" w:lineRule="exact"/>
              <w:rPr>
                <w:sz w:val="20"/>
                <w:szCs w:val="20"/>
                <w:color w:val="auto"/>
              </w:rPr>
            </w:pPr>
            <w:r>
              <w:rPr>
                <w:rFonts w:ascii="Arial" w:cs="Arial" w:eastAsia="Arial" w:hAnsi="Arial"/>
                <w:sz w:val="17"/>
                <w:szCs w:val="17"/>
                <w:color w:val="auto"/>
              </w:rPr>
              <w:t>Cash​</w:t>
            </w:r>
          </w:p>
        </w:tc>
        <w:tc>
          <w:tcPr>
            <w:tcW w:w="920" w:type="dxa"/>
            <w:vAlign w:val="bottom"/>
            <w:tcBorders>
              <w:bottom w:val="single" w:sz="8" w:color="457157"/>
            </w:tcBorders>
            <w:gridSpan w:val="3"/>
          </w:tcPr>
          <w:p>
            <w:pPr>
              <w:ind w:left="60"/>
              <w:spacing w:after="0" w:line="183" w:lineRule="exact"/>
              <w:rPr>
                <w:sz w:val="20"/>
                <w:szCs w:val="20"/>
                <w:color w:val="auto"/>
              </w:rPr>
            </w:pPr>
            <w:r>
              <w:rPr>
                <w:rFonts w:ascii="Arial" w:cs="Arial" w:eastAsia="Arial" w:hAnsi="Arial"/>
                <w:sz w:val="17"/>
                <w:szCs w:val="17"/>
                <w:color w:val="auto"/>
              </w:rPr>
              <w:t xml:space="preserve">Incentive </w:t>
            </w:r>
            <w:r>
              <w:rPr>
                <w:rFonts w:ascii="Arial" w:cs="Arial" w:eastAsia="Arial" w:hAnsi="Arial"/>
                <w:sz w:val="17"/>
                <w:szCs w:val="17"/>
                <w:b w:val="1"/>
                <w:bCs w:val="1"/>
                <w:color w:val="auto"/>
              </w:rPr>
              <w:t>​</w:t>
            </w:r>
          </w:p>
        </w:tc>
        <w:tc>
          <w:tcPr>
            <w:tcW w:w="8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538,164</w:t>
            </w:r>
            <w:r>
              <w:rPr>
                <w:rFonts w:ascii="Arial" w:cs="Arial" w:eastAsia="Arial" w:hAnsi="Arial"/>
                <w:sz w:val="17"/>
                <w:szCs w:val="17"/>
                <w:b w:val="1"/>
                <w:bCs w:val="1"/>
                <w:color w:val="auto"/>
              </w:rPr>
              <w:t>​</w:t>
            </w:r>
          </w:p>
        </w:tc>
        <w:tc>
          <w:tcPr>
            <w:tcW w:w="148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color w:val="auto"/>
              </w:rPr>
              <w:t>896,940</w:t>
            </w:r>
            <w:r>
              <w:rPr>
                <w:rFonts w:ascii="Arial" w:cs="Arial" w:eastAsia="Arial" w:hAnsi="Arial"/>
                <w:sz w:val="17"/>
                <w:szCs w:val="17"/>
                <w:b w:val="1"/>
                <w:bCs w:val="1"/>
                <w:color w:val="auto"/>
              </w:rPr>
              <w:t>​</w:t>
            </w:r>
            <w:r>
              <w:rPr>
                <w:rFonts w:ascii="Arial" w:cs="Arial" w:eastAsia="Arial" w:hAnsi="Arial"/>
                <w:sz w:val="17"/>
                <w:szCs w:val="17"/>
                <w:color w:val="auto"/>
              </w:rPr>
              <w:t>1,793,880​</w:t>
            </w:r>
          </w:p>
        </w:tc>
        <w:tc>
          <w:tcPr>
            <w:tcW w:w="12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5"/>
                <w:szCs w:val="15"/>
                <w:color w:val="auto"/>
              </w:rPr>
            </w:pPr>
          </w:p>
        </w:tc>
        <w:tc>
          <w:tcPr>
            <w:tcW w:w="2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color w:val="auto"/>
              </w:rPr>
              <w:t>​ ​​</w:t>
            </w:r>
          </w:p>
        </w:tc>
        <w:tc>
          <w:tcPr>
            <w:tcW w:w="720" w:type="dxa"/>
            <w:vAlign w:val="bottom"/>
            <w:tcBorders>
              <w:bottom w:val="single" w:sz="8" w:color="457157"/>
            </w:tcBorders>
          </w:tcPr>
          <w:p>
            <w:pPr>
              <w:jc w:val="center"/>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457157"/>
            </w:tcBorders>
          </w:tcPr>
          <w:p>
            <w:pPr>
              <w:ind w:left="120"/>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tcPr>
          <w:p>
            <w:pPr>
              <w:ind w:left="520"/>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80" w:type="dxa"/>
            <w:vAlign w:val="bottom"/>
            <w:tcBorders>
              <w:bottom w:val="single" w:sz="8" w:color="457157"/>
            </w:tcBorders>
          </w:tcPr>
          <w:p>
            <w:pPr>
              <w:spacing w:after="0"/>
              <w:rPr>
                <w:sz w:val="15"/>
                <w:szCs w:val="15"/>
                <w:color w:val="auto"/>
              </w:rPr>
            </w:pPr>
          </w:p>
        </w:tc>
        <w:tc>
          <w:tcPr>
            <w:tcW w:w="1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60" w:type="dxa"/>
            <w:vAlign w:val="bottom"/>
            <w:tcBorders>
              <w:bottom w:val="single" w:sz="8" w:color="457157"/>
            </w:tcBorders>
          </w:tcPr>
          <w:p>
            <w:pPr>
              <w:spacing w:after="0"/>
              <w:rPr>
                <w:sz w:val="15"/>
                <w:szCs w:val="15"/>
                <w:color w:val="auto"/>
              </w:rPr>
            </w:pPr>
          </w:p>
        </w:tc>
        <w:tc>
          <w:tcPr>
            <w:tcW w:w="4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100" w:type="dxa"/>
            <w:vAlign w:val="bottom"/>
            <w:tcBorders>
              <w:bottom w:val="single" w:sz="8" w:color="457157"/>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457157"/>
            </w:tcBorders>
            <w:gridSpan w:val="3"/>
            <w:shd w:val="clear" w:color="auto" w:fill="CCEEFF"/>
          </w:tcPr>
          <w:p>
            <w:pPr>
              <w:jc w:val="right"/>
              <w:ind w:right="457"/>
              <w:spacing w:after="0" w:line="183" w:lineRule="exact"/>
              <w:rPr>
                <w:sz w:val="20"/>
                <w:szCs w:val="20"/>
                <w:color w:val="auto"/>
              </w:rPr>
            </w:pPr>
            <w:r>
              <w:rPr>
                <w:rFonts w:ascii="Arial" w:cs="Arial" w:eastAsia="Arial" w:hAnsi="Arial"/>
                <w:sz w:val="17"/>
                <w:szCs w:val="17"/>
                <w:color w:val="auto"/>
              </w:rPr>
              <w:t>3/1/24</w:t>
            </w:r>
          </w:p>
        </w:tc>
        <w:tc>
          <w:tcPr>
            <w:tcW w:w="120" w:type="dxa"/>
            <w:vAlign w:val="bottom"/>
            <w:tcBorders>
              <w:bottom w:val="single" w:sz="8" w:color="457157"/>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457157"/>
            </w:tcBorders>
            <w:shd w:val="clear" w:color="auto" w:fill="CCEEFF"/>
          </w:tcPr>
          <w:p>
            <w:pPr>
              <w:jc w:val="right"/>
              <w:ind w:right="200"/>
              <w:spacing w:after="0" w:line="183"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6,082</w:t>
            </w:r>
          </w:p>
        </w:tc>
        <w:tc>
          <w:tcPr>
            <w:tcW w:w="720" w:type="dxa"/>
            <w:vAlign w:val="bottom"/>
            <w:tcBorders>
              <w:bottom w:val="single" w:sz="8" w:color="457157"/>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12,164​</w:t>
            </w:r>
          </w:p>
        </w:tc>
        <w:tc>
          <w:tcPr>
            <w:tcW w:w="62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24,328</w:t>
            </w:r>
          </w:p>
        </w:tc>
        <w:tc>
          <w:tcPr>
            <w:tcW w:w="200" w:type="dxa"/>
            <w:vAlign w:val="bottom"/>
            <w:tcBorders>
              <w:bottom w:val="single" w:sz="8" w:color="457157"/>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457157"/>
            </w:tcBorders>
            <w:shd w:val="clear" w:color="auto" w:fill="CCEEFF"/>
          </w:tcPr>
          <w:p>
            <w:pPr>
              <w:jc w:val="center"/>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457157"/>
            </w:tcBorders>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shd w:val="clear" w:color="auto" w:fill="CCEEFF"/>
          </w:tcPr>
          <w:p>
            <w:pPr>
              <w:ind w:left="520"/>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80" w:type="dxa"/>
            <w:vAlign w:val="bottom"/>
            <w:tcBorders>
              <w:bottom w:val="single" w:sz="8" w:color="457157"/>
            </w:tcBorders>
            <w:shd w:val="clear" w:color="auto" w:fill="CCEEFF"/>
          </w:tcPr>
          <w:p>
            <w:pPr>
              <w:spacing w:after="0"/>
              <w:rPr>
                <w:sz w:val="15"/>
                <w:szCs w:val="15"/>
                <w:color w:val="auto"/>
              </w:rPr>
            </w:pPr>
          </w:p>
        </w:tc>
        <w:tc>
          <w:tcPr>
            <w:tcW w:w="1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6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7"/>
              </w:rPr>
              <w:t>3,113,792​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457157"/>
            </w:tcBorders>
          </w:tcPr>
          <w:p>
            <w:pPr>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457157"/>
            </w:tcBorders>
            <w:gridSpan w:val="3"/>
          </w:tcPr>
          <w:p>
            <w:pPr>
              <w:jc w:val="right"/>
              <w:ind w:right="457"/>
              <w:spacing w:after="0" w:line="183" w:lineRule="exact"/>
              <w:rPr>
                <w:sz w:val="20"/>
                <w:szCs w:val="20"/>
                <w:color w:val="auto"/>
              </w:rPr>
            </w:pPr>
            <w:r>
              <w:rPr>
                <w:rFonts w:ascii="Arial" w:cs="Arial" w:eastAsia="Arial" w:hAnsi="Arial"/>
                <w:sz w:val="17"/>
                <w:szCs w:val="17"/>
                <w:color w:val="auto"/>
              </w:rPr>
              <w:t>3/1/24</w:t>
            </w:r>
          </w:p>
        </w:tc>
        <w:tc>
          <w:tcPr>
            <w:tcW w:w="120" w:type="dxa"/>
            <w:vAlign w:val="bottom"/>
            <w:tcBorders>
              <w:bottom w:val="single" w:sz="8" w:color="457157"/>
            </w:tcBorders>
          </w:tcPr>
          <w:p>
            <w:pPr>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457157"/>
            </w:tcBorders>
          </w:tcPr>
          <w:p>
            <w:pPr>
              <w:jc w:val="right"/>
              <w:ind w:right="200"/>
              <w:spacing w:after="0" w:line="183"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5"/>
                <w:szCs w:val="15"/>
                <w:color w:val="auto"/>
              </w:rPr>
            </w:pPr>
          </w:p>
        </w:tc>
        <w:tc>
          <w:tcPr>
            <w:tcW w:w="2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color w:val="auto"/>
              </w:rPr>
              <w:t>​ ​​</w:t>
            </w:r>
          </w:p>
        </w:tc>
        <w:tc>
          <w:tcPr>
            <w:tcW w:w="720" w:type="dxa"/>
            <w:vAlign w:val="bottom"/>
            <w:tcBorders>
              <w:bottom w:val="single" w:sz="8" w:color="457157"/>
            </w:tcBorders>
          </w:tcPr>
          <w:p>
            <w:pPr>
              <w:jc w:val="center"/>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color w:val="auto"/>
              </w:rPr>
              <w:t>​</w:t>
            </w:r>
          </w:p>
        </w:tc>
        <w:tc>
          <w:tcPr>
            <w:tcW w:w="840" w:type="dxa"/>
            <w:vAlign w:val="bottom"/>
            <w:tcBorders>
              <w:bottom w:val="single" w:sz="8" w:color="457157"/>
            </w:tcBorders>
            <w:gridSpan w:val="2"/>
          </w:tcPr>
          <w:p>
            <w:pPr>
              <w:ind w:left="120"/>
              <w:spacing w:after="0" w:line="183" w:lineRule="exact"/>
              <w:rPr>
                <w:sz w:val="20"/>
                <w:szCs w:val="20"/>
                <w:color w:val="auto"/>
              </w:rPr>
            </w:pPr>
            <w:r>
              <w:rPr>
                <w:rFonts w:ascii="Arial" w:cs="Arial" w:eastAsia="Arial" w:hAnsi="Arial"/>
                <w:sz w:val="17"/>
                <w:szCs w:val="17"/>
                <w:color w:val="auto"/>
              </w:rPr>
              <w:t>​13,721</w:t>
            </w:r>
          </w:p>
        </w:tc>
        <w:tc>
          <w:tcPr>
            <w:tcW w:w="84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204.7585​</w:t>
            </w:r>
            <w:r>
              <w:rPr>
                <w:rFonts w:ascii="Arial" w:cs="Arial" w:eastAsia="Arial" w:hAnsi="Arial"/>
                <w:sz w:val="17"/>
                <w:szCs w:val="17"/>
                <w:b w:val="1"/>
                <w:bCs w:val="1"/>
                <w:color w:val="auto"/>
              </w:rPr>
              <w:t>​</w:t>
            </w:r>
          </w:p>
        </w:tc>
        <w:tc>
          <w:tcPr>
            <w:tcW w:w="70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color w:val="auto"/>
              </w:rPr>
              <w:t xml:space="preserve">205.79 </w:t>
            </w:r>
            <w:r>
              <w:rPr>
                <w:rFonts w:ascii="Arial" w:cs="Arial" w:eastAsia="Arial" w:hAnsi="Arial"/>
                <w:sz w:val="17"/>
                <w:szCs w:val="17"/>
                <w:b w:val="1"/>
                <w:bCs w:val="1"/>
                <w:color w:val="auto"/>
              </w:rPr>
              <w:t>​</w:t>
            </w:r>
          </w:p>
        </w:tc>
        <w:tc>
          <w:tcPr>
            <w:tcW w:w="76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590,003​</w:t>
            </w:r>
          </w:p>
        </w:tc>
        <w:tc>
          <w:tcPr>
            <w:tcW w:w="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3"/>
        </w:trPr>
        <w:tc>
          <w:tcPr>
            <w:tcW w:w="420" w:type="dxa"/>
            <w:vAlign w:val="bottom"/>
            <w:tcBorders>
              <w:bottom w:val="single" w:sz="8" w:color="457157"/>
            </w:tcBorders>
            <w:gridSpan w:val="2"/>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Tara​</w:t>
            </w:r>
          </w:p>
        </w:tc>
        <w:tc>
          <w:tcPr>
            <w:tcW w:w="920" w:type="dxa"/>
            <w:vAlign w:val="bottom"/>
            <w:tcBorders>
              <w:bottom w:val="single" w:sz="8" w:color="457157"/>
            </w:tcBorders>
            <w:gridSpan w:val="3"/>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J. Hemmer</w:t>
            </w:r>
          </w:p>
        </w:tc>
        <w:tc>
          <w:tcPr>
            <w:tcW w:w="820" w:type="dxa"/>
            <w:vAlign w:val="bottom"/>
            <w:tcBorders>
              <w:bottom w:val="single" w:sz="8" w:color="457157"/>
            </w:tcBorders>
            <w:shd w:val="clear" w:color="auto" w:fill="CCEEFF"/>
          </w:tcPr>
          <w:p>
            <w:pPr>
              <w:spacing w:after="0"/>
              <w:rPr>
                <w:sz w:val="15"/>
                <w:szCs w:val="15"/>
                <w:color w:val="auto"/>
              </w:rPr>
            </w:pPr>
          </w:p>
        </w:tc>
        <w:tc>
          <w:tcPr>
            <w:tcW w:w="980" w:type="dxa"/>
            <w:vAlign w:val="bottom"/>
            <w:tcBorders>
              <w:bottom w:val="single" w:sz="8" w:color="457157"/>
            </w:tcBorders>
            <w:shd w:val="clear" w:color="auto" w:fill="CCEEFF"/>
          </w:tcPr>
          <w:p>
            <w:pPr>
              <w:jc w:val="right"/>
              <w:ind w:right="200"/>
              <w:spacing w:after="0" w:line="183"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5"/>
                <w:szCs w:val="15"/>
                <w:color w:val="auto"/>
              </w:rPr>
            </w:pPr>
          </w:p>
        </w:tc>
        <w:tc>
          <w:tcPr>
            <w:tcW w:w="2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 ​​</w:t>
            </w:r>
          </w:p>
        </w:tc>
        <w:tc>
          <w:tcPr>
            <w:tcW w:w="50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 ​​</w:t>
            </w:r>
          </w:p>
        </w:tc>
        <w:tc>
          <w:tcPr>
            <w:tcW w:w="720" w:type="dxa"/>
            <w:vAlign w:val="bottom"/>
            <w:tcBorders>
              <w:bottom w:val="single" w:sz="8" w:color="457157"/>
            </w:tcBorders>
            <w:shd w:val="clear" w:color="auto" w:fill="CCEEFF"/>
          </w:tcPr>
          <w:p>
            <w:pPr>
              <w:jc w:val="center"/>
              <w:spacing w:after="0" w:line="183" w:lineRule="exact"/>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457157"/>
            </w:tcBorders>
            <w:shd w:val="clear" w:color="auto" w:fill="CCEEFF"/>
          </w:tcPr>
          <w:p>
            <w:pPr>
              <w:ind w:left="120"/>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457157"/>
            </w:tcBorders>
            <w:shd w:val="clear" w:color="auto" w:fill="CCEEFF"/>
          </w:tcPr>
          <w:p>
            <w:pPr>
              <w:ind w:left="520"/>
              <w:spacing w:after="0" w:line="183" w:lineRule="exact"/>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457157"/>
            </w:tcBorders>
            <w:shd w:val="clear" w:color="auto" w:fill="CCEEFF"/>
          </w:tcPr>
          <w:p>
            <w:pPr>
              <w:spacing w:after="0"/>
              <w:rPr>
                <w:sz w:val="15"/>
                <w:szCs w:val="15"/>
                <w:color w:val="auto"/>
              </w:rPr>
            </w:pPr>
          </w:p>
        </w:tc>
        <w:tc>
          <w:tcPr>
            <w:tcW w:w="1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457157"/>
            </w:tcBorders>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0" w:type="dxa"/>
            <w:vAlign w:val="bottom"/>
            <w:tcBorders>
              <w:bottom w:val="single" w:sz="8" w:color="457157"/>
            </w:tcBorders>
            <w:gridSpan w:val="2"/>
          </w:tcPr>
          <w:p>
            <w:pPr>
              <w:spacing w:after="0" w:line="183" w:lineRule="exact"/>
              <w:rPr>
                <w:sz w:val="20"/>
                <w:szCs w:val="20"/>
                <w:color w:val="auto"/>
              </w:rPr>
            </w:pPr>
            <w:r>
              <w:rPr>
                <w:rFonts w:ascii="Arial" w:cs="Arial" w:eastAsia="Arial" w:hAnsi="Arial"/>
                <w:sz w:val="17"/>
                <w:szCs w:val="17"/>
                <w:color w:val="auto"/>
              </w:rPr>
              <w:t>Cash​</w:t>
            </w:r>
          </w:p>
        </w:tc>
        <w:tc>
          <w:tcPr>
            <w:tcW w:w="920" w:type="dxa"/>
            <w:vAlign w:val="bottom"/>
            <w:tcBorders>
              <w:bottom w:val="single" w:sz="8" w:color="457157"/>
            </w:tcBorders>
            <w:gridSpan w:val="3"/>
          </w:tcPr>
          <w:p>
            <w:pPr>
              <w:ind w:left="60"/>
              <w:spacing w:after="0" w:line="183" w:lineRule="exact"/>
              <w:rPr>
                <w:sz w:val="20"/>
                <w:szCs w:val="20"/>
                <w:color w:val="auto"/>
              </w:rPr>
            </w:pPr>
            <w:r>
              <w:rPr>
                <w:rFonts w:ascii="Arial" w:cs="Arial" w:eastAsia="Arial" w:hAnsi="Arial"/>
                <w:sz w:val="17"/>
                <w:szCs w:val="17"/>
                <w:color w:val="auto"/>
              </w:rPr>
              <w:t xml:space="preserve">Incentive </w:t>
            </w:r>
            <w:r>
              <w:rPr>
                <w:rFonts w:ascii="Arial" w:cs="Arial" w:eastAsia="Arial" w:hAnsi="Arial"/>
                <w:sz w:val="17"/>
                <w:szCs w:val="17"/>
                <w:b w:val="1"/>
                <w:bCs w:val="1"/>
                <w:color w:val="auto"/>
              </w:rPr>
              <w:t>​</w:t>
            </w:r>
          </w:p>
        </w:tc>
        <w:tc>
          <w:tcPr>
            <w:tcW w:w="8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393,750</w:t>
            </w:r>
            <w:r>
              <w:rPr>
                <w:rFonts w:ascii="Arial" w:cs="Arial" w:eastAsia="Arial" w:hAnsi="Arial"/>
                <w:sz w:val="17"/>
                <w:szCs w:val="17"/>
                <w:b w:val="1"/>
                <w:bCs w:val="1"/>
                <w:color w:val="auto"/>
              </w:rPr>
              <w:t>​</w:t>
            </w:r>
          </w:p>
        </w:tc>
        <w:tc>
          <w:tcPr>
            <w:tcW w:w="148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color w:val="auto"/>
              </w:rPr>
              <w:t>656,250</w:t>
            </w:r>
            <w:r>
              <w:rPr>
                <w:rFonts w:ascii="Arial" w:cs="Arial" w:eastAsia="Arial" w:hAnsi="Arial"/>
                <w:sz w:val="17"/>
                <w:szCs w:val="17"/>
                <w:b w:val="1"/>
                <w:bCs w:val="1"/>
                <w:color w:val="auto"/>
              </w:rPr>
              <w:t>​</w:t>
            </w:r>
            <w:r>
              <w:rPr>
                <w:rFonts w:ascii="Arial" w:cs="Arial" w:eastAsia="Arial" w:hAnsi="Arial"/>
                <w:sz w:val="17"/>
                <w:szCs w:val="17"/>
                <w:color w:val="auto"/>
              </w:rPr>
              <w:t>1,312,500​</w:t>
            </w:r>
          </w:p>
        </w:tc>
        <w:tc>
          <w:tcPr>
            <w:tcW w:w="12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5"/>
                <w:szCs w:val="15"/>
                <w:color w:val="auto"/>
              </w:rPr>
            </w:pPr>
          </w:p>
        </w:tc>
        <w:tc>
          <w:tcPr>
            <w:tcW w:w="2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color w:val="auto"/>
              </w:rPr>
              <w:t>​ ​​</w:t>
            </w:r>
          </w:p>
        </w:tc>
        <w:tc>
          <w:tcPr>
            <w:tcW w:w="720" w:type="dxa"/>
            <w:vAlign w:val="bottom"/>
            <w:tcBorders>
              <w:bottom w:val="single" w:sz="8" w:color="457157"/>
            </w:tcBorders>
          </w:tcPr>
          <w:p>
            <w:pPr>
              <w:jc w:val="center"/>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457157"/>
            </w:tcBorders>
          </w:tcPr>
          <w:p>
            <w:pPr>
              <w:ind w:left="120"/>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tcPr>
          <w:p>
            <w:pPr>
              <w:ind w:left="520"/>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80" w:type="dxa"/>
            <w:vAlign w:val="bottom"/>
            <w:tcBorders>
              <w:bottom w:val="single" w:sz="8" w:color="457157"/>
            </w:tcBorders>
          </w:tcPr>
          <w:p>
            <w:pPr>
              <w:spacing w:after="0"/>
              <w:rPr>
                <w:sz w:val="15"/>
                <w:szCs w:val="15"/>
                <w:color w:val="auto"/>
              </w:rPr>
            </w:pPr>
          </w:p>
        </w:tc>
        <w:tc>
          <w:tcPr>
            <w:tcW w:w="1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60" w:type="dxa"/>
            <w:vAlign w:val="bottom"/>
            <w:tcBorders>
              <w:bottom w:val="single" w:sz="8" w:color="457157"/>
            </w:tcBorders>
          </w:tcPr>
          <w:p>
            <w:pPr>
              <w:spacing w:after="0"/>
              <w:rPr>
                <w:sz w:val="15"/>
                <w:szCs w:val="15"/>
                <w:color w:val="auto"/>
              </w:rPr>
            </w:pPr>
          </w:p>
        </w:tc>
        <w:tc>
          <w:tcPr>
            <w:tcW w:w="4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100" w:type="dxa"/>
            <w:vAlign w:val="bottom"/>
            <w:tcBorders>
              <w:bottom w:val="single" w:sz="8" w:color="457157"/>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457157"/>
            </w:tcBorders>
            <w:gridSpan w:val="3"/>
            <w:shd w:val="clear" w:color="auto" w:fill="CCEEFF"/>
          </w:tcPr>
          <w:p>
            <w:pPr>
              <w:jc w:val="right"/>
              <w:ind w:right="457"/>
              <w:spacing w:after="0" w:line="183" w:lineRule="exact"/>
              <w:rPr>
                <w:sz w:val="20"/>
                <w:szCs w:val="20"/>
                <w:color w:val="auto"/>
              </w:rPr>
            </w:pPr>
            <w:r>
              <w:rPr>
                <w:rFonts w:ascii="Arial" w:cs="Arial" w:eastAsia="Arial" w:hAnsi="Arial"/>
                <w:sz w:val="17"/>
                <w:szCs w:val="17"/>
                <w:color w:val="auto"/>
              </w:rPr>
              <w:t>3/1/24</w:t>
            </w:r>
          </w:p>
        </w:tc>
        <w:tc>
          <w:tcPr>
            <w:tcW w:w="120" w:type="dxa"/>
            <w:vAlign w:val="bottom"/>
            <w:tcBorders>
              <w:bottom w:val="single" w:sz="8" w:color="457157"/>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457157"/>
            </w:tcBorders>
            <w:shd w:val="clear" w:color="auto" w:fill="CCEEFF"/>
          </w:tcPr>
          <w:p>
            <w:pPr>
              <w:jc w:val="right"/>
              <w:ind w:right="200"/>
              <w:spacing w:after="0" w:line="183"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4,124</w:t>
            </w:r>
          </w:p>
        </w:tc>
        <w:tc>
          <w:tcPr>
            <w:tcW w:w="2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8,248​</w:t>
            </w:r>
          </w:p>
        </w:tc>
        <w:tc>
          <w:tcPr>
            <w:tcW w:w="62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16,496</w:t>
            </w:r>
          </w:p>
        </w:tc>
        <w:tc>
          <w:tcPr>
            <w:tcW w:w="200" w:type="dxa"/>
            <w:vAlign w:val="bottom"/>
            <w:tcBorders>
              <w:bottom w:val="single" w:sz="8" w:color="457157"/>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457157"/>
            </w:tcBorders>
            <w:shd w:val="clear" w:color="auto" w:fill="CCEEFF"/>
          </w:tcPr>
          <w:p>
            <w:pPr>
              <w:jc w:val="center"/>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457157"/>
            </w:tcBorders>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shd w:val="clear" w:color="auto" w:fill="CCEEFF"/>
          </w:tcPr>
          <w:p>
            <w:pPr>
              <w:ind w:left="520"/>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80" w:type="dxa"/>
            <w:vAlign w:val="bottom"/>
            <w:tcBorders>
              <w:bottom w:val="single" w:sz="8" w:color="457157"/>
            </w:tcBorders>
            <w:shd w:val="clear" w:color="auto" w:fill="CCEEFF"/>
          </w:tcPr>
          <w:p>
            <w:pPr>
              <w:spacing w:after="0"/>
              <w:rPr>
                <w:sz w:val="15"/>
                <w:szCs w:val="15"/>
                <w:color w:val="auto"/>
              </w:rPr>
            </w:pPr>
          </w:p>
        </w:tc>
        <w:tc>
          <w:tcPr>
            <w:tcW w:w="1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6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7"/>
              </w:rPr>
              <w:t>2,111,358​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457157"/>
            </w:tcBorders>
          </w:tcPr>
          <w:p>
            <w:pPr>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457157"/>
            </w:tcBorders>
            <w:gridSpan w:val="3"/>
          </w:tcPr>
          <w:p>
            <w:pPr>
              <w:jc w:val="right"/>
              <w:ind w:right="457"/>
              <w:spacing w:after="0" w:line="183" w:lineRule="exact"/>
              <w:rPr>
                <w:sz w:val="20"/>
                <w:szCs w:val="20"/>
                <w:color w:val="auto"/>
              </w:rPr>
            </w:pPr>
            <w:r>
              <w:rPr>
                <w:rFonts w:ascii="Arial" w:cs="Arial" w:eastAsia="Arial" w:hAnsi="Arial"/>
                <w:sz w:val="17"/>
                <w:szCs w:val="17"/>
                <w:color w:val="auto"/>
              </w:rPr>
              <w:t>3/1/24</w:t>
            </w:r>
          </w:p>
        </w:tc>
        <w:tc>
          <w:tcPr>
            <w:tcW w:w="120" w:type="dxa"/>
            <w:vAlign w:val="bottom"/>
            <w:tcBorders>
              <w:bottom w:val="single" w:sz="8" w:color="457157"/>
            </w:tcBorders>
          </w:tcPr>
          <w:p>
            <w:pPr>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457157"/>
            </w:tcBorders>
          </w:tcPr>
          <w:p>
            <w:pPr>
              <w:jc w:val="right"/>
              <w:ind w:right="200"/>
              <w:spacing w:after="0" w:line="183"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5"/>
                <w:szCs w:val="15"/>
                <w:color w:val="auto"/>
              </w:rPr>
            </w:pPr>
          </w:p>
        </w:tc>
        <w:tc>
          <w:tcPr>
            <w:tcW w:w="2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color w:val="auto"/>
              </w:rPr>
              <w:t>​ ​​</w:t>
            </w:r>
          </w:p>
        </w:tc>
        <w:tc>
          <w:tcPr>
            <w:tcW w:w="720" w:type="dxa"/>
            <w:vAlign w:val="bottom"/>
            <w:tcBorders>
              <w:bottom w:val="single" w:sz="8" w:color="457157"/>
            </w:tcBorders>
          </w:tcPr>
          <w:p>
            <w:pPr>
              <w:jc w:val="center"/>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457157"/>
            </w:tcBorders>
          </w:tcPr>
          <w:p>
            <w:pPr>
              <w:ind w:left="120"/>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tcPr>
          <w:p>
            <w:pPr>
              <w:ind w:left="100"/>
              <w:spacing w:after="0" w:line="183" w:lineRule="exact"/>
              <w:rPr>
                <w:sz w:val="20"/>
                <w:szCs w:val="20"/>
                <w:color w:val="auto"/>
              </w:rPr>
            </w:pPr>
            <w:r>
              <w:rPr>
                <w:rFonts w:ascii="Arial" w:cs="Arial" w:eastAsia="Arial" w:hAnsi="Arial"/>
                <w:sz w:val="17"/>
                <w:szCs w:val="17"/>
                <w:color w:val="auto"/>
              </w:rPr>
              <w:t>9,302</w:t>
            </w:r>
          </w:p>
        </w:tc>
        <w:tc>
          <w:tcPr>
            <w:tcW w:w="84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204.7585​</w:t>
            </w:r>
            <w:r>
              <w:rPr>
                <w:rFonts w:ascii="Arial" w:cs="Arial" w:eastAsia="Arial" w:hAnsi="Arial"/>
                <w:sz w:val="17"/>
                <w:szCs w:val="17"/>
                <w:b w:val="1"/>
                <w:bCs w:val="1"/>
                <w:color w:val="auto"/>
              </w:rPr>
              <w:t>​</w:t>
            </w:r>
          </w:p>
        </w:tc>
        <w:tc>
          <w:tcPr>
            <w:tcW w:w="70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color w:val="auto"/>
              </w:rPr>
              <w:t xml:space="preserve">205.79 </w:t>
            </w:r>
            <w:r>
              <w:rPr>
                <w:rFonts w:ascii="Arial" w:cs="Arial" w:eastAsia="Arial" w:hAnsi="Arial"/>
                <w:sz w:val="17"/>
                <w:szCs w:val="17"/>
                <w:b w:val="1"/>
                <w:bCs w:val="1"/>
                <w:color w:val="auto"/>
              </w:rPr>
              <w:t>​</w:t>
            </w:r>
          </w:p>
        </w:tc>
        <w:tc>
          <w:tcPr>
            <w:tcW w:w="76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399,986​</w:t>
            </w:r>
          </w:p>
        </w:tc>
        <w:tc>
          <w:tcPr>
            <w:tcW w:w="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3"/>
        </w:trPr>
        <w:tc>
          <w:tcPr>
            <w:tcW w:w="600" w:type="dxa"/>
            <w:vAlign w:val="bottom"/>
            <w:tcBorders>
              <w:bottom w:val="single" w:sz="8" w:color="457157"/>
            </w:tcBorders>
            <w:gridSpan w:val="3"/>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Rafael​</w:t>
            </w:r>
          </w:p>
        </w:tc>
        <w:tc>
          <w:tcPr>
            <w:tcW w:w="1560" w:type="dxa"/>
            <w:vAlign w:val="bottom"/>
            <w:tcBorders>
              <w:bottom w:val="single" w:sz="8" w:color="457157"/>
            </w:tcBorders>
            <w:gridSpan w:val="3"/>
            <w:shd w:val="clear" w:color="auto" w:fill="CCEEFF"/>
          </w:tcPr>
          <w:p>
            <w:pPr>
              <w:jc w:val="right"/>
              <w:ind w:right="481"/>
              <w:spacing w:after="0" w:line="183" w:lineRule="exact"/>
              <w:rPr>
                <w:sz w:val="20"/>
                <w:szCs w:val="20"/>
                <w:color w:val="auto"/>
              </w:rPr>
            </w:pPr>
            <w:r>
              <w:rPr>
                <w:rFonts w:ascii="Arial" w:cs="Arial" w:eastAsia="Arial" w:hAnsi="Arial"/>
                <w:sz w:val="17"/>
                <w:szCs w:val="17"/>
                <w:b w:val="1"/>
                <w:bCs w:val="1"/>
                <w:color w:val="auto"/>
              </w:rPr>
              <w:t>E. Carrasco</w:t>
            </w:r>
          </w:p>
        </w:tc>
        <w:tc>
          <w:tcPr>
            <w:tcW w:w="980" w:type="dxa"/>
            <w:vAlign w:val="bottom"/>
            <w:tcBorders>
              <w:bottom w:val="single" w:sz="8" w:color="457157"/>
            </w:tcBorders>
            <w:shd w:val="clear" w:color="auto" w:fill="CCEEFF"/>
          </w:tcPr>
          <w:p>
            <w:pPr>
              <w:jc w:val="right"/>
              <w:ind w:right="200"/>
              <w:spacing w:after="0" w:line="183"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spacing w:after="0"/>
              <w:rPr>
                <w:sz w:val="15"/>
                <w:szCs w:val="15"/>
                <w:color w:val="auto"/>
              </w:rPr>
            </w:pPr>
          </w:p>
        </w:tc>
        <w:tc>
          <w:tcPr>
            <w:tcW w:w="2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 ​​</w:t>
            </w:r>
          </w:p>
        </w:tc>
        <w:tc>
          <w:tcPr>
            <w:tcW w:w="50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457157"/>
            </w:tcBorders>
            <w:shd w:val="clear" w:color="auto" w:fill="CCEEFF"/>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 ​​</w:t>
            </w:r>
          </w:p>
        </w:tc>
        <w:tc>
          <w:tcPr>
            <w:tcW w:w="720" w:type="dxa"/>
            <w:vAlign w:val="bottom"/>
            <w:tcBorders>
              <w:bottom w:val="single" w:sz="8" w:color="457157"/>
            </w:tcBorders>
            <w:shd w:val="clear" w:color="auto" w:fill="CCEEFF"/>
          </w:tcPr>
          <w:p>
            <w:pPr>
              <w:jc w:val="center"/>
              <w:spacing w:after="0" w:line="183" w:lineRule="exact"/>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180" w:type="dxa"/>
            <w:vAlign w:val="bottom"/>
            <w:tcBorders>
              <w:bottom w:val="single" w:sz="8" w:color="457157"/>
            </w:tcBorders>
            <w:shd w:val="clear" w:color="auto" w:fill="CCEEFF"/>
          </w:tcPr>
          <w:p>
            <w:pPr>
              <w:ind w:left="120"/>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457157"/>
            </w:tcBorders>
            <w:shd w:val="clear" w:color="auto" w:fill="CCEEFF"/>
          </w:tcPr>
          <w:p>
            <w:pPr>
              <w:ind w:left="520"/>
              <w:spacing w:after="0" w:line="183" w:lineRule="exact"/>
              <w:rPr>
                <w:sz w:val="20"/>
                <w:szCs w:val="20"/>
                <w:color w:val="auto"/>
              </w:rPr>
            </w:pPr>
            <w:r>
              <w:rPr>
                <w:rFonts w:ascii="Arial" w:cs="Arial" w:eastAsia="Arial" w:hAnsi="Arial"/>
                <w:sz w:val="17"/>
                <w:szCs w:val="17"/>
                <w:b w:val="1"/>
                <w:bCs w:val="1"/>
                <w:color w:val="auto"/>
              </w:rPr>
              <w:t>​</w:t>
            </w:r>
          </w:p>
        </w:tc>
        <w:tc>
          <w:tcPr>
            <w:tcW w:w="12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457157"/>
            </w:tcBorders>
            <w:shd w:val="clear" w:color="auto" w:fill="CCEEFF"/>
          </w:tcPr>
          <w:p>
            <w:pPr>
              <w:spacing w:after="0"/>
              <w:rPr>
                <w:sz w:val="15"/>
                <w:szCs w:val="15"/>
                <w:color w:val="auto"/>
              </w:rPr>
            </w:pPr>
          </w:p>
        </w:tc>
        <w:tc>
          <w:tcPr>
            <w:tcW w:w="1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457157"/>
            </w:tcBorders>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0" w:type="dxa"/>
            <w:vAlign w:val="bottom"/>
            <w:tcBorders>
              <w:bottom w:val="single" w:sz="8" w:color="457157"/>
            </w:tcBorders>
            <w:gridSpan w:val="2"/>
          </w:tcPr>
          <w:p>
            <w:pPr>
              <w:spacing w:after="0" w:line="183" w:lineRule="exact"/>
              <w:rPr>
                <w:sz w:val="20"/>
                <w:szCs w:val="20"/>
                <w:color w:val="auto"/>
              </w:rPr>
            </w:pPr>
            <w:r>
              <w:rPr>
                <w:rFonts w:ascii="Arial" w:cs="Arial" w:eastAsia="Arial" w:hAnsi="Arial"/>
                <w:sz w:val="17"/>
                <w:szCs w:val="17"/>
                <w:color w:val="auto"/>
              </w:rPr>
              <w:t>Cash​</w:t>
            </w:r>
          </w:p>
        </w:tc>
        <w:tc>
          <w:tcPr>
            <w:tcW w:w="920" w:type="dxa"/>
            <w:vAlign w:val="bottom"/>
            <w:tcBorders>
              <w:bottom w:val="single" w:sz="8" w:color="457157"/>
            </w:tcBorders>
            <w:gridSpan w:val="3"/>
          </w:tcPr>
          <w:p>
            <w:pPr>
              <w:ind w:left="60"/>
              <w:spacing w:after="0" w:line="183" w:lineRule="exact"/>
              <w:rPr>
                <w:sz w:val="20"/>
                <w:szCs w:val="20"/>
                <w:color w:val="auto"/>
              </w:rPr>
            </w:pPr>
            <w:r>
              <w:rPr>
                <w:rFonts w:ascii="Arial" w:cs="Arial" w:eastAsia="Arial" w:hAnsi="Arial"/>
                <w:sz w:val="17"/>
                <w:szCs w:val="17"/>
                <w:color w:val="auto"/>
              </w:rPr>
              <w:t xml:space="preserve">Incentive </w:t>
            </w:r>
            <w:r>
              <w:rPr>
                <w:rFonts w:ascii="Arial" w:cs="Arial" w:eastAsia="Arial" w:hAnsi="Arial"/>
                <w:sz w:val="17"/>
                <w:szCs w:val="17"/>
                <w:b w:val="1"/>
                <w:bCs w:val="1"/>
                <w:color w:val="auto"/>
              </w:rPr>
              <w:t>​</w:t>
            </w:r>
          </w:p>
        </w:tc>
        <w:tc>
          <w:tcPr>
            <w:tcW w:w="8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365,040</w:t>
            </w:r>
            <w:r>
              <w:rPr>
                <w:rFonts w:ascii="Arial" w:cs="Arial" w:eastAsia="Arial" w:hAnsi="Arial"/>
                <w:sz w:val="17"/>
                <w:szCs w:val="17"/>
                <w:b w:val="1"/>
                <w:bCs w:val="1"/>
                <w:color w:val="auto"/>
              </w:rPr>
              <w:t>​</w:t>
            </w:r>
          </w:p>
        </w:tc>
        <w:tc>
          <w:tcPr>
            <w:tcW w:w="148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color w:val="auto"/>
              </w:rPr>
              <w:t>608,400</w:t>
            </w:r>
            <w:r>
              <w:rPr>
                <w:rFonts w:ascii="Arial" w:cs="Arial" w:eastAsia="Arial" w:hAnsi="Arial"/>
                <w:sz w:val="17"/>
                <w:szCs w:val="17"/>
                <w:b w:val="1"/>
                <w:bCs w:val="1"/>
                <w:color w:val="auto"/>
              </w:rPr>
              <w:t>​</w:t>
            </w:r>
            <w:r>
              <w:rPr>
                <w:rFonts w:ascii="Arial" w:cs="Arial" w:eastAsia="Arial" w:hAnsi="Arial"/>
                <w:sz w:val="17"/>
                <w:szCs w:val="17"/>
                <w:color w:val="auto"/>
              </w:rPr>
              <w:t>1,216,800​</w:t>
            </w:r>
          </w:p>
        </w:tc>
        <w:tc>
          <w:tcPr>
            <w:tcW w:w="12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tcPr>
          <w:p>
            <w:pPr>
              <w:spacing w:after="0"/>
              <w:rPr>
                <w:sz w:val="15"/>
                <w:szCs w:val="15"/>
                <w:color w:val="auto"/>
              </w:rPr>
            </w:pPr>
          </w:p>
        </w:tc>
        <w:tc>
          <w:tcPr>
            <w:tcW w:w="2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50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p>
        </w:tc>
        <w:tc>
          <w:tcPr>
            <w:tcW w:w="620" w:type="dxa"/>
            <w:vAlign w:val="bottom"/>
            <w:tcBorders>
              <w:bottom w:val="single" w:sz="8" w:color="457157"/>
            </w:tcBorders>
          </w:tcPr>
          <w:p>
            <w:pPr>
              <w:ind w:left="20"/>
              <w:spacing w:after="0" w:line="183" w:lineRule="exact"/>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457157"/>
            </w:tcBorders>
            <w:gridSpan w:val="2"/>
          </w:tcPr>
          <w:p>
            <w:pPr>
              <w:jc w:val="right"/>
              <w:spacing w:after="0" w:line="183" w:lineRule="exact"/>
              <w:rPr>
                <w:sz w:val="20"/>
                <w:szCs w:val="20"/>
                <w:color w:val="auto"/>
              </w:rPr>
            </w:pPr>
            <w:r>
              <w:rPr>
                <w:rFonts w:ascii="Arial" w:cs="Arial" w:eastAsia="Arial" w:hAnsi="Arial"/>
                <w:sz w:val="17"/>
                <w:szCs w:val="17"/>
                <w:color w:val="auto"/>
              </w:rPr>
              <w:t>​ ​​</w:t>
            </w:r>
          </w:p>
        </w:tc>
        <w:tc>
          <w:tcPr>
            <w:tcW w:w="720" w:type="dxa"/>
            <w:vAlign w:val="bottom"/>
            <w:tcBorders>
              <w:bottom w:val="single" w:sz="8" w:color="457157"/>
            </w:tcBorders>
          </w:tcPr>
          <w:p>
            <w:pPr>
              <w:jc w:val="center"/>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457157"/>
            </w:tcBorders>
          </w:tcPr>
          <w:p>
            <w:pPr>
              <w:ind w:left="120"/>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tcPr>
          <w:p>
            <w:pPr>
              <w:ind w:left="520"/>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tcPr>
          <w:p>
            <w:pPr>
              <w:ind w:left="40"/>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80" w:type="dxa"/>
            <w:vAlign w:val="bottom"/>
            <w:tcBorders>
              <w:bottom w:val="single" w:sz="8" w:color="457157"/>
            </w:tcBorders>
          </w:tcPr>
          <w:p>
            <w:pPr>
              <w:spacing w:after="0"/>
              <w:rPr>
                <w:sz w:val="15"/>
                <w:szCs w:val="15"/>
                <w:color w:val="auto"/>
              </w:rPr>
            </w:pPr>
          </w:p>
        </w:tc>
        <w:tc>
          <w:tcPr>
            <w:tcW w:w="120" w:type="dxa"/>
            <w:vAlign w:val="bottom"/>
            <w:tcBorders>
              <w:bottom w:val="single" w:sz="8" w:color="457157"/>
            </w:tcBorders>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60" w:type="dxa"/>
            <w:vAlign w:val="bottom"/>
            <w:tcBorders>
              <w:bottom w:val="single" w:sz="8" w:color="457157"/>
            </w:tcBorders>
          </w:tcPr>
          <w:p>
            <w:pPr>
              <w:spacing w:after="0"/>
              <w:rPr>
                <w:sz w:val="15"/>
                <w:szCs w:val="15"/>
                <w:color w:val="auto"/>
              </w:rPr>
            </w:pPr>
          </w:p>
        </w:tc>
        <w:tc>
          <w:tcPr>
            <w:tcW w:w="4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100" w:type="dxa"/>
            <w:vAlign w:val="bottom"/>
            <w:tcBorders>
              <w:bottom w:val="single" w:sz="8" w:color="457157"/>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457157"/>
            </w:tcBorders>
            <w:gridSpan w:val="3"/>
            <w:shd w:val="clear" w:color="auto" w:fill="CCEEFF"/>
          </w:tcPr>
          <w:p>
            <w:pPr>
              <w:jc w:val="right"/>
              <w:ind w:right="457"/>
              <w:spacing w:after="0" w:line="183" w:lineRule="exact"/>
              <w:rPr>
                <w:sz w:val="20"/>
                <w:szCs w:val="20"/>
                <w:color w:val="auto"/>
              </w:rPr>
            </w:pPr>
            <w:r>
              <w:rPr>
                <w:rFonts w:ascii="Arial" w:cs="Arial" w:eastAsia="Arial" w:hAnsi="Arial"/>
                <w:sz w:val="17"/>
                <w:szCs w:val="17"/>
                <w:color w:val="auto"/>
              </w:rPr>
              <w:t>3/1/24</w:t>
            </w:r>
          </w:p>
        </w:tc>
        <w:tc>
          <w:tcPr>
            <w:tcW w:w="120" w:type="dxa"/>
            <w:vAlign w:val="bottom"/>
            <w:tcBorders>
              <w:bottom w:val="single" w:sz="8" w:color="457157"/>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w:t>
            </w:r>
          </w:p>
        </w:tc>
        <w:tc>
          <w:tcPr>
            <w:tcW w:w="8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457157"/>
            </w:tcBorders>
            <w:shd w:val="clear" w:color="auto" w:fill="CCEEFF"/>
          </w:tcPr>
          <w:p>
            <w:pPr>
              <w:jc w:val="right"/>
              <w:ind w:right="200"/>
              <w:spacing w:after="0" w:line="183" w:lineRule="exact"/>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4,124</w:t>
            </w:r>
          </w:p>
        </w:tc>
        <w:tc>
          <w:tcPr>
            <w:tcW w:w="2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1120" w:type="dxa"/>
            <w:vAlign w:val="bottom"/>
            <w:tcBorders>
              <w:bottom w:val="single" w:sz="8" w:color="457157"/>
            </w:tcBorders>
            <w:gridSpan w:val="2"/>
            <w:shd w:val="clear" w:color="auto" w:fill="CCEEFF"/>
          </w:tcPr>
          <w:p>
            <w:pPr>
              <w:ind w:left="40"/>
              <w:spacing w:after="0" w:line="183" w:lineRule="exact"/>
              <w:rPr>
                <w:sz w:val="20"/>
                <w:szCs w:val="20"/>
                <w:color w:val="auto"/>
              </w:rPr>
            </w:pPr>
            <w:r>
              <w:rPr>
                <w:rFonts w:ascii="Arial" w:cs="Arial" w:eastAsia="Arial" w:hAnsi="Arial"/>
                <w:sz w:val="17"/>
                <w:szCs w:val="17"/>
                <w:color w:val="auto"/>
              </w:rPr>
              <w:t xml:space="preserve">8,248​ </w:t>
            </w:r>
            <w:r>
              <w:rPr>
                <w:rFonts w:ascii="Arial" w:cs="Arial" w:eastAsia="Arial" w:hAnsi="Arial"/>
                <w:sz w:val="17"/>
                <w:szCs w:val="17"/>
                <w:b w:val="1"/>
                <w:bCs w:val="1"/>
                <w:color w:val="auto"/>
              </w:rPr>
              <w:t>​</w:t>
            </w:r>
            <w:r>
              <w:rPr>
                <w:rFonts w:ascii="Arial" w:cs="Arial" w:eastAsia="Arial" w:hAnsi="Arial"/>
                <w:sz w:val="17"/>
                <w:szCs w:val="17"/>
                <w:color w:val="auto"/>
              </w:rPr>
              <w:t xml:space="preserve"> 16,496</w:t>
            </w:r>
          </w:p>
        </w:tc>
        <w:tc>
          <w:tcPr>
            <w:tcW w:w="200" w:type="dxa"/>
            <w:vAlign w:val="bottom"/>
            <w:tcBorders>
              <w:bottom w:val="single" w:sz="8" w:color="457157"/>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20" w:type="dxa"/>
            <w:vAlign w:val="bottom"/>
            <w:tcBorders>
              <w:bottom w:val="single" w:sz="8" w:color="457157"/>
            </w:tcBorders>
            <w:shd w:val="clear" w:color="auto" w:fill="CCEEFF"/>
          </w:tcPr>
          <w:p>
            <w:pPr>
              <w:jc w:val="center"/>
              <w:spacing w:after="0" w:line="183" w:lineRule="exact"/>
              <w:rPr>
                <w:sz w:val="20"/>
                <w:szCs w:val="20"/>
                <w:color w:val="auto"/>
              </w:rPr>
            </w:pPr>
            <w:r>
              <w:rPr>
                <w:rFonts w:ascii="Arial" w:cs="Arial" w:eastAsia="Arial" w:hAnsi="Arial"/>
                <w:sz w:val="17"/>
                <w:szCs w:val="17"/>
                <w:color w:val="auto"/>
              </w:rPr>
              <w:t>​</w:t>
            </w:r>
          </w:p>
        </w:tc>
        <w:tc>
          <w:tcPr>
            <w:tcW w:w="8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color w:val="auto"/>
              </w:rPr>
              <w:t>​</w:t>
            </w:r>
          </w:p>
        </w:tc>
        <w:tc>
          <w:tcPr>
            <w:tcW w:w="180" w:type="dxa"/>
            <w:vAlign w:val="bottom"/>
            <w:tcBorders>
              <w:bottom w:val="single" w:sz="8" w:color="457157"/>
            </w:tcBorders>
            <w:shd w:val="clear" w:color="auto" w:fill="CCEEFF"/>
          </w:tcPr>
          <w:p>
            <w:pPr>
              <w:ind w:left="120"/>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bottom w:val="single" w:sz="8" w:color="457157"/>
            </w:tcBorders>
            <w:shd w:val="clear" w:color="auto" w:fill="CCEEFF"/>
          </w:tcPr>
          <w:p>
            <w:pPr>
              <w:ind w:left="520"/>
              <w:spacing w:after="0" w:line="183" w:lineRule="exact"/>
              <w:rPr>
                <w:sz w:val="20"/>
                <w:szCs w:val="20"/>
                <w:color w:val="auto"/>
              </w:rPr>
            </w:pPr>
            <w:r>
              <w:rPr>
                <w:rFonts w:ascii="Arial" w:cs="Arial" w:eastAsia="Arial" w:hAnsi="Arial"/>
                <w:sz w:val="17"/>
                <w:szCs w:val="17"/>
                <w:color w:val="auto"/>
              </w:rPr>
              <w:t>​</w:t>
            </w:r>
          </w:p>
        </w:tc>
        <w:tc>
          <w:tcPr>
            <w:tcW w:w="120" w:type="dxa"/>
            <w:vAlign w:val="bottom"/>
            <w:tcBorders>
              <w:bottom w:val="single" w:sz="8" w:color="457157"/>
            </w:tcBorders>
            <w:shd w:val="clear" w:color="auto" w:fill="CCEEFF"/>
          </w:tcPr>
          <w:p>
            <w:pPr>
              <w:ind w:left="40"/>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580" w:type="dxa"/>
            <w:vAlign w:val="bottom"/>
            <w:tcBorders>
              <w:bottom w:val="single" w:sz="8" w:color="457157"/>
            </w:tcBorders>
            <w:shd w:val="clear" w:color="auto" w:fill="CCEEFF"/>
          </w:tcPr>
          <w:p>
            <w:pPr>
              <w:spacing w:after="0"/>
              <w:rPr>
                <w:sz w:val="15"/>
                <w:szCs w:val="15"/>
                <w:color w:val="auto"/>
              </w:rPr>
            </w:pPr>
          </w:p>
        </w:tc>
        <w:tc>
          <w:tcPr>
            <w:tcW w:w="12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760" w:type="dxa"/>
            <w:vAlign w:val="bottom"/>
            <w:tcBorders>
              <w:bottom w:val="single" w:sz="8" w:color="457157"/>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7"/>
              </w:rPr>
              <w:t>2,111,358​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00" w:type="dxa"/>
            <w:vAlign w:val="bottom"/>
            <w:vMerge w:val="restart"/>
          </w:tcPr>
          <w:p>
            <w:pPr>
              <w:spacing w:after="0"/>
              <w:rPr>
                <w:sz w:val="20"/>
                <w:szCs w:val="20"/>
                <w:color w:val="auto"/>
              </w:rPr>
            </w:pPr>
            <w:r>
              <w:rPr>
                <w:rFonts w:ascii="Arial" w:cs="Arial" w:eastAsia="Arial" w:hAnsi="Arial"/>
                <w:sz w:val="17"/>
                <w:szCs w:val="17"/>
                <w:color w:val="auto"/>
              </w:rPr>
              <w:t>​</w:t>
            </w:r>
          </w:p>
        </w:tc>
        <w:tc>
          <w:tcPr>
            <w:tcW w:w="1120" w:type="dxa"/>
            <w:vAlign w:val="bottom"/>
            <w:gridSpan w:val="3"/>
            <w:vMerge w:val="restart"/>
          </w:tcPr>
          <w:p>
            <w:pPr>
              <w:jc w:val="right"/>
              <w:ind w:right="457"/>
              <w:spacing w:after="0"/>
              <w:rPr>
                <w:sz w:val="20"/>
                <w:szCs w:val="20"/>
                <w:color w:val="auto"/>
              </w:rPr>
            </w:pPr>
            <w:r>
              <w:rPr>
                <w:rFonts w:ascii="Arial" w:cs="Arial" w:eastAsia="Arial" w:hAnsi="Arial"/>
                <w:sz w:val="17"/>
                <w:szCs w:val="17"/>
                <w:color w:val="auto"/>
              </w:rPr>
              <w:t>3/1/24</w:t>
            </w:r>
          </w:p>
        </w:tc>
        <w:tc>
          <w:tcPr>
            <w:tcW w:w="120" w:type="dxa"/>
            <w:vAlign w:val="bottom"/>
          </w:tcPr>
          <w:p>
            <w:pPr>
              <w:ind w:left="20"/>
              <w:spacing w:after="0" w:line="155" w:lineRule="exact"/>
              <w:rPr>
                <w:sz w:val="20"/>
                <w:szCs w:val="20"/>
                <w:color w:val="auto"/>
              </w:rPr>
            </w:pPr>
            <w:r>
              <w:rPr>
                <w:rFonts w:ascii="Arial" w:cs="Arial" w:eastAsia="Arial" w:hAnsi="Arial"/>
                <w:sz w:val="17"/>
                <w:szCs w:val="17"/>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7"/>
                <w:szCs w:val="17"/>
                <w:color w:val="auto"/>
              </w:rPr>
              <w:t>​</w:t>
            </w:r>
          </w:p>
        </w:tc>
        <w:tc>
          <w:tcPr>
            <w:tcW w:w="980" w:type="dxa"/>
            <w:vAlign w:val="bottom"/>
          </w:tcPr>
          <w:p>
            <w:pPr>
              <w:jc w:val="right"/>
              <w:ind w:right="200"/>
              <w:spacing w:after="0" w:line="155" w:lineRule="exact"/>
              <w:rPr>
                <w:sz w:val="20"/>
                <w:szCs w:val="20"/>
                <w:color w:val="auto"/>
              </w:rPr>
            </w:pPr>
            <w:r>
              <w:rPr>
                <w:rFonts w:ascii="Arial" w:cs="Arial" w:eastAsia="Arial" w:hAnsi="Arial"/>
                <w:sz w:val="17"/>
                <w:szCs w:val="17"/>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7"/>
                <w:szCs w:val="17"/>
                <w:color w:val="auto"/>
              </w:rPr>
              <w:t>​</w:t>
            </w:r>
          </w:p>
        </w:tc>
        <w:tc>
          <w:tcPr>
            <w:tcW w:w="12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spacing w:after="0"/>
              <w:rPr>
                <w:sz w:val="13"/>
                <w:szCs w:val="13"/>
                <w:color w:val="auto"/>
              </w:rPr>
            </w:pPr>
          </w:p>
        </w:tc>
        <w:tc>
          <w:tcPr>
            <w:tcW w:w="220" w:type="dxa"/>
            <w:vAlign w:val="bottom"/>
            <w:vMerge w:val="restart"/>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1120" w:type="dxa"/>
            <w:vAlign w:val="bottom"/>
            <w:gridSpan w:val="2"/>
            <w:vMerge w:val="restart"/>
          </w:tcPr>
          <w:p>
            <w:pPr>
              <w:ind w:left="4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200" w:type="dxa"/>
            <w:vAlign w:val="bottom"/>
            <w:gridSpan w:val="2"/>
            <w:vMerge w:val="restart"/>
          </w:tcPr>
          <w:p>
            <w:pPr>
              <w:jc w:val="right"/>
              <w:spacing w:after="0"/>
              <w:rPr>
                <w:sz w:val="20"/>
                <w:szCs w:val="20"/>
                <w:color w:val="auto"/>
              </w:rPr>
            </w:pPr>
            <w:r>
              <w:rPr>
                <w:rFonts w:ascii="Arial" w:cs="Arial" w:eastAsia="Arial" w:hAnsi="Arial"/>
                <w:sz w:val="17"/>
                <w:szCs w:val="17"/>
                <w:color w:val="auto"/>
              </w:rPr>
              <w:t>​ ​​</w:t>
            </w:r>
          </w:p>
        </w:tc>
        <w:tc>
          <w:tcPr>
            <w:tcW w:w="720" w:type="dxa"/>
            <w:vAlign w:val="bottom"/>
          </w:tcPr>
          <w:p>
            <w:pPr>
              <w:jc w:val="center"/>
              <w:spacing w:after="0" w:line="155" w:lineRule="exact"/>
              <w:rPr>
                <w:sz w:val="20"/>
                <w:szCs w:val="20"/>
                <w:color w:val="auto"/>
              </w:rPr>
            </w:pPr>
            <w:r>
              <w:rPr>
                <w:rFonts w:ascii="Arial" w:cs="Arial" w:eastAsia="Arial" w:hAnsi="Arial"/>
                <w:sz w:val="17"/>
                <w:szCs w:val="17"/>
                <w:color w:val="auto"/>
              </w:rPr>
              <w:t>​</w:t>
            </w:r>
          </w:p>
        </w:tc>
        <w:tc>
          <w:tcPr>
            <w:tcW w:w="80" w:type="dxa"/>
            <w:vAlign w:val="bottom"/>
            <w:vMerge w:val="restart"/>
          </w:tcPr>
          <w:p>
            <w:pPr>
              <w:ind w:left="40"/>
              <w:spacing w:after="0"/>
              <w:rPr>
                <w:sz w:val="20"/>
                <w:szCs w:val="20"/>
                <w:color w:val="auto"/>
              </w:rPr>
            </w:pPr>
            <w:r>
              <w:rPr>
                <w:rFonts w:ascii="Arial" w:cs="Arial" w:eastAsia="Arial" w:hAnsi="Arial"/>
                <w:sz w:val="17"/>
                <w:szCs w:val="17"/>
                <w:color w:val="auto"/>
              </w:rPr>
              <w:t>​</w:t>
            </w:r>
          </w:p>
        </w:tc>
        <w:tc>
          <w:tcPr>
            <w:tcW w:w="180" w:type="dxa"/>
            <w:vAlign w:val="bottom"/>
          </w:tcPr>
          <w:p>
            <w:pPr>
              <w:ind w:left="140"/>
              <w:spacing w:after="0" w:line="155" w:lineRule="exact"/>
              <w:rPr>
                <w:sz w:val="20"/>
                <w:szCs w:val="20"/>
                <w:color w:val="auto"/>
              </w:rPr>
            </w:pPr>
            <w:r>
              <w:rPr>
                <w:rFonts w:ascii="Arial" w:cs="Arial" w:eastAsia="Arial" w:hAnsi="Arial"/>
                <w:sz w:val="17"/>
                <w:szCs w:val="17"/>
                <w:color w:val="auto"/>
              </w:rPr>
              <w:t>​</w:t>
            </w:r>
          </w:p>
        </w:tc>
        <w:tc>
          <w:tcPr>
            <w:tcW w:w="660" w:type="dxa"/>
            <w:vAlign w:val="bottom"/>
          </w:tcPr>
          <w:p>
            <w:pPr>
              <w:ind w:left="100"/>
              <w:spacing w:after="0" w:line="155" w:lineRule="exact"/>
              <w:rPr>
                <w:sz w:val="20"/>
                <w:szCs w:val="20"/>
                <w:color w:val="auto"/>
              </w:rPr>
            </w:pPr>
            <w:r>
              <w:rPr>
                <w:rFonts w:ascii="Arial" w:cs="Arial" w:eastAsia="Arial" w:hAnsi="Arial"/>
                <w:sz w:val="17"/>
                <w:szCs w:val="17"/>
                <w:color w:val="auto"/>
              </w:rPr>
              <w:t>9,302</w:t>
            </w:r>
          </w:p>
        </w:tc>
        <w:tc>
          <w:tcPr>
            <w:tcW w:w="840" w:type="dxa"/>
            <w:vAlign w:val="bottom"/>
            <w:gridSpan w:val="2"/>
          </w:tcPr>
          <w:p>
            <w:pPr>
              <w:jc w:val="right"/>
              <w:spacing w:after="0" w:line="155" w:lineRule="exact"/>
              <w:rPr>
                <w:sz w:val="20"/>
                <w:szCs w:val="20"/>
                <w:color w:val="auto"/>
              </w:rPr>
            </w:pPr>
            <w:r>
              <w:rPr>
                <w:rFonts w:ascii="Arial" w:cs="Arial" w:eastAsia="Arial" w:hAnsi="Arial"/>
                <w:sz w:val="17"/>
                <w:szCs w:val="17"/>
                <w:color w:val="auto"/>
              </w:rPr>
              <w:t>​204.7585 ​</w:t>
            </w:r>
          </w:p>
        </w:tc>
        <w:tc>
          <w:tcPr>
            <w:tcW w:w="580" w:type="dxa"/>
            <w:vAlign w:val="bottom"/>
          </w:tcPr>
          <w:p>
            <w:pPr>
              <w:jc w:val="right"/>
              <w:spacing w:after="0" w:line="155" w:lineRule="exact"/>
              <w:rPr>
                <w:sz w:val="20"/>
                <w:szCs w:val="20"/>
                <w:color w:val="auto"/>
              </w:rPr>
            </w:pPr>
            <w:r>
              <w:rPr>
                <w:rFonts w:ascii="Arial" w:cs="Arial" w:eastAsia="Arial" w:hAnsi="Arial"/>
                <w:sz w:val="17"/>
                <w:szCs w:val="17"/>
                <w:color w:val="auto"/>
              </w:rPr>
              <w:t>205.79</w:t>
            </w:r>
          </w:p>
        </w:tc>
        <w:tc>
          <w:tcPr>
            <w:tcW w:w="1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gridSpan w:val="2"/>
            <w:vMerge w:val="restart"/>
          </w:tcPr>
          <w:p>
            <w:pPr>
              <w:jc w:val="right"/>
              <w:spacing w:after="0"/>
              <w:rPr>
                <w:sz w:val="20"/>
                <w:szCs w:val="20"/>
                <w:color w:val="auto"/>
              </w:rPr>
            </w:pPr>
            <w:r>
              <w:rPr>
                <w:rFonts w:ascii="Arial" w:cs="Arial" w:eastAsia="Arial" w:hAnsi="Arial"/>
                <w:sz w:val="17"/>
                <w:szCs w:val="17"/>
                <w:color w:val="auto"/>
              </w:rPr>
              <w:t>399,986​</w:t>
            </w:r>
          </w:p>
        </w:tc>
        <w:tc>
          <w:tcPr>
            <w:tcW w:w="0" w:type="dxa"/>
            <w:vAlign w:val="bottom"/>
          </w:tcPr>
          <w:p>
            <w:pPr>
              <w:spacing w:after="0"/>
              <w:rPr>
                <w:sz w:val="1"/>
                <w:szCs w:val="1"/>
                <w:color w:val="auto"/>
              </w:rPr>
            </w:pPr>
          </w:p>
        </w:tc>
      </w:tr>
      <w:tr>
        <w:trPr>
          <w:trHeight w:val="95"/>
        </w:trPr>
        <w:tc>
          <w:tcPr>
            <w:tcW w:w="100" w:type="dxa"/>
            <w:vAlign w:val="bottom"/>
            <w:vMerge w:val="continue"/>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20" w:type="dxa"/>
            <w:vAlign w:val="bottom"/>
          </w:tcPr>
          <w:p>
            <w:pPr>
              <w:spacing w:after="0" w:line="95" w:lineRule="exact"/>
              <w:rPr>
                <w:sz w:val="20"/>
                <w:szCs w:val="20"/>
                <w:color w:val="auto"/>
              </w:rPr>
            </w:pPr>
            <w:r>
              <w:rPr>
                <w:rFonts w:ascii="Arial" w:cs="Arial" w:eastAsia="Arial" w:hAnsi="Arial"/>
                <w:sz w:val="10"/>
                <w:szCs w:val="10"/>
                <w:b w:val="1"/>
                <w:bCs w:val="1"/>
                <w:color w:val="auto"/>
              </w:rPr>
              <w:t>​</w:t>
            </w:r>
          </w:p>
        </w:tc>
        <w:tc>
          <w:tcPr>
            <w:tcW w:w="820" w:type="dxa"/>
            <w:vAlign w:val="bottom"/>
          </w:tcPr>
          <w:p>
            <w:pPr>
              <w:jc w:val="right"/>
              <w:spacing w:after="0" w:line="95" w:lineRule="exact"/>
              <w:rPr>
                <w:sz w:val="20"/>
                <w:szCs w:val="20"/>
                <w:color w:val="auto"/>
              </w:rPr>
            </w:pPr>
            <w:r>
              <w:rPr>
                <w:rFonts w:ascii="Arial" w:cs="Arial" w:eastAsia="Arial" w:hAnsi="Arial"/>
                <w:sz w:val="10"/>
                <w:szCs w:val="10"/>
                <w:b w:val="1"/>
                <w:bCs w:val="1"/>
                <w:color w:val="auto"/>
              </w:rPr>
              <w:t>​</w:t>
            </w:r>
          </w:p>
        </w:tc>
        <w:tc>
          <w:tcPr>
            <w:tcW w:w="980" w:type="dxa"/>
            <w:vAlign w:val="bottom"/>
          </w:tcPr>
          <w:p>
            <w:pPr>
              <w:jc w:val="right"/>
              <w:ind w:right="200"/>
              <w:spacing w:after="0" w:line="95" w:lineRule="exact"/>
              <w:rPr>
                <w:sz w:val="20"/>
                <w:szCs w:val="20"/>
                <w:color w:val="auto"/>
              </w:rPr>
            </w:pPr>
            <w:r>
              <w:rPr>
                <w:rFonts w:ascii="Arial" w:cs="Arial" w:eastAsia="Arial" w:hAnsi="Arial"/>
                <w:sz w:val="10"/>
                <w:szCs w:val="10"/>
                <w:b w:val="1"/>
                <w:bCs w:val="1"/>
                <w:color w:val="auto"/>
              </w:rPr>
              <w:t>​</w:t>
            </w:r>
          </w:p>
        </w:tc>
        <w:tc>
          <w:tcPr>
            <w:tcW w:w="50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1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180" w:type="dxa"/>
            <w:vAlign w:val="bottom"/>
          </w:tcPr>
          <w:p>
            <w:pPr>
              <w:ind w:left="120"/>
              <w:spacing w:after="0" w:line="95" w:lineRule="exact"/>
              <w:rPr>
                <w:sz w:val="20"/>
                <w:szCs w:val="20"/>
                <w:color w:val="auto"/>
              </w:rPr>
            </w:pPr>
            <w:r>
              <w:rPr>
                <w:rFonts w:ascii="Arial" w:cs="Arial" w:eastAsia="Arial" w:hAnsi="Arial"/>
                <w:sz w:val="10"/>
                <w:szCs w:val="10"/>
                <w:color w:val="auto"/>
              </w:rPr>
              <w:t>​</w:t>
            </w:r>
          </w:p>
        </w:tc>
        <w:tc>
          <w:tcPr>
            <w:tcW w:w="660" w:type="dxa"/>
            <w:vAlign w:val="bottom"/>
          </w:tcPr>
          <w:p>
            <w:pPr>
              <w:spacing w:after="0"/>
              <w:rPr>
                <w:sz w:val="8"/>
                <w:szCs w:val="8"/>
                <w:color w:val="auto"/>
              </w:rPr>
            </w:pPr>
          </w:p>
        </w:tc>
        <w:tc>
          <w:tcPr>
            <w:tcW w:w="120" w:type="dxa"/>
            <w:vAlign w:val="bottom"/>
          </w:tcPr>
          <w:p>
            <w:pPr>
              <w:ind w:left="40"/>
              <w:spacing w:after="0" w:line="95" w:lineRule="exact"/>
              <w:rPr>
                <w:sz w:val="20"/>
                <w:szCs w:val="20"/>
                <w:color w:val="auto"/>
              </w:rPr>
            </w:pPr>
            <w:r>
              <w:rPr>
                <w:rFonts w:ascii="Arial" w:cs="Arial" w:eastAsia="Arial" w:hAnsi="Arial"/>
                <w:sz w:val="10"/>
                <w:szCs w:val="10"/>
                <w:color w:val="auto"/>
              </w:rPr>
              <w:t>​</w:t>
            </w:r>
            <w:r>
              <w:rPr>
                <w:rFonts w:ascii="Arial" w:cs="Arial" w:eastAsia="Arial" w:hAnsi="Arial"/>
                <w:sz w:val="10"/>
                <w:szCs w:val="10"/>
                <w:b w:val="1"/>
                <w:bCs w:val="1"/>
                <w:color w:val="auto"/>
              </w:rPr>
              <w:t>​</w:t>
            </w:r>
          </w:p>
        </w:tc>
        <w:tc>
          <w:tcPr>
            <w:tcW w:w="720" w:type="dxa"/>
            <w:vAlign w:val="bottom"/>
          </w:tcPr>
          <w:p>
            <w:pPr>
              <w:jc w:val="right"/>
              <w:spacing w:after="0" w:line="95" w:lineRule="exact"/>
              <w:rPr>
                <w:sz w:val="20"/>
                <w:szCs w:val="20"/>
                <w:color w:val="auto"/>
              </w:rPr>
            </w:pPr>
            <w:r>
              <w:rPr>
                <w:rFonts w:ascii="Arial" w:cs="Arial" w:eastAsia="Arial" w:hAnsi="Arial"/>
                <w:sz w:val="10"/>
                <w:szCs w:val="10"/>
                <w:color w:val="auto"/>
              </w:rPr>
              <w:t>​​</w:t>
            </w:r>
          </w:p>
        </w:tc>
        <w:tc>
          <w:tcPr>
            <w:tcW w:w="58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98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66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72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1180" w:right="400" w:hanging="364"/>
        <w:spacing w:after="0" w:line="254"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Actual payouts of cash incentive awards for 2024 performance are shown in the Summary Compensation Table under “Non-Equity Incentive Plan Compensation.” The named executives’ possible annual cash incentive payouts are calculated using a percentage of base salary approved by the MD&amp;C Committee. The threshold levels represent the amounts that would have been payable if the minimum performance criteria were met for each of the three financial performance measures. The range of possible payouts does not incorporate any individual performance modification or the potential impact of the sustainability modifier, pursuant to which cash incentive payouts were eligible to be increased, or decreased, up to 10% depending on achievement calculated using a sustainability scorecard. See “Compensation Discussion and Analysis —  Named Executive’s 2024 Compensation Program and Results — Annual Cash Incentive” for additional information.</w:t>
      </w:r>
    </w:p>
    <w:p>
      <w:pPr>
        <w:spacing w:after="0" w:line="293" w:lineRule="exact"/>
        <w:rPr>
          <w:rFonts w:ascii="Arial" w:cs="Arial" w:eastAsia="Arial" w:hAnsi="Arial"/>
          <w:sz w:val="18"/>
          <w:szCs w:val="18"/>
          <w:color w:val="auto"/>
        </w:rPr>
      </w:pPr>
    </w:p>
    <w:p>
      <w:pPr>
        <w:jc w:val="both"/>
        <w:ind w:left="1180" w:right="400" w:hanging="364"/>
        <w:spacing w:after="0" w:line="257"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Consists of the number of shares of Common Stock potentially issuable based on the achievement of performance criteria under PSU awards granted under our 2023 Stock Incentive Plan. See “Compensation Discussion and Analysis — Named Executive’s 2024 Compensation Program and Results — Long-Term Equity Incentives — PSUs Granted in 2024” for additional information. The performance period for these awards ends December 31, 2026. PSUs earn dividend equivalents, which are paid out based on the number of shares earned at the end of the performance period.</w:t>
      </w:r>
    </w:p>
    <w:p>
      <w:pPr>
        <w:spacing w:after="0" w:line="74" w:lineRule="exact"/>
        <w:rPr>
          <w:rFonts w:ascii="Arial" w:cs="Arial" w:eastAsia="Arial" w:hAnsi="Arial"/>
          <w:sz w:val="18"/>
          <w:szCs w:val="18"/>
          <w:color w:val="auto"/>
        </w:rPr>
      </w:pPr>
    </w:p>
    <w:p>
      <w:pPr>
        <w:jc w:val="both"/>
        <w:ind w:left="1180" w:right="400" w:hanging="364"/>
        <w:spacing w:after="0" w:line="257"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Consists of the number of shares of Common Stock potentially issuable upon the exercise of options granted under our 2023 Stock Incentive Plan. See “Compensation Discussion and Analysis — Named Executive’s 2024 Compensation Program and Results — Long-Term Equity Incentives — Stock Options” for additional information. Stock options vest ratably in three annual increments, beginning on the first anniversary of the date of grant. Although we consider stock options to be a form of incentive compensation, only awards with performance criteria are included as “Equity Incentive Plan Awards” in our compensation tables.</w:t>
      </w:r>
    </w:p>
    <w:p>
      <w:pPr>
        <w:spacing w:after="0" w:line="290" w:lineRule="exact"/>
        <w:rPr>
          <w:rFonts w:ascii="Arial" w:cs="Arial" w:eastAsia="Arial" w:hAnsi="Arial"/>
          <w:sz w:val="18"/>
          <w:szCs w:val="18"/>
          <w:color w:val="auto"/>
        </w:rPr>
      </w:pPr>
    </w:p>
    <w:p>
      <w:pPr>
        <w:ind w:left="1180" w:right="420" w:hanging="364"/>
        <w:spacing w:after="0" w:line="287"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exercise price represents the average of the high and low market price of our Common Stock on the date of the grant, in accordance with our 2023 Stock Incentive Plan.</w:t>
      </w:r>
    </w:p>
    <w:p>
      <w:pPr>
        <w:spacing w:after="0" w:line="44" w:lineRule="exact"/>
        <w:rPr>
          <w:rFonts w:ascii="Arial" w:cs="Arial" w:eastAsia="Arial" w:hAnsi="Arial"/>
          <w:sz w:val="18"/>
          <w:szCs w:val="18"/>
          <w:color w:val="auto"/>
        </w:rPr>
      </w:pPr>
    </w:p>
    <w:p>
      <w:pPr>
        <w:ind w:left="1180" w:right="400" w:hanging="364"/>
        <w:spacing w:after="0" w:line="287" w:lineRule="auto"/>
        <w:tabs>
          <w:tab w:leader="none" w:pos="11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These amounts are grant date fair values of the awards as calculated under ASC Topic 718 and as further described in notes (1) and (2) to the Summary Compensation Table.</w:t>
      </w:r>
    </w:p>
    <w:p>
      <w:pPr>
        <w:spacing w:after="0" w:line="223"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9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1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Outstanding Equity Awards as of December 31, 2024</w:t>
      </w:r>
    </w:p>
    <w:p>
      <w:pPr>
        <w:spacing w:after="0" w:line="145" w:lineRule="exact"/>
        <w:rPr>
          <w:sz w:val="20"/>
          <w:szCs w:val="20"/>
          <w:color w:val="auto"/>
        </w:rPr>
      </w:pPr>
    </w:p>
    <w:tbl>
      <w:tblPr>
        <w:tblLayout w:type="fixed"/>
        <w:tblInd w:w="820" w:type="dxa"/>
        <w:tblCellMar>
          <w:top w:w="0" w:type="dxa"/>
          <w:left w:w="0" w:type="dxa"/>
          <w:bottom w:w="0" w:type="dxa"/>
          <w:right w:w="0" w:type="dxa"/>
        </w:tblCellMar>
      </w:tblPr>
      <w:tr>
        <w:trPr>
          <w:trHeight w:val="211"/>
        </w:trPr>
        <w:tc>
          <w:tcPr>
            <w:tcW w:w="600" w:type="dxa"/>
            <w:vAlign w:val="bottom"/>
          </w:tcPr>
          <w:p>
            <w:pPr>
              <w:spacing w:after="0"/>
              <w:rPr>
                <w:sz w:val="20"/>
                <w:szCs w:val="20"/>
                <w:color w:val="auto"/>
              </w:rPr>
            </w:pPr>
            <w:r>
              <w:rPr>
                <w:rFonts w:ascii="Arial" w:cs="Arial" w:eastAsia="Arial" w:hAnsi="Arial"/>
                <w:sz w:val="14"/>
                <w:szCs w:val="14"/>
                <w:b w:val="1"/>
                <w:bCs w:val="1"/>
                <w:color w:val="457157"/>
              </w:rPr>
              <w:t>​</w:t>
            </w:r>
          </w:p>
        </w:tc>
        <w:tc>
          <w:tcPr>
            <w:tcW w:w="320" w:type="dxa"/>
            <w:vAlign w:val="bottom"/>
            <w:gridSpan w:val="2"/>
          </w:tcPr>
          <w:p>
            <w:pPr>
              <w:ind w:left="180"/>
              <w:spacing w:after="0"/>
              <w:rPr>
                <w:sz w:val="20"/>
                <w:szCs w:val="20"/>
                <w:color w:val="auto"/>
              </w:rPr>
            </w:pPr>
            <w:r>
              <w:rPr>
                <w:rFonts w:ascii="Arial" w:cs="Arial" w:eastAsia="Arial" w:hAnsi="Arial"/>
                <w:sz w:val="14"/>
                <w:szCs w:val="14"/>
                <w:b w:val="1"/>
                <w:bCs w:val="1"/>
                <w:color w:val="457157"/>
              </w:rPr>
              <w:t>​​</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4"/>
          </w:tcPr>
          <w:p>
            <w:pPr>
              <w:jc w:val="right"/>
              <w:ind w:right="454"/>
              <w:spacing w:after="0"/>
              <w:rPr>
                <w:sz w:val="20"/>
                <w:szCs w:val="20"/>
                <w:color w:val="auto"/>
              </w:rPr>
            </w:pPr>
            <w:r>
              <w:rPr>
                <w:rFonts w:ascii="Arial" w:cs="Arial" w:eastAsia="Arial" w:hAnsi="Arial"/>
                <w:sz w:val="14"/>
                <w:szCs w:val="14"/>
                <w:b w:val="1"/>
                <w:bCs w:val="1"/>
                <w:color w:val="457157"/>
              </w:rPr>
              <w:t>Option Awards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457157"/>
              </w:rPr>
              <w:t>​ ​</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457157"/>
              </w:rPr>
              <w:t>Stock Awards</w:t>
            </w:r>
            <w:r>
              <w:rPr>
                <w:rFonts w:ascii="Arial" w:cs="Arial" w:eastAsia="Arial" w:hAnsi="Arial"/>
                <w:sz w:val="17"/>
                <w:szCs w:val="17"/>
                <w:b w:val="1"/>
                <w:bCs w:val="1"/>
                <w:color w:val="457157"/>
                <w:vertAlign w:val="superscript"/>
              </w:rPr>
              <w:t>(1)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
                <w:szCs w:val="1"/>
                <w:b w:val="1"/>
                <w:bCs w:val="1"/>
                <w:color w:val="457157"/>
                <w:w w:val="4294942296"/>
              </w:rPr>
              <w:t>​</w:t>
            </w:r>
          </w:p>
        </w:tc>
        <w:tc>
          <w:tcPr>
            <w:tcW w:w="0" w:type="dxa"/>
            <w:vAlign w:val="bottom"/>
          </w:tcPr>
          <w:p>
            <w:pPr>
              <w:spacing w:after="0"/>
              <w:rPr>
                <w:sz w:val="1"/>
                <w:szCs w:val="1"/>
                <w:color w:val="auto"/>
              </w:rPr>
            </w:pPr>
          </w:p>
        </w:tc>
      </w:tr>
      <w:tr>
        <w:trPr>
          <w:trHeight w:val="169"/>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Borders>
              <w:top w:val="single" w:sz="8" w:color="457157"/>
            </w:tcBorders>
          </w:tcPr>
          <w:p>
            <w:pPr>
              <w:spacing w:after="0"/>
              <w:rPr>
                <w:sz w:val="14"/>
                <w:szCs w:val="14"/>
                <w:color w:val="auto"/>
              </w:rPr>
            </w:pPr>
          </w:p>
        </w:tc>
        <w:tc>
          <w:tcPr>
            <w:tcW w:w="220" w:type="dxa"/>
            <w:vAlign w:val="bottom"/>
            <w:tcBorders>
              <w:top w:val="single" w:sz="8" w:color="457157"/>
            </w:tcBorders>
          </w:tcPr>
          <w:p>
            <w:pPr>
              <w:spacing w:after="0"/>
              <w:rPr>
                <w:sz w:val="14"/>
                <w:szCs w:val="14"/>
                <w:color w:val="auto"/>
              </w:rPr>
            </w:pPr>
          </w:p>
        </w:tc>
        <w:tc>
          <w:tcPr>
            <w:tcW w:w="680" w:type="dxa"/>
            <w:vAlign w:val="bottom"/>
            <w:tcBorders>
              <w:top w:val="single" w:sz="8" w:color="457157"/>
            </w:tcBorders>
          </w:tcPr>
          <w:p>
            <w:pPr>
              <w:spacing w:after="0"/>
              <w:rPr>
                <w:sz w:val="14"/>
                <w:szCs w:val="14"/>
                <w:color w:val="auto"/>
              </w:rPr>
            </w:pPr>
          </w:p>
        </w:tc>
        <w:tc>
          <w:tcPr>
            <w:tcW w:w="60" w:type="dxa"/>
            <w:vAlign w:val="bottom"/>
            <w:tcBorders>
              <w:top w:val="single" w:sz="8" w:color="457157"/>
            </w:tcBorders>
          </w:tcPr>
          <w:p>
            <w:pPr>
              <w:spacing w:after="0"/>
              <w:rPr>
                <w:sz w:val="14"/>
                <w:szCs w:val="14"/>
                <w:color w:val="auto"/>
              </w:rPr>
            </w:pPr>
          </w:p>
        </w:tc>
        <w:tc>
          <w:tcPr>
            <w:tcW w:w="180" w:type="dxa"/>
            <w:vAlign w:val="bottom"/>
            <w:tcBorders>
              <w:top w:val="single" w:sz="8" w:color="457157"/>
            </w:tcBorders>
          </w:tcPr>
          <w:p>
            <w:pPr>
              <w:spacing w:after="0"/>
              <w:rPr>
                <w:sz w:val="14"/>
                <w:szCs w:val="14"/>
                <w:color w:val="auto"/>
              </w:rPr>
            </w:pPr>
          </w:p>
        </w:tc>
        <w:tc>
          <w:tcPr>
            <w:tcW w:w="200" w:type="dxa"/>
            <w:vAlign w:val="bottom"/>
            <w:tcBorders>
              <w:top w:val="single" w:sz="8" w:color="457157"/>
            </w:tcBorders>
          </w:tcPr>
          <w:p>
            <w:pPr>
              <w:spacing w:after="0"/>
              <w:rPr>
                <w:sz w:val="14"/>
                <w:szCs w:val="14"/>
                <w:color w:val="auto"/>
              </w:rPr>
            </w:pPr>
          </w:p>
        </w:tc>
        <w:tc>
          <w:tcPr>
            <w:tcW w:w="800" w:type="dxa"/>
            <w:vAlign w:val="bottom"/>
            <w:tcBorders>
              <w:top w:val="single" w:sz="8" w:color="457157"/>
            </w:tcBorders>
          </w:tcPr>
          <w:p>
            <w:pPr>
              <w:spacing w:after="0"/>
              <w:rPr>
                <w:sz w:val="14"/>
                <w:szCs w:val="14"/>
                <w:color w:val="auto"/>
              </w:rPr>
            </w:pPr>
          </w:p>
        </w:tc>
        <w:tc>
          <w:tcPr>
            <w:tcW w:w="40" w:type="dxa"/>
            <w:vAlign w:val="bottom"/>
            <w:tcBorders>
              <w:top w:val="single" w:sz="8" w:color="457157"/>
            </w:tcBorders>
          </w:tcPr>
          <w:p>
            <w:pPr>
              <w:spacing w:after="0"/>
              <w:rPr>
                <w:sz w:val="14"/>
                <w:szCs w:val="14"/>
                <w:color w:val="auto"/>
              </w:rPr>
            </w:pPr>
          </w:p>
        </w:tc>
        <w:tc>
          <w:tcPr>
            <w:tcW w:w="180" w:type="dxa"/>
            <w:vAlign w:val="bottom"/>
            <w:tcBorders>
              <w:top w:val="single" w:sz="8" w:color="457157"/>
            </w:tcBorders>
          </w:tcPr>
          <w:p>
            <w:pPr>
              <w:spacing w:after="0"/>
              <w:rPr>
                <w:sz w:val="14"/>
                <w:szCs w:val="14"/>
                <w:color w:val="auto"/>
              </w:rPr>
            </w:pPr>
          </w:p>
        </w:tc>
        <w:tc>
          <w:tcPr>
            <w:tcW w:w="700" w:type="dxa"/>
            <w:vAlign w:val="bottom"/>
            <w:tcBorders>
              <w:top w:val="single" w:sz="8" w:color="457157"/>
            </w:tcBorders>
          </w:tcPr>
          <w:p>
            <w:pPr>
              <w:spacing w:after="0"/>
              <w:rPr>
                <w:sz w:val="14"/>
                <w:szCs w:val="14"/>
                <w:color w:val="auto"/>
              </w:rPr>
            </w:pPr>
          </w:p>
        </w:tc>
        <w:tc>
          <w:tcPr>
            <w:tcW w:w="220" w:type="dxa"/>
            <w:vAlign w:val="bottom"/>
            <w:tcBorders>
              <w:top w:val="single" w:sz="8" w:color="457157"/>
            </w:tcBorders>
          </w:tcPr>
          <w:p>
            <w:pPr>
              <w:spacing w:after="0"/>
              <w:rPr>
                <w:sz w:val="14"/>
                <w:szCs w:val="14"/>
                <w:color w:val="auto"/>
              </w:rPr>
            </w:pPr>
          </w:p>
        </w:tc>
        <w:tc>
          <w:tcPr>
            <w:tcW w:w="740" w:type="dxa"/>
            <w:vAlign w:val="bottom"/>
            <w:tcBorders>
              <w:top w:val="single" w:sz="8" w:color="457157"/>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Borders>
              <w:top w:val="single" w:sz="8" w:color="457157"/>
            </w:tcBorders>
          </w:tcPr>
          <w:p>
            <w:pPr>
              <w:spacing w:after="0"/>
              <w:rPr>
                <w:sz w:val="14"/>
                <w:szCs w:val="14"/>
                <w:color w:val="auto"/>
              </w:rPr>
            </w:pPr>
          </w:p>
        </w:tc>
        <w:tc>
          <w:tcPr>
            <w:tcW w:w="160" w:type="dxa"/>
            <w:vAlign w:val="bottom"/>
            <w:tcBorders>
              <w:top w:val="single" w:sz="8" w:color="457157"/>
            </w:tcBorders>
          </w:tcPr>
          <w:p>
            <w:pPr>
              <w:spacing w:after="0"/>
              <w:rPr>
                <w:sz w:val="14"/>
                <w:szCs w:val="14"/>
                <w:color w:val="auto"/>
              </w:rPr>
            </w:pPr>
          </w:p>
        </w:tc>
        <w:tc>
          <w:tcPr>
            <w:tcW w:w="640" w:type="dxa"/>
            <w:vAlign w:val="bottom"/>
            <w:tcBorders>
              <w:top w:val="single" w:sz="8" w:color="457157"/>
            </w:tcBorders>
          </w:tcPr>
          <w:p>
            <w:pPr>
              <w:spacing w:after="0"/>
              <w:rPr>
                <w:sz w:val="14"/>
                <w:szCs w:val="14"/>
                <w:color w:val="auto"/>
              </w:rPr>
            </w:pPr>
          </w:p>
        </w:tc>
        <w:tc>
          <w:tcPr>
            <w:tcW w:w="80" w:type="dxa"/>
            <w:vAlign w:val="bottom"/>
            <w:tcBorders>
              <w:top w:val="single" w:sz="8" w:color="457157"/>
            </w:tcBorders>
          </w:tcPr>
          <w:p>
            <w:pPr>
              <w:spacing w:after="0"/>
              <w:rPr>
                <w:sz w:val="14"/>
                <w:szCs w:val="14"/>
                <w:color w:val="auto"/>
              </w:rPr>
            </w:pPr>
          </w:p>
        </w:tc>
        <w:tc>
          <w:tcPr>
            <w:tcW w:w="180" w:type="dxa"/>
            <w:vAlign w:val="bottom"/>
            <w:tcBorders>
              <w:top w:val="single" w:sz="8" w:color="457157"/>
            </w:tcBorders>
          </w:tcPr>
          <w:p>
            <w:pPr>
              <w:spacing w:after="0"/>
              <w:rPr>
                <w:sz w:val="14"/>
                <w:szCs w:val="14"/>
                <w:color w:val="auto"/>
              </w:rPr>
            </w:pPr>
          </w:p>
        </w:tc>
        <w:tc>
          <w:tcPr>
            <w:tcW w:w="800" w:type="dxa"/>
            <w:vAlign w:val="bottom"/>
            <w:tcBorders>
              <w:top w:val="single" w:sz="8" w:color="457157"/>
            </w:tcBorders>
          </w:tcPr>
          <w:p>
            <w:pPr>
              <w:spacing w:after="0"/>
              <w:rPr>
                <w:sz w:val="14"/>
                <w:szCs w:val="14"/>
                <w:color w:val="auto"/>
              </w:rPr>
            </w:pPr>
          </w:p>
        </w:tc>
        <w:tc>
          <w:tcPr>
            <w:tcW w:w="160" w:type="dxa"/>
            <w:vAlign w:val="bottom"/>
            <w:tcBorders>
              <w:top w:val="single" w:sz="8" w:color="457157"/>
            </w:tcBorders>
          </w:tcPr>
          <w:p>
            <w:pPr>
              <w:spacing w:after="0"/>
              <w:rPr>
                <w:sz w:val="14"/>
                <w:szCs w:val="14"/>
                <w:color w:val="auto"/>
              </w:rPr>
            </w:pPr>
          </w:p>
        </w:tc>
        <w:tc>
          <w:tcPr>
            <w:tcW w:w="160" w:type="dxa"/>
            <w:vAlign w:val="bottom"/>
            <w:tcBorders>
              <w:top w:val="single" w:sz="8" w:color="457157"/>
            </w:tcBorders>
          </w:tcPr>
          <w:p>
            <w:pPr>
              <w:spacing w:after="0"/>
              <w:rPr>
                <w:sz w:val="14"/>
                <w:szCs w:val="14"/>
                <w:color w:val="auto"/>
              </w:rPr>
            </w:pPr>
          </w:p>
        </w:tc>
        <w:tc>
          <w:tcPr>
            <w:tcW w:w="580" w:type="dxa"/>
            <w:vAlign w:val="bottom"/>
            <w:tcBorders>
              <w:top w:val="single" w:sz="8" w:color="457157"/>
            </w:tcBorders>
          </w:tcPr>
          <w:p>
            <w:pPr>
              <w:spacing w:after="0"/>
              <w:rPr>
                <w:sz w:val="14"/>
                <w:szCs w:val="14"/>
                <w:color w:val="auto"/>
              </w:rPr>
            </w:pPr>
          </w:p>
        </w:tc>
        <w:tc>
          <w:tcPr>
            <w:tcW w:w="140" w:type="dxa"/>
            <w:vAlign w:val="bottom"/>
            <w:tcBorders>
              <w:top w:val="single" w:sz="8" w:color="457157"/>
            </w:tcBorders>
          </w:tcPr>
          <w:p>
            <w:pPr>
              <w:spacing w:after="0"/>
              <w:rPr>
                <w:sz w:val="14"/>
                <w:szCs w:val="14"/>
                <w:color w:val="auto"/>
              </w:rPr>
            </w:pPr>
          </w:p>
        </w:tc>
        <w:tc>
          <w:tcPr>
            <w:tcW w:w="200" w:type="dxa"/>
            <w:vAlign w:val="bottom"/>
            <w:tcBorders>
              <w:top w:val="single" w:sz="8" w:color="457157"/>
            </w:tcBorders>
          </w:tcPr>
          <w:p>
            <w:pPr>
              <w:spacing w:after="0"/>
              <w:rPr>
                <w:sz w:val="14"/>
                <w:szCs w:val="14"/>
                <w:color w:val="auto"/>
              </w:rPr>
            </w:pPr>
          </w:p>
        </w:tc>
        <w:tc>
          <w:tcPr>
            <w:tcW w:w="860" w:type="dxa"/>
            <w:vAlign w:val="bottom"/>
            <w:tcBorders>
              <w:top w:val="single" w:sz="8" w:color="457157"/>
            </w:tcBorders>
          </w:tcPr>
          <w:p>
            <w:pPr>
              <w:jc w:val="right"/>
              <w:ind w:right="17"/>
              <w:spacing w:after="0"/>
              <w:rPr>
                <w:sz w:val="20"/>
                <w:szCs w:val="20"/>
                <w:color w:val="auto"/>
              </w:rPr>
            </w:pPr>
            <w:r>
              <w:rPr>
                <w:rFonts w:ascii="Arial" w:cs="Arial" w:eastAsia="Arial" w:hAnsi="Arial"/>
                <w:sz w:val="14"/>
                <w:szCs w:val="14"/>
                <w:b w:val="1"/>
                <w:bCs w:val="1"/>
                <w:color w:val="457157"/>
              </w:rPr>
              <w:t>Equity</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457157"/>
              </w:rPr>
              <w:t>Equity</w:t>
            </w:r>
          </w:p>
        </w:tc>
        <w:tc>
          <w:tcPr>
            <w:tcW w:w="200" w:type="dxa"/>
            <w:vAlign w:val="bottom"/>
          </w:tcPr>
          <w:p>
            <w:pPr>
              <w:spacing w:after="0"/>
              <w:rPr>
                <w:sz w:val="12"/>
                <w:szCs w:val="12"/>
                <w:color w:val="auto"/>
              </w:rPr>
            </w:pPr>
          </w:p>
        </w:tc>
        <w:tc>
          <w:tcPr>
            <w:tcW w:w="860" w:type="dxa"/>
            <w:vAlign w:val="bottom"/>
          </w:tcPr>
          <w:p>
            <w:pPr>
              <w:jc w:val="right"/>
              <w:ind w:right="17"/>
              <w:spacing w:after="0" w:line="139" w:lineRule="exact"/>
              <w:rPr>
                <w:sz w:val="20"/>
                <w:szCs w:val="20"/>
                <w:color w:val="auto"/>
              </w:rPr>
            </w:pPr>
            <w:r>
              <w:rPr>
                <w:rFonts w:ascii="Arial" w:cs="Arial" w:eastAsia="Arial" w:hAnsi="Arial"/>
                <w:sz w:val="14"/>
                <w:szCs w:val="14"/>
                <w:b w:val="1"/>
                <w:bCs w:val="1"/>
                <w:color w:val="457157"/>
              </w:rPr>
              <w:t>Incentive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jc w:val="right"/>
              <w:ind w:right="17"/>
              <w:spacing w:after="0" w:line="145" w:lineRule="exact"/>
              <w:rPr>
                <w:sz w:val="20"/>
                <w:szCs w:val="20"/>
                <w:color w:val="auto"/>
              </w:rPr>
            </w:pPr>
            <w:r>
              <w:rPr>
                <w:rFonts w:ascii="Arial" w:cs="Arial" w:eastAsia="Arial" w:hAnsi="Arial"/>
                <w:sz w:val="14"/>
                <w:szCs w:val="14"/>
                <w:b w:val="1"/>
                <w:bCs w:val="1"/>
                <w:color w:val="457157"/>
              </w:rPr>
              <w:t>Plan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457157"/>
              </w:rPr>
              <w:t>Incentive</w:t>
            </w:r>
          </w:p>
        </w:tc>
        <w:tc>
          <w:tcPr>
            <w:tcW w:w="200" w:type="dxa"/>
            <w:vAlign w:val="bottom"/>
          </w:tcPr>
          <w:p>
            <w:pPr>
              <w:spacing w:after="0"/>
              <w:rPr>
                <w:sz w:val="12"/>
                <w:szCs w:val="12"/>
                <w:color w:val="auto"/>
              </w:rPr>
            </w:pPr>
          </w:p>
        </w:tc>
        <w:tc>
          <w:tcPr>
            <w:tcW w:w="86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457157"/>
              </w:rPr>
              <w:t>Awards: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center"/>
              <w:ind w:left="136"/>
              <w:spacing w:after="0" w:line="139" w:lineRule="exact"/>
              <w:rPr>
                <w:sz w:val="20"/>
                <w:szCs w:val="20"/>
                <w:color w:val="auto"/>
              </w:rPr>
            </w:pPr>
            <w:r>
              <w:rPr>
                <w:rFonts w:ascii="Arial" w:cs="Arial" w:eastAsia="Arial" w:hAnsi="Arial"/>
                <w:sz w:val="14"/>
                <w:szCs w:val="14"/>
                <w:b w:val="1"/>
                <w:bCs w:val="1"/>
                <w:color w:val="457157"/>
              </w:rPr>
              <w:t>Plan</w:t>
            </w:r>
          </w:p>
        </w:tc>
        <w:tc>
          <w:tcPr>
            <w:tcW w:w="200" w:type="dxa"/>
            <w:vAlign w:val="bottom"/>
          </w:tcPr>
          <w:p>
            <w:pPr>
              <w:spacing w:after="0"/>
              <w:rPr>
                <w:sz w:val="12"/>
                <w:szCs w:val="12"/>
                <w:color w:val="auto"/>
              </w:rPr>
            </w:pPr>
          </w:p>
        </w:tc>
        <w:tc>
          <w:tcPr>
            <w:tcW w:w="860" w:type="dxa"/>
            <w:vAlign w:val="bottom"/>
          </w:tcPr>
          <w:p>
            <w:pPr>
              <w:jc w:val="right"/>
              <w:ind w:right="17"/>
              <w:spacing w:after="0" w:line="139" w:lineRule="exact"/>
              <w:rPr>
                <w:sz w:val="20"/>
                <w:szCs w:val="20"/>
                <w:color w:val="auto"/>
              </w:rPr>
            </w:pPr>
            <w:r>
              <w:rPr>
                <w:rFonts w:ascii="Arial" w:cs="Arial" w:eastAsia="Arial" w:hAnsi="Arial"/>
                <w:sz w:val="14"/>
                <w:szCs w:val="14"/>
                <w:b w:val="1"/>
                <w:bCs w:val="1"/>
                <w:color w:val="457157"/>
              </w:rPr>
              <w:t>Market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5" w:lineRule="exact"/>
              <w:rPr>
                <w:sz w:val="20"/>
                <w:szCs w:val="20"/>
                <w:color w:val="auto"/>
              </w:rPr>
            </w:pPr>
            <w:r>
              <w:rPr>
                <w:rFonts w:ascii="Arial" w:cs="Arial" w:eastAsia="Arial" w:hAnsi="Arial"/>
                <w:sz w:val="14"/>
                <w:szCs w:val="14"/>
                <w:b w:val="1"/>
                <w:bCs w:val="1"/>
                <w:color w:val="457157"/>
              </w:rPr>
              <w:t>Awards:</w:t>
            </w:r>
          </w:p>
        </w:tc>
        <w:tc>
          <w:tcPr>
            <w:tcW w:w="200" w:type="dxa"/>
            <w:vAlign w:val="bottom"/>
          </w:tcPr>
          <w:p>
            <w:pPr>
              <w:spacing w:after="0"/>
              <w:rPr>
                <w:sz w:val="12"/>
                <w:szCs w:val="12"/>
                <w:color w:val="auto"/>
              </w:rPr>
            </w:pPr>
          </w:p>
        </w:tc>
        <w:tc>
          <w:tcPr>
            <w:tcW w:w="860" w:type="dxa"/>
            <w:vAlign w:val="bottom"/>
          </w:tcPr>
          <w:p>
            <w:pPr>
              <w:jc w:val="right"/>
              <w:ind w:right="17"/>
              <w:spacing w:after="0" w:line="145" w:lineRule="exact"/>
              <w:rPr>
                <w:sz w:val="20"/>
                <w:szCs w:val="20"/>
                <w:color w:val="auto"/>
              </w:rPr>
            </w:pPr>
            <w:r>
              <w:rPr>
                <w:rFonts w:ascii="Arial" w:cs="Arial" w:eastAsia="Arial" w:hAnsi="Arial"/>
                <w:sz w:val="14"/>
                <w:szCs w:val="14"/>
                <w:b w:val="1"/>
                <w:bCs w:val="1"/>
                <w:color w:val="457157"/>
              </w:rPr>
              <w:t>Payout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Market</w:t>
            </w:r>
          </w:p>
        </w:tc>
        <w:tc>
          <w:tcPr>
            <w:tcW w:w="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457157"/>
              </w:rPr>
              <w:t>Number of</w:t>
            </w:r>
          </w:p>
        </w:tc>
        <w:tc>
          <w:tcPr>
            <w:tcW w:w="200" w:type="dxa"/>
            <w:vAlign w:val="bottom"/>
          </w:tcPr>
          <w:p>
            <w:pPr>
              <w:spacing w:after="0"/>
              <w:rPr>
                <w:sz w:val="12"/>
                <w:szCs w:val="12"/>
                <w:color w:val="auto"/>
              </w:rPr>
            </w:pPr>
          </w:p>
        </w:tc>
        <w:tc>
          <w:tcPr>
            <w:tcW w:w="86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457157"/>
              </w:rPr>
              <w:t>Value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457157"/>
              </w:rPr>
              <w:t>Number of</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Number of</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457157"/>
              </w:rPr>
              <w:t>Number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457157"/>
              </w:rPr>
              <w:t>Unearned</w:t>
            </w:r>
          </w:p>
        </w:tc>
        <w:tc>
          <w:tcPr>
            <w:tcW w:w="200" w:type="dxa"/>
            <w:vAlign w:val="bottom"/>
          </w:tcPr>
          <w:p>
            <w:pPr>
              <w:spacing w:after="0"/>
              <w:rPr>
                <w:sz w:val="12"/>
                <w:szCs w:val="12"/>
                <w:color w:val="auto"/>
              </w:rPr>
            </w:pPr>
          </w:p>
        </w:tc>
        <w:tc>
          <w:tcPr>
            <w:tcW w:w="86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457157"/>
              </w:rPr>
              <w:t>Unearned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Value of</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4"/>
                <w:szCs w:val="14"/>
                <w:b w:val="1"/>
                <w:bCs w:val="1"/>
                <w:color w:val="457157"/>
              </w:rPr>
              <w:t>Shares,</w:t>
            </w:r>
          </w:p>
        </w:tc>
        <w:tc>
          <w:tcPr>
            <w:tcW w:w="200" w:type="dxa"/>
            <w:vAlign w:val="bottom"/>
          </w:tcPr>
          <w:p>
            <w:pPr>
              <w:spacing w:after="0"/>
              <w:rPr>
                <w:sz w:val="11"/>
                <w:szCs w:val="11"/>
                <w:color w:val="auto"/>
              </w:rPr>
            </w:pPr>
          </w:p>
        </w:tc>
        <w:tc>
          <w:tcPr>
            <w:tcW w:w="860" w:type="dxa"/>
            <w:vAlign w:val="bottom"/>
          </w:tcPr>
          <w:p>
            <w:pPr>
              <w:jc w:val="right"/>
              <w:ind w:right="17"/>
              <w:spacing w:after="0" w:line="135" w:lineRule="exact"/>
              <w:rPr>
                <w:sz w:val="20"/>
                <w:szCs w:val="20"/>
                <w:color w:val="auto"/>
              </w:rPr>
            </w:pPr>
            <w:r>
              <w:rPr>
                <w:rFonts w:ascii="Arial" w:cs="Arial" w:eastAsia="Arial" w:hAnsi="Arial"/>
                <w:sz w:val="14"/>
                <w:szCs w:val="14"/>
                <w:b w:val="1"/>
                <w:bCs w:val="1"/>
                <w:color w:val="457157"/>
              </w:rPr>
              <w:t>Shares,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Securities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Securities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Shares or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Shares or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457157"/>
              </w:rPr>
              <w:t>Units or</w:t>
            </w:r>
          </w:p>
        </w:tc>
        <w:tc>
          <w:tcPr>
            <w:tcW w:w="200" w:type="dxa"/>
            <w:vAlign w:val="bottom"/>
          </w:tcPr>
          <w:p>
            <w:pPr>
              <w:spacing w:after="0"/>
              <w:rPr>
                <w:sz w:val="12"/>
                <w:szCs w:val="12"/>
                <w:color w:val="auto"/>
              </w:rPr>
            </w:pPr>
          </w:p>
        </w:tc>
        <w:tc>
          <w:tcPr>
            <w:tcW w:w="86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457157"/>
              </w:rPr>
              <w:t>Units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Underlying</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Underlying</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Option</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Units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Units of</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457157"/>
              </w:rPr>
              <w:t>Other</w:t>
            </w:r>
          </w:p>
        </w:tc>
        <w:tc>
          <w:tcPr>
            <w:tcW w:w="200" w:type="dxa"/>
            <w:vAlign w:val="bottom"/>
          </w:tcPr>
          <w:p>
            <w:pPr>
              <w:spacing w:after="0"/>
              <w:rPr>
                <w:sz w:val="12"/>
                <w:szCs w:val="12"/>
                <w:color w:val="auto"/>
              </w:rPr>
            </w:pPr>
          </w:p>
        </w:tc>
        <w:tc>
          <w:tcPr>
            <w:tcW w:w="86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457157"/>
              </w:rPr>
              <w:t>Other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gridSpan w:val="3"/>
          </w:tcPr>
          <w:p>
            <w:pPr>
              <w:jc w:val="right"/>
              <w:spacing w:after="0" w:line="135" w:lineRule="exact"/>
              <w:rPr>
                <w:sz w:val="20"/>
                <w:szCs w:val="20"/>
                <w:color w:val="auto"/>
              </w:rPr>
            </w:pPr>
            <w:r>
              <w:rPr>
                <w:rFonts w:ascii="Arial" w:cs="Arial" w:eastAsia="Arial" w:hAnsi="Arial"/>
                <w:sz w:val="14"/>
                <w:szCs w:val="14"/>
                <w:b w:val="1"/>
                <w:bCs w:val="1"/>
                <w:color w:val="457157"/>
              </w:rPr>
              <w:t>Unexercised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457157"/>
              </w:rPr>
              <w:t>Unexercised</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Option</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Stock</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Stock</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right"/>
              <w:ind w:right="40"/>
              <w:spacing w:after="0" w:line="135" w:lineRule="exact"/>
              <w:rPr>
                <w:sz w:val="20"/>
                <w:szCs w:val="20"/>
                <w:color w:val="auto"/>
              </w:rPr>
            </w:pPr>
            <w:r>
              <w:rPr>
                <w:rFonts w:ascii="Arial" w:cs="Arial" w:eastAsia="Arial" w:hAnsi="Arial"/>
                <w:sz w:val="14"/>
                <w:szCs w:val="14"/>
                <w:b w:val="1"/>
                <w:bCs w:val="1"/>
                <w:color w:val="457157"/>
              </w:rPr>
              <w:t>Rights</w:t>
            </w:r>
          </w:p>
        </w:tc>
        <w:tc>
          <w:tcPr>
            <w:tcW w:w="200" w:type="dxa"/>
            <w:vAlign w:val="bottom"/>
          </w:tcPr>
          <w:p>
            <w:pPr>
              <w:spacing w:after="0"/>
              <w:rPr>
                <w:sz w:val="11"/>
                <w:szCs w:val="11"/>
                <w:color w:val="auto"/>
              </w:rPr>
            </w:pPr>
          </w:p>
        </w:tc>
        <w:tc>
          <w:tcPr>
            <w:tcW w:w="860" w:type="dxa"/>
            <w:vAlign w:val="bottom"/>
          </w:tcPr>
          <w:p>
            <w:pPr>
              <w:jc w:val="right"/>
              <w:ind w:right="17"/>
              <w:spacing w:after="0" w:line="135" w:lineRule="exact"/>
              <w:rPr>
                <w:sz w:val="20"/>
                <w:szCs w:val="20"/>
                <w:color w:val="auto"/>
              </w:rPr>
            </w:pPr>
            <w:r>
              <w:rPr>
                <w:rFonts w:ascii="Arial" w:cs="Arial" w:eastAsia="Arial" w:hAnsi="Arial"/>
                <w:sz w:val="14"/>
                <w:szCs w:val="14"/>
                <w:b w:val="1"/>
                <w:bCs w:val="1"/>
                <w:color w:val="457157"/>
              </w:rPr>
              <w:t>Rights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Options</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Options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Exercise</w:t>
            </w:r>
          </w:p>
        </w:tc>
        <w:tc>
          <w:tcPr>
            <w:tcW w:w="2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That Have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That Have</w:t>
            </w:r>
          </w:p>
        </w:tc>
        <w:tc>
          <w:tcPr>
            <w:tcW w:w="160" w:type="dxa"/>
            <w:vAlign w:val="bottom"/>
          </w:tcPr>
          <w:p>
            <w:pPr>
              <w:spacing w:after="0"/>
              <w:rPr>
                <w:sz w:val="12"/>
                <w:szCs w:val="12"/>
                <w:color w:val="auto"/>
              </w:rPr>
            </w:pPr>
          </w:p>
        </w:tc>
        <w:tc>
          <w:tcPr>
            <w:tcW w:w="88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457157"/>
              </w:rPr>
              <w:t>That Have</w:t>
            </w:r>
          </w:p>
        </w:tc>
        <w:tc>
          <w:tcPr>
            <w:tcW w:w="200" w:type="dxa"/>
            <w:vAlign w:val="bottom"/>
          </w:tcPr>
          <w:p>
            <w:pPr>
              <w:spacing w:after="0"/>
              <w:rPr>
                <w:sz w:val="12"/>
                <w:szCs w:val="12"/>
                <w:color w:val="auto"/>
              </w:rPr>
            </w:pPr>
          </w:p>
        </w:tc>
        <w:tc>
          <w:tcPr>
            <w:tcW w:w="86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457157"/>
              </w:rPr>
              <w:t>That Have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0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Name</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Exercisable</w:t>
            </w:r>
          </w:p>
        </w:tc>
        <w:tc>
          <w:tcPr>
            <w:tcW w:w="60" w:type="dxa"/>
            <w:vAlign w:val="bottom"/>
          </w:tcPr>
          <w:p>
            <w:pPr>
              <w:spacing w:after="0"/>
              <w:rPr>
                <w:sz w:val="12"/>
                <w:szCs w:val="12"/>
                <w:color w:val="auto"/>
              </w:rPr>
            </w:pPr>
          </w:p>
        </w:tc>
        <w:tc>
          <w:tcPr>
            <w:tcW w:w="11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457157"/>
              </w:rPr>
              <w:t>Unexercisable</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Price</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Expiration</w:t>
            </w:r>
          </w:p>
        </w:tc>
        <w:tc>
          <w:tcPr>
            <w:tcW w:w="140" w:type="dxa"/>
            <w:vAlign w:val="bottom"/>
          </w:tcPr>
          <w:p>
            <w:pPr>
              <w:spacing w:after="0"/>
              <w:rPr>
                <w:sz w:val="12"/>
                <w:szCs w:val="12"/>
                <w:color w:val="auto"/>
              </w:rPr>
            </w:pP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457157"/>
              </w:rPr>
              <w:t>Not Vested</w:t>
            </w:r>
          </w:p>
        </w:tc>
        <w:tc>
          <w:tcPr>
            <w:tcW w:w="8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457157"/>
              </w:rPr>
              <w:t>Not Vested</w:t>
            </w:r>
          </w:p>
        </w:tc>
        <w:tc>
          <w:tcPr>
            <w:tcW w:w="2100" w:type="dxa"/>
            <w:vAlign w:val="bottom"/>
            <w:gridSpan w:val="6"/>
          </w:tcPr>
          <w:p>
            <w:pPr>
              <w:jc w:val="right"/>
              <w:ind w:right="17"/>
              <w:spacing w:after="0" w:line="149" w:lineRule="exact"/>
              <w:rPr>
                <w:sz w:val="20"/>
                <w:szCs w:val="20"/>
                <w:color w:val="auto"/>
              </w:rPr>
            </w:pPr>
            <w:r>
              <w:rPr>
                <w:rFonts w:ascii="Arial" w:cs="Arial" w:eastAsia="Arial" w:hAnsi="Arial"/>
                <w:sz w:val="14"/>
                <w:szCs w:val="14"/>
                <w:b w:val="1"/>
                <w:bCs w:val="1"/>
                <w:color w:val="457157"/>
              </w:rPr>
              <w:t>Not Vested   Not Vested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0" w:type="dxa"/>
            <w:vAlign w:val="bottom"/>
            <w:vMerge w:val="continue"/>
          </w:tcPr>
          <w:p>
            <w:pPr>
              <w:spacing w:after="0"/>
              <w:rPr>
                <w:sz w:val="11"/>
                <w:szCs w:val="11"/>
                <w:color w:val="auto"/>
              </w:rPr>
            </w:pPr>
          </w:p>
        </w:tc>
        <w:tc>
          <w:tcPr>
            <w:tcW w:w="3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457157"/>
              </w:rPr>
              <w:t>​​</w:t>
            </w:r>
          </w:p>
        </w:tc>
        <w:tc>
          <w:tcPr>
            <w:tcW w:w="22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457157"/>
              </w:rPr>
              <w:t>(#)</w:t>
            </w:r>
            <w:r>
              <w:rPr>
                <w:rFonts w:ascii="Arial" w:cs="Arial" w:eastAsia="Arial" w:hAnsi="Arial"/>
                <w:sz w:val="8"/>
                <w:szCs w:val="8"/>
                <w:b w:val="1"/>
                <w:bCs w:val="1"/>
                <w:color w:val="457157"/>
              </w:rPr>
              <w:t>(2)</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200" w:type="dxa"/>
            <w:vAlign w:val="bottom"/>
          </w:tcPr>
          <w:p>
            <w:pPr>
              <w:spacing w:after="0"/>
              <w:rPr>
                <w:sz w:val="11"/>
                <w:szCs w:val="11"/>
                <w:color w:val="auto"/>
              </w:rPr>
            </w:pPr>
          </w:p>
        </w:tc>
        <w:tc>
          <w:tcPr>
            <w:tcW w:w="84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70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220" w:type="dxa"/>
            <w:vAlign w:val="bottom"/>
            <w:vMerge w:val="restart"/>
          </w:tcPr>
          <w:p>
            <w:pPr>
              <w:ind w:left="60"/>
              <w:spacing w:after="0"/>
              <w:rPr>
                <w:sz w:val="20"/>
                <w:szCs w:val="20"/>
                <w:color w:val="auto"/>
              </w:rPr>
            </w:pPr>
            <w:r>
              <w:rPr>
                <w:rFonts w:ascii="Arial" w:cs="Arial" w:eastAsia="Arial" w:hAnsi="Arial"/>
                <w:sz w:val="14"/>
                <w:szCs w:val="14"/>
                <w:b w:val="1"/>
                <w:bCs w:val="1"/>
                <w:color w:val="457157"/>
              </w:rPr>
              <w:t>​ ​</w:t>
            </w:r>
          </w:p>
        </w:tc>
        <w:tc>
          <w:tcPr>
            <w:tcW w:w="74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Date</w:t>
            </w:r>
          </w:p>
        </w:tc>
        <w:tc>
          <w:tcPr>
            <w:tcW w:w="3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457157"/>
              </w:rPr>
              <w:t>​ ​</w:t>
            </w:r>
          </w:p>
        </w:tc>
        <w:tc>
          <w:tcPr>
            <w:tcW w:w="720" w:type="dxa"/>
            <w:vAlign w:val="bottom"/>
            <w:gridSpan w:val="2"/>
          </w:tcPr>
          <w:p>
            <w:pPr>
              <w:jc w:val="right"/>
              <w:ind w:right="12"/>
              <w:spacing w:after="0" w:line="135" w:lineRule="exact"/>
              <w:rPr>
                <w:sz w:val="20"/>
                <w:szCs w:val="20"/>
                <w:color w:val="auto"/>
              </w:rPr>
            </w:pPr>
            <w:r>
              <w:rPr>
                <w:rFonts w:ascii="Arial" w:cs="Arial" w:eastAsia="Arial" w:hAnsi="Arial"/>
                <w:sz w:val="14"/>
                <w:szCs w:val="14"/>
                <w:b w:val="1"/>
                <w:bCs w:val="1"/>
                <w:color w:val="457157"/>
              </w:rPr>
              <w:t>(#)</w:t>
            </w:r>
            <w:r>
              <w:rPr>
                <w:rFonts w:ascii="Arial" w:cs="Arial" w:eastAsia="Arial" w:hAnsi="Arial"/>
                <w:sz w:val="8"/>
                <w:szCs w:val="8"/>
                <w:b w:val="1"/>
                <w:bCs w:val="1"/>
                <w:color w:val="457157"/>
              </w:rPr>
              <w:t>(6)</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800" w:type="dxa"/>
            <w:vAlign w:val="bottom"/>
          </w:tcPr>
          <w:p>
            <w:pPr>
              <w:jc w:val="right"/>
              <w:spacing w:after="0" w:line="135" w:lineRule="exact"/>
              <w:rPr>
                <w:sz w:val="20"/>
                <w:szCs w:val="20"/>
                <w:color w:val="auto"/>
              </w:rPr>
            </w:pPr>
            <w:r>
              <w:rPr>
                <w:rFonts w:ascii="Arial" w:cs="Arial" w:eastAsia="Arial" w:hAnsi="Arial"/>
                <w:sz w:val="15"/>
                <w:szCs w:val="15"/>
                <w:b w:val="1"/>
                <w:bCs w:val="1"/>
                <w:color w:val="457157"/>
                <w:vertAlign w:val="subscript"/>
              </w:rPr>
              <w:t>($)</w:t>
            </w:r>
            <w:r>
              <w:rPr>
                <w:rFonts w:ascii="Arial" w:cs="Arial" w:eastAsia="Arial" w:hAnsi="Arial"/>
                <w:sz w:val="7"/>
                <w:szCs w:val="7"/>
                <w:b w:val="1"/>
                <w:bCs w:val="1"/>
                <w:color w:val="457157"/>
              </w:rPr>
              <w:t>(6)</w:t>
            </w:r>
          </w:p>
        </w:tc>
        <w:tc>
          <w:tcPr>
            <w:tcW w:w="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457157"/>
              </w:rPr>
              <w:t>​ ​</w:t>
            </w:r>
          </w:p>
        </w:tc>
        <w:tc>
          <w:tcPr>
            <w:tcW w:w="72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457157"/>
              </w:rPr>
              <w:t>(#)</w:t>
            </w:r>
            <w:r>
              <w:rPr>
                <w:rFonts w:ascii="Arial" w:cs="Arial" w:eastAsia="Arial" w:hAnsi="Arial"/>
                <w:sz w:val="8"/>
                <w:szCs w:val="8"/>
                <w:b w:val="1"/>
                <w:bCs w:val="1"/>
                <w:color w:val="457157"/>
              </w:rPr>
              <w:t>(7)</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86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w:t>
            </w:r>
            <w:r>
              <w:rPr>
                <w:rFonts w:ascii="Arial" w:cs="Arial" w:eastAsia="Arial" w:hAnsi="Arial"/>
                <w:sz w:val="8"/>
                <w:szCs w:val="8"/>
                <w:b w:val="1"/>
                <w:bCs w:val="1"/>
                <w:color w:val="457157"/>
              </w:rPr>
              <w:t>(7)</w:t>
            </w: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54"/>
        </w:trPr>
        <w:tc>
          <w:tcPr>
            <w:tcW w:w="600" w:type="dxa"/>
            <w:vAlign w:val="bottom"/>
            <w:tcBorders>
              <w:bottom w:val="single" w:sz="8" w:color="457157"/>
            </w:tcBorders>
          </w:tcPr>
          <w:p>
            <w:pPr>
              <w:ind w:left="20"/>
              <w:spacing w:after="0" w:line="54" w:lineRule="exact"/>
              <w:rPr>
                <w:sz w:val="20"/>
                <w:szCs w:val="20"/>
                <w:color w:val="auto"/>
              </w:rPr>
            </w:pPr>
            <w:r>
              <w:rPr>
                <w:rFonts w:ascii="Arial" w:cs="Arial" w:eastAsia="Arial" w:hAnsi="Arial"/>
                <w:sz w:val="6"/>
                <w:szCs w:val="6"/>
                <w:b w:val="1"/>
                <w:bCs w:val="1"/>
                <w:color w:val="457157"/>
              </w:rPr>
              <w:t>​</w:t>
            </w:r>
          </w:p>
        </w:tc>
        <w:tc>
          <w:tcPr>
            <w:tcW w:w="320" w:type="dxa"/>
            <w:vAlign w:val="bottom"/>
            <w:tcBorders>
              <w:bottom w:val="single" w:sz="8" w:color="457157"/>
            </w:tcBorders>
            <w:gridSpan w:val="2"/>
            <w:vMerge w:val="continue"/>
          </w:tcPr>
          <w:p>
            <w:pPr>
              <w:spacing w:after="0"/>
              <w:rPr>
                <w:sz w:val="4"/>
                <w:szCs w:val="4"/>
                <w:color w:val="auto"/>
              </w:rPr>
            </w:pPr>
          </w:p>
        </w:tc>
        <w:tc>
          <w:tcPr>
            <w:tcW w:w="220" w:type="dxa"/>
            <w:vAlign w:val="bottom"/>
            <w:tcBorders>
              <w:bottom w:val="single" w:sz="8" w:color="457157"/>
            </w:tcBorders>
          </w:tcPr>
          <w:p>
            <w:pPr>
              <w:spacing w:after="0"/>
              <w:rPr>
                <w:sz w:val="4"/>
                <w:szCs w:val="4"/>
                <w:color w:val="auto"/>
              </w:rPr>
            </w:pPr>
          </w:p>
        </w:tc>
        <w:tc>
          <w:tcPr>
            <w:tcW w:w="680" w:type="dxa"/>
            <w:vAlign w:val="bottom"/>
            <w:tcBorders>
              <w:bottom w:val="single" w:sz="8" w:color="457157"/>
            </w:tcBorders>
          </w:tcPr>
          <w:p>
            <w:pPr>
              <w:spacing w:after="0"/>
              <w:rPr>
                <w:sz w:val="4"/>
                <w:szCs w:val="4"/>
                <w:color w:val="auto"/>
              </w:rPr>
            </w:pPr>
          </w:p>
        </w:tc>
        <w:tc>
          <w:tcPr>
            <w:tcW w:w="60" w:type="dxa"/>
            <w:vAlign w:val="bottom"/>
            <w:tcBorders>
              <w:bottom w:val="single" w:sz="8" w:color="457157"/>
            </w:tcBorders>
          </w:tcPr>
          <w:p>
            <w:pPr>
              <w:spacing w:after="0"/>
              <w:rPr>
                <w:sz w:val="4"/>
                <w:szCs w:val="4"/>
                <w:color w:val="auto"/>
              </w:rPr>
            </w:pPr>
          </w:p>
        </w:tc>
        <w:tc>
          <w:tcPr>
            <w:tcW w:w="180" w:type="dxa"/>
            <w:vAlign w:val="bottom"/>
            <w:tcBorders>
              <w:bottom w:val="single" w:sz="8" w:color="457157"/>
            </w:tcBorders>
            <w:vMerge w:val="continue"/>
          </w:tcPr>
          <w:p>
            <w:pPr>
              <w:spacing w:after="0"/>
              <w:rPr>
                <w:sz w:val="4"/>
                <w:szCs w:val="4"/>
                <w:color w:val="auto"/>
              </w:rPr>
            </w:pPr>
          </w:p>
        </w:tc>
        <w:tc>
          <w:tcPr>
            <w:tcW w:w="200" w:type="dxa"/>
            <w:vAlign w:val="bottom"/>
            <w:tcBorders>
              <w:bottom w:val="single" w:sz="8" w:color="457157"/>
            </w:tcBorders>
          </w:tcPr>
          <w:p>
            <w:pPr>
              <w:spacing w:after="0"/>
              <w:rPr>
                <w:sz w:val="4"/>
                <w:szCs w:val="4"/>
                <w:color w:val="auto"/>
              </w:rPr>
            </w:pPr>
          </w:p>
        </w:tc>
        <w:tc>
          <w:tcPr>
            <w:tcW w:w="800" w:type="dxa"/>
            <w:vAlign w:val="bottom"/>
            <w:tcBorders>
              <w:bottom w:val="single" w:sz="8" w:color="457157"/>
            </w:tcBorders>
          </w:tcPr>
          <w:p>
            <w:pPr>
              <w:spacing w:after="0"/>
              <w:rPr>
                <w:sz w:val="4"/>
                <w:szCs w:val="4"/>
                <w:color w:val="auto"/>
              </w:rPr>
            </w:pPr>
          </w:p>
        </w:tc>
        <w:tc>
          <w:tcPr>
            <w:tcW w:w="40" w:type="dxa"/>
            <w:vAlign w:val="bottom"/>
            <w:tcBorders>
              <w:bottom w:val="single" w:sz="8" w:color="457157"/>
            </w:tcBorders>
          </w:tcPr>
          <w:p>
            <w:pPr>
              <w:spacing w:after="0"/>
              <w:rPr>
                <w:sz w:val="4"/>
                <w:szCs w:val="4"/>
                <w:color w:val="auto"/>
              </w:rPr>
            </w:pPr>
          </w:p>
        </w:tc>
        <w:tc>
          <w:tcPr>
            <w:tcW w:w="180" w:type="dxa"/>
            <w:vAlign w:val="bottom"/>
            <w:tcBorders>
              <w:bottom w:val="single" w:sz="8" w:color="457157"/>
            </w:tcBorders>
            <w:vMerge w:val="continue"/>
          </w:tcPr>
          <w:p>
            <w:pPr>
              <w:spacing w:after="0"/>
              <w:rPr>
                <w:sz w:val="4"/>
                <w:szCs w:val="4"/>
                <w:color w:val="auto"/>
              </w:rPr>
            </w:pPr>
          </w:p>
        </w:tc>
        <w:tc>
          <w:tcPr>
            <w:tcW w:w="700" w:type="dxa"/>
            <w:vAlign w:val="bottom"/>
            <w:tcBorders>
              <w:bottom w:val="single" w:sz="8" w:color="457157"/>
            </w:tcBorders>
          </w:tcPr>
          <w:p>
            <w:pPr>
              <w:spacing w:after="0"/>
              <w:rPr>
                <w:sz w:val="4"/>
                <w:szCs w:val="4"/>
                <w:color w:val="auto"/>
              </w:rPr>
            </w:pPr>
          </w:p>
        </w:tc>
        <w:tc>
          <w:tcPr>
            <w:tcW w:w="220" w:type="dxa"/>
            <w:vAlign w:val="bottom"/>
            <w:tcBorders>
              <w:bottom w:val="single" w:sz="8" w:color="457157"/>
            </w:tcBorders>
            <w:vMerge w:val="continue"/>
          </w:tcPr>
          <w:p>
            <w:pPr>
              <w:spacing w:after="0"/>
              <w:rPr>
                <w:sz w:val="4"/>
                <w:szCs w:val="4"/>
                <w:color w:val="auto"/>
              </w:rPr>
            </w:pPr>
          </w:p>
        </w:tc>
        <w:tc>
          <w:tcPr>
            <w:tcW w:w="740" w:type="dxa"/>
            <w:vAlign w:val="bottom"/>
            <w:tcBorders>
              <w:bottom w:val="single" w:sz="8" w:color="457157"/>
            </w:tcBorders>
          </w:tcPr>
          <w:p>
            <w:pPr>
              <w:spacing w:after="0"/>
              <w:rPr>
                <w:sz w:val="4"/>
                <w:szCs w:val="4"/>
                <w:color w:val="auto"/>
              </w:rPr>
            </w:pPr>
          </w:p>
        </w:tc>
        <w:tc>
          <w:tcPr>
            <w:tcW w:w="320" w:type="dxa"/>
            <w:vAlign w:val="bottom"/>
            <w:tcBorders>
              <w:bottom w:val="single" w:sz="8" w:color="457157"/>
            </w:tcBorders>
            <w:gridSpan w:val="3"/>
            <w:vMerge w:val="continue"/>
          </w:tcPr>
          <w:p>
            <w:pPr>
              <w:spacing w:after="0"/>
              <w:rPr>
                <w:sz w:val="4"/>
                <w:szCs w:val="4"/>
                <w:color w:val="auto"/>
              </w:rPr>
            </w:pPr>
          </w:p>
        </w:tc>
        <w:tc>
          <w:tcPr>
            <w:tcW w:w="64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180" w:type="dxa"/>
            <w:vAlign w:val="bottom"/>
            <w:tcBorders>
              <w:bottom w:val="single" w:sz="8" w:color="457157"/>
            </w:tcBorders>
            <w:vMerge w:val="continue"/>
          </w:tcPr>
          <w:p>
            <w:pPr>
              <w:spacing w:after="0"/>
              <w:rPr>
                <w:sz w:val="4"/>
                <w:szCs w:val="4"/>
                <w:color w:val="auto"/>
              </w:rPr>
            </w:pPr>
          </w:p>
        </w:tc>
        <w:tc>
          <w:tcPr>
            <w:tcW w:w="800" w:type="dxa"/>
            <w:vAlign w:val="bottom"/>
            <w:tcBorders>
              <w:bottom w:val="single" w:sz="8" w:color="457157"/>
            </w:tcBorders>
          </w:tcPr>
          <w:p>
            <w:pPr>
              <w:spacing w:after="0"/>
              <w:rPr>
                <w:sz w:val="4"/>
                <w:szCs w:val="4"/>
                <w:color w:val="auto"/>
              </w:rPr>
            </w:pPr>
          </w:p>
        </w:tc>
        <w:tc>
          <w:tcPr>
            <w:tcW w:w="320" w:type="dxa"/>
            <w:vAlign w:val="bottom"/>
            <w:tcBorders>
              <w:bottom w:val="single" w:sz="8" w:color="457157"/>
            </w:tcBorders>
            <w:gridSpan w:val="2"/>
            <w:vMerge w:val="continue"/>
          </w:tcPr>
          <w:p>
            <w:pPr>
              <w:spacing w:after="0"/>
              <w:rPr>
                <w:sz w:val="4"/>
                <w:szCs w:val="4"/>
                <w:color w:val="auto"/>
              </w:rPr>
            </w:pPr>
          </w:p>
        </w:tc>
        <w:tc>
          <w:tcPr>
            <w:tcW w:w="580" w:type="dxa"/>
            <w:vAlign w:val="bottom"/>
            <w:tcBorders>
              <w:bottom w:val="single" w:sz="8" w:color="457157"/>
            </w:tcBorders>
          </w:tcPr>
          <w:p>
            <w:pPr>
              <w:spacing w:after="0"/>
              <w:rPr>
                <w:sz w:val="4"/>
                <w:szCs w:val="4"/>
                <w:color w:val="auto"/>
              </w:rPr>
            </w:pPr>
          </w:p>
        </w:tc>
        <w:tc>
          <w:tcPr>
            <w:tcW w:w="140" w:type="dxa"/>
            <w:vAlign w:val="bottom"/>
            <w:tcBorders>
              <w:bottom w:val="single" w:sz="8" w:color="457157"/>
            </w:tcBorders>
          </w:tcPr>
          <w:p>
            <w:pPr>
              <w:spacing w:after="0"/>
              <w:rPr>
                <w:sz w:val="4"/>
                <w:szCs w:val="4"/>
                <w:color w:val="auto"/>
              </w:rPr>
            </w:pPr>
          </w:p>
        </w:tc>
        <w:tc>
          <w:tcPr>
            <w:tcW w:w="200" w:type="dxa"/>
            <w:vAlign w:val="bottom"/>
            <w:tcBorders>
              <w:bottom w:val="single" w:sz="8" w:color="457157"/>
            </w:tcBorders>
            <w:vMerge w:val="continue"/>
          </w:tcPr>
          <w:p>
            <w:pPr>
              <w:spacing w:after="0"/>
              <w:rPr>
                <w:sz w:val="4"/>
                <w:szCs w:val="4"/>
                <w:color w:val="auto"/>
              </w:rPr>
            </w:pPr>
          </w:p>
        </w:tc>
        <w:tc>
          <w:tcPr>
            <w:tcW w:w="860" w:type="dxa"/>
            <w:vAlign w:val="bottom"/>
            <w:tcBorders>
              <w:bottom w:val="single" w:sz="8" w:color="457157"/>
            </w:tcBorders>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820" w:type="dxa"/>
            <w:vAlign w:val="bottom"/>
            <w:gridSpan w:val="5"/>
          </w:tcPr>
          <w:p>
            <w:pPr>
              <w:spacing w:after="0"/>
              <w:rPr>
                <w:sz w:val="20"/>
                <w:szCs w:val="20"/>
                <w:color w:val="auto"/>
              </w:rPr>
            </w:pPr>
            <w:r>
              <w:rPr>
                <w:rFonts w:ascii="Arial" w:cs="Arial" w:eastAsia="Arial" w:hAnsi="Arial"/>
                <w:sz w:val="18"/>
                <w:szCs w:val="18"/>
                <w:b w:val="1"/>
                <w:bCs w:val="1"/>
                <w:color w:val="auto"/>
              </w:rPr>
              <w:t>​James C. Fish, Jr.</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 ​​​​</w:t>
            </w:r>
          </w:p>
        </w:tc>
        <w:tc>
          <w:tcPr>
            <w:tcW w:w="8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86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8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74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060" w:type="dxa"/>
            <w:vAlign w:val="bottom"/>
            <w:tcBorders>
              <w:right w:val="single" w:sz="8" w:color="457157"/>
            </w:tcBorders>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45,349</w:t>
            </w:r>
            <w:r>
              <w:rPr>
                <w:rFonts w:ascii="Arial" w:cs="Arial" w:eastAsia="Arial" w:hAnsi="Arial"/>
                <w:sz w:val="21"/>
                <w:szCs w:val="21"/>
                <w:color w:val="auto"/>
                <w:vertAlign w:val="superscript"/>
              </w:rPr>
              <w:t>(3)</w:t>
            </w:r>
          </w:p>
        </w:tc>
        <w:tc>
          <w:tcPr>
            <w:tcW w:w="40" w:type="dxa"/>
            <w:vAlign w:val="bottom"/>
          </w:tcPr>
          <w:p>
            <w:pPr>
              <w:spacing w:after="0"/>
              <w:rPr>
                <w:sz w:val="15"/>
                <w:szCs w:val="15"/>
                <w:color w:val="auto"/>
              </w:rPr>
            </w:pPr>
          </w:p>
        </w:tc>
        <w:tc>
          <w:tcPr>
            <w:tcW w:w="8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​204.7585</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3/1/2034</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 91,522</w:t>
            </w:r>
          </w:p>
        </w:tc>
        <w:tc>
          <w:tcPr>
            <w:tcW w:w="140" w:type="dxa"/>
            <w:vAlign w:val="bottom"/>
          </w:tcPr>
          <w:p>
            <w:pPr>
              <w:spacing w:after="0"/>
              <w:rPr>
                <w:sz w:val="15"/>
                <w:szCs w:val="15"/>
                <w:color w:val="auto"/>
              </w:rPr>
            </w:pPr>
          </w:p>
        </w:tc>
        <w:tc>
          <w:tcPr>
            <w:tcW w:w="10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​36,936,449</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39,610</w:t>
            </w:r>
            <w:r>
              <w:rPr>
                <w:rFonts w:ascii="Arial" w:cs="Arial" w:eastAsia="Arial" w:hAnsi="Arial"/>
                <w:sz w:val="21"/>
                <w:szCs w:val="21"/>
                <w:color w:val="auto"/>
                <w:vertAlign w:val="superscript"/>
              </w:rPr>
              <w:t>(4)</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150.115</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3/7/2033</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22,063</w:t>
            </w:r>
            <w:r>
              <w:rPr>
                <w:rFonts w:ascii="Arial" w:cs="Arial" w:eastAsia="Arial" w:hAnsi="Arial"/>
                <w:sz w:val="21"/>
                <w:szCs w:val="21"/>
                <w:color w:val="auto"/>
                <w:vertAlign w:val="superscript"/>
              </w:rPr>
              <w:t>(5)</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145.67</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3/1/2032</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457157"/>
          </w:tcPr>
          <w:p>
            <w:pPr>
              <w:spacing w:after="0" w:line="20" w:lineRule="exact"/>
              <w:rPr>
                <w:sz w:val="1"/>
                <w:szCs w:val="1"/>
                <w:color w:val="auto"/>
              </w:rPr>
            </w:pPr>
          </w:p>
        </w:tc>
        <w:tc>
          <w:tcPr>
            <w:tcW w:w="960" w:type="dxa"/>
            <w:vAlign w:val="bottom"/>
            <w:gridSpan w:val="3"/>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900" w:type="dxa"/>
            <w:vAlign w:val="bottom"/>
            <w:gridSpan w:val="3"/>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340" w:type="dxa"/>
            <w:vAlign w:val="bottom"/>
            <w:gridSpan w:val="2"/>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20" w:type="dxa"/>
            <w:vAlign w:val="bottom"/>
            <w:gridSpan w:val="5"/>
          </w:tcPr>
          <w:p>
            <w:pPr>
              <w:spacing w:after="0"/>
              <w:rPr>
                <w:sz w:val="20"/>
                <w:szCs w:val="20"/>
                <w:color w:val="auto"/>
              </w:rPr>
            </w:pPr>
            <w:r>
              <w:rPr>
                <w:rFonts w:ascii="Arial" w:cs="Arial" w:eastAsia="Arial" w:hAnsi="Arial"/>
                <w:sz w:val="18"/>
                <w:szCs w:val="18"/>
                <w:b w:val="1"/>
                <w:bCs w:val="1"/>
                <w:color w:val="auto"/>
              </w:rPr>
              <w:t>​Devina A. Rankin</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 ​​​​</w:t>
            </w:r>
          </w:p>
        </w:tc>
        <w:tc>
          <w:tcPr>
            <w:tcW w:w="8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86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8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74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10,698</w:t>
            </w:r>
            <w:r>
              <w:rPr>
                <w:rFonts w:ascii="Arial" w:cs="Arial" w:eastAsia="Arial" w:hAnsi="Arial"/>
                <w:sz w:val="21"/>
                <w:szCs w:val="21"/>
                <w:color w:val="auto"/>
                <w:vertAlign w:val="superscript"/>
              </w:rPr>
              <w:t>(3)</w:t>
            </w:r>
          </w:p>
        </w:tc>
        <w:tc>
          <w:tcPr>
            <w:tcW w:w="40" w:type="dxa"/>
            <w:vAlign w:val="bottom"/>
          </w:tcPr>
          <w:p>
            <w:pPr>
              <w:spacing w:after="0"/>
              <w:rPr>
                <w:sz w:val="15"/>
                <w:szCs w:val="15"/>
                <w:color w:val="auto"/>
              </w:rPr>
            </w:pPr>
          </w:p>
        </w:tc>
        <w:tc>
          <w:tcPr>
            <w:tcW w:w="8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​204.7585</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3/1/2034</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6,803</w:t>
            </w:r>
          </w:p>
        </w:tc>
        <w:tc>
          <w:tcPr>
            <w:tcW w:w="80" w:type="dxa"/>
            <w:vAlign w:val="bottom"/>
          </w:tcPr>
          <w:p>
            <w:pPr>
              <w:spacing w:after="0"/>
              <w:rPr>
                <w:sz w:val="15"/>
                <w:szCs w:val="15"/>
                <w:color w:val="auto"/>
              </w:rPr>
            </w:pPr>
          </w:p>
        </w:tc>
        <w:tc>
          <w:tcPr>
            <w:tcW w:w="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​1,372,777</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 21,590</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w w:val="99"/>
              </w:rPr>
              <w:t>8,713,292</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4,672</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9,344</w:t>
            </w:r>
            <w:r>
              <w:rPr>
                <w:rFonts w:ascii="Arial" w:cs="Arial" w:eastAsia="Arial" w:hAnsi="Arial"/>
                <w:sz w:val="21"/>
                <w:szCs w:val="21"/>
                <w:color w:val="auto"/>
                <w:vertAlign w:val="superscript"/>
              </w:rPr>
              <w:t>(4)</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150.115</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3/7/2033</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900" w:type="dxa"/>
            <w:vAlign w:val="bottom"/>
            <w:gridSpan w:val="2"/>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2"/>
              <w:spacing w:after="0" w:line="182" w:lineRule="exact"/>
              <w:rPr>
                <w:sz w:val="20"/>
                <w:szCs w:val="20"/>
                <w:color w:val="auto"/>
              </w:rPr>
            </w:pPr>
            <w:r>
              <w:rPr>
                <w:rFonts w:ascii="Arial" w:cs="Arial" w:eastAsia="Arial" w:hAnsi="Arial"/>
                <w:sz w:val="18"/>
                <w:szCs w:val="18"/>
                <w:color w:val="auto"/>
              </w:rPr>
              <w:t>​ 11,094</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5,547</w:t>
            </w:r>
            <w:r>
              <w:rPr>
                <w:rFonts w:ascii="Arial" w:cs="Arial" w:eastAsia="Arial" w:hAnsi="Arial"/>
                <w:sz w:val="21"/>
                <w:szCs w:val="21"/>
                <w:color w:val="auto"/>
                <w:vertAlign w:val="superscript"/>
              </w:rPr>
              <w:t>(5)</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145.67</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3/1/2032</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900" w:type="dxa"/>
            <w:vAlign w:val="bottom"/>
            <w:gridSpan w:val="2"/>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2"/>
              <w:spacing w:after="0" w:line="182" w:lineRule="exact"/>
              <w:rPr>
                <w:sz w:val="20"/>
                <w:szCs w:val="20"/>
                <w:color w:val="auto"/>
              </w:rPr>
            </w:pPr>
            <w:r>
              <w:rPr>
                <w:rFonts w:ascii="Arial" w:cs="Arial" w:eastAsia="Arial" w:hAnsi="Arial"/>
                <w:sz w:val="18"/>
                <w:szCs w:val="18"/>
                <w:color w:val="auto"/>
              </w:rPr>
              <w:t>​ 24,348</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7"/>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110.81</w:t>
            </w:r>
          </w:p>
        </w:tc>
        <w:tc>
          <w:tcPr>
            <w:tcW w:w="96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​2/23/2031</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900" w:type="dxa"/>
            <w:vAlign w:val="bottom"/>
            <w:gridSpan w:val="2"/>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80" w:type="dxa"/>
            <w:vAlign w:val="bottom"/>
            <w:gridSpan w:val="2"/>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2"/>
              <w:spacing w:after="0" w:line="182" w:lineRule="exact"/>
              <w:rPr>
                <w:sz w:val="20"/>
                <w:szCs w:val="20"/>
                <w:color w:val="auto"/>
              </w:rPr>
            </w:pPr>
            <w:r>
              <w:rPr>
                <w:rFonts w:ascii="Arial" w:cs="Arial" w:eastAsia="Arial" w:hAnsi="Arial"/>
                <w:sz w:val="18"/>
                <w:szCs w:val="18"/>
                <w:color w:val="auto"/>
              </w:rPr>
              <w:t>​ 25,284</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7"/>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8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 126.005</w:t>
            </w:r>
          </w:p>
        </w:tc>
        <w:tc>
          <w:tcPr>
            <w:tcW w:w="96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​2/19/2030</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457157"/>
          </w:tcPr>
          <w:p>
            <w:pPr>
              <w:spacing w:after="0" w:line="20" w:lineRule="exact"/>
              <w:rPr>
                <w:sz w:val="1"/>
                <w:szCs w:val="1"/>
                <w:color w:val="auto"/>
              </w:rPr>
            </w:pPr>
          </w:p>
        </w:tc>
        <w:tc>
          <w:tcPr>
            <w:tcW w:w="960" w:type="dxa"/>
            <w:vAlign w:val="bottom"/>
            <w:gridSpan w:val="3"/>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900" w:type="dxa"/>
            <w:vAlign w:val="bottom"/>
            <w:gridSpan w:val="3"/>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340" w:type="dxa"/>
            <w:vAlign w:val="bottom"/>
            <w:gridSpan w:val="2"/>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20" w:type="dxa"/>
            <w:vAlign w:val="bottom"/>
            <w:gridSpan w:val="5"/>
          </w:tcPr>
          <w:p>
            <w:pPr>
              <w:spacing w:after="0"/>
              <w:rPr>
                <w:sz w:val="20"/>
                <w:szCs w:val="20"/>
                <w:color w:val="auto"/>
              </w:rPr>
            </w:pPr>
            <w:r>
              <w:rPr>
                <w:rFonts w:ascii="Arial" w:cs="Arial" w:eastAsia="Arial" w:hAnsi="Arial"/>
                <w:sz w:val="18"/>
                <w:szCs w:val="18"/>
                <w:b w:val="1"/>
                <w:bCs w:val="1"/>
                <w:color w:val="auto"/>
              </w:rPr>
              <w:t>​John J. Morris, Jr.</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 ​​​​</w:t>
            </w:r>
          </w:p>
        </w:tc>
        <w:tc>
          <w:tcPr>
            <w:tcW w:w="8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86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8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800" w:type="dxa"/>
            <w:vAlign w:val="bottom"/>
            <w:gridSpan w:val="2"/>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74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1060" w:type="dxa"/>
            <w:vAlign w:val="bottom"/>
            <w:tcBorders>
              <w:right w:val="single" w:sz="8" w:color="457157"/>
            </w:tcBorders>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13,721</w:t>
            </w:r>
            <w:r>
              <w:rPr>
                <w:rFonts w:ascii="Arial" w:cs="Arial" w:eastAsia="Arial" w:hAnsi="Arial"/>
                <w:sz w:val="21"/>
                <w:szCs w:val="21"/>
                <w:color w:val="auto"/>
                <w:vertAlign w:val="superscript"/>
              </w:rPr>
              <w:t>(3)</w:t>
            </w:r>
          </w:p>
        </w:tc>
        <w:tc>
          <w:tcPr>
            <w:tcW w:w="40" w:type="dxa"/>
            <w:vAlign w:val="bottom"/>
          </w:tcPr>
          <w:p>
            <w:pPr>
              <w:spacing w:after="0"/>
              <w:rPr>
                <w:sz w:val="15"/>
                <w:szCs w:val="15"/>
                <w:color w:val="auto"/>
              </w:rPr>
            </w:pPr>
          </w:p>
        </w:tc>
        <w:tc>
          <w:tcPr>
            <w:tcW w:w="8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​204.7585</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3/1/2034</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 10,204</w:t>
            </w:r>
          </w:p>
        </w:tc>
        <w:tc>
          <w:tcPr>
            <w:tcW w:w="80" w:type="dxa"/>
            <w:vAlign w:val="bottom"/>
          </w:tcPr>
          <w:p>
            <w:pPr>
              <w:spacing w:after="0"/>
              <w:rPr>
                <w:sz w:val="15"/>
                <w:szCs w:val="15"/>
                <w:color w:val="auto"/>
              </w:rPr>
            </w:pPr>
          </w:p>
        </w:tc>
        <w:tc>
          <w:tcPr>
            <w:tcW w:w="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​2,059,065</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 26,374</w:t>
            </w:r>
          </w:p>
        </w:tc>
        <w:tc>
          <w:tcPr>
            <w:tcW w:w="140" w:type="dxa"/>
            <w:vAlign w:val="bottom"/>
          </w:tcPr>
          <w:p>
            <w:pPr>
              <w:spacing w:after="0"/>
              <w:rPr>
                <w:sz w:val="15"/>
                <w:szCs w:val="15"/>
                <w:color w:val="auto"/>
              </w:rPr>
            </w:pPr>
          </w:p>
        </w:tc>
        <w:tc>
          <w:tcPr>
            <w:tcW w:w="10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​10,644,019</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5,485</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 10,968</w:t>
            </w:r>
            <w:r>
              <w:rPr>
                <w:rFonts w:ascii="Arial" w:cs="Arial" w:eastAsia="Arial" w:hAnsi="Arial"/>
                <w:sz w:val="21"/>
                <w:szCs w:val="21"/>
                <w:color w:val="auto"/>
                <w:vertAlign w:val="superscript"/>
              </w:rPr>
              <w:t>(4)</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150.115</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3/7/2033</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900" w:type="dxa"/>
            <w:vAlign w:val="bottom"/>
            <w:gridSpan w:val="2"/>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2"/>
              <w:spacing w:after="0" w:line="182" w:lineRule="exact"/>
              <w:rPr>
                <w:sz w:val="20"/>
                <w:szCs w:val="20"/>
                <w:color w:val="auto"/>
              </w:rPr>
            </w:pPr>
            <w:r>
              <w:rPr>
                <w:rFonts w:ascii="Arial" w:cs="Arial" w:eastAsia="Arial" w:hAnsi="Arial"/>
                <w:sz w:val="18"/>
                <w:szCs w:val="18"/>
                <w:color w:val="auto"/>
              </w:rPr>
              <w:t>​ 13,111</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6,556</w:t>
            </w:r>
            <w:r>
              <w:rPr>
                <w:rFonts w:ascii="Arial" w:cs="Arial" w:eastAsia="Arial" w:hAnsi="Arial"/>
                <w:sz w:val="21"/>
                <w:szCs w:val="21"/>
                <w:color w:val="auto"/>
                <w:vertAlign w:val="superscript"/>
              </w:rPr>
              <w:t>(5)</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145.67</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3/1/2032</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457157"/>
          </w:tcPr>
          <w:p>
            <w:pPr>
              <w:spacing w:after="0" w:line="20" w:lineRule="exact"/>
              <w:rPr>
                <w:sz w:val="1"/>
                <w:szCs w:val="1"/>
                <w:color w:val="auto"/>
              </w:rPr>
            </w:pPr>
          </w:p>
        </w:tc>
        <w:tc>
          <w:tcPr>
            <w:tcW w:w="960" w:type="dxa"/>
            <w:vAlign w:val="bottom"/>
            <w:gridSpan w:val="3"/>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900" w:type="dxa"/>
            <w:vAlign w:val="bottom"/>
            <w:gridSpan w:val="3"/>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340" w:type="dxa"/>
            <w:vAlign w:val="bottom"/>
            <w:gridSpan w:val="2"/>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820" w:type="dxa"/>
            <w:vAlign w:val="bottom"/>
            <w:gridSpan w:val="5"/>
          </w:tcPr>
          <w:p>
            <w:pPr>
              <w:spacing w:after="0"/>
              <w:rPr>
                <w:sz w:val="20"/>
                <w:szCs w:val="20"/>
                <w:color w:val="auto"/>
              </w:rPr>
            </w:pPr>
            <w:r>
              <w:rPr>
                <w:rFonts w:ascii="Arial" w:cs="Arial" w:eastAsia="Arial" w:hAnsi="Arial"/>
                <w:sz w:val="18"/>
                <w:szCs w:val="18"/>
                <w:b w:val="1"/>
                <w:bCs w:val="1"/>
                <w:color w:val="auto"/>
              </w:rPr>
              <w:t>​Tara J. Hemmer</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 ​​​​</w:t>
            </w:r>
          </w:p>
        </w:tc>
        <w:tc>
          <w:tcPr>
            <w:tcW w:w="8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86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8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74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9,302</w:t>
            </w:r>
            <w:r>
              <w:rPr>
                <w:rFonts w:ascii="Arial" w:cs="Arial" w:eastAsia="Arial" w:hAnsi="Arial"/>
                <w:sz w:val="21"/>
                <w:szCs w:val="21"/>
                <w:color w:val="auto"/>
                <w:vertAlign w:val="superscript"/>
              </w:rPr>
              <w:t>(3)</w:t>
            </w:r>
          </w:p>
        </w:tc>
        <w:tc>
          <w:tcPr>
            <w:tcW w:w="40" w:type="dxa"/>
            <w:vAlign w:val="bottom"/>
          </w:tcPr>
          <w:p>
            <w:pPr>
              <w:spacing w:after="0"/>
              <w:rPr>
                <w:sz w:val="15"/>
                <w:szCs w:val="15"/>
                <w:color w:val="auto"/>
              </w:rPr>
            </w:pPr>
          </w:p>
        </w:tc>
        <w:tc>
          <w:tcPr>
            <w:tcW w:w="8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​204.7585</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3/1/2034</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5,102</w:t>
            </w:r>
          </w:p>
        </w:tc>
        <w:tc>
          <w:tcPr>
            <w:tcW w:w="80" w:type="dxa"/>
            <w:vAlign w:val="bottom"/>
          </w:tcPr>
          <w:p>
            <w:pPr>
              <w:spacing w:after="0"/>
              <w:rPr>
                <w:sz w:val="15"/>
                <w:szCs w:val="15"/>
                <w:color w:val="auto"/>
              </w:rPr>
            </w:pPr>
          </w:p>
        </w:tc>
        <w:tc>
          <w:tcPr>
            <w:tcW w:w="9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​1,029,533</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 17,722</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w w:val="99"/>
              </w:rPr>
              <w:t>7,152,245</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3,657</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7,312</w:t>
            </w:r>
            <w:r>
              <w:rPr>
                <w:rFonts w:ascii="Arial" w:cs="Arial" w:eastAsia="Arial" w:hAnsi="Arial"/>
                <w:sz w:val="21"/>
                <w:szCs w:val="21"/>
                <w:color w:val="auto"/>
                <w:vertAlign w:val="superscript"/>
              </w:rPr>
              <w:t>(4)</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150.115</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3/7/2033</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8,573</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4,286</w:t>
            </w:r>
            <w:r>
              <w:rPr>
                <w:rFonts w:ascii="Arial" w:cs="Arial" w:eastAsia="Arial" w:hAnsi="Arial"/>
                <w:sz w:val="21"/>
                <w:szCs w:val="21"/>
                <w:color w:val="auto"/>
                <w:vertAlign w:val="superscript"/>
              </w:rPr>
              <w:t>(5)</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145.67</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3/1/2032</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900" w:type="dxa"/>
            <w:vAlign w:val="bottom"/>
            <w:gridSpan w:val="2"/>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2"/>
              <w:spacing w:after="0" w:line="182" w:lineRule="exact"/>
              <w:rPr>
                <w:sz w:val="20"/>
                <w:szCs w:val="20"/>
                <w:color w:val="auto"/>
              </w:rPr>
            </w:pPr>
            <w:r>
              <w:rPr>
                <w:rFonts w:ascii="Arial" w:cs="Arial" w:eastAsia="Arial" w:hAnsi="Arial"/>
                <w:sz w:val="18"/>
                <w:szCs w:val="18"/>
                <w:color w:val="auto"/>
              </w:rPr>
              <w:t>​ 19,710</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7"/>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110.81</w:t>
            </w:r>
          </w:p>
        </w:tc>
        <w:tc>
          <w:tcPr>
            <w:tcW w:w="96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​2/23/2031</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900" w:type="dxa"/>
            <w:vAlign w:val="bottom"/>
            <w:gridSpan w:val="2"/>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80" w:type="dxa"/>
            <w:vAlign w:val="bottom"/>
            <w:gridSpan w:val="2"/>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52"/>
              <w:spacing w:after="0" w:line="182" w:lineRule="exact"/>
              <w:rPr>
                <w:sz w:val="20"/>
                <w:szCs w:val="20"/>
                <w:color w:val="auto"/>
              </w:rPr>
            </w:pPr>
            <w:r>
              <w:rPr>
                <w:rFonts w:ascii="Arial" w:cs="Arial" w:eastAsia="Arial" w:hAnsi="Arial"/>
                <w:sz w:val="18"/>
                <w:szCs w:val="18"/>
                <w:color w:val="auto"/>
              </w:rPr>
              <w:t>​ 20,860</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7"/>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8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 126.005</w:t>
            </w:r>
          </w:p>
        </w:tc>
        <w:tc>
          <w:tcPr>
            <w:tcW w:w="96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​2/19/2030</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60" w:type="dxa"/>
            <w:vAlign w:val="bottom"/>
            <w:gridSpan w:val="2"/>
            <w:shd w:val="clear" w:color="auto" w:fill="457157"/>
          </w:tcPr>
          <w:p>
            <w:pPr>
              <w:spacing w:after="0" w:line="20" w:lineRule="exact"/>
              <w:rPr>
                <w:sz w:val="1"/>
                <w:szCs w:val="1"/>
                <w:color w:val="auto"/>
              </w:rPr>
            </w:pPr>
          </w:p>
        </w:tc>
        <w:tc>
          <w:tcPr>
            <w:tcW w:w="960" w:type="dxa"/>
            <w:vAlign w:val="bottom"/>
            <w:gridSpan w:val="3"/>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900" w:type="dxa"/>
            <w:vAlign w:val="bottom"/>
            <w:gridSpan w:val="3"/>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340" w:type="dxa"/>
            <w:vAlign w:val="bottom"/>
            <w:gridSpan w:val="2"/>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820" w:type="dxa"/>
            <w:vAlign w:val="bottom"/>
            <w:gridSpan w:val="5"/>
          </w:tcPr>
          <w:p>
            <w:pPr>
              <w:spacing w:after="0"/>
              <w:rPr>
                <w:sz w:val="20"/>
                <w:szCs w:val="20"/>
                <w:color w:val="auto"/>
              </w:rPr>
            </w:pPr>
            <w:r>
              <w:rPr>
                <w:rFonts w:ascii="Arial" w:cs="Arial" w:eastAsia="Arial" w:hAnsi="Arial"/>
                <w:sz w:val="18"/>
                <w:szCs w:val="18"/>
                <w:b w:val="1"/>
                <w:bCs w:val="1"/>
                <w:color w:val="auto"/>
              </w:rPr>
              <w:t>​Rafael E. Carrasco</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b w:val="1"/>
                <w:bCs w:val="1"/>
                <w:color w:val="auto"/>
              </w:rPr>
              <w:t>​ ​​​​</w:t>
            </w:r>
          </w:p>
        </w:tc>
        <w:tc>
          <w:tcPr>
            <w:tcW w:w="800" w:type="dxa"/>
            <w:vAlign w:val="bottom"/>
          </w:tcPr>
          <w:p>
            <w:pPr>
              <w:spacing w:after="0"/>
              <w:rPr>
                <w:sz w:val="20"/>
                <w:szCs w:val="20"/>
                <w:color w:val="auto"/>
              </w:rPr>
            </w:pPr>
          </w:p>
        </w:tc>
        <w:tc>
          <w:tcPr>
            <w:tcW w:w="1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 ​​​​</w:t>
            </w:r>
          </w:p>
        </w:tc>
        <w:tc>
          <w:tcPr>
            <w:tcW w:w="86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8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74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9,302</w:t>
            </w:r>
            <w:r>
              <w:rPr>
                <w:rFonts w:ascii="Arial" w:cs="Arial" w:eastAsia="Arial" w:hAnsi="Arial"/>
                <w:sz w:val="21"/>
                <w:szCs w:val="21"/>
                <w:color w:val="auto"/>
                <w:vertAlign w:val="superscript"/>
              </w:rPr>
              <w:t>(3)</w:t>
            </w:r>
          </w:p>
        </w:tc>
        <w:tc>
          <w:tcPr>
            <w:tcW w:w="40" w:type="dxa"/>
            <w:vAlign w:val="bottom"/>
          </w:tcPr>
          <w:p>
            <w:pPr>
              <w:spacing w:after="0"/>
              <w:rPr>
                <w:sz w:val="15"/>
                <w:szCs w:val="15"/>
                <w:color w:val="auto"/>
              </w:rPr>
            </w:pPr>
          </w:p>
        </w:tc>
        <w:tc>
          <w:tcPr>
            <w:tcW w:w="8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​204.7585</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3/1/2034</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3,061</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617,679</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80"/>
              <w:spacing w:after="0" w:line="182" w:lineRule="exact"/>
              <w:rPr>
                <w:sz w:val="20"/>
                <w:szCs w:val="20"/>
                <w:color w:val="auto"/>
              </w:rPr>
            </w:pPr>
            <w:r>
              <w:rPr>
                <w:rFonts w:ascii="Arial" w:cs="Arial" w:eastAsia="Arial" w:hAnsi="Arial"/>
                <w:sz w:val="18"/>
                <w:szCs w:val="18"/>
                <w:color w:val="auto"/>
              </w:rPr>
              <w:t>​ 18,774</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w w:val="99"/>
              </w:rPr>
              <w:t>7,576,811</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4,063</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8,125</w:t>
            </w:r>
            <w:r>
              <w:rPr>
                <w:rFonts w:ascii="Arial" w:cs="Arial" w:eastAsia="Arial" w:hAnsi="Arial"/>
                <w:sz w:val="21"/>
                <w:szCs w:val="21"/>
                <w:color w:val="auto"/>
                <w:vertAlign w:val="superscript"/>
              </w:rPr>
              <w:t>(4)</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150.115</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3/7/2033</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8,573</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3" w:lineRule="exact"/>
              <w:rPr>
                <w:sz w:val="20"/>
                <w:szCs w:val="20"/>
                <w:color w:val="auto"/>
              </w:rPr>
            </w:pPr>
            <w:r>
              <w:rPr>
                <w:rFonts w:ascii="Arial" w:cs="Arial" w:eastAsia="Arial" w:hAnsi="Arial"/>
                <w:sz w:val="17"/>
                <w:szCs w:val="17"/>
                <w:color w:val="auto"/>
              </w:rPr>
              <w:t>4,286</w:t>
            </w:r>
            <w:r>
              <w:rPr>
                <w:rFonts w:ascii="Arial" w:cs="Arial" w:eastAsia="Arial" w:hAnsi="Arial"/>
                <w:sz w:val="21"/>
                <w:szCs w:val="21"/>
                <w:color w:val="auto"/>
                <w:vertAlign w:val="superscript"/>
              </w:rPr>
              <w:t>(5)</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145.67</w:t>
            </w:r>
          </w:p>
        </w:tc>
        <w:tc>
          <w:tcPr>
            <w:tcW w:w="220" w:type="dxa"/>
            <w:vAlign w:val="bottom"/>
          </w:tcPr>
          <w:p>
            <w:pPr>
              <w:ind w:left="120"/>
              <w:spacing w:after="0" w:line="18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3/1/2032</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2,319</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7"/>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110.81</w:t>
            </w:r>
          </w:p>
        </w:tc>
        <w:tc>
          <w:tcPr>
            <w:tcW w:w="96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​2/23/2031</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880" w:type="dxa"/>
            <w:vAlign w:val="bottom"/>
            <w:gridSpan w:val="2"/>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2,655</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7"/>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8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 126.005</w:t>
            </w:r>
          </w:p>
        </w:tc>
        <w:tc>
          <w:tcPr>
            <w:tcW w:w="96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​2/19/2030</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vMerge w:val="continue"/>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0" w:type="dxa"/>
            <w:vAlign w:val="bottom"/>
          </w:tcPr>
          <w:p>
            <w:pPr>
              <w:ind w:left="20"/>
              <w:spacing w:after="0" w:line="182" w:lineRule="exact"/>
              <w:rPr>
                <w:sz w:val="20"/>
                <w:szCs w:val="20"/>
                <w:color w:val="auto"/>
              </w:rPr>
            </w:pPr>
            <w:r>
              <w:rPr>
                <w:rFonts w:ascii="Arial" w:cs="Arial" w:eastAsia="Arial" w:hAnsi="Arial"/>
                <w:sz w:val="18"/>
                <w:szCs w:val="18"/>
                <w:color w:val="auto"/>
              </w:rPr>
              <w:t>​</w:t>
            </w:r>
          </w:p>
        </w:tc>
        <w:tc>
          <w:tcPr>
            <w:tcW w:w="320" w:type="dxa"/>
            <w:vAlign w:val="bottom"/>
            <w:gridSpan w:val="2"/>
            <w:vMerge w:val="restart"/>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ind w:left="100"/>
              <w:spacing w:after="0" w:line="182"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52"/>
              <w:spacing w:after="0" w:line="182" w:lineRule="exact"/>
              <w:rPr>
                <w:sz w:val="20"/>
                <w:szCs w:val="20"/>
                <w:color w:val="auto"/>
              </w:rPr>
            </w:pPr>
            <w:r>
              <w:rPr>
                <w:rFonts w:ascii="Arial" w:cs="Arial" w:eastAsia="Arial" w:hAnsi="Arial"/>
                <w:sz w:val="18"/>
                <w:szCs w:val="18"/>
                <w:color w:val="auto"/>
              </w:rPr>
              <w:t>818</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7"/>
              <w:spacing w:after="0" w:line="18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182" w:lineRule="exact"/>
              <w:rPr>
                <w:sz w:val="20"/>
                <w:szCs w:val="20"/>
                <w:color w:val="auto"/>
              </w:rPr>
            </w:pPr>
            <w:r>
              <w:rPr>
                <w:rFonts w:ascii="Arial" w:cs="Arial" w:eastAsia="Arial" w:hAnsi="Arial"/>
                <w:sz w:val="18"/>
                <w:szCs w:val="18"/>
                <w:color w:val="auto"/>
              </w:rPr>
              <w:t>98.898</w:t>
            </w:r>
          </w:p>
        </w:tc>
        <w:tc>
          <w:tcPr>
            <w:tcW w:w="960" w:type="dxa"/>
            <w:vAlign w:val="bottom"/>
            <w:gridSpan w:val="2"/>
          </w:tcPr>
          <w:p>
            <w:pPr>
              <w:ind w:left="120"/>
              <w:spacing w:after="0" w:line="182" w:lineRule="exact"/>
              <w:rPr>
                <w:sz w:val="20"/>
                <w:szCs w:val="20"/>
                <w:color w:val="auto"/>
              </w:rPr>
            </w:pPr>
            <w:r>
              <w:rPr>
                <w:rFonts w:ascii="Arial" w:cs="Arial" w:eastAsia="Arial" w:hAnsi="Arial"/>
                <w:sz w:val="18"/>
                <w:szCs w:val="18"/>
                <w:color w:val="auto"/>
              </w:rPr>
              <w:t>​2/19/2029</w:t>
            </w: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vMerge w:val="restart"/>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580" w:type="dxa"/>
            <w:vAlign w:val="bottom"/>
          </w:tcPr>
          <w:p>
            <w:pPr>
              <w:jc w:val="center"/>
              <w:ind w:left="316"/>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20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00" w:type="dxa"/>
            <w:vAlign w:val="bottom"/>
          </w:tcPr>
          <w:p>
            <w:pPr>
              <w:spacing w:after="0" w:line="54" w:lineRule="exact"/>
              <w:rPr>
                <w:sz w:val="20"/>
                <w:szCs w:val="20"/>
                <w:color w:val="auto"/>
              </w:rPr>
            </w:pPr>
            <w:r>
              <w:rPr>
                <w:rFonts w:ascii="Arial" w:cs="Arial" w:eastAsia="Arial" w:hAnsi="Arial"/>
                <w:sz w:val="6"/>
                <w:szCs w:val="6"/>
                <w:color w:val="auto"/>
              </w:rPr>
              <w:t>​</w:t>
            </w:r>
          </w:p>
        </w:tc>
        <w:tc>
          <w:tcPr>
            <w:tcW w:w="320" w:type="dxa"/>
            <w:vAlign w:val="bottom"/>
            <w:gridSpan w:val="2"/>
            <w:vMerge w:val="continue"/>
          </w:tcPr>
          <w:p>
            <w:pPr>
              <w:spacing w:after="0"/>
              <w:rPr>
                <w:sz w:val="4"/>
                <w:szCs w:val="4"/>
                <w:color w:val="auto"/>
              </w:rPr>
            </w:pPr>
          </w:p>
        </w:tc>
        <w:tc>
          <w:tcPr>
            <w:tcW w:w="22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68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22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700" w:type="dxa"/>
            <w:vAlign w:val="bottom"/>
          </w:tcPr>
          <w:p>
            <w:pPr>
              <w:spacing w:after="0"/>
              <w:rPr>
                <w:sz w:val="4"/>
                <w:szCs w:val="4"/>
                <w:color w:val="auto"/>
              </w:rPr>
            </w:pPr>
          </w:p>
        </w:tc>
        <w:tc>
          <w:tcPr>
            <w:tcW w:w="220" w:type="dxa"/>
            <w:vAlign w:val="bottom"/>
          </w:tcPr>
          <w:p>
            <w:pPr>
              <w:spacing w:after="0" w:line="54" w:lineRule="exact"/>
              <w:rPr>
                <w:sz w:val="20"/>
                <w:szCs w:val="20"/>
                <w:color w:val="auto"/>
              </w:rPr>
            </w:pPr>
            <w:r>
              <w:rPr>
                <w:rFonts w:ascii="Arial" w:cs="Arial" w:eastAsia="Arial" w:hAnsi="Arial"/>
                <w:sz w:val="6"/>
                <w:szCs w:val="6"/>
                <w:color w:val="auto"/>
              </w:rPr>
              <w:t>​​​</w:t>
            </w:r>
          </w:p>
        </w:tc>
        <w:tc>
          <w:tcPr>
            <w:tcW w:w="740" w:type="dxa"/>
            <w:vAlign w:val="bottom"/>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60" w:type="dxa"/>
            <w:vAlign w:val="bottom"/>
          </w:tcPr>
          <w:p>
            <w:pPr>
              <w:ind w:left="60"/>
              <w:spacing w:after="0" w:line="54" w:lineRule="exact"/>
              <w:rPr>
                <w:sz w:val="20"/>
                <w:szCs w:val="20"/>
                <w:color w:val="auto"/>
              </w:rPr>
            </w:pPr>
            <w:r>
              <w:rPr>
                <w:rFonts w:ascii="Arial" w:cs="Arial" w:eastAsia="Arial" w:hAnsi="Arial"/>
                <w:sz w:val="6"/>
                <w:szCs w:val="6"/>
                <w:color w:val="auto"/>
              </w:rPr>
              <w:t>​</w:t>
            </w:r>
          </w:p>
        </w:tc>
        <w:tc>
          <w:tcPr>
            <w:tcW w:w="640" w:type="dxa"/>
            <w:vAlign w:val="bottom"/>
          </w:tcPr>
          <w:p>
            <w:pPr>
              <w:spacing w:after="0"/>
              <w:rPr>
                <w:sz w:val="4"/>
                <w:szCs w:val="4"/>
                <w:color w:val="auto"/>
              </w:rPr>
            </w:pPr>
          </w:p>
        </w:tc>
        <w:tc>
          <w:tcPr>
            <w:tcW w:w="26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60" w:type="dxa"/>
            <w:vAlign w:val="bottom"/>
          </w:tcPr>
          <w:p>
            <w:pPr>
              <w:ind w:left="80"/>
              <w:spacing w:after="0" w:line="54" w:lineRule="exact"/>
              <w:rPr>
                <w:sz w:val="20"/>
                <w:szCs w:val="20"/>
                <w:color w:val="auto"/>
              </w:rPr>
            </w:pPr>
            <w:r>
              <w:rPr>
                <w:rFonts w:ascii="Arial" w:cs="Arial" w:eastAsia="Arial" w:hAnsi="Arial"/>
                <w:sz w:val="6"/>
                <w:szCs w:val="6"/>
                <w:color w:val="auto"/>
              </w:rPr>
              <w:t>​</w:t>
            </w:r>
          </w:p>
        </w:tc>
        <w:tc>
          <w:tcPr>
            <w:tcW w:w="580" w:type="dxa"/>
            <w:vAlign w:val="bottom"/>
          </w:tcPr>
          <w:p>
            <w:pPr>
              <w:spacing w:after="0"/>
              <w:rPr>
                <w:sz w:val="4"/>
                <w:szCs w:val="4"/>
                <w:color w:val="auto"/>
              </w:rPr>
            </w:pPr>
          </w:p>
        </w:tc>
        <w:tc>
          <w:tcPr>
            <w:tcW w:w="340" w:type="dxa"/>
            <w:vAlign w:val="bottom"/>
            <w:gridSpan w:val="2"/>
          </w:tcPr>
          <w:p>
            <w:pPr>
              <w:jc w:val="right"/>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 w:type="dxa"/>
            <w:vAlign w:val="bottom"/>
            <w:shd w:val="clear" w:color="auto" w:fill="457157"/>
          </w:tcPr>
          <w:p>
            <w:pPr>
              <w:spacing w:after="0" w:line="20" w:lineRule="exact"/>
              <w:rPr>
                <w:sz w:val="1"/>
                <w:szCs w:val="1"/>
                <w:color w:val="auto"/>
              </w:rPr>
            </w:pPr>
          </w:p>
        </w:tc>
        <w:tc>
          <w:tcPr>
            <w:tcW w:w="2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4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8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60" w:type="dxa"/>
            <w:vAlign w:val="bottom"/>
            <w:tcBorders>
              <w:right w:val="single" w:sz="8" w:color="457157"/>
            </w:tcBorders>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-4405630</wp:posOffset>
            </wp:positionV>
            <wp:extent cx="5760720" cy="1631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-4079875</wp:posOffset>
            </wp:positionV>
            <wp:extent cx="5760720" cy="16319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-3754120</wp:posOffset>
            </wp:positionV>
            <wp:extent cx="5760720" cy="1625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60720" cy="16256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-3428365</wp:posOffset>
            </wp:positionV>
            <wp:extent cx="5760720" cy="1631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-3102610</wp:posOffset>
            </wp:positionV>
            <wp:extent cx="5760720" cy="1625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760720" cy="16256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-2776855</wp:posOffset>
            </wp:positionV>
            <wp:extent cx="5760720" cy="1631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-2451100</wp:posOffset>
            </wp:positionV>
            <wp:extent cx="5760720" cy="1625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760720" cy="16256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-2125345</wp:posOffset>
            </wp:positionV>
            <wp:extent cx="5760720" cy="1625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760720" cy="16256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-1799590</wp:posOffset>
            </wp:positionV>
            <wp:extent cx="5760720" cy="1625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760720" cy="16256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-1473835</wp:posOffset>
            </wp:positionV>
            <wp:extent cx="5760720" cy="1625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760720" cy="16256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-1148080</wp:posOffset>
            </wp:positionV>
            <wp:extent cx="5760720" cy="1631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-822325</wp:posOffset>
            </wp:positionV>
            <wp:extent cx="5760720" cy="1631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-496570</wp:posOffset>
            </wp:positionV>
            <wp:extent cx="5760720" cy="1631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-170815</wp:posOffset>
            </wp:positionV>
            <wp:extent cx="5760720" cy="1631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760720" cy="163195"/>
                    </a:xfrm>
                    <a:prstGeom prst="rect">
                      <a:avLst/>
                    </a:prstGeom>
                    <a:noFill/>
                  </pic:spPr>
                </pic:pic>
              </a:graphicData>
            </a:graphic>
          </wp:anchor>
        </w:drawing>
      </w:r>
    </w:p>
    <w:p>
      <w:pPr>
        <w:spacing w:after="0" w:line="42" w:lineRule="exact"/>
        <w:rPr>
          <w:sz w:val="20"/>
          <w:szCs w:val="20"/>
          <w:color w:val="auto"/>
        </w:rPr>
      </w:pPr>
    </w:p>
    <w:p>
      <w:pPr>
        <w:ind w:left="1180" w:hanging="364"/>
        <w:spacing w:after="0"/>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Values are based on the closing price of our Common Stock on December 31, 2024 of $201.79.</w:t>
      </w:r>
    </w:p>
    <w:p>
      <w:pPr>
        <w:spacing w:after="0" w:line="117" w:lineRule="exact"/>
        <w:rPr>
          <w:rFonts w:ascii="Arial" w:cs="Arial" w:eastAsia="Arial" w:hAnsi="Arial"/>
          <w:sz w:val="18"/>
          <w:szCs w:val="18"/>
          <w:color w:val="auto"/>
        </w:rPr>
      </w:pPr>
    </w:p>
    <w:p>
      <w:pPr>
        <w:ind w:left="1180" w:right="60" w:hanging="364"/>
        <w:spacing w:after="0" w:line="287"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vested stock options granted on February 19, 2019, February 19, 2020, February 23, 2021, March 1, 2022 and March 7, 2023 pursuant to our 2014 Stock Incentive Plan.</w:t>
      </w:r>
    </w:p>
    <w:p>
      <w:pPr>
        <w:spacing w:after="0" w:line="44" w:lineRule="exact"/>
        <w:rPr>
          <w:rFonts w:ascii="Arial" w:cs="Arial" w:eastAsia="Arial" w:hAnsi="Arial"/>
          <w:sz w:val="18"/>
          <w:szCs w:val="18"/>
          <w:color w:val="auto"/>
        </w:rPr>
      </w:pPr>
    </w:p>
    <w:p>
      <w:pPr>
        <w:ind w:left="1180" w:right="60" w:hanging="364"/>
        <w:spacing w:after="0" w:line="287"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stock options granted on March 1, 2024 that vest ratably in three annual increments, beginning on the first anniversary of the date of grant.</w:t>
      </w:r>
    </w:p>
    <w:p>
      <w:pPr>
        <w:spacing w:after="0" w:line="44" w:lineRule="exact"/>
        <w:rPr>
          <w:rFonts w:ascii="Arial" w:cs="Arial" w:eastAsia="Arial" w:hAnsi="Arial"/>
          <w:sz w:val="18"/>
          <w:szCs w:val="18"/>
          <w:color w:val="auto"/>
        </w:rPr>
      </w:pPr>
    </w:p>
    <w:p>
      <w:pPr>
        <w:ind w:left="1180" w:right="60" w:hanging="364"/>
        <w:spacing w:after="0" w:line="287" w:lineRule="auto"/>
        <w:tabs>
          <w:tab w:leader="none" w:pos="11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stock options granted on March 7, 2023 that vest ratably in three annual increments, beginning on the first anniversary of the date of grant.</w:t>
      </w:r>
    </w:p>
    <w:p>
      <w:pPr>
        <w:spacing w:after="0" w:line="223"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54" w:lineRule="exact"/>
        <w:rPr>
          <w:sz w:val="20"/>
          <w:szCs w:val="20"/>
          <w:color w:val="auto"/>
        </w:rPr>
      </w:pPr>
    </w:p>
    <w:p>
      <w:pPr>
        <w:ind w:left="1180" w:right="60" w:hanging="364"/>
        <w:spacing w:after="0" w:line="28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stock options granted on March 1, 2022 that vest ratably in three annual increments, beginning on the first anniversary of the date of grant.</w:t>
      </w:r>
    </w:p>
    <w:p>
      <w:pPr>
        <w:spacing w:after="0" w:line="44" w:lineRule="exact"/>
        <w:rPr>
          <w:rFonts w:ascii="Arial" w:cs="Arial" w:eastAsia="Arial" w:hAnsi="Arial"/>
          <w:sz w:val="18"/>
          <w:szCs w:val="18"/>
          <w:color w:val="auto"/>
        </w:rPr>
      </w:pPr>
    </w:p>
    <w:p>
      <w:pPr>
        <w:ind w:left="1180" w:right="60" w:hanging="364"/>
        <w:spacing w:after="0" w:line="287"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RSUs granted on March 1, 2022 under our 2014 Stock Incentive Plan that vest in full on the third anniversary of the date of grant.</w:t>
      </w:r>
    </w:p>
    <w:p>
      <w:pPr>
        <w:spacing w:after="0" w:line="44" w:lineRule="exact"/>
        <w:rPr>
          <w:rFonts w:ascii="Arial" w:cs="Arial" w:eastAsia="Arial" w:hAnsi="Arial"/>
          <w:sz w:val="18"/>
          <w:szCs w:val="18"/>
          <w:color w:val="auto"/>
        </w:rPr>
      </w:pPr>
    </w:p>
    <w:p>
      <w:pPr>
        <w:jc w:val="both"/>
        <w:ind w:left="1180" w:right="40" w:hanging="364"/>
        <w:spacing w:after="0" w:line="253" w:lineRule="auto"/>
        <w:tabs>
          <w:tab w:leader="none" w:pos="11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PSUs with three-year performance periods ending December 31, 2025 and December 31, 2026. Payouts on PSUs are made after the Company’s financial results for the performance period are reported and the MD&amp;C Committee determines achievement of performance results and corresponding vesting during the first quarter of the succeeding year. The PSUs for the performance period ended December 31, 2024 are not included in the table as they are considered earned as of December 31, 2024 for proxy statement disclosure purposes; instead, such PSUs are included in the Option Exercises and Stock Vested table below. Pursuant to SEC disclosure instructions, because the Company’s performance on the metrics governing our PSUs with the performance period ended December 31, 2024 exceeded target, the payout value of unearned awards is calculated assuming maximum performance criteria is achieved. The following number of PSUs have a performance period ending December 31, 2025: Mr. Fish — 51,316; Ms. Rankin — 12,106; Mr. Morris — 14,210; Ms. Hemmer — 9,474; and Mr. Carrasco — 10,526. The following number of PSUs have a performance period ending December 31, 2026: Mr. Fish —  40,206; Ms. Rankin — 9,484; Mr. Morris — 12,164; and Ms. Hemmer — 8,248; and Mr. Carrasco —  8,248.</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Option Exercises and Stock Vested</w:t>
      </w:r>
    </w:p>
    <w:p>
      <w:pPr>
        <w:spacing w:after="0" w:line="158"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1780" w:type="dxa"/>
            <w:vAlign w:val="bottom"/>
          </w:tcPr>
          <w:p>
            <w:pPr>
              <w:jc w:val="right"/>
              <w:ind w:right="1647"/>
              <w:spacing w:after="0"/>
              <w:rPr>
                <w:sz w:val="20"/>
                <w:szCs w:val="20"/>
                <w:color w:val="auto"/>
              </w:rPr>
            </w:pPr>
            <w:r>
              <w:rPr>
                <w:rFonts w:ascii="Arial" w:cs="Arial" w:eastAsia="Arial" w:hAnsi="Arial"/>
                <w:sz w:val="14"/>
                <w:szCs w:val="14"/>
                <w:b w:val="1"/>
                <w:bCs w:val="1"/>
                <w:color w:val="457157"/>
              </w:rPr>
              <w:t>​</w:t>
            </w:r>
          </w:p>
        </w:tc>
        <w:tc>
          <w:tcPr>
            <w:tcW w:w="460" w:type="dxa"/>
            <w:vAlign w:val="bottom"/>
            <w:gridSpan w:val="2"/>
          </w:tcPr>
          <w:p>
            <w:pPr>
              <w:ind w:left="60"/>
              <w:spacing w:after="0"/>
              <w:rPr>
                <w:sz w:val="20"/>
                <w:szCs w:val="20"/>
                <w:color w:val="auto"/>
              </w:rPr>
            </w:pPr>
            <w:r>
              <w:rPr>
                <w:rFonts w:ascii="Arial" w:cs="Arial" w:eastAsia="Arial" w:hAnsi="Arial"/>
                <w:sz w:val="14"/>
                <w:szCs w:val="14"/>
                <w:b w:val="1"/>
                <w:bCs w:val="1"/>
                <w:color w:val="457157"/>
              </w:rPr>
              <w:t>​ ​</w:t>
            </w:r>
          </w:p>
        </w:tc>
        <w:tc>
          <w:tcPr>
            <w:tcW w:w="46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457157"/>
              </w:rPr>
              <w:t>Option Awards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457157"/>
              </w:rPr>
              <w:t>​ ​</w:t>
            </w:r>
          </w:p>
        </w:tc>
        <w:tc>
          <w:tcPr>
            <w:tcW w:w="2060" w:type="dxa"/>
            <w:vAlign w:val="bottom"/>
            <w:gridSpan w:val="4"/>
          </w:tcPr>
          <w:p>
            <w:pPr>
              <w:ind w:left="940"/>
              <w:spacing w:after="0"/>
              <w:rPr>
                <w:sz w:val="20"/>
                <w:szCs w:val="20"/>
                <w:color w:val="auto"/>
              </w:rPr>
            </w:pPr>
            <w:r>
              <w:rPr>
                <w:rFonts w:ascii="Arial" w:cs="Arial" w:eastAsia="Arial" w:hAnsi="Arial"/>
                <w:sz w:val="14"/>
                <w:szCs w:val="14"/>
                <w:b w:val="1"/>
                <w:bCs w:val="1"/>
                <w:color w:val="457157"/>
              </w:rPr>
              <w:t>Stock Awards</w:t>
            </w:r>
          </w:p>
        </w:tc>
        <w:tc>
          <w:tcPr>
            <w:tcW w:w="1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183"/>
        </w:trPr>
        <w:tc>
          <w:tcPr>
            <w:tcW w:w="178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Name</w:t>
            </w:r>
          </w:p>
        </w:tc>
        <w:tc>
          <w:tcPr>
            <w:tcW w:w="160" w:type="dxa"/>
            <w:vAlign w:val="bottom"/>
          </w:tcPr>
          <w:p>
            <w:pPr>
              <w:spacing w:after="0"/>
              <w:rPr>
                <w:sz w:val="15"/>
                <w:szCs w:val="15"/>
                <w:color w:val="auto"/>
              </w:rPr>
            </w:pPr>
          </w:p>
        </w:tc>
        <w:tc>
          <w:tcPr>
            <w:tcW w:w="300" w:type="dxa"/>
            <w:vAlign w:val="bottom"/>
            <w:tcBorders>
              <w:top w:val="single" w:sz="8" w:color="457157"/>
            </w:tcBorders>
          </w:tcPr>
          <w:p>
            <w:pPr>
              <w:spacing w:after="0"/>
              <w:rPr>
                <w:sz w:val="15"/>
                <w:szCs w:val="15"/>
                <w:color w:val="auto"/>
              </w:rPr>
            </w:pPr>
          </w:p>
        </w:tc>
        <w:tc>
          <w:tcPr>
            <w:tcW w:w="1600" w:type="dxa"/>
            <w:vAlign w:val="bottom"/>
            <w:tcBorders>
              <w:top w:val="single" w:sz="8" w:color="457157"/>
            </w:tcBorders>
            <w:gridSpan w:val="2"/>
          </w:tcPr>
          <w:p>
            <w:pPr>
              <w:jc w:val="right"/>
              <w:spacing w:after="0"/>
              <w:rPr>
                <w:sz w:val="20"/>
                <w:szCs w:val="20"/>
                <w:color w:val="auto"/>
              </w:rPr>
            </w:pPr>
            <w:r>
              <w:rPr>
                <w:rFonts w:ascii="Arial" w:cs="Arial" w:eastAsia="Arial" w:hAnsi="Arial"/>
                <w:sz w:val="14"/>
                <w:szCs w:val="14"/>
                <w:b w:val="1"/>
                <w:bCs w:val="1"/>
                <w:color w:val="457157"/>
              </w:rPr>
              <w:t>Number of Shares</w:t>
            </w:r>
          </w:p>
        </w:tc>
        <w:tc>
          <w:tcPr>
            <w:tcW w:w="80" w:type="dxa"/>
            <w:vAlign w:val="bottom"/>
            <w:tcBorders>
              <w:top w:val="single" w:sz="8" w:color="457157"/>
            </w:tcBorders>
          </w:tcPr>
          <w:p>
            <w:pPr>
              <w:spacing w:after="0"/>
              <w:rPr>
                <w:sz w:val="15"/>
                <w:szCs w:val="15"/>
                <w:color w:val="auto"/>
              </w:rPr>
            </w:pPr>
          </w:p>
        </w:tc>
        <w:tc>
          <w:tcPr>
            <w:tcW w:w="1480" w:type="dxa"/>
            <w:vAlign w:val="bottom"/>
            <w:tcBorders>
              <w:top w:val="single" w:sz="8" w:color="457157"/>
            </w:tcBorders>
            <w:gridSpan w:val="3"/>
          </w:tcPr>
          <w:p>
            <w:pPr>
              <w:jc w:val="right"/>
              <w:spacing w:after="0"/>
              <w:rPr>
                <w:sz w:val="20"/>
                <w:szCs w:val="20"/>
                <w:color w:val="auto"/>
              </w:rPr>
            </w:pPr>
            <w:r>
              <w:rPr>
                <w:rFonts w:ascii="Arial" w:cs="Arial" w:eastAsia="Arial" w:hAnsi="Arial"/>
                <w:sz w:val="14"/>
                <w:szCs w:val="14"/>
                <w:b w:val="1"/>
                <w:bCs w:val="1"/>
                <w:color w:val="457157"/>
              </w:rPr>
              <w:t>Value Realized on</w:t>
            </w:r>
          </w:p>
        </w:tc>
        <w:tc>
          <w:tcPr>
            <w:tcW w:w="40" w:type="dxa"/>
            <w:vAlign w:val="bottom"/>
            <w:tcBorders>
              <w:top w:val="single" w:sz="8" w:color="457157"/>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top w:val="single" w:sz="8" w:color="457157"/>
            </w:tcBorders>
          </w:tcPr>
          <w:p>
            <w:pPr>
              <w:spacing w:after="0"/>
              <w:rPr>
                <w:sz w:val="15"/>
                <w:szCs w:val="15"/>
                <w:color w:val="auto"/>
              </w:rPr>
            </w:pPr>
          </w:p>
        </w:tc>
        <w:tc>
          <w:tcPr>
            <w:tcW w:w="1600" w:type="dxa"/>
            <w:vAlign w:val="bottom"/>
            <w:tcBorders>
              <w:top w:val="single" w:sz="8" w:color="457157"/>
            </w:tcBorders>
          </w:tcPr>
          <w:p>
            <w:pPr>
              <w:ind w:left="240"/>
              <w:spacing w:after="0"/>
              <w:rPr>
                <w:sz w:val="20"/>
                <w:szCs w:val="20"/>
                <w:color w:val="auto"/>
              </w:rPr>
            </w:pPr>
            <w:r>
              <w:rPr>
                <w:rFonts w:ascii="Arial" w:cs="Arial" w:eastAsia="Arial" w:hAnsi="Arial"/>
                <w:sz w:val="14"/>
                <w:szCs w:val="14"/>
                <w:b w:val="1"/>
                <w:bCs w:val="1"/>
                <w:color w:val="457157"/>
              </w:rPr>
              <w:t>Number of Shares</w:t>
            </w:r>
          </w:p>
        </w:tc>
        <w:tc>
          <w:tcPr>
            <w:tcW w:w="80" w:type="dxa"/>
            <w:vAlign w:val="bottom"/>
            <w:tcBorders>
              <w:top w:val="single" w:sz="8" w:color="457157"/>
            </w:tcBorders>
          </w:tcPr>
          <w:p>
            <w:pPr>
              <w:spacing w:after="0"/>
              <w:rPr>
                <w:sz w:val="15"/>
                <w:szCs w:val="15"/>
                <w:color w:val="auto"/>
              </w:rPr>
            </w:pPr>
          </w:p>
        </w:tc>
        <w:tc>
          <w:tcPr>
            <w:tcW w:w="1500" w:type="dxa"/>
            <w:vAlign w:val="bottom"/>
            <w:tcBorders>
              <w:top w:val="single" w:sz="8" w:color="457157"/>
            </w:tcBorders>
            <w:gridSpan w:val="3"/>
          </w:tcPr>
          <w:p>
            <w:pPr>
              <w:jc w:val="right"/>
              <w:spacing w:after="0"/>
              <w:rPr>
                <w:sz w:val="20"/>
                <w:szCs w:val="20"/>
                <w:color w:val="auto"/>
              </w:rPr>
            </w:pPr>
            <w:r>
              <w:rPr>
                <w:rFonts w:ascii="Arial" w:cs="Arial" w:eastAsia="Arial" w:hAnsi="Arial"/>
                <w:sz w:val="14"/>
                <w:szCs w:val="14"/>
                <w:b w:val="1"/>
                <w:bCs w:val="1"/>
                <w:color w:val="457157"/>
              </w:rPr>
              <w:t>Value Realized on</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7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98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457157"/>
              </w:rPr>
              <w:t>Acquired on Exercise(#)</w:t>
            </w:r>
            <w:r>
              <w:rPr>
                <w:rFonts w:ascii="Arial" w:cs="Arial" w:eastAsia="Arial" w:hAnsi="Arial"/>
                <w:sz w:val="8"/>
                <w:szCs w:val="8"/>
                <w:b w:val="1"/>
                <w:bCs w:val="1"/>
                <w:color w:val="457157"/>
              </w:rPr>
              <w:t>(1)</w:t>
            </w:r>
          </w:p>
        </w:tc>
        <w:tc>
          <w:tcPr>
            <w:tcW w:w="3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457157"/>
              </w:rPr>
              <w:t>​ ​</w:t>
            </w:r>
          </w:p>
        </w:tc>
        <w:tc>
          <w:tcPr>
            <w:tcW w:w="180" w:type="dxa"/>
            <w:vAlign w:val="bottom"/>
          </w:tcPr>
          <w:p>
            <w:pPr>
              <w:spacing w:after="0"/>
              <w:rPr>
                <w:sz w:val="11"/>
                <w:szCs w:val="11"/>
                <w:color w:val="auto"/>
              </w:rPr>
            </w:pPr>
          </w:p>
        </w:tc>
        <w:tc>
          <w:tcPr>
            <w:tcW w:w="102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457157"/>
              </w:rPr>
              <w:t>Exercise ($)</w:t>
            </w:r>
          </w:p>
        </w:tc>
        <w:tc>
          <w:tcPr>
            <w:tcW w:w="120" w:type="dxa"/>
            <w:vAlign w:val="bottom"/>
          </w:tcPr>
          <w:p>
            <w:pPr>
              <w:spacing w:after="0"/>
              <w:rPr>
                <w:sz w:val="11"/>
                <w:szCs w:val="11"/>
                <w:color w:val="auto"/>
              </w:rPr>
            </w:pPr>
          </w:p>
        </w:tc>
        <w:tc>
          <w:tcPr>
            <w:tcW w:w="19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457157"/>
              </w:rPr>
              <w:t>Acquired on Vesting (#)</w:t>
            </w:r>
            <w:r>
              <w:rPr>
                <w:rFonts w:ascii="Arial" w:cs="Arial" w:eastAsia="Arial" w:hAnsi="Arial"/>
                <w:sz w:val="8"/>
                <w:szCs w:val="8"/>
                <w:b w:val="1"/>
                <w:bCs w:val="1"/>
                <w:color w:val="457157"/>
              </w:rPr>
              <w:t>(2)</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w:t>
            </w:r>
          </w:p>
        </w:tc>
        <w:tc>
          <w:tcPr>
            <w:tcW w:w="18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Vesting ($)</w:t>
            </w:r>
            <w:r>
              <w:rPr>
                <w:rFonts w:ascii="Arial" w:cs="Arial" w:eastAsia="Arial" w:hAnsi="Arial"/>
                <w:sz w:val="8"/>
                <w:szCs w:val="8"/>
                <w:b w:val="1"/>
                <w:bCs w:val="1"/>
                <w:color w:val="457157"/>
              </w:rPr>
              <w:t>(2)</w:t>
            </w:r>
          </w:p>
        </w:tc>
        <w:tc>
          <w:tcPr>
            <w:tcW w:w="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68"/>
        </w:trPr>
        <w:tc>
          <w:tcPr>
            <w:tcW w:w="1780" w:type="dxa"/>
            <w:vAlign w:val="bottom"/>
            <w:tcBorders>
              <w:bottom w:val="single" w:sz="8" w:color="457157"/>
            </w:tcBorders>
          </w:tcPr>
          <w:p>
            <w:pPr>
              <w:jc w:val="right"/>
              <w:ind w:right="1647"/>
              <w:spacing w:after="0" w:line="68" w:lineRule="exact"/>
              <w:rPr>
                <w:sz w:val="20"/>
                <w:szCs w:val="20"/>
                <w:color w:val="auto"/>
              </w:rPr>
            </w:pPr>
            <w:r>
              <w:rPr>
                <w:rFonts w:ascii="Arial" w:cs="Arial" w:eastAsia="Arial" w:hAnsi="Arial"/>
                <w:sz w:val="7"/>
                <w:szCs w:val="7"/>
                <w:b w:val="1"/>
                <w:bCs w:val="1"/>
                <w:color w:val="457157"/>
              </w:rPr>
              <w:t>​</w:t>
            </w:r>
          </w:p>
        </w:tc>
        <w:tc>
          <w:tcPr>
            <w:tcW w:w="460" w:type="dxa"/>
            <w:vAlign w:val="bottom"/>
            <w:tcBorders>
              <w:bottom w:val="single" w:sz="8" w:color="457157"/>
            </w:tcBorders>
            <w:gridSpan w:val="2"/>
          </w:tcPr>
          <w:p>
            <w:pPr>
              <w:ind w:left="100"/>
              <w:spacing w:after="0" w:line="68" w:lineRule="exact"/>
              <w:rPr>
                <w:sz w:val="20"/>
                <w:szCs w:val="20"/>
                <w:color w:val="auto"/>
              </w:rPr>
            </w:pPr>
            <w:r>
              <w:rPr>
                <w:rFonts w:ascii="Arial" w:cs="Arial" w:eastAsia="Arial" w:hAnsi="Arial"/>
                <w:sz w:val="7"/>
                <w:szCs w:val="7"/>
                <w:b w:val="1"/>
                <w:bCs w:val="1"/>
                <w:color w:val="457157"/>
              </w:rPr>
              <w:t>​ ​</w:t>
            </w:r>
          </w:p>
        </w:tc>
        <w:tc>
          <w:tcPr>
            <w:tcW w:w="460" w:type="dxa"/>
            <w:vAlign w:val="bottom"/>
            <w:tcBorders>
              <w:bottom w:val="single" w:sz="8" w:color="457157"/>
            </w:tcBorders>
          </w:tcPr>
          <w:p>
            <w:pPr>
              <w:spacing w:after="0"/>
              <w:rPr>
                <w:sz w:val="5"/>
                <w:szCs w:val="5"/>
                <w:color w:val="auto"/>
              </w:rPr>
            </w:pPr>
          </w:p>
        </w:tc>
        <w:tc>
          <w:tcPr>
            <w:tcW w:w="1140" w:type="dxa"/>
            <w:vAlign w:val="bottom"/>
            <w:tcBorders>
              <w:bottom w:val="single" w:sz="8" w:color="457157"/>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320" w:type="dxa"/>
            <w:vAlign w:val="bottom"/>
            <w:tcBorders>
              <w:bottom w:val="single" w:sz="8" w:color="457157"/>
            </w:tcBorders>
            <w:vMerge w:val="continue"/>
          </w:tcPr>
          <w:p>
            <w:pPr>
              <w:spacing w:after="0"/>
              <w:rPr>
                <w:sz w:val="5"/>
                <w:szCs w:val="5"/>
                <w:color w:val="auto"/>
              </w:rPr>
            </w:pPr>
          </w:p>
        </w:tc>
        <w:tc>
          <w:tcPr>
            <w:tcW w:w="180" w:type="dxa"/>
            <w:vAlign w:val="bottom"/>
            <w:tcBorders>
              <w:bottom w:val="single" w:sz="8" w:color="457157"/>
            </w:tcBorders>
          </w:tcPr>
          <w:p>
            <w:pPr>
              <w:spacing w:after="0"/>
              <w:rPr>
                <w:sz w:val="5"/>
                <w:szCs w:val="5"/>
                <w:color w:val="auto"/>
              </w:rPr>
            </w:pPr>
          </w:p>
        </w:tc>
        <w:tc>
          <w:tcPr>
            <w:tcW w:w="980" w:type="dxa"/>
            <w:vAlign w:val="bottom"/>
            <w:tcBorders>
              <w:bottom w:val="single" w:sz="8" w:color="457157"/>
            </w:tcBorders>
          </w:tcPr>
          <w:p>
            <w:pPr>
              <w:spacing w:after="0"/>
              <w:rPr>
                <w:sz w:val="5"/>
                <w:szCs w:val="5"/>
                <w:color w:val="auto"/>
              </w:rPr>
            </w:pPr>
          </w:p>
        </w:tc>
        <w:tc>
          <w:tcPr>
            <w:tcW w:w="40" w:type="dxa"/>
            <w:vAlign w:val="bottom"/>
            <w:tcBorders>
              <w:bottom w:val="single" w:sz="8" w:color="457157"/>
            </w:tcBorders>
          </w:tcPr>
          <w:p>
            <w:pPr>
              <w:spacing w:after="0"/>
              <w:rPr>
                <w:sz w:val="5"/>
                <w:szCs w:val="5"/>
                <w:color w:val="auto"/>
              </w:rPr>
            </w:pPr>
          </w:p>
        </w:tc>
        <w:tc>
          <w:tcPr>
            <w:tcW w:w="400" w:type="dxa"/>
            <w:vAlign w:val="bottom"/>
            <w:tcBorders>
              <w:bottom w:val="single" w:sz="8" w:color="457157"/>
            </w:tcBorders>
            <w:gridSpan w:val="2"/>
          </w:tcPr>
          <w:p>
            <w:pPr>
              <w:jc w:val="right"/>
              <w:ind w:right="148"/>
              <w:spacing w:after="0" w:line="68" w:lineRule="exact"/>
              <w:rPr>
                <w:sz w:val="20"/>
                <w:szCs w:val="20"/>
                <w:color w:val="auto"/>
              </w:rPr>
            </w:pPr>
            <w:r>
              <w:rPr>
                <w:rFonts w:ascii="Arial" w:cs="Arial" w:eastAsia="Arial" w:hAnsi="Arial"/>
                <w:sz w:val="7"/>
                <w:szCs w:val="7"/>
                <w:b w:val="1"/>
                <w:bCs w:val="1"/>
                <w:color w:val="457157"/>
              </w:rPr>
              <w:t>​ ​</w:t>
            </w:r>
          </w:p>
        </w:tc>
        <w:tc>
          <w:tcPr>
            <w:tcW w:w="1600" w:type="dxa"/>
            <w:vAlign w:val="bottom"/>
            <w:tcBorders>
              <w:bottom w:val="single" w:sz="8" w:color="457157"/>
            </w:tcBorders>
          </w:tcPr>
          <w:p>
            <w:pPr>
              <w:spacing w:after="0"/>
              <w:rPr>
                <w:sz w:val="5"/>
                <w:szCs w:val="5"/>
                <w:color w:val="auto"/>
              </w:rPr>
            </w:pPr>
          </w:p>
        </w:tc>
        <w:tc>
          <w:tcPr>
            <w:tcW w:w="80" w:type="dxa"/>
            <w:vAlign w:val="bottom"/>
            <w:tcBorders>
              <w:bottom w:val="single" w:sz="8" w:color="457157"/>
            </w:tcBorders>
          </w:tcPr>
          <w:p>
            <w:pPr>
              <w:spacing w:after="0"/>
              <w:rPr>
                <w:sz w:val="5"/>
                <w:szCs w:val="5"/>
                <w:color w:val="auto"/>
              </w:rPr>
            </w:pPr>
          </w:p>
        </w:tc>
        <w:tc>
          <w:tcPr>
            <w:tcW w:w="200" w:type="dxa"/>
            <w:vAlign w:val="bottom"/>
            <w:tcBorders>
              <w:bottom w:val="single" w:sz="8" w:color="457157"/>
            </w:tcBorders>
            <w:vMerge w:val="continue"/>
          </w:tcPr>
          <w:p>
            <w:pPr>
              <w:spacing w:after="0"/>
              <w:rPr>
                <w:sz w:val="5"/>
                <w:szCs w:val="5"/>
                <w:color w:val="auto"/>
              </w:rPr>
            </w:pPr>
          </w:p>
        </w:tc>
        <w:tc>
          <w:tcPr>
            <w:tcW w:w="180" w:type="dxa"/>
            <w:vAlign w:val="bottom"/>
            <w:tcBorders>
              <w:bottom w:val="single" w:sz="8" w:color="457157"/>
            </w:tcBorders>
          </w:tcPr>
          <w:p>
            <w:pPr>
              <w:spacing w:after="0"/>
              <w:rPr>
                <w:sz w:val="5"/>
                <w:szCs w:val="5"/>
                <w:color w:val="auto"/>
              </w:rPr>
            </w:pPr>
          </w:p>
        </w:tc>
        <w:tc>
          <w:tcPr>
            <w:tcW w:w="1120" w:type="dxa"/>
            <w:vAlign w:val="bottom"/>
            <w:tcBorders>
              <w:bottom w:val="single" w:sz="8" w:color="457157"/>
            </w:tcBorders>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78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James C. Fish, Jr.</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35"/>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96,780</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15"/>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7,776,604</w:t>
            </w:r>
          </w:p>
        </w:tc>
        <w:tc>
          <w:tcPr>
            <w:tcW w:w="4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1600" w:type="dxa"/>
            <w:vAlign w:val="bottom"/>
          </w:tcPr>
          <w:p>
            <w:pPr>
              <w:ind w:left="3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72,092</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15,768,251</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8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1140" w:type="dxa"/>
            <w:vAlign w:val="bottom"/>
            <w:shd w:val="clear" w:color="auto" w:fill="457157"/>
          </w:tcPr>
          <w:p>
            <w:pPr>
              <w:spacing w:after="0" w:line="20" w:lineRule="exact"/>
              <w:rPr>
                <w:sz w:val="1"/>
                <w:szCs w:val="1"/>
                <w:color w:val="auto"/>
              </w:rPr>
            </w:pPr>
          </w:p>
        </w:tc>
        <w:tc>
          <w:tcPr>
            <w:tcW w:w="40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980" w:type="dxa"/>
            <w:vAlign w:val="bottom"/>
            <w:shd w:val="clear" w:color="auto" w:fill="457157"/>
          </w:tcPr>
          <w:p>
            <w:pPr>
              <w:spacing w:after="0" w:line="20" w:lineRule="exact"/>
              <w:rPr>
                <w:sz w:val="1"/>
                <w:szCs w:val="1"/>
                <w:color w:val="auto"/>
              </w:rPr>
            </w:pPr>
          </w:p>
        </w:tc>
        <w:tc>
          <w:tcPr>
            <w:tcW w:w="160" w:type="dxa"/>
            <w:vAlign w:val="bottom"/>
            <w:gridSpan w:val="2"/>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60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8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Devina A. Rankin</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ind w:left="30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140" w:type="dxa"/>
            <w:vAlign w:val="bottom"/>
          </w:tcPr>
          <w:p>
            <w:pPr>
              <w:jc w:val="right"/>
              <w:ind w:right="535"/>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 ​​</w:t>
            </w:r>
          </w:p>
        </w:tc>
        <w:tc>
          <w:tcPr>
            <w:tcW w:w="18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9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1600" w:type="dxa"/>
            <w:vAlign w:val="bottom"/>
          </w:tcPr>
          <w:p>
            <w:pPr>
              <w:ind w:left="3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18,125</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3,964,373</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8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600" w:type="dxa"/>
            <w:vAlign w:val="bottom"/>
            <w:gridSpan w:val="2"/>
            <w:shd w:val="clear" w:color="auto" w:fill="457157"/>
          </w:tcPr>
          <w:p>
            <w:pPr>
              <w:spacing w:after="0" w:line="20" w:lineRule="exact"/>
              <w:rPr>
                <w:sz w:val="1"/>
                <w:szCs w:val="1"/>
                <w:color w:val="auto"/>
              </w:rPr>
            </w:pPr>
          </w:p>
        </w:tc>
        <w:tc>
          <w:tcPr>
            <w:tcW w:w="400" w:type="dxa"/>
            <w:vAlign w:val="bottom"/>
            <w:gridSpan w:val="2"/>
            <w:shd w:val="clear" w:color="auto" w:fill="457157"/>
          </w:tcPr>
          <w:p>
            <w:pPr>
              <w:spacing w:after="0" w:line="20" w:lineRule="exact"/>
              <w:rPr>
                <w:sz w:val="1"/>
                <w:szCs w:val="1"/>
                <w:color w:val="auto"/>
              </w:rPr>
            </w:pPr>
          </w:p>
        </w:tc>
        <w:tc>
          <w:tcPr>
            <w:tcW w:w="1160" w:type="dxa"/>
            <w:vAlign w:val="bottom"/>
            <w:gridSpan w:val="2"/>
            <w:shd w:val="clear" w:color="auto" w:fill="457157"/>
          </w:tcPr>
          <w:p>
            <w:pPr>
              <w:spacing w:after="0" w:line="20" w:lineRule="exact"/>
              <w:rPr>
                <w:sz w:val="1"/>
                <w:szCs w:val="1"/>
                <w:color w:val="auto"/>
              </w:rPr>
            </w:pPr>
          </w:p>
        </w:tc>
        <w:tc>
          <w:tcPr>
            <w:tcW w:w="160" w:type="dxa"/>
            <w:vAlign w:val="bottom"/>
            <w:gridSpan w:val="2"/>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60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78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John J. Morris, Jr.</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535"/>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22,796</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 ​​</w:t>
            </w:r>
          </w:p>
        </w:tc>
        <w:tc>
          <w:tcPr>
            <w:tcW w:w="1160" w:type="dxa"/>
            <w:vAlign w:val="bottom"/>
            <w:gridSpan w:val="2"/>
          </w:tcPr>
          <w:p>
            <w:pPr>
              <w:jc w:val="right"/>
              <w:ind w:right="115"/>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2,190,014</w:t>
            </w:r>
          </w:p>
        </w:tc>
        <w:tc>
          <w:tcPr>
            <w:tcW w:w="4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1600" w:type="dxa"/>
            <w:vAlign w:val="bottom"/>
          </w:tcPr>
          <w:p>
            <w:pPr>
              <w:ind w:left="3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21,422</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4,685,506</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8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1140" w:type="dxa"/>
            <w:vAlign w:val="bottom"/>
            <w:shd w:val="clear" w:color="auto" w:fill="457157"/>
          </w:tcPr>
          <w:p>
            <w:pPr>
              <w:spacing w:after="0" w:line="20" w:lineRule="exact"/>
              <w:rPr>
                <w:sz w:val="1"/>
                <w:szCs w:val="1"/>
                <w:color w:val="auto"/>
              </w:rPr>
            </w:pPr>
          </w:p>
        </w:tc>
        <w:tc>
          <w:tcPr>
            <w:tcW w:w="40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980" w:type="dxa"/>
            <w:vAlign w:val="bottom"/>
            <w:shd w:val="clear" w:color="auto" w:fill="457157"/>
          </w:tcPr>
          <w:p>
            <w:pPr>
              <w:spacing w:after="0" w:line="20" w:lineRule="exact"/>
              <w:rPr>
                <w:sz w:val="1"/>
                <w:szCs w:val="1"/>
                <w:color w:val="auto"/>
              </w:rPr>
            </w:pPr>
          </w:p>
        </w:tc>
        <w:tc>
          <w:tcPr>
            <w:tcW w:w="160" w:type="dxa"/>
            <w:vAlign w:val="bottom"/>
            <w:gridSpan w:val="2"/>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60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780" w:type="dxa"/>
            <w:vAlign w:val="bottom"/>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Tara J. Hemmer</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ind w:left="30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40" w:type="dxa"/>
            <w:vAlign w:val="bottom"/>
          </w:tcPr>
          <w:p>
            <w:pPr>
              <w:jc w:val="right"/>
              <w:ind w:right="535"/>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 ​​</w:t>
            </w:r>
          </w:p>
        </w:tc>
        <w:tc>
          <w:tcPr>
            <w:tcW w:w="180" w:type="dxa"/>
            <w:vAlign w:val="bottom"/>
          </w:tcPr>
          <w:p>
            <w:pPr>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98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1600" w:type="dxa"/>
            <w:vAlign w:val="bottom"/>
          </w:tcPr>
          <w:p>
            <w:pPr>
              <w:ind w:left="3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14,007</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3,063,667</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940" w:type="dxa"/>
            <w:vAlign w:val="bottom"/>
            <w:gridSpan w:val="2"/>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1140" w:type="dxa"/>
            <w:vAlign w:val="bottom"/>
            <w:shd w:val="clear" w:color="auto" w:fill="457157"/>
          </w:tcPr>
          <w:p>
            <w:pPr>
              <w:spacing w:after="0" w:line="20" w:lineRule="exact"/>
              <w:rPr>
                <w:sz w:val="1"/>
                <w:szCs w:val="1"/>
                <w:color w:val="auto"/>
              </w:rPr>
            </w:pPr>
          </w:p>
        </w:tc>
        <w:tc>
          <w:tcPr>
            <w:tcW w:w="40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980" w:type="dxa"/>
            <w:vAlign w:val="bottom"/>
            <w:shd w:val="clear" w:color="auto" w:fill="457157"/>
          </w:tcPr>
          <w:p>
            <w:pPr>
              <w:spacing w:after="0" w:line="20" w:lineRule="exact"/>
              <w:rPr>
                <w:sz w:val="1"/>
                <w:szCs w:val="1"/>
                <w:color w:val="auto"/>
              </w:rPr>
            </w:pPr>
          </w:p>
        </w:tc>
        <w:tc>
          <w:tcPr>
            <w:tcW w:w="160" w:type="dxa"/>
            <w:vAlign w:val="bottom"/>
            <w:gridSpan w:val="2"/>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60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240" w:type="dxa"/>
            <w:vAlign w:val="bottom"/>
            <w:gridSpan w:val="3"/>
          </w:tcPr>
          <w:p>
            <w:pPr>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b w:val="1"/>
                <w:bCs w:val="1"/>
                <w:color w:val="auto"/>
              </w:rPr>
              <w:t xml:space="preserve">Rafael E. Carrasco </w:t>
            </w:r>
            <w:r>
              <w:rPr>
                <w:rFonts w:ascii="Arial" w:cs="Arial" w:eastAsia="Arial" w:hAnsi="Arial"/>
                <w:sz w:val="30"/>
                <w:szCs w:val="30"/>
                <w:color w:val="auto"/>
                <w:vertAlign w:val="subscript"/>
              </w:rPr>
              <w:t>​​</w:t>
            </w:r>
          </w:p>
        </w:tc>
        <w:tc>
          <w:tcPr>
            <w:tcW w:w="460" w:type="dxa"/>
            <w:vAlign w:val="bottom"/>
          </w:tcPr>
          <w:p>
            <w:pPr>
              <w:ind w:left="30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40" w:type="dxa"/>
            <w:vAlign w:val="bottom"/>
          </w:tcPr>
          <w:p>
            <w:pPr>
              <w:jc w:val="right"/>
              <w:ind w:right="535"/>
              <w:spacing w:after="0"/>
              <w:rPr>
                <w:sz w:val="20"/>
                <w:szCs w:val="20"/>
                <w:color w:val="auto"/>
              </w:rPr>
            </w:pPr>
            <w:r>
              <w:rPr>
                <w:rFonts w:ascii="Arial" w:cs="Arial" w:eastAsia="Arial" w:hAnsi="Arial"/>
                <w:sz w:val="18"/>
                <w:szCs w:val="18"/>
                <w:color w:val="auto"/>
              </w:rPr>
              <w:t>6,662</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 ​​</w:t>
            </w:r>
          </w:p>
        </w:tc>
        <w:tc>
          <w:tcPr>
            <w:tcW w:w="180" w:type="dxa"/>
            <w:vAlign w:val="bottom"/>
          </w:tcPr>
          <w:p>
            <w:pPr>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980" w:type="dxa"/>
            <w:vAlign w:val="bottom"/>
          </w:tcPr>
          <w:p>
            <w:pPr>
              <w:jc w:val="right"/>
              <w:ind w:right="115"/>
              <w:spacing w:after="0"/>
              <w:rPr>
                <w:sz w:val="20"/>
                <w:szCs w:val="20"/>
                <w:color w:val="auto"/>
              </w:rPr>
            </w:pPr>
            <w:r>
              <w:rPr>
                <w:rFonts w:ascii="Arial" w:cs="Arial" w:eastAsia="Arial" w:hAnsi="Arial"/>
                <w:sz w:val="18"/>
                <w:szCs w:val="18"/>
                <w:color w:val="auto"/>
              </w:rPr>
              <w:t>816,870</w:t>
            </w:r>
          </w:p>
        </w:tc>
        <w:tc>
          <w:tcPr>
            <w:tcW w:w="440" w:type="dxa"/>
            <w:vAlign w:val="bottom"/>
            <w:gridSpan w:val="3"/>
          </w:tcPr>
          <w:p>
            <w:pPr>
              <w:jc w:val="right"/>
              <w:ind w:right="188"/>
              <w:spacing w:after="0"/>
              <w:rPr>
                <w:sz w:val="20"/>
                <w:szCs w:val="20"/>
                <w:color w:val="auto"/>
              </w:rPr>
            </w:pPr>
            <w:r>
              <w:rPr>
                <w:rFonts w:ascii="Arial" w:cs="Arial" w:eastAsia="Arial" w:hAnsi="Arial"/>
                <w:sz w:val="18"/>
                <w:szCs w:val="18"/>
                <w:color w:val="auto"/>
              </w:rPr>
              <w:t>​​​</w:t>
            </w:r>
          </w:p>
        </w:tc>
        <w:tc>
          <w:tcPr>
            <w:tcW w:w="1600" w:type="dxa"/>
            <w:vAlign w:val="bottom"/>
          </w:tcPr>
          <w:p>
            <w:pPr>
              <w:ind w:left="32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14,358</w:t>
            </w:r>
          </w:p>
        </w:tc>
        <w:tc>
          <w:tcPr>
            <w:tcW w:w="280" w:type="dxa"/>
            <w:vAlign w:val="bottom"/>
            <w:gridSpan w:val="2"/>
          </w:tcPr>
          <w:p>
            <w:pPr>
              <w:jc w:val="right"/>
              <w:ind w:right="8"/>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line="264"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3,136,591</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8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11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98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6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-908050</wp:posOffset>
            </wp:positionV>
            <wp:extent cx="5760720" cy="1797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760720"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-548005</wp:posOffset>
            </wp:positionV>
            <wp:extent cx="5760720" cy="1803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760720" cy="18034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-187960</wp:posOffset>
            </wp:positionV>
            <wp:extent cx="5760720" cy="1797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760720" cy="179705"/>
                    </a:xfrm>
                    <a:prstGeom prst="rect">
                      <a:avLst/>
                    </a:prstGeom>
                    <a:noFill/>
                  </pic:spPr>
                </pic:pic>
              </a:graphicData>
            </a:graphic>
          </wp:anchor>
        </w:drawing>
      </w:r>
    </w:p>
    <w:p>
      <w:pPr>
        <w:spacing w:after="0" w:line="15" w:lineRule="exact"/>
        <w:rPr>
          <w:sz w:val="20"/>
          <w:szCs w:val="20"/>
          <w:color w:val="auto"/>
        </w:rPr>
      </w:pPr>
    </w:p>
    <w:p>
      <w:pPr>
        <w:ind w:left="1180" w:right="60" w:hanging="364"/>
        <w:spacing w:after="0" w:line="287"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following number of net shares were received, after withholdings and/or sale of shares to cover option costs and taxes: Mr. Fish — 22,014, Mr. Morris — 6,152 and Mr. Carrasco — 2,395.</w:t>
      </w:r>
    </w:p>
    <w:p>
      <w:pPr>
        <w:spacing w:after="0" w:line="44" w:lineRule="exact"/>
        <w:rPr>
          <w:rFonts w:ascii="Arial" w:cs="Arial" w:eastAsia="Arial" w:hAnsi="Arial"/>
          <w:sz w:val="18"/>
          <w:szCs w:val="18"/>
          <w:color w:val="auto"/>
        </w:rPr>
      </w:pPr>
    </w:p>
    <w:p>
      <w:pPr>
        <w:jc w:val="both"/>
        <w:ind w:left="1180" w:right="60" w:hanging="364"/>
        <w:spacing w:after="0" w:line="256" w:lineRule="auto"/>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shares of the Company’s Common Stock issued on account of PSUs granted in 2022 with a performance period ended December 31, 2024. The determination of achievement of performance results and corresponding vesting of such PSUs was performed by the MD&amp;C Committee in January 2025. Following such determination, shares of the Company’s Common Stock earned under this award were issued on January 30, 2025. Also includes 351 RSUs granted to Mr. Carrasco prior to his promotion to the senior leadership team that vested in 2024. The value of PSUs and RSUs is calculated using the average of the high and low market price of our Common Stock on the date of payout.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27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1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Nonqualified Deferred Compensation in 2024</w:t>
      </w:r>
    </w:p>
    <w:p>
      <w:pPr>
        <w:spacing w:after="0" w:line="54"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i w:val="1"/>
          <w:iCs w:val="1"/>
          <w:u w:val="single" w:color="auto"/>
          <w:color w:val="auto"/>
        </w:rPr>
        <w:t>Amounts that Can be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our 409A Deferral Plan, each of our named executive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may elect to defer receipt of portions of their base salary and annual cash incentives for the applicable fiscal year in excess of the annual compensation threshold (the “Threshold”) established under Section 401(a)(17) of IRC. For 2024, the Threshold was $345,000. Such deferrals will result in a deferral of taxation on the amounts deferred. The 409A Deferral Plan provides that a plan participant may defer, for payment at a future date (a) up to 25% of the participant’s base salary, and up to 100% of the participant’s annual cash incentives, payable after the aggregate of such base salary and annual cash incentives reaches the Threshold; (b) any RSUs that would otherwise be received by the plan participant; and (c) any PSUs that would otherwise be received by the plan participant.</w:t>
      </w:r>
    </w:p>
    <w:p>
      <w:pPr>
        <w:spacing w:after="0" w:line="212"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i w:val="1"/>
          <w:iCs w:val="1"/>
          <w:u w:val="single" w:color="auto"/>
          <w:color w:val="auto"/>
        </w:rPr>
        <w:t>Matching Contributions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match provided under the 409A Deferral Plan is dollar for</w:t>
      </w:r>
      <w:r>
        <w:rPr>
          <w:rFonts w:ascii="Arial" w:cs="Arial" w:eastAsia="Arial" w:hAnsi="Arial"/>
          <w:sz w:val="18"/>
          <w:szCs w:val="18"/>
          <w:i w:val="1"/>
          <w:iCs w:val="1"/>
          <w:color w:val="auto"/>
        </w:rPr>
        <w:t xml:space="preserve"> </w:t>
      </w:r>
      <w:r>
        <w:rPr>
          <w:rFonts w:ascii="Arial" w:cs="Arial" w:eastAsia="Arial" w:hAnsi="Arial"/>
          <w:sz w:val="18"/>
          <w:szCs w:val="18"/>
          <w:color w:val="auto"/>
        </w:rPr>
        <w:t>dollar on the employee’s deferrals, up to 3% of the employee’s aggregate base salary and cash incentives in excess of the Threshold, and fifty cents on the dollar on the employee’s deferrals, in excess of 3% and up to 6% of the employee’s aggregate base salary and cash incentives in excess of the Threshold. Additional deferral contributions will not be matched but will be tax-deferred. Amounts deferred under this plan are allocated into accounts that mirror selected investment funds in our 401(k) Retirement Savings Plan, including a Company stock fund, although the amounts deferred are not actually invested in stock or funds. There is no Company match on deferred RSUs or PSUs, but the Company makes a cash payment of dividend equivalents on the shares deferred at the same time and at the same rate as dividends on the Company’s Common Stock.</w:t>
      </w:r>
    </w:p>
    <w:p>
      <w:pPr>
        <w:spacing w:after="0" w:line="229" w:lineRule="exact"/>
        <w:rPr>
          <w:sz w:val="20"/>
          <w:szCs w:val="20"/>
          <w:color w:val="auto"/>
        </w:rPr>
      </w:pPr>
    </w:p>
    <w:p>
      <w:pPr>
        <w:jc w:val="both"/>
        <w:ind w:left="820" w:right="60"/>
        <w:spacing w:after="0" w:line="255" w:lineRule="auto"/>
        <w:rPr>
          <w:sz w:val="20"/>
          <w:szCs w:val="20"/>
          <w:color w:val="auto"/>
        </w:rPr>
      </w:pPr>
      <w:r>
        <w:rPr>
          <w:rFonts w:ascii="Arial" w:cs="Arial" w:eastAsia="Arial" w:hAnsi="Arial"/>
          <w:sz w:val="18"/>
          <w:szCs w:val="18"/>
          <w:i w:val="1"/>
          <w:iCs w:val="1"/>
          <w:u w:val="single" w:color="auto"/>
          <w:color w:val="auto"/>
        </w:rPr>
        <w:t>Timing of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Participating employees generally can elect to receive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commencing six months after the employee leaves the Company in the form of annual installments or a lump sum payment. Special circumstances may allow for a modified or accelerated distribution, such as the employee’s death, an unforeseen emergency, or upon termination of the plan. In the event of death, distribution will be made to the designated beneficiary in a single lump sum in the following calendar year. In the event of an unforeseen emergency, the plan administrator may allow an early payment in the amount necessary to satisfy the emergency. All participants are immediately 100% vested in all of their contributions, Company matching contributions, and gains and/or losses related to their investment choices.</w:t>
      </w:r>
    </w:p>
    <w:p>
      <w:pPr>
        <w:spacing w:after="0" w:line="313"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457157"/>
              </w:rPr>
              <w:t>Executive</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457157"/>
              </w:rPr>
              <w:t>Registrant</w:t>
            </w:r>
          </w:p>
        </w:tc>
        <w:tc>
          <w:tcPr>
            <w:tcW w:w="1340" w:type="dxa"/>
            <w:vAlign w:val="bottom"/>
            <w:gridSpan w:val="2"/>
          </w:tcPr>
          <w:p>
            <w:pPr>
              <w:jc w:val="right"/>
              <w:ind w:right="284"/>
              <w:spacing w:after="0"/>
              <w:rPr>
                <w:sz w:val="20"/>
                <w:szCs w:val="20"/>
                <w:color w:val="auto"/>
              </w:rPr>
            </w:pPr>
            <w:r>
              <w:rPr>
                <w:rFonts w:ascii="Arial" w:cs="Arial" w:eastAsia="Arial" w:hAnsi="Arial"/>
                <w:sz w:val="14"/>
                <w:szCs w:val="14"/>
                <w:b w:val="1"/>
                <w:bCs w:val="1"/>
                <w:color w:val="457157"/>
              </w:rPr>
              <w:t>Aggregate</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80" w:type="dxa"/>
            <w:vAlign w:val="bottom"/>
          </w:tcPr>
          <w:p>
            <w:pPr>
              <w:spacing w:after="0"/>
              <w:rPr>
                <w:sz w:val="12"/>
                <w:szCs w:val="12"/>
                <w:color w:val="auto"/>
              </w:rPr>
            </w:pPr>
          </w:p>
        </w:tc>
        <w:tc>
          <w:tcPr>
            <w:tcW w:w="1480" w:type="dxa"/>
            <w:vAlign w:val="bottom"/>
            <w:gridSpan w:val="3"/>
          </w:tcPr>
          <w:p>
            <w:pPr>
              <w:jc w:val="right"/>
              <w:spacing w:after="0" w:line="139" w:lineRule="exact"/>
              <w:rPr>
                <w:sz w:val="20"/>
                <w:szCs w:val="20"/>
                <w:color w:val="auto"/>
              </w:rPr>
            </w:pPr>
            <w:r>
              <w:rPr>
                <w:rFonts w:ascii="Arial" w:cs="Arial" w:eastAsia="Arial" w:hAnsi="Arial"/>
                <w:sz w:val="14"/>
                <w:szCs w:val="14"/>
                <w:b w:val="1"/>
                <w:bCs w:val="1"/>
                <w:color w:val="457157"/>
              </w:rPr>
              <w:t>Contributions</w:t>
            </w:r>
          </w:p>
        </w:tc>
        <w:tc>
          <w:tcPr>
            <w:tcW w:w="1260" w:type="dxa"/>
            <w:vAlign w:val="bottom"/>
            <w:gridSpan w:val="3"/>
          </w:tcPr>
          <w:p>
            <w:pPr>
              <w:jc w:val="right"/>
              <w:spacing w:after="0" w:line="139" w:lineRule="exact"/>
              <w:rPr>
                <w:sz w:val="20"/>
                <w:szCs w:val="20"/>
                <w:color w:val="auto"/>
              </w:rPr>
            </w:pPr>
            <w:r>
              <w:rPr>
                <w:rFonts w:ascii="Arial" w:cs="Arial" w:eastAsia="Arial" w:hAnsi="Arial"/>
                <w:sz w:val="14"/>
                <w:szCs w:val="14"/>
                <w:b w:val="1"/>
                <w:bCs w:val="1"/>
                <w:color w:val="457157"/>
              </w:rPr>
              <w:t>Contributions</w:t>
            </w:r>
          </w:p>
        </w:tc>
        <w:tc>
          <w:tcPr>
            <w:tcW w:w="280" w:type="dxa"/>
            <w:vAlign w:val="bottom"/>
          </w:tcPr>
          <w:p>
            <w:pPr>
              <w:spacing w:after="0"/>
              <w:rPr>
                <w:sz w:val="12"/>
                <w:szCs w:val="12"/>
                <w:color w:val="auto"/>
              </w:rPr>
            </w:pPr>
          </w:p>
        </w:tc>
        <w:tc>
          <w:tcPr>
            <w:tcW w:w="1060" w:type="dxa"/>
            <w:vAlign w:val="bottom"/>
          </w:tcPr>
          <w:p>
            <w:pPr>
              <w:jc w:val="right"/>
              <w:ind w:right="284"/>
              <w:spacing w:after="0" w:line="139" w:lineRule="exact"/>
              <w:rPr>
                <w:sz w:val="20"/>
                <w:szCs w:val="20"/>
                <w:color w:val="auto"/>
              </w:rPr>
            </w:pPr>
            <w:r>
              <w:rPr>
                <w:rFonts w:ascii="Arial" w:cs="Arial" w:eastAsia="Arial" w:hAnsi="Arial"/>
                <w:sz w:val="14"/>
                <w:szCs w:val="14"/>
                <w:b w:val="1"/>
                <w:bCs w:val="1"/>
                <w:color w:val="457157"/>
              </w:rPr>
              <w:t>Earnings</w:t>
            </w:r>
          </w:p>
        </w:tc>
        <w:tc>
          <w:tcPr>
            <w:tcW w:w="22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Aggregate</w:t>
            </w:r>
          </w:p>
        </w:tc>
        <w:tc>
          <w:tcPr>
            <w:tcW w:w="16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457157"/>
              </w:rPr>
              <w:t>Aggregate Balance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in Last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in Last</w:t>
            </w:r>
          </w:p>
        </w:tc>
        <w:tc>
          <w:tcPr>
            <w:tcW w:w="280" w:type="dxa"/>
            <w:vAlign w:val="bottom"/>
          </w:tcPr>
          <w:p>
            <w:pPr>
              <w:spacing w:after="0"/>
              <w:rPr>
                <w:sz w:val="12"/>
                <w:szCs w:val="12"/>
                <w:color w:val="auto"/>
              </w:rPr>
            </w:pPr>
          </w:p>
        </w:tc>
        <w:tc>
          <w:tcPr>
            <w:tcW w:w="1060" w:type="dxa"/>
            <w:vAlign w:val="bottom"/>
          </w:tcPr>
          <w:p>
            <w:pPr>
              <w:jc w:val="right"/>
              <w:ind w:right="284"/>
              <w:spacing w:after="0" w:line="145" w:lineRule="exact"/>
              <w:rPr>
                <w:sz w:val="20"/>
                <w:szCs w:val="20"/>
                <w:color w:val="auto"/>
              </w:rPr>
            </w:pPr>
            <w:r>
              <w:rPr>
                <w:rFonts w:ascii="Arial" w:cs="Arial" w:eastAsia="Arial" w:hAnsi="Arial"/>
                <w:sz w:val="14"/>
                <w:szCs w:val="14"/>
                <w:b w:val="1"/>
                <w:bCs w:val="1"/>
                <w:color w:val="457157"/>
              </w:rPr>
              <w:t>in Last</w:t>
            </w:r>
          </w:p>
        </w:tc>
        <w:tc>
          <w:tcPr>
            <w:tcW w:w="2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​Name</w:t>
            </w:r>
          </w:p>
        </w:tc>
        <w:tc>
          <w:tcPr>
            <w:tcW w:w="520" w:type="dxa"/>
            <w:vAlign w:val="bottom"/>
            <w:vMerge w:val="restart"/>
          </w:tcPr>
          <w:p>
            <w:pPr>
              <w:ind w:left="340"/>
              <w:spacing w:after="0"/>
              <w:rPr>
                <w:sz w:val="20"/>
                <w:szCs w:val="20"/>
                <w:color w:val="auto"/>
              </w:rPr>
            </w:pPr>
            <w:r>
              <w:rPr>
                <w:rFonts w:ascii="Arial" w:cs="Arial" w:eastAsia="Arial" w:hAnsi="Arial"/>
                <w:sz w:val="14"/>
                <w:szCs w:val="14"/>
                <w:b w:val="1"/>
                <w:bCs w:val="1"/>
                <w:color w:val="457157"/>
              </w:rPr>
              <w:t>​ ​</w:t>
            </w:r>
          </w:p>
        </w:tc>
        <w:tc>
          <w:tcPr>
            <w:tcW w:w="1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Fiscal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Fiscal</w:t>
            </w:r>
          </w:p>
        </w:tc>
        <w:tc>
          <w:tcPr>
            <w:tcW w:w="280" w:type="dxa"/>
            <w:vAlign w:val="bottom"/>
          </w:tcPr>
          <w:p>
            <w:pPr>
              <w:spacing w:after="0"/>
              <w:rPr>
                <w:sz w:val="12"/>
                <w:szCs w:val="12"/>
                <w:color w:val="auto"/>
              </w:rPr>
            </w:pPr>
          </w:p>
        </w:tc>
        <w:tc>
          <w:tcPr>
            <w:tcW w:w="1060" w:type="dxa"/>
            <w:vAlign w:val="bottom"/>
          </w:tcPr>
          <w:p>
            <w:pPr>
              <w:jc w:val="right"/>
              <w:ind w:right="284"/>
              <w:spacing w:after="0" w:line="149" w:lineRule="exact"/>
              <w:rPr>
                <w:sz w:val="20"/>
                <w:szCs w:val="20"/>
                <w:color w:val="auto"/>
              </w:rPr>
            </w:pPr>
            <w:r>
              <w:rPr>
                <w:rFonts w:ascii="Arial" w:cs="Arial" w:eastAsia="Arial" w:hAnsi="Arial"/>
                <w:sz w:val="14"/>
                <w:szCs w:val="14"/>
                <w:b w:val="1"/>
                <w:bCs w:val="1"/>
                <w:color w:val="457157"/>
              </w:rPr>
              <w:t>Fiscal</w:t>
            </w:r>
          </w:p>
        </w:tc>
        <w:tc>
          <w:tcPr>
            <w:tcW w:w="220" w:type="dxa"/>
            <w:vAlign w:val="bottom"/>
          </w:tcPr>
          <w:p>
            <w:pPr>
              <w:spacing w:after="0"/>
              <w:rPr>
                <w:sz w:val="12"/>
                <w:szCs w:val="12"/>
                <w:color w:val="auto"/>
              </w:rPr>
            </w:pPr>
          </w:p>
        </w:tc>
        <w:tc>
          <w:tcPr>
            <w:tcW w:w="12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457157"/>
              </w:rPr>
              <w:t>Withdrawals/​</w:t>
            </w:r>
          </w:p>
        </w:tc>
        <w:tc>
          <w:tcPr>
            <w:tcW w:w="20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at Last Fiscal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457157"/>
              </w:rPr>
              <w:t>Year ($)</w:t>
            </w:r>
            <w:r>
              <w:rPr>
                <w:rFonts w:ascii="Arial" w:cs="Arial" w:eastAsia="Arial" w:hAnsi="Arial"/>
                <w:sz w:val="8"/>
                <w:szCs w:val="8"/>
                <w:b w:val="1"/>
                <w:bCs w:val="1"/>
                <w:color w:val="457157"/>
              </w:rPr>
              <w:t>(1)</w:t>
            </w:r>
            <w:r>
              <w:rPr>
                <w:rFonts w:ascii="Arial" w:cs="Arial" w:eastAsia="Arial" w:hAnsi="Arial"/>
                <w:sz w:val="14"/>
                <w:szCs w:val="14"/>
                <w:b w:val="1"/>
                <w:bCs w:val="1"/>
                <w:color w:val="457157"/>
              </w:rPr>
              <w:t xml:space="preserve">  ​ ​</w:t>
            </w:r>
          </w:p>
        </w:tc>
        <w:tc>
          <w:tcPr>
            <w:tcW w:w="120" w:type="dxa"/>
            <w:vAlign w:val="bottom"/>
          </w:tcPr>
          <w:p>
            <w:pPr>
              <w:spacing w:after="0"/>
              <w:rPr>
                <w:sz w:val="15"/>
                <w:szCs w:val="15"/>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457157"/>
              </w:rPr>
              <w:t>Year ($)</w:t>
            </w:r>
            <w:r>
              <w:rPr>
                <w:rFonts w:ascii="Arial" w:cs="Arial" w:eastAsia="Arial" w:hAnsi="Arial"/>
                <w:sz w:val="8"/>
                <w:szCs w:val="8"/>
                <w:b w:val="1"/>
                <w:bCs w:val="1"/>
                <w:color w:val="457157"/>
              </w:rPr>
              <w:t>(2)</w:t>
            </w:r>
            <w:r>
              <w:rPr>
                <w:rFonts w:ascii="Arial" w:cs="Arial" w:eastAsia="Arial" w:hAnsi="Arial"/>
                <w:sz w:val="14"/>
                <w:szCs w:val="14"/>
                <w:b w:val="1"/>
                <w:bCs w:val="1"/>
                <w:color w:val="457157"/>
              </w:rPr>
              <w:t xml:space="preserve">  ​ ​</w:t>
            </w:r>
          </w:p>
        </w:tc>
        <w:tc>
          <w:tcPr>
            <w:tcW w:w="2560" w:type="dxa"/>
            <w:vAlign w:val="bottom"/>
            <w:gridSpan w:val="4"/>
          </w:tcPr>
          <w:p>
            <w:pPr>
              <w:ind w:left="40"/>
              <w:spacing w:after="0" w:line="176" w:lineRule="exact"/>
              <w:rPr>
                <w:sz w:val="20"/>
                <w:szCs w:val="20"/>
                <w:color w:val="auto"/>
              </w:rPr>
            </w:pPr>
            <w:r>
              <w:rPr>
                <w:rFonts w:ascii="Arial" w:cs="Arial" w:eastAsia="Arial" w:hAnsi="Arial"/>
                <w:sz w:val="14"/>
                <w:szCs w:val="14"/>
                <w:b w:val="1"/>
                <w:bCs w:val="1"/>
                <w:color w:val="457157"/>
              </w:rPr>
              <w:t>Year ($)</w:t>
            </w:r>
            <w:r>
              <w:rPr>
                <w:rFonts w:ascii="Arial" w:cs="Arial" w:eastAsia="Arial" w:hAnsi="Arial"/>
                <w:sz w:val="8"/>
                <w:szCs w:val="8"/>
                <w:b w:val="1"/>
                <w:bCs w:val="1"/>
                <w:color w:val="457157"/>
              </w:rPr>
              <w:t>(3)</w:t>
            </w:r>
            <w:r>
              <w:rPr>
                <w:rFonts w:ascii="Arial" w:cs="Arial" w:eastAsia="Arial" w:hAnsi="Arial"/>
                <w:sz w:val="14"/>
                <w:szCs w:val="14"/>
                <w:b w:val="1"/>
                <w:bCs w:val="1"/>
                <w:color w:val="457157"/>
              </w:rPr>
              <w:t xml:space="preserve">  ​ ​Distributions ($)</w:t>
            </w:r>
            <w:r>
              <w:rPr>
                <w:rFonts w:ascii="Arial" w:cs="Arial" w:eastAsia="Arial" w:hAnsi="Arial"/>
                <w:sz w:val="17"/>
                <w:szCs w:val="17"/>
                <w:b w:val="1"/>
                <w:bCs w:val="1"/>
                <w:color w:val="457157"/>
                <w:vertAlign w:val="superscript"/>
              </w:rPr>
              <w:t>(3)</w:t>
            </w:r>
            <w:r>
              <w:rPr>
                <w:rFonts w:ascii="Arial" w:cs="Arial" w:eastAsia="Arial" w:hAnsi="Arial"/>
                <w:sz w:val="14"/>
                <w:szCs w:val="14"/>
                <w:b w:val="1"/>
                <w:bCs w:val="1"/>
                <w:color w:val="457157"/>
              </w:rPr>
              <w:t xml:space="preserve">  ​ ​</w:t>
            </w:r>
          </w:p>
        </w:tc>
        <w:tc>
          <w:tcPr>
            <w:tcW w:w="20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457157"/>
              </w:rPr>
              <w:t>Year End ($)</w:t>
            </w:r>
            <w:r>
              <w:rPr>
                <w:rFonts w:ascii="Arial" w:cs="Arial" w:eastAsia="Arial" w:hAnsi="Arial"/>
                <w:sz w:val="8"/>
                <w:szCs w:val="8"/>
                <w:b w:val="1"/>
                <w:bCs w:val="1"/>
                <w:color w:val="457157"/>
              </w:rPr>
              <w:t>(4)</w:t>
            </w:r>
            <w:r>
              <w:rPr>
                <w:rFonts w:ascii="Arial" w:cs="Arial" w:eastAsia="Arial" w:hAnsi="Arial"/>
                <w:sz w:val="14"/>
                <w:szCs w:val="14"/>
                <w:b w:val="1"/>
                <w:bCs w:val="1"/>
                <w:color w:val="457157"/>
              </w:rPr>
              <w:t xml:space="preserve"> ​</w:t>
            </w:r>
          </w:p>
        </w:tc>
        <w:tc>
          <w:tcPr>
            <w:tcW w:w="0" w:type="dxa"/>
            <w:vAlign w:val="bottom"/>
          </w:tcPr>
          <w:p>
            <w:pPr>
              <w:spacing w:after="0"/>
              <w:rPr>
                <w:sz w:val="1"/>
                <w:szCs w:val="1"/>
                <w:color w:val="auto"/>
              </w:rPr>
            </w:pPr>
          </w:p>
        </w:tc>
      </w:tr>
      <w:tr>
        <w:trPr>
          <w:trHeight w:val="20"/>
        </w:trPr>
        <w:tc>
          <w:tcPr>
            <w:tcW w:w="208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960" w:type="dxa"/>
            <w:vAlign w:val="bottom"/>
            <w:gridSpan w:val="2"/>
            <w:shd w:val="clear" w:color="auto" w:fill="457157"/>
          </w:tcPr>
          <w:p>
            <w:pPr>
              <w:spacing w:after="0" w:line="20" w:lineRule="exact"/>
              <w:rPr>
                <w:sz w:val="1"/>
                <w:szCs w:val="1"/>
                <w:color w:val="auto"/>
              </w:rPr>
            </w:pPr>
          </w:p>
        </w:tc>
        <w:tc>
          <w:tcPr>
            <w:tcW w:w="1340" w:type="dxa"/>
            <w:vAlign w:val="bottom"/>
            <w:gridSpan w:val="2"/>
            <w:shd w:val="clear" w:color="auto" w:fill="457157"/>
          </w:tcPr>
          <w:p>
            <w:pPr>
              <w:spacing w:after="0" w:line="20" w:lineRule="exact"/>
              <w:rPr>
                <w:sz w:val="1"/>
                <w:szCs w:val="1"/>
                <w:color w:val="auto"/>
              </w:rPr>
            </w:pPr>
          </w:p>
        </w:tc>
        <w:tc>
          <w:tcPr>
            <w:tcW w:w="1180" w:type="dxa"/>
            <w:vAlign w:val="bottom"/>
            <w:gridSpan w:val="2"/>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80" w:type="dxa"/>
            <w:vAlign w:val="bottom"/>
          </w:tcPr>
          <w:p>
            <w:pPr>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James C. Fish, Jr.</w:t>
            </w:r>
          </w:p>
        </w:tc>
        <w:tc>
          <w:tcPr>
            <w:tcW w:w="520" w:type="dxa"/>
            <w:vAlign w:val="bottom"/>
          </w:tcPr>
          <w:p>
            <w:pPr>
              <w:ind w:left="300"/>
              <w:spacing w:after="0" w:line="182" w:lineRule="exact"/>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39"/>
              <w:spacing w:after="0" w:line="182" w:lineRule="exact"/>
              <w:rPr>
                <w:sz w:val="20"/>
                <w:szCs w:val="20"/>
                <w:color w:val="auto"/>
              </w:rPr>
            </w:pPr>
            <w:r>
              <w:rPr>
                <w:rFonts w:ascii="Arial" w:cs="Arial" w:eastAsia="Arial" w:hAnsi="Arial"/>
                <w:sz w:val="18"/>
                <w:szCs w:val="18"/>
                <w:color w:val="auto"/>
              </w:rPr>
              <w:t>​ 140,243</w:t>
            </w:r>
          </w:p>
        </w:tc>
        <w:tc>
          <w:tcPr>
            <w:tcW w:w="30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960" w:type="dxa"/>
            <w:vAlign w:val="bottom"/>
            <w:gridSpan w:val="2"/>
          </w:tcPr>
          <w:p>
            <w:pPr>
              <w:jc w:val="right"/>
              <w:ind w:right="39"/>
              <w:spacing w:after="0" w:line="182" w:lineRule="exact"/>
              <w:rPr>
                <w:sz w:val="20"/>
                <w:szCs w:val="20"/>
                <w:color w:val="auto"/>
              </w:rPr>
            </w:pPr>
            <w:r>
              <w:rPr>
                <w:rFonts w:ascii="Arial" w:cs="Arial" w:eastAsia="Arial" w:hAnsi="Arial"/>
                <w:sz w:val="18"/>
                <w:szCs w:val="18"/>
                <w:color w:val="auto"/>
              </w:rPr>
              <w:t>​ 124,458</w:t>
            </w:r>
          </w:p>
        </w:tc>
        <w:tc>
          <w:tcPr>
            <w:tcW w:w="1340" w:type="dxa"/>
            <w:vAlign w:val="bottom"/>
            <w:gridSpan w:val="2"/>
          </w:tcPr>
          <w:p>
            <w:pPr>
              <w:jc w:val="right"/>
              <w:ind w:right="64"/>
              <w:spacing w:after="0" w:line="182"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2,842,182​​ ​</w:t>
            </w:r>
          </w:p>
        </w:tc>
        <w:tc>
          <w:tcPr>
            <w:tcW w:w="1180" w:type="dxa"/>
            <w:vAlign w:val="bottom"/>
            <w:gridSpan w:val="2"/>
          </w:tcPr>
          <w:p>
            <w:pPr>
              <w:jc w:val="right"/>
              <w:ind w:right="176"/>
              <w:spacing w:after="0" w:line="182" w:lineRule="exact"/>
              <w:rPr>
                <w:sz w:val="20"/>
                <w:szCs w:val="20"/>
                <w:color w:val="auto"/>
              </w:rPr>
            </w:pPr>
            <w:r>
              <w:rPr>
                <w:rFonts w:ascii="Arial" w:cs="Arial" w:eastAsia="Arial" w:hAnsi="Arial"/>
                <w:sz w:val="18"/>
                <w:szCs w:val="18"/>
                <w:color w:val="auto"/>
              </w:rPr>
              <w:t>​ 284,532</w:t>
            </w:r>
          </w:p>
        </w:tc>
        <w:tc>
          <w:tcPr>
            <w:tcW w:w="32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line="182" w:lineRule="exact"/>
              <w:rPr>
                <w:sz w:val="20"/>
                <w:szCs w:val="20"/>
                <w:color w:val="auto"/>
              </w:rPr>
            </w:pPr>
            <w:r>
              <w:rPr>
                <w:rFonts w:ascii="Arial" w:cs="Arial" w:eastAsia="Arial" w:hAnsi="Arial"/>
                <w:sz w:val="18"/>
                <w:szCs w:val="18"/>
                <w:color w:val="auto"/>
              </w:rPr>
              <w:t>23,174,369</w:t>
            </w:r>
          </w:p>
        </w:tc>
        <w:tc>
          <w:tcPr>
            <w:tcW w:w="1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8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34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80" w:type="dxa"/>
            <w:vAlign w:val="bottom"/>
          </w:tcPr>
          <w:p>
            <w:pPr>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Devina A. Rankin</w:t>
            </w:r>
          </w:p>
        </w:tc>
        <w:tc>
          <w:tcPr>
            <w:tcW w:w="520" w:type="dxa"/>
            <w:vAlign w:val="bottom"/>
          </w:tcPr>
          <w:p>
            <w:pPr>
              <w:ind w:left="300"/>
              <w:spacing w:after="0" w:line="182" w:lineRule="exact"/>
              <w:rPr>
                <w:sz w:val="20"/>
                <w:szCs w:val="20"/>
                <w:color w:val="auto"/>
              </w:rPr>
            </w:pPr>
            <w:r>
              <w:rPr>
                <w:rFonts w:ascii="Arial" w:cs="Arial" w:eastAsia="Arial" w:hAnsi="Arial"/>
                <w:sz w:val="18"/>
                <w:szCs w:val="18"/>
                <w:color w:val="auto"/>
              </w:rPr>
              <w:t>​ ​</w:t>
            </w:r>
          </w:p>
        </w:tc>
        <w:tc>
          <w:tcPr>
            <w:tcW w:w="160" w:type="dxa"/>
            <w:vAlign w:val="bottom"/>
          </w:tcPr>
          <w:p>
            <w:pPr>
              <w:ind w:left="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9"/>
              <w:spacing w:after="0" w:line="182" w:lineRule="exact"/>
              <w:rPr>
                <w:sz w:val="20"/>
                <w:szCs w:val="20"/>
                <w:color w:val="auto"/>
              </w:rPr>
            </w:pPr>
            <w:r>
              <w:rPr>
                <w:rFonts w:ascii="Arial" w:cs="Arial" w:eastAsia="Arial" w:hAnsi="Arial"/>
                <w:sz w:val="18"/>
                <w:szCs w:val="18"/>
                <w:color w:val="auto"/>
              </w:rPr>
              <w:t>81,616</w:t>
            </w:r>
          </w:p>
        </w:tc>
        <w:tc>
          <w:tcPr>
            <w:tcW w:w="30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120" w:type="dxa"/>
            <w:vAlign w:val="bottom"/>
          </w:tcPr>
          <w:p>
            <w:pPr>
              <w:ind w:left="40"/>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9"/>
              <w:spacing w:after="0" w:line="182" w:lineRule="exact"/>
              <w:rPr>
                <w:sz w:val="20"/>
                <w:szCs w:val="20"/>
                <w:color w:val="auto"/>
              </w:rPr>
            </w:pPr>
            <w:r>
              <w:rPr>
                <w:rFonts w:ascii="Arial" w:cs="Arial" w:eastAsia="Arial" w:hAnsi="Arial"/>
                <w:sz w:val="18"/>
                <w:szCs w:val="18"/>
                <w:color w:val="auto"/>
              </w:rPr>
              <w:t>61,212</w:t>
            </w:r>
          </w:p>
        </w:tc>
        <w:tc>
          <w:tcPr>
            <w:tcW w:w="1340" w:type="dxa"/>
            <w:vAlign w:val="bottom"/>
            <w:gridSpan w:val="2"/>
          </w:tcPr>
          <w:p>
            <w:pPr>
              <w:jc w:val="right"/>
              <w:ind w:right="64"/>
              <w:spacing w:after="0" w:line="182"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164,660​​ ​</w:t>
            </w:r>
          </w:p>
        </w:tc>
        <w:tc>
          <w:tcPr>
            <w:tcW w:w="22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76"/>
              <w:spacing w:after="0" w:line="182" w:lineRule="exact"/>
              <w:rPr>
                <w:sz w:val="20"/>
                <w:szCs w:val="20"/>
                <w:color w:val="auto"/>
              </w:rPr>
            </w:pPr>
            <w:r>
              <w:rPr>
                <w:rFonts w:ascii="Arial" w:cs="Arial" w:eastAsia="Arial" w:hAnsi="Arial"/>
                <w:sz w:val="18"/>
                <w:szCs w:val="18"/>
                <w:color w:val="auto"/>
              </w:rPr>
              <w:t>—</w:t>
            </w:r>
          </w:p>
        </w:tc>
        <w:tc>
          <w:tcPr>
            <w:tcW w:w="32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line="182" w:lineRule="exact"/>
              <w:rPr>
                <w:sz w:val="20"/>
                <w:szCs w:val="20"/>
                <w:color w:val="auto"/>
              </w:rPr>
            </w:pPr>
            <w:r>
              <w:rPr>
                <w:rFonts w:ascii="Arial" w:cs="Arial" w:eastAsia="Arial" w:hAnsi="Arial"/>
                <w:sz w:val="18"/>
                <w:szCs w:val="18"/>
                <w:color w:val="auto"/>
              </w:rPr>
              <w:t>1,330,525</w:t>
            </w:r>
          </w:p>
        </w:tc>
        <w:tc>
          <w:tcPr>
            <w:tcW w:w="1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8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34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80" w:type="dxa"/>
            <w:vAlign w:val="bottom"/>
          </w:tcPr>
          <w:p>
            <w:pPr>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John J. Morris, Jr.</w:t>
            </w:r>
          </w:p>
        </w:tc>
        <w:tc>
          <w:tcPr>
            <w:tcW w:w="520" w:type="dxa"/>
            <w:vAlign w:val="bottom"/>
          </w:tcPr>
          <w:p>
            <w:pPr>
              <w:ind w:left="300"/>
              <w:spacing w:after="0" w:line="182" w:lineRule="exact"/>
              <w:rPr>
                <w:sz w:val="20"/>
                <w:szCs w:val="20"/>
                <w:color w:val="auto"/>
              </w:rPr>
            </w:pPr>
            <w:r>
              <w:rPr>
                <w:rFonts w:ascii="Arial" w:cs="Arial" w:eastAsia="Arial" w:hAnsi="Arial"/>
                <w:sz w:val="18"/>
                <w:szCs w:val="18"/>
                <w:color w:val="auto"/>
              </w:rPr>
              <w:t>​ ​</w:t>
            </w:r>
          </w:p>
        </w:tc>
        <w:tc>
          <w:tcPr>
            <w:tcW w:w="160" w:type="dxa"/>
            <w:vAlign w:val="bottom"/>
          </w:tcPr>
          <w:p>
            <w:pPr>
              <w:ind w:left="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9"/>
              <w:spacing w:after="0" w:line="182" w:lineRule="exact"/>
              <w:rPr>
                <w:sz w:val="20"/>
                <w:szCs w:val="20"/>
                <w:color w:val="auto"/>
              </w:rPr>
            </w:pPr>
            <w:r>
              <w:rPr>
                <w:rFonts w:ascii="Arial" w:cs="Arial" w:eastAsia="Arial" w:hAnsi="Arial"/>
                <w:sz w:val="18"/>
                <w:szCs w:val="18"/>
                <w:color w:val="auto"/>
              </w:rPr>
              <w:t>89,411</w:t>
            </w:r>
          </w:p>
        </w:tc>
        <w:tc>
          <w:tcPr>
            <w:tcW w:w="30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120" w:type="dxa"/>
            <w:vAlign w:val="bottom"/>
          </w:tcPr>
          <w:p>
            <w:pPr>
              <w:ind w:left="40"/>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9"/>
              <w:spacing w:after="0" w:line="182" w:lineRule="exact"/>
              <w:rPr>
                <w:sz w:val="20"/>
                <w:szCs w:val="20"/>
                <w:color w:val="auto"/>
              </w:rPr>
            </w:pPr>
            <w:r>
              <w:rPr>
                <w:rFonts w:ascii="Arial" w:cs="Arial" w:eastAsia="Arial" w:hAnsi="Arial"/>
                <w:sz w:val="18"/>
                <w:szCs w:val="18"/>
                <w:color w:val="auto"/>
              </w:rPr>
              <w:t>67,058</w:t>
            </w:r>
          </w:p>
        </w:tc>
        <w:tc>
          <w:tcPr>
            <w:tcW w:w="1340" w:type="dxa"/>
            <w:vAlign w:val="bottom"/>
            <w:gridSpan w:val="2"/>
          </w:tcPr>
          <w:p>
            <w:pPr>
              <w:jc w:val="right"/>
              <w:ind w:right="64"/>
              <w:spacing w:after="0" w:line="182"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592,214​​ ​</w:t>
            </w:r>
          </w:p>
        </w:tc>
        <w:tc>
          <w:tcPr>
            <w:tcW w:w="22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76"/>
              <w:spacing w:after="0" w:line="182" w:lineRule="exact"/>
              <w:rPr>
                <w:sz w:val="20"/>
                <w:szCs w:val="20"/>
                <w:color w:val="auto"/>
              </w:rPr>
            </w:pPr>
            <w:r>
              <w:rPr>
                <w:rFonts w:ascii="Arial" w:cs="Arial" w:eastAsia="Arial" w:hAnsi="Arial"/>
                <w:sz w:val="18"/>
                <w:szCs w:val="18"/>
                <w:color w:val="auto"/>
              </w:rPr>
              <w:t>—</w:t>
            </w:r>
          </w:p>
        </w:tc>
        <w:tc>
          <w:tcPr>
            <w:tcW w:w="32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line="182" w:lineRule="exact"/>
              <w:rPr>
                <w:sz w:val="20"/>
                <w:szCs w:val="20"/>
                <w:color w:val="auto"/>
              </w:rPr>
            </w:pPr>
            <w:r>
              <w:rPr>
                <w:rFonts w:ascii="Arial" w:cs="Arial" w:eastAsia="Arial" w:hAnsi="Arial"/>
                <w:sz w:val="18"/>
                <w:szCs w:val="18"/>
                <w:color w:val="auto"/>
              </w:rPr>
              <w:t>3,905,951</w:t>
            </w:r>
          </w:p>
        </w:tc>
        <w:tc>
          <w:tcPr>
            <w:tcW w:w="1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8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134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80" w:type="dxa"/>
            <w:vAlign w:val="bottom"/>
          </w:tcPr>
          <w:p>
            <w:pPr>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Tara J. Hemmer</w:t>
            </w:r>
          </w:p>
        </w:tc>
        <w:tc>
          <w:tcPr>
            <w:tcW w:w="520" w:type="dxa"/>
            <w:vAlign w:val="bottom"/>
          </w:tcPr>
          <w:p>
            <w:pPr>
              <w:ind w:left="300"/>
              <w:spacing w:after="0" w:line="182" w:lineRule="exact"/>
              <w:rPr>
                <w:sz w:val="20"/>
                <w:szCs w:val="20"/>
                <w:color w:val="auto"/>
              </w:rPr>
            </w:pPr>
            <w:r>
              <w:rPr>
                <w:rFonts w:ascii="Arial" w:cs="Arial" w:eastAsia="Arial" w:hAnsi="Arial"/>
                <w:sz w:val="18"/>
                <w:szCs w:val="18"/>
                <w:color w:val="auto"/>
              </w:rPr>
              <w:t>​ ​</w:t>
            </w:r>
          </w:p>
        </w:tc>
        <w:tc>
          <w:tcPr>
            <w:tcW w:w="160" w:type="dxa"/>
            <w:vAlign w:val="bottom"/>
          </w:tcPr>
          <w:p>
            <w:pPr>
              <w:ind w:left="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9"/>
              <w:spacing w:after="0" w:line="182" w:lineRule="exact"/>
              <w:rPr>
                <w:sz w:val="20"/>
                <w:szCs w:val="20"/>
                <w:color w:val="auto"/>
              </w:rPr>
            </w:pPr>
            <w:r>
              <w:rPr>
                <w:rFonts w:ascii="Arial" w:cs="Arial" w:eastAsia="Arial" w:hAnsi="Arial"/>
                <w:sz w:val="18"/>
                <w:szCs w:val="18"/>
                <w:color w:val="auto"/>
              </w:rPr>
              <w:t>84,925</w:t>
            </w:r>
          </w:p>
        </w:tc>
        <w:tc>
          <w:tcPr>
            <w:tcW w:w="30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120" w:type="dxa"/>
            <w:vAlign w:val="bottom"/>
          </w:tcPr>
          <w:p>
            <w:pPr>
              <w:ind w:left="40"/>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9"/>
              <w:spacing w:after="0" w:line="182" w:lineRule="exact"/>
              <w:rPr>
                <w:sz w:val="20"/>
                <w:szCs w:val="20"/>
                <w:color w:val="auto"/>
              </w:rPr>
            </w:pPr>
            <w:r>
              <w:rPr>
                <w:rFonts w:ascii="Arial" w:cs="Arial" w:eastAsia="Arial" w:hAnsi="Arial"/>
                <w:sz w:val="18"/>
                <w:szCs w:val="18"/>
                <w:color w:val="auto"/>
              </w:rPr>
              <w:t>47,887</w:t>
            </w:r>
          </w:p>
        </w:tc>
        <w:tc>
          <w:tcPr>
            <w:tcW w:w="1340" w:type="dxa"/>
            <w:vAlign w:val="bottom"/>
            <w:gridSpan w:val="2"/>
          </w:tcPr>
          <w:p>
            <w:pPr>
              <w:jc w:val="right"/>
              <w:ind w:right="64"/>
              <w:spacing w:after="0" w:line="182"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133,524​​ ​</w:t>
            </w:r>
          </w:p>
        </w:tc>
        <w:tc>
          <w:tcPr>
            <w:tcW w:w="22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76"/>
              <w:spacing w:after="0" w:line="182" w:lineRule="exact"/>
              <w:rPr>
                <w:sz w:val="20"/>
                <w:szCs w:val="20"/>
                <w:color w:val="auto"/>
              </w:rPr>
            </w:pPr>
            <w:r>
              <w:rPr>
                <w:rFonts w:ascii="Arial" w:cs="Arial" w:eastAsia="Arial" w:hAnsi="Arial"/>
                <w:sz w:val="18"/>
                <w:szCs w:val="18"/>
                <w:color w:val="auto"/>
              </w:rPr>
              <w:t>—</w:t>
            </w:r>
          </w:p>
        </w:tc>
        <w:tc>
          <w:tcPr>
            <w:tcW w:w="32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line="182" w:lineRule="exact"/>
              <w:rPr>
                <w:sz w:val="20"/>
                <w:szCs w:val="20"/>
                <w:color w:val="auto"/>
              </w:rPr>
            </w:pPr>
            <w:r>
              <w:rPr>
                <w:rFonts w:ascii="Arial" w:cs="Arial" w:eastAsia="Arial" w:hAnsi="Arial"/>
                <w:sz w:val="18"/>
                <w:szCs w:val="18"/>
                <w:color w:val="auto"/>
              </w:rPr>
              <w:t>1,248,912</w:t>
            </w:r>
          </w:p>
        </w:tc>
        <w:tc>
          <w:tcPr>
            <w:tcW w:w="1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80" w:type="dxa"/>
            <w:vAlign w:val="bottom"/>
            <w:shd w:val="clear" w:color="auto" w:fill="457157"/>
          </w:tcPr>
          <w:p>
            <w:pPr>
              <w:spacing w:after="0" w:line="20" w:lineRule="exact"/>
              <w:rPr>
                <w:sz w:val="1"/>
                <w:szCs w:val="1"/>
                <w:color w:val="auto"/>
              </w:rPr>
            </w:pPr>
          </w:p>
        </w:tc>
        <w:tc>
          <w:tcPr>
            <w:tcW w:w="52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0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960" w:type="dxa"/>
            <w:vAlign w:val="bottom"/>
            <w:shd w:val="clear" w:color="auto" w:fill="457157"/>
          </w:tcPr>
          <w:p>
            <w:pPr>
              <w:spacing w:after="0" w:line="20" w:lineRule="exact"/>
              <w:rPr>
                <w:sz w:val="1"/>
                <w:szCs w:val="1"/>
                <w:color w:val="auto"/>
              </w:rPr>
            </w:pPr>
          </w:p>
        </w:tc>
        <w:tc>
          <w:tcPr>
            <w:tcW w:w="3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80" w:type="dxa"/>
            <w:vAlign w:val="bottom"/>
          </w:tcPr>
          <w:p>
            <w:pPr>
              <w:spacing w:after="0" w:line="182"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Rafael E. Carrasco</w:t>
            </w:r>
          </w:p>
        </w:tc>
        <w:tc>
          <w:tcPr>
            <w:tcW w:w="520" w:type="dxa"/>
            <w:vAlign w:val="bottom"/>
          </w:tcPr>
          <w:p>
            <w:pPr>
              <w:ind w:left="300"/>
              <w:spacing w:after="0" w:line="182" w:lineRule="exact"/>
              <w:rPr>
                <w:sz w:val="20"/>
                <w:szCs w:val="20"/>
                <w:color w:val="auto"/>
              </w:rPr>
            </w:pPr>
            <w:r>
              <w:rPr>
                <w:rFonts w:ascii="Arial" w:cs="Arial" w:eastAsia="Arial" w:hAnsi="Arial"/>
                <w:sz w:val="18"/>
                <w:szCs w:val="18"/>
                <w:color w:val="auto"/>
              </w:rPr>
              <w:t>​ ​</w:t>
            </w:r>
          </w:p>
        </w:tc>
        <w:tc>
          <w:tcPr>
            <w:tcW w:w="160" w:type="dxa"/>
            <w:vAlign w:val="bottom"/>
          </w:tcPr>
          <w:p>
            <w:pPr>
              <w:ind w:left="40"/>
              <w:spacing w:after="0" w:line="18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9"/>
              <w:spacing w:after="0" w:line="182" w:lineRule="exact"/>
              <w:rPr>
                <w:sz w:val="20"/>
                <w:szCs w:val="20"/>
                <w:color w:val="auto"/>
              </w:rPr>
            </w:pPr>
            <w:r>
              <w:rPr>
                <w:rFonts w:ascii="Arial" w:cs="Arial" w:eastAsia="Arial" w:hAnsi="Arial"/>
                <w:sz w:val="18"/>
                <w:szCs w:val="18"/>
                <w:color w:val="auto"/>
              </w:rPr>
              <w:t>31,129</w:t>
            </w:r>
          </w:p>
        </w:tc>
        <w:tc>
          <w:tcPr>
            <w:tcW w:w="30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120" w:type="dxa"/>
            <w:vAlign w:val="bottom"/>
          </w:tcPr>
          <w:p>
            <w:pPr>
              <w:ind w:left="40"/>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9"/>
              <w:spacing w:after="0" w:line="182" w:lineRule="exact"/>
              <w:rPr>
                <w:sz w:val="20"/>
                <w:szCs w:val="20"/>
                <w:color w:val="auto"/>
              </w:rPr>
            </w:pPr>
            <w:r>
              <w:rPr>
                <w:rFonts w:ascii="Arial" w:cs="Arial" w:eastAsia="Arial" w:hAnsi="Arial"/>
                <w:sz w:val="18"/>
                <w:szCs w:val="18"/>
                <w:color w:val="auto"/>
              </w:rPr>
              <w:t>23,347</w:t>
            </w:r>
          </w:p>
        </w:tc>
        <w:tc>
          <w:tcPr>
            <w:tcW w:w="280" w:type="dxa"/>
            <w:vAlign w:val="bottom"/>
          </w:tcPr>
          <w:p>
            <w:pPr>
              <w:ind w:left="20"/>
              <w:spacing w:after="0" w:line="182" w:lineRule="exact"/>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060" w:type="dxa"/>
            <w:vAlign w:val="bottom"/>
          </w:tcPr>
          <w:p>
            <w:pPr>
              <w:jc w:val="right"/>
              <w:ind w:right="64"/>
              <w:spacing w:after="0" w:line="182" w:lineRule="exact"/>
              <w:rPr>
                <w:sz w:val="20"/>
                <w:szCs w:val="20"/>
                <w:color w:val="auto"/>
              </w:rPr>
            </w:pPr>
            <w:r>
              <w:rPr>
                <w:rFonts w:ascii="Arial" w:cs="Arial" w:eastAsia="Arial" w:hAnsi="Arial"/>
                <w:sz w:val="18"/>
                <w:szCs w:val="18"/>
                <w:color w:val="auto"/>
              </w:rPr>
              <w:t>1,124​​ ​</w:t>
            </w:r>
          </w:p>
        </w:tc>
        <w:tc>
          <w:tcPr>
            <w:tcW w:w="220" w:type="dxa"/>
            <w:vAlign w:val="bottom"/>
          </w:tcPr>
          <w:p>
            <w:pPr>
              <w:ind w:left="140"/>
              <w:spacing w:after="0" w:line="182"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176"/>
              <w:spacing w:after="0" w:line="182" w:lineRule="exact"/>
              <w:rPr>
                <w:sz w:val="20"/>
                <w:szCs w:val="20"/>
                <w:color w:val="auto"/>
              </w:rPr>
            </w:pPr>
            <w:r>
              <w:rPr>
                <w:rFonts w:ascii="Arial" w:cs="Arial" w:eastAsia="Arial" w:hAnsi="Arial"/>
                <w:sz w:val="18"/>
                <w:szCs w:val="18"/>
                <w:color w:val="auto"/>
              </w:rPr>
              <w:t>—</w:t>
            </w:r>
          </w:p>
        </w:tc>
        <w:tc>
          <w:tcPr>
            <w:tcW w:w="320" w:type="dxa"/>
            <w:vAlign w:val="bottom"/>
          </w:tcPr>
          <w:p>
            <w:pPr>
              <w:ind w:left="20"/>
              <w:spacing w:after="0" w:line="182" w:lineRule="exact"/>
              <w:rPr>
                <w:sz w:val="20"/>
                <w:szCs w:val="20"/>
                <w:color w:val="auto"/>
              </w:rPr>
            </w:pPr>
            <w:r>
              <w:rPr>
                <w:rFonts w:ascii="Arial" w:cs="Arial" w:eastAsia="Arial" w:hAnsi="Arial"/>
                <w:sz w:val="18"/>
                <w:szCs w:val="18"/>
                <w:color w:val="auto"/>
              </w:rPr>
              <w:t>​​ ​</w:t>
            </w:r>
          </w:p>
        </w:tc>
        <w:tc>
          <w:tcPr>
            <w:tcW w:w="200" w:type="dxa"/>
            <w:vAlign w:val="bottom"/>
          </w:tcPr>
          <w:p>
            <w:pPr>
              <w:ind w:left="80"/>
              <w:spacing w:after="0" w:line="182"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line="182" w:lineRule="exact"/>
              <w:rPr>
                <w:sz w:val="20"/>
                <w:szCs w:val="20"/>
                <w:color w:val="auto"/>
              </w:rPr>
            </w:pPr>
            <w:r>
              <w:rPr>
                <w:rFonts w:ascii="Arial" w:cs="Arial" w:eastAsia="Arial" w:hAnsi="Arial"/>
                <w:sz w:val="18"/>
                <w:szCs w:val="18"/>
                <w:color w:val="auto"/>
              </w:rPr>
              <w:t>55,599</w:t>
            </w:r>
          </w:p>
        </w:tc>
        <w:tc>
          <w:tcPr>
            <w:tcW w:w="12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-642620</wp:posOffset>
            </wp:positionV>
            <wp:extent cx="5760720" cy="1289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760720" cy="1289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-385445</wp:posOffset>
            </wp:positionV>
            <wp:extent cx="5760720" cy="1289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760720" cy="1289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-128270</wp:posOffset>
            </wp:positionV>
            <wp:extent cx="5760720"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760720" cy="137160"/>
                    </a:xfrm>
                    <a:prstGeom prst="rect">
                      <a:avLst/>
                    </a:prstGeom>
                    <a:noFill/>
                  </pic:spPr>
                </pic:pic>
              </a:graphicData>
            </a:graphic>
          </wp:anchor>
        </w:drawing>
      </w:r>
    </w:p>
    <w:p>
      <w:pPr>
        <w:jc w:val="both"/>
        <w:ind w:left="1180" w:right="60" w:hanging="364"/>
        <w:spacing w:after="0" w:line="263"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Contributions are made pursuant to the Company’s 409A Deferral Plan. Executive contributions of base salary and annual cash incentive compensation is included in the Salary column and the Non-Equity Incentive Plan Compensation column, respectively, of the Summary Compensation Table.</w:t>
      </w:r>
    </w:p>
    <w:p>
      <w:pPr>
        <w:spacing w:after="0" w:line="232" w:lineRule="exact"/>
        <w:rPr>
          <w:rFonts w:ascii="Arial" w:cs="Arial" w:eastAsia="Arial" w:hAnsi="Arial"/>
          <w:sz w:val="18"/>
          <w:szCs w:val="18"/>
          <w:color w:val="auto"/>
        </w:rPr>
      </w:pPr>
    </w:p>
    <w:p>
      <w:pPr>
        <w:ind w:left="1180" w:right="60" w:hanging="364"/>
        <w:spacing w:after="0" w:line="281"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Company contributions to the executives’ 409A Deferral Plan accounts are included in the All Other Compensation column in the Summary Compensation Table.</w:t>
      </w:r>
    </w:p>
    <w:p>
      <w:pPr>
        <w:spacing w:after="0" w:line="1" w:lineRule="exact"/>
        <w:rPr>
          <w:rFonts w:ascii="Arial" w:cs="Arial" w:eastAsia="Arial" w:hAnsi="Arial"/>
          <w:sz w:val="18"/>
          <w:szCs w:val="18"/>
          <w:color w:val="auto"/>
        </w:rPr>
      </w:pPr>
    </w:p>
    <w:p>
      <w:pPr>
        <w:jc w:val="both"/>
        <w:ind w:left="1180" w:right="60" w:hanging="364"/>
        <w:spacing w:after="0" w:line="254"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Earnings on these accounts are not included in any other amounts in the tables included in this Proxy Statement, as the amounts of the named executives’ earnings on deferred cash compensation represent the general market gains (or losses) on investments, rather than amounts or rates set by the Company for the benefit of the named executives. In the case of Mr. Fish, who has deferred receipt of a total of 94,844 shares of Common Stock in prior years, earnings reported in the column above also include the change in the closing price per share of the Company’s Common Stock from December 31, 2023 to December 31, 2024, plus $3.00 of dividend equivalents paid per share of Common Stock in 2024, multiplied by the number of shares deferred. The dividend equivalents on the deferred shares were paid in cash to Mr. Fish during 2024 and are reflected in the Aggregate Withdrawals/ Distributions column above. The value of Mr. Fish’s deferred shares was included in the Option Exercises and Stock Vested table in the years such awards vested.</w:t>
      </w:r>
    </w:p>
    <w:p>
      <w:pPr>
        <w:spacing w:after="0" w:line="200" w:lineRule="exact"/>
        <w:rPr>
          <w:rFonts w:ascii="Arial" w:cs="Arial" w:eastAsia="Arial" w:hAnsi="Arial"/>
          <w:sz w:val="18"/>
          <w:szCs w:val="18"/>
          <w:color w:val="auto"/>
        </w:rPr>
      </w:pPr>
    </w:p>
    <w:p>
      <w:pPr>
        <w:spacing w:after="0" w:line="255" w:lineRule="exact"/>
        <w:rPr>
          <w:rFonts w:ascii="Arial" w:cs="Arial" w:eastAsia="Arial" w:hAnsi="Arial"/>
          <w:sz w:val="18"/>
          <w:szCs w:val="18"/>
          <w:color w:val="auto"/>
        </w:rPr>
      </w:pPr>
    </w:p>
    <w:p>
      <w:pPr>
        <w:jc w:val="both"/>
        <w:ind w:left="1180" w:right="60" w:hanging="364"/>
        <w:spacing w:after="0" w:line="265"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Amounts shown in this column include the following amounts that were reported as compensation to the named executive in the Summary Compensation Table for 2022-2024: Mr. Fish —  $1,030,162; Ms. Rankin — $470,892; Mr. Morris — $503,235; Ms. Hemmer — $483,397 and Mr. Carrasco — $54,476.</w:t>
      </w:r>
    </w:p>
    <w:p>
      <w:pPr>
        <w:spacing w:after="0" w:line="200" w:lineRule="exact"/>
        <w:rPr>
          <w:sz w:val="20"/>
          <w:szCs w:val="20"/>
          <w:color w:val="auto"/>
        </w:rPr>
      </w:pPr>
    </w:p>
    <w:p>
      <w:pPr>
        <w:spacing w:after="0" w:line="264"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0015"/>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71805" cy="12001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Potential Payments Upon Termination or Change in Control</w:t>
      </w:r>
    </w:p>
    <w:p>
      <w:pPr>
        <w:spacing w:after="0" w:line="121" w:lineRule="exact"/>
        <w:rPr>
          <w:sz w:val="20"/>
          <w:szCs w:val="20"/>
          <w:color w:val="auto"/>
        </w:rPr>
      </w:pPr>
    </w:p>
    <w:p>
      <w:pPr>
        <w:jc w:val="both"/>
        <w:ind w:left="820" w:right="60"/>
        <w:spacing w:after="0" w:line="242" w:lineRule="auto"/>
        <w:rPr>
          <w:sz w:val="20"/>
          <w:szCs w:val="20"/>
          <w:color w:val="auto"/>
        </w:rPr>
      </w:pPr>
      <w:r>
        <w:rPr>
          <w:rFonts w:ascii="Arial" w:cs="Arial" w:eastAsia="Arial" w:hAnsi="Arial"/>
          <w:sz w:val="18"/>
          <w:szCs w:val="18"/>
          <w:i w:val="1"/>
          <w:iCs w:val="1"/>
          <w:u w:val="single" w:color="auto"/>
          <w:color w:val="auto"/>
        </w:rPr>
        <w:t>Change in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The post-employment compensation our named executives receive is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included in retirement and severance plan documents, employment agreements and equity incentive award documentation. Severance protections aid in retention of senior leadership by providing the individual with comfort that he or she will be treated fairly in the event of an involuntary termination not for cause. The change in control provisions included in the Severance Protection Plan, our stock option award agreements and, if applicable, employment agreements require a double trigger in order to receive any payment in the event of a change in control situation. First, a change in control must occur, and second, the individual must terminate employment for good reason or the Company must terminate employment without cause within six months prior to or two years following the change in control event. PSUs are paid out in cash on a prorated basis based on actual results achieved through the end of the fiscal quarter prior to a change in control. Thereafter, the executive would typically receive a replacement award from the successor entity, provided that the successor entity is publicly traded. If the successor is not publicly traded, the executive will be entitled to a replacement award of cash. RSUs vest upon a change in control unless the successor entity converts the awards to equivalent grants in the successor. In the case of both converted RSU and PSU awards, they will vest in full if the executive is terminated without cause following the change in control. We believe providing change in control protection encourages our named executives to pursue and facilitate transactions that are in the best interests of stockholders while not granting executives an undeserved windfall.</w:t>
      </w:r>
    </w:p>
    <w:p>
      <w:pPr>
        <w:spacing w:after="0" w:line="200" w:lineRule="exact"/>
        <w:rPr>
          <w:sz w:val="20"/>
          <w:szCs w:val="20"/>
          <w:color w:val="auto"/>
        </w:rPr>
      </w:pPr>
    </w:p>
    <w:p>
      <w:pPr>
        <w:spacing w:after="0" w:line="288" w:lineRule="exact"/>
        <w:rPr>
          <w:sz w:val="20"/>
          <w:szCs w:val="20"/>
          <w:color w:val="auto"/>
        </w:rPr>
      </w:pPr>
    </w:p>
    <w:p>
      <w:pPr>
        <w:ind w:left="820"/>
        <w:spacing w:after="0"/>
        <w:tabs>
          <w:tab w:leader="none" w:pos="6200" w:val="left"/>
        </w:tabs>
        <w:rPr>
          <w:sz w:val="20"/>
          <w:szCs w:val="20"/>
          <w:color w:val="auto"/>
        </w:rPr>
      </w:pPr>
      <w:r>
        <w:rPr>
          <w:rFonts w:ascii="Arial" w:cs="Arial" w:eastAsia="Arial" w:hAnsi="Arial"/>
          <w:sz w:val="18"/>
          <w:szCs w:val="18"/>
          <w:i w:val="1"/>
          <w:iCs w:val="1"/>
          <w:u w:val="single" w:color="auto"/>
          <w:color w:val="auto"/>
        </w:rPr>
        <w:t>Involuntary Termination or Resignation for Good Reason.</w:t>
      </w:r>
      <w:r>
        <w:rPr>
          <w:sz w:val="20"/>
          <w:szCs w:val="20"/>
          <w:color w:val="auto"/>
        </w:rPr>
        <w:tab/>
      </w:r>
      <w:r>
        <w:rPr>
          <w:rFonts w:ascii="Arial" w:cs="Arial" w:eastAsia="Arial" w:hAnsi="Arial"/>
          <w:sz w:val="18"/>
          <w:szCs w:val="18"/>
          <w:color w:val="auto"/>
        </w:rPr>
        <w:t>Under the Severance Protection Plan, in</w:t>
      </w:r>
    </w:p>
    <w:p>
      <w:pPr>
        <w:spacing w:after="0" w:line="27" w:lineRule="exact"/>
        <w:rPr>
          <w:sz w:val="20"/>
          <w:szCs w:val="20"/>
          <w:color w:val="auto"/>
        </w:rPr>
      </w:pPr>
    </w:p>
    <w:p>
      <w:pPr>
        <w:jc w:val="both"/>
        <w:ind w:left="820" w:right="60"/>
        <w:spacing w:after="0"/>
        <w:rPr>
          <w:sz w:val="20"/>
          <w:szCs w:val="20"/>
          <w:color w:val="auto"/>
        </w:rPr>
      </w:pPr>
      <w:r>
        <w:rPr>
          <w:rFonts w:ascii="Arial" w:cs="Arial" w:eastAsia="Arial" w:hAnsi="Arial"/>
          <w:sz w:val="18"/>
          <w:szCs w:val="18"/>
          <w:color w:val="auto"/>
        </w:rPr>
        <w:t xml:space="preserve">the event a participant is terminated without cause or resigns for good reason, subject to execution of a release of claims and continued compliance with all restrictive covenants, he or she will be entitled to receive: (a) cash severance in an aggregate amount equal to two times the sum of the participant’s base salary and target annual bonus (with one half payable in a lump sum at termination, and the remaining half payable in installments over a two -year period); (b) continuation of group health benefits over a two-year period following termination and (c)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annual cash incentive payment for the year of termination. In the event a named executive is terminated for cause, he or she is entitled to any accrued but unpaid salary only, and all unvested awards and outstanding stock options, whether exercisable or not, are forfeited.</w:t>
      </w:r>
    </w:p>
    <w:p>
      <w:pPr>
        <w:spacing w:after="0" w:line="284" w:lineRule="exact"/>
        <w:rPr>
          <w:sz w:val="20"/>
          <w:szCs w:val="20"/>
          <w:color w:val="auto"/>
        </w:rPr>
      </w:pPr>
    </w:p>
    <w:p>
      <w:pPr>
        <w:jc w:val="both"/>
        <w:ind w:left="820" w:right="60"/>
        <w:spacing w:after="0" w:line="252" w:lineRule="auto"/>
        <w:rPr>
          <w:sz w:val="20"/>
          <w:szCs w:val="20"/>
          <w:color w:val="auto"/>
        </w:rPr>
      </w:pPr>
      <w:r>
        <w:rPr>
          <w:rFonts w:ascii="Arial" w:cs="Arial" w:eastAsia="Arial" w:hAnsi="Arial"/>
          <w:sz w:val="18"/>
          <w:szCs w:val="18"/>
          <w:color w:val="auto"/>
        </w:rPr>
        <w:t>The terms “cause,” “good reason,” and “change in control” are defined in the executives’ employment agreements, the Severance Protection Plan and equity award plans and agreements, as applicable, but such terms have the meanings generally described below. You should refer to the applicable documentation, accessible through the Exhibit List to the Company’s Annual Report on Form 10-K, for the full definitions.</w:t>
      </w:r>
    </w:p>
    <w:p>
      <w:pPr>
        <w:spacing w:after="0" w:line="278" w:lineRule="exact"/>
        <w:rPr>
          <w:sz w:val="20"/>
          <w:szCs w:val="20"/>
          <w:color w:val="auto"/>
        </w:rPr>
      </w:pPr>
    </w:p>
    <w:p>
      <w:pPr>
        <w:jc w:val="both"/>
        <w:ind w:left="1180" w:right="60"/>
        <w:spacing w:after="0" w:line="252" w:lineRule="auto"/>
        <w:rPr>
          <w:sz w:val="20"/>
          <w:szCs w:val="20"/>
          <w:color w:val="auto"/>
        </w:rPr>
      </w:pPr>
      <w:r>
        <w:rPr>
          <w:rFonts w:ascii="Arial" w:cs="Arial" w:eastAsia="Arial" w:hAnsi="Arial"/>
          <w:sz w:val="18"/>
          <w:szCs w:val="18"/>
          <w:color w:val="auto"/>
        </w:rPr>
        <w:t>“Cause” generally means the named executive has: deliberately refused to perform his or her duties; breached his or her duty of loyalty to the Company; been convicted of a felony; intentionally and materially harmed the Company; materially violated the Company’s policies and procedures or breached the covenants contained in his or her agreement.</w:t>
      </w:r>
    </w:p>
    <w:p>
      <w:pPr>
        <w:spacing w:after="0" w:line="62" w:lineRule="exact"/>
        <w:rPr>
          <w:sz w:val="20"/>
          <w:szCs w:val="20"/>
          <w:color w:val="auto"/>
        </w:rPr>
      </w:pPr>
    </w:p>
    <w:p>
      <w:pPr>
        <w:jc w:val="both"/>
        <w:ind w:left="1180" w:right="60"/>
        <w:spacing w:after="0" w:line="251" w:lineRule="auto"/>
        <w:rPr>
          <w:sz w:val="20"/>
          <w:szCs w:val="20"/>
          <w:color w:val="auto"/>
        </w:rPr>
      </w:pPr>
      <w:r>
        <w:rPr>
          <w:rFonts w:ascii="Arial" w:cs="Arial" w:eastAsia="Arial" w:hAnsi="Arial"/>
          <w:sz w:val="18"/>
          <w:szCs w:val="18"/>
          <w:color w:val="auto"/>
        </w:rPr>
        <w:t>“Good Reason” generally means that, without the named executive’s consent: his or her duties or responsibilities have been substantially changed; he or she has been removed from his or her position; the Company has breached his or her employment agreement; any successor to the Company has not assumed the obligations under his or her employment agreement; or he or she has been reassigned to a location more than 50 miles away.</w:t>
      </w:r>
    </w:p>
    <w:p>
      <w:pPr>
        <w:spacing w:after="0" w:line="65" w:lineRule="exact"/>
        <w:rPr>
          <w:sz w:val="20"/>
          <w:szCs w:val="20"/>
          <w:color w:val="auto"/>
        </w:rPr>
      </w:pPr>
    </w:p>
    <w:p>
      <w:pPr>
        <w:jc w:val="both"/>
        <w:ind w:left="1180" w:right="60"/>
        <w:spacing w:after="0" w:line="246" w:lineRule="auto"/>
        <w:rPr>
          <w:sz w:val="20"/>
          <w:szCs w:val="20"/>
          <w:color w:val="auto"/>
        </w:rPr>
      </w:pPr>
      <w:r>
        <w:rPr>
          <w:rFonts w:ascii="Arial" w:cs="Arial" w:eastAsia="Arial" w:hAnsi="Arial"/>
          <w:sz w:val="18"/>
          <w:szCs w:val="18"/>
          <w:color w:val="auto"/>
        </w:rPr>
        <w:t>“Change in Control” generally means that: at least 25% of the Company’s Common Stock has been acquired by one person or persons acting as a group; certain significant turnover in our Board of Directors has occurred; there has been a merger of the Company in which at least 50% of the combined post -merger voting power of the surviving entity does not consist of the Company’s pre-merger voting power, or a merger to effect a recapitalization that resulted in a person or persons acting as a group acquired 25% or more of the Company’s voting securities; or the Company is liquidating or selling all or substantially all of its assets.</w:t>
      </w:r>
    </w:p>
    <w:p>
      <w:pPr>
        <w:spacing w:after="0" w:line="280"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Benefits to a participant under the Severance Protection Plan are subject to reduction to the extent required by the Company’s Severance Limitation Policy or if the excise tax described in Sections 280G or 4999 of the IRC is applicable and such reduction would place the participant in a better net after tax position.</w:t>
      </w:r>
    </w:p>
    <w:p>
      <w:pPr>
        <w:spacing w:after="0" w:line="290" w:lineRule="exact"/>
        <w:rPr>
          <w:sz w:val="20"/>
          <w:szCs w:val="20"/>
          <w:color w:val="auto"/>
        </w:rPr>
      </w:pPr>
    </w:p>
    <w:p>
      <w:pPr>
        <w:jc w:val="both"/>
        <w:ind w:left="820" w:right="60"/>
        <w:spacing w:after="0" w:line="247" w:lineRule="auto"/>
        <w:rPr>
          <w:sz w:val="20"/>
          <w:szCs w:val="20"/>
          <w:color w:val="auto"/>
        </w:rPr>
      </w:pPr>
      <w:r>
        <w:rPr>
          <w:rFonts w:ascii="Arial" w:cs="Arial" w:eastAsia="Arial" w:hAnsi="Arial"/>
          <w:sz w:val="18"/>
          <w:szCs w:val="18"/>
          <w:i w:val="1"/>
          <w:iCs w:val="1"/>
          <w:u w:val="single" w:color="auto"/>
          <w:color w:val="auto"/>
        </w:rPr>
        <w:t>Voluntary Termination; 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Our equity award agreements generally provide that an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forfeits unvested awards if he or she voluntarily terminates employment. RSUs and PSUs generally vest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upon involuntary termination other than for cause. RSUs, PSUs and stock options generally continue to vest following a qualifying retirement as if the employee had remained employed until the end of the performance period. A qualifying</w:t>
      </w:r>
    </w:p>
    <w:p>
      <w:pPr>
        <w:spacing w:after="0" w:line="247"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89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71805" cy="12890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23"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color w:val="auto"/>
        </w:rPr>
        <w:t>retirement generally requires that the employee has reached age 55, has a sum of age plus years of service with the Company equal to 65 or greater, and has completed at least five consecutive years of service with the Company immediately preceding the employee’s voluntary resignation. If the recipient is terminated by the Company without cause or voluntarily resigns outside of a qualifying retirement, the recipient is entitled to exercise all stock options outstanding and exercisable within a specified time frame after such termination or resignation.</w:t>
      </w:r>
    </w:p>
    <w:p>
      <w:pPr>
        <w:spacing w:after="0" w:line="74" w:lineRule="exact"/>
        <w:rPr>
          <w:sz w:val="20"/>
          <w:szCs w:val="20"/>
          <w:color w:val="auto"/>
        </w:rPr>
      </w:pPr>
    </w:p>
    <w:p>
      <w:pPr>
        <w:jc w:val="both"/>
        <w:ind w:left="820" w:right="60"/>
        <w:spacing w:after="0" w:line="257" w:lineRule="auto"/>
        <w:rPr>
          <w:sz w:val="20"/>
          <w:szCs w:val="20"/>
          <w:color w:val="auto"/>
        </w:rPr>
      </w:pPr>
      <w:r>
        <w:rPr>
          <w:rFonts w:ascii="Arial" w:cs="Arial" w:eastAsia="Arial" w:hAnsi="Arial"/>
          <w:sz w:val="18"/>
          <w:szCs w:val="18"/>
          <w:i w:val="1"/>
          <w:iCs w:val="1"/>
          <w:u w:val="single" w:color="auto"/>
          <w:color w:val="auto"/>
        </w:rPr>
        <w:t>Explanation of Tabular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table presents potential payouts to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at year-end upon termination of employment in the circumstances indicated pursuant to the terms of applicable plans and agreements. The payouts set forth below assume the triggering event indicated occurred on December 31, 2024, when the closing price of our Common Stock was $201.79 per share. These payouts are calculated for SEC disclosure purposes and are not necessarily indicative of the actual amounts the named executive would receive. Please note the following when reviewing the payouts set forth below:</w:t>
      </w:r>
    </w:p>
    <w:p>
      <w:pPr>
        <w:spacing w:after="0" w:line="290" w:lineRule="exact"/>
        <w:rPr>
          <w:sz w:val="20"/>
          <w:szCs w:val="20"/>
          <w:color w:val="auto"/>
        </w:rPr>
      </w:pPr>
    </w:p>
    <w:p>
      <w:pPr>
        <w:jc w:val="both"/>
        <w:ind w:left="1360" w:right="60" w:hanging="184"/>
        <w:spacing w:after="0" w:line="265" w:lineRule="auto"/>
        <w:tabs>
          <w:tab w:leader="none" w:pos="1360" w:val="left"/>
        </w:tabs>
        <w:numPr>
          <w:ilvl w:val="0"/>
          <w:numId w:val="49"/>
        </w:numPr>
        <w:rPr>
          <w:rFonts w:ascii="Arial" w:cs="Arial" w:eastAsia="Arial" w:hAnsi="Arial"/>
          <w:sz w:val="18"/>
          <w:szCs w:val="18"/>
          <w:color w:val="457157"/>
        </w:rPr>
      </w:pPr>
      <w:r>
        <w:rPr>
          <w:rFonts w:ascii="Arial" w:cs="Arial" w:eastAsia="Arial" w:hAnsi="Arial"/>
          <w:sz w:val="18"/>
          <w:szCs w:val="18"/>
          <w:color w:val="auto"/>
        </w:rPr>
        <w:t>The compensation component set forth below for accelerated vesting of stock options is comprised of the unvested stock options granted in 2022, 2023 and 2024, based on the difference between the closing price of our Common Stock on December 31, 2024 and the exercise price of those options.</w:t>
      </w:r>
    </w:p>
    <w:p>
      <w:pPr>
        <w:spacing w:after="0" w:line="286" w:lineRule="exact"/>
        <w:rPr>
          <w:rFonts w:ascii="Arial" w:cs="Arial" w:eastAsia="Arial" w:hAnsi="Arial"/>
          <w:sz w:val="18"/>
          <w:szCs w:val="18"/>
          <w:color w:val="457157"/>
        </w:rPr>
      </w:pPr>
    </w:p>
    <w:p>
      <w:pPr>
        <w:jc w:val="both"/>
        <w:ind w:left="1360" w:right="60" w:hanging="184"/>
        <w:spacing w:after="0" w:line="265" w:lineRule="auto"/>
        <w:tabs>
          <w:tab w:leader="none" w:pos="1360" w:val="left"/>
        </w:tabs>
        <w:numPr>
          <w:ilvl w:val="0"/>
          <w:numId w:val="49"/>
        </w:numPr>
        <w:rPr>
          <w:rFonts w:ascii="Arial" w:cs="Arial" w:eastAsia="Arial" w:hAnsi="Arial"/>
          <w:sz w:val="18"/>
          <w:szCs w:val="18"/>
          <w:color w:val="457157"/>
        </w:rPr>
      </w:pPr>
      <w:r>
        <w:rPr>
          <w:rFonts w:ascii="Arial" w:cs="Arial" w:eastAsia="Arial" w:hAnsi="Arial"/>
          <w:sz w:val="18"/>
          <w:szCs w:val="18"/>
          <w:color w:val="auto"/>
        </w:rPr>
        <w:t>For purposes of calculating the payout of performance share unit awards outstanding as of December 31, 2024, we have assumed that target performance was achieved; actual performance share unit payouts will be based on actual performance of the Company during the performance period.</w:t>
      </w:r>
    </w:p>
    <w:p>
      <w:pPr>
        <w:spacing w:after="0" w:line="286" w:lineRule="exact"/>
        <w:rPr>
          <w:rFonts w:ascii="Arial" w:cs="Arial" w:eastAsia="Arial" w:hAnsi="Arial"/>
          <w:sz w:val="18"/>
          <w:szCs w:val="18"/>
          <w:color w:val="457157"/>
        </w:rPr>
      </w:pPr>
    </w:p>
    <w:p>
      <w:pPr>
        <w:jc w:val="both"/>
        <w:ind w:left="1360" w:right="60" w:hanging="184"/>
        <w:spacing w:after="0" w:line="261" w:lineRule="auto"/>
        <w:tabs>
          <w:tab w:leader="none" w:pos="1360" w:val="left"/>
        </w:tabs>
        <w:numPr>
          <w:ilvl w:val="0"/>
          <w:numId w:val="49"/>
        </w:numPr>
        <w:rPr>
          <w:rFonts w:ascii="Arial" w:cs="Arial" w:eastAsia="Arial" w:hAnsi="Arial"/>
          <w:sz w:val="18"/>
          <w:szCs w:val="18"/>
          <w:color w:val="457157"/>
        </w:rPr>
      </w:pPr>
      <w:r>
        <w:rPr>
          <w:rFonts w:ascii="Arial" w:cs="Arial" w:eastAsia="Arial" w:hAnsi="Arial"/>
          <w:sz w:val="18"/>
          <w:szCs w:val="18"/>
          <w:color w:val="auto"/>
        </w:rPr>
        <w:t>For purposes of calculating the payout upon the “double trigger” of change in control and subsequent involuntary termination not for cause, the value of the performance share unit replacement award is equal to the number of PSUs that would be forfeited based on the prorated acceleration of the PSUs, multiplied by the closing price of our Common Stock on December 31, 2024.</w:t>
      </w:r>
    </w:p>
    <w:p>
      <w:pPr>
        <w:spacing w:after="0" w:line="287"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49"/>
        </w:numPr>
        <w:rPr>
          <w:rFonts w:ascii="Arial" w:cs="Arial" w:eastAsia="Arial" w:hAnsi="Arial"/>
          <w:sz w:val="18"/>
          <w:szCs w:val="18"/>
          <w:color w:val="457157"/>
        </w:rPr>
      </w:pPr>
      <w:r>
        <w:rPr>
          <w:rFonts w:ascii="Arial" w:cs="Arial" w:eastAsia="Arial" w:hAnsi="Arial"/>
          <w:sz w:val="18"/>
          <w:szCs w:val="18"/>
          <w:color w:val="auto"/>
        </w:rPr>
        <w:t>The payout for continuation of benefits is an estimate of the cost the Company would incur to continue those benefits.</w:t>
      </w:r>
    </w:p>
    <w:p>
      <w:pPr>
        <w:spacing w:after="0" w:line="44" w:lineRule="exact"/>
        <w:rPr>
          <w:rFonts w:ascii="Arial" w:cs="Arial" w:eastAsia="Arial" w:hAnsi="Arial"/>
          <w:sz w:val="18"/>
          <w:szCs w:val="18"/>
          <w:color w:val="457157"/>
        </w:rPr>
      </w:pPr>
    </w:p>
    <w:p>
      <w:pPr>
        <w:jc w:val="both"/>
        <w:ind w:left="1360" w:right="60" w:hanging="184"/>
        <w:spacing w:after="0" w:line="262" w:lineRule="auto"/>
        <w:tabs>
          <w:tab w:leader="none" w:pos="1360" w:val="left"/>
        </w:tabs>
        <w:numPr>
          <w:ilvl w:val="0"/>
          <w:numId w:val="49"/>
        </w:numPr>
        <w:rPr>
          <w:rFonts w:ascii="Arial" w:cs="Arial" w:eastAsia="Arial" w:hAnsi="Arial"/>
          <w:sz w:val="18"/>
          <w:szCs w:val="18"/>
          <w:color w:val="457157"/>
        </w:rPr>
      </w:pPr>
      <w:r>
        <w:rPr>
          <w:rFonts w:ascii="Arial" w:cs="Arial" w:eastAsia="Arial" w:hAnsi="Arial"/>
          <w:sz w:val="18"/>
          <w:szCs w:val="18"/>
          <w:color w:val="auto"/>
        </w:rPr>
        <w:t>The Company’s practice is to provide all benefits-eligible employees with life insurance that pays one times annual base salary upon death, subject to an age-based reduction provision beginning at age 65. The insurance benefit is a payment by an insurance company, not the Company, and is payable under the terms of the insurance policy.</w:t>
      </w:r>
    </w:p>
    <w:p>
      <w:pPr>
        <w:spacing w:after="0" w:line="68"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49"/>
        </w:numPr>
        <w:rPr>
          <w:rFonts w:ascii="Arial" w:cs="Arial" w:eastAsia="Arial" w:hAnsi="Arial"/>
          <w:sz w:val="18"/>
          <w:szCs w:val="18"/>
          <w:color w:val="457157"/>
        </w:rPr>
      </w:pPr>
      <w:r>
        <w:rPr>
          <w:rFonts w:ascii="Arial" w:cs="Arial" w:eastAsia="Arial" w:hAnsi="Arial"/>
          <w:sz w:val="18"/>
          <w:szCs w:val="18"/>
          <w:color w:val="auto"/>
        </w:rPr>
        <w:t>Refer to the Nonqualified Deferred Compensation in 2024 table above for aggregate balances payable to the named executives under our 409A Deferral Plan pursuant to the named executive’s distribution elections.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27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71805" cy="12827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Potential Consideration Upon Termination of Employment</w:t>
      </w:r>
    </w:p>
    <w:p>
      <w:pPr>
        <w:spacing w:after="0" w:line="34" w:lineRule="exact"/>
        <w:rPr>
          <w:sz w:val="20"/>
          <w:szCs w:val="20"/>
          <w:color w:val="auto"/>
        </w:rPr>
      </w:pPr>
    </w:p>
    <w:tbl>
      <w:tblPr>
        <w:tblLayout w:type="fixed"/>
        <w:tblInd w:w="820" w:type="dxa"/>
        <w:tblCellMar>
          <w:top w:w="0" w:type="dxa"/>
          <w:left w:w="0" w:type="dxa"/>
          <w:bottom w:w="0" w:type="dxa"/>
          <w:right w:w="0" w:type="dxa"/>
        </w:tblCellMar>
      </w:tblPr>
      <w:tr>
        <w:trPr>
          <w:trHeight w:val="322"/>
        </w:trPr>
        <w:tc>
          <w:tcPr>
            <w:tcW w:w="3620" w:type="dxa"/>
            <w:vAlign w:val="bottom"/>
          </w:tcPr>
          <w:p>
            <w:pPr>
              <w:ind w:left="40"/>
              <w:spacing w:after="0"/>
              <w:rPr>
                <w:sz w:val="20"/>
                <w:szCs w:val="20"/>
                <w:color w:val="auto"/>
              </w:rPr>
            </w:pPr>
            <w:r>
              <w:rPr>
                <w:rFonts w:ascii="Arial" w:cs="Arial" w:eastAsia="Arial" w:hAnsi="Arial"/>
                <w:sz w:val="14"/>
                <w:szCs w:val="14"/>
                <w:b w:val="1"/>
                <w:bCs w:val="1"/>
                <w:color w:val="457157"/>
              </w:rPr>
              <w: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2860" w:type="dxa"/>
            <w:vAlign w:val="bottom"/>
            <w:gridSpan w:val="2"/>
          </w:tcPr>
          <w:p>
            <w:pPr>
              <w:ind w:left="220"/>
              <w:spacing w:after="0"/>
              <w:rPr>
                <w:sz w:val="20"/>
                <w:szCs w:val="20"/>
                <w:color w:val="auto"/>
              </w:rPr>
            </w:pPr>
            <w:r>
              <w:rPr>
                <w:rFonts w:ascii="Arial" w:cs="Arial" w:eastAsia="Arial" w:hAnsi="Arial"/>
                <w:sz w:val="14"/>
                <w:szCs w:val="14"/>
                <w:b w:val="1"/>
                <w:bCs w:val="1"/>
                <w:color w:val="457157"/>
              </w:rPr>
              <w:t xml:space="preserve">Mr. Fish </w:t>
            </w: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 Ms. Rankin </w:t>
            </w: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 Mr. Morris </w:t>
            </w:r>
          </w:p>
        </w:tc>
        <w:tc>
          <w:tcPr>
            <w:tcW w:w="2220" w:type="dxa"/>
            <w:vAlign w:val="bottom"/>
            <w:gridSpan w:val="5"/>
          </w:tcPr>
          <w:p>
            <w:pPr>
              <w:jc w:val="right"/>
              <w:spacing w:after="0"/>
              <w:rPr>
                <w:sz w:val="20"/>
                <w:szCs w:val="20"/>
                <w:color w:val="auto"/>
              </w:rPr>
            </w:pP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Ms. Hemmer </w:t>
            </w:r>
            <w:r>
              <w:rPr>
                <w:rFonts w:ascii="Arial" w:cs="Arial" w:eastAsia="Arial" w:hAnsi="Arial"/>
                <w:sz w:val="28"/>
                <w:szCs w:val="28"/>
                <w:b w:val="1"/>
                <w:bCs w:val="1"/>
                <w:color w:val="457157"/>
                <w:vertAlign w:val="subscript"/>
              </w:rPr>
              <w:t>​​</w:t>
            </w:r>
            <w:r>
              <w:rPr>
                <w:rFonts w:ascii="Arial" w:cs="Arial" w:eastAsia="Arial" w:hAnsi="Arial"/>
                <w:sz w:val="14"/>
                <w:szCs w:val="14"/>
                <w:b w:val="1"/>
                <w:bCs w:val="1"/>
                <w:color w:val="457157"/>
              </w:rPr>
              <w:t xml:space="preserve">Mr. Carrasco </w:t>
            </w:r>
            <w:r>
              <w:rPr>
                <w:rFonts w:ascii="Arial" w:cs="Arial" w:eastAsia="Arial" w:hAnsi="Arial"/>
                <w:sz w:val="28"/>
                <w:szCs w:val="28"/>
                <w:b w:val="1"/>
                <w:bCs w:val="1"/>
                <w:color w:val="457157"/>
                <w:vertAlign w:val="subscript"/>
              </w:rPr>
              <w:t>​</w:t>
            </w:r>
          </w:p>
        </w:tc>
        <w:tc>
          <w:tcPr>
            <w:tcW w:w="0" w:type="dxa"/>
            <w:vAlign w:val="bottom"/>
          </w:tcPr>
          <w:p>
            <w:pPr>
              <w:spacing w:after="0"/>
              <w:rPr>
                <w:sz w:val="1"/>
                <w:szCs w:val="1"/>
                <w:color w:val="auto"/>
              </w:rPr>
            </w:pPr>
          </w:p>
        </w:tc>
      </w:tr>
      <w:tr>
        <w:trPr>
          <w:trHeight w:val="237"/>
        </w:trPr>
        <w:tc>
          <w:tcPr>
            <w:tcW w:w="5860" w:type="dxa"/>
            <w:vAlign w:val="bottom"/>
            <w:tcBorders>
              <w:top w:val="single" w:sz="8" w:color="457157"/>
              <w:bottom w:val="single" w:sz="8" w:color="457157"/>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​Payout or Value of Compensation Components,in dollars</w:t>
            </w:r>
          </w:p>
        </w:tc>
        <w:tc>
          <w:tcPr>
            <w:tcW w:w="1020" w:type="dxa"/>
            <w:vAlign w:val="bottom"/>
            <w:tcBorders>
              <w:top w:val="single" w:sz="8" w:color="457157"/>
              <w:bottom w:val="single" w:sz="8" w:color="457157"/>
            </w:tcBorders>
            <w:shd w:val="clear" w:color="auto" w:fill="CCEEFF"/>
          </w:tcPr>
          <w:p>
            <w:pPr>
              <w:spacing w:after="0"/>
              <w:rPr>
                <w:sz w:val="20"/>
                <w:szCs w:val="20"/>
                <w:color w:val="auto"/>
              </w:rPr>
            </w:pPr>
          </w:p>
        </w:tc>
        <w:tc>
          <w:tcPr>
            <w:tcW w:w="280" w:type="dxa"/>
            <w:vAlign w:val="bottom"/>
            <w:tcBorders>
              <w:top w:val="single" w:sz="8" w:color="457157"/>
              <w:bottom w:val="single" w:sz="8" w:color="457157"/>
            </w:tcBorders>
            <w:shd w:val="clear" w:color="auto" w:fill="CCEEFF"/>
          </w:tcPr>
          <w:p>
            <w:pPr>
              <w:spacing w:after="0"/>
              <w:rPr>
                <w:sz w:val="20"/>
                <w:szCs w:val="20"/>
                <w:color w:val="auto"/>
              </w:rPr>
            </w:pPr>
          </w:p>
        </w:tc>
        <w:tc>
          <w:tcPr>
            <w:tcW w:w="1060" w:type="dxa"/>
            <w:vAlign w:val="bottom"/>
            <w:tcBorders>
              <w:top w:val="single" w:sz="8" w:color="457157"/>
              <w:bottom w:val="single" w:sz="8" w:color="457157"/>
            </w:tcBorders>
            <w:shd w:val="clear" w:color="auto" w:fill="CCEEFF"/>
          </w:tcPr>
          <w:p>
            <w:pPr>
              <w:spacing w:after="0"/>
              <w:rPr>
                <w:sz w:val="20"/>
                <w:szCs w:val="20"/>
                <w:color w:val="auto"/>
              </w:rPr>
            </w:pPr>
          </w:p>
        </w:tc>
        <w:tc>
          <w:tcPr>
            <w:tcW w:w="760" w:type="dxa"/>
            <w:vAlign w:val="bottom"/>
            <w:tcBorders>
              <w:top w:val="single" w:sz="8" w:color="457157"/>
              <w:bottom w:val="single" w:sz="8" w:color="457157"/>
            </w:tcBorders>
            <w:shd w:val="clear" w:color="auto" w:fill="CCEEFF"/>
          </w:tcPr>
          <w:p>
            <w:pPr>
              <w:spacing w:after="0"/>
              <w:rPr>
                <w:sz w:val="20"/>
                <w:szCs w:val="20"/>
                <w:color w:val="auto"/>
              </w:rPr>
            </w:pPr>
          </w:p>
        </w:tc>
        <w:tc>
          <w:tcPr>
            <w:tcW w:w="80" w:type="dxa"/>
            <w:vAlign w:val="bottom"/>
            <w:tcBorders>
              <w:top w:val="single" w:sz="8" w:color="457157"/>
              <w:bottom w:val="single" w:sz="8" w:color="457157"/>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Event of Death or Disability</w:t>
            </w:r>
          </w:p>
        </w:tc>
        <w:tc>
          <w:tcPr>
            <w:tcW w:w="4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1840" w:type="dxa"/>
            <w:vAlign w:val="bottom"/>
          </w:tcPr>
          <w:p>
            <w:pPr>
              <w:ind w:left="820"/>
              <w:spacing w:after="0"/>
              <w:rPr>
                <w:sz w:val="20"/>
                <w:szCs w:val="20"/>
                <w:color w:val="auto"/>
              </w:rPr>
            </w:pPr>
            <w:r>
              <w:rPr>
                <w:rFonts w:ascii="Arial" w:cs="Arial" w:eastAsia="Arial" w:hAnsi="Arial"/>
                <w:sz w:val="18"/>
                <w:szCs w:val="18"/>
                <w:b w:val="1"/>
                <w:bCs w:val="1"/>
                <w:i w:val="1"/>
                <w:iCs w:val="1"/>
                <w:color w:val="auto"/>
              </w:rPr>
              <w:t>​​​​</w:t>
            </w:r>
          </w:p>
        </w:tc>
        <w:tc>
          <w:tcPr>
            <w:tcW w:w="1020" w:type="dxa"/>
            <w:vAlign w:val="bottom"/>
          </w:tcPr>
          <w:p>
            <w:pPr>
              <w:spacing w:after="0"/>
              <w:rPr>
                <w:sz w:val="20"/>
                <w:szCs w:val="20"/>
                <w:color w:val="auto"/>
              </w:rPr>
            </w:pPr>
            <w:r>
              <w:rPr>
                <w:rFonts w:ascii="Arial" w:cs="Arial" w:eastAsia="Arial" w:hAnsi="Arial"/>
                <w:sz w:val="18"/>
                <w:szCs w:val="18"/>
                <w:b w:val="1"/>
                <w:bCs w:val="1"/>
                <w:i w:val="1"/>
                <w:iCs w:val="1"/>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b w:val="1"/>
                <w:bCs w:val="1"/>
                <w:i w:val="1"/>
                <w:iCs w:val="1"/>
                <w:color w:val="auto"/>
              </w:rPr>
              <w:t>​​​​</w:t>
            </w:r>
          </w:p>
        </w:tc>
        <w:tc>
          <w:tcPr>
            <w:tcW w:w="1060" w:type="dxa"/>
            <w:vAlign w:val="bottom"/>
          </w:tcPr>
          <w:p>
            <w:pPr>
              <w:jc w:val="right"/>
              <w:ind w:right="51"/>
              <w:spacing w:after="0"/>
              <w:rPr>
                <w:sz w:val="20"/>
                <w:szCs w:val="20"/>
                <w:color w:val="auto"/>
              </w:rPr>
            </w:pPr>
            <w:r>
              <w:rPr>
                <w:rFonts w:ascii="Arial" w:cs="Arial" w:eastAsia="Arial" w:hAnsi="Arial"/>
                <w:sz w:val="18"/>
                <w:szCs w:val="18"/>
                <w:b w:val="1"/>
                <w:bCs w:val="1"/>
                <w:i w:val="1"/>
                <w:iCs w:val="1"/>
                <w:color w:val="auto"/>
              </w:rPr>
              <w:t>​​​​</w:t>
            </w:r>
          </w:p>
        </w:tc>
        <w:tc>
          <w:tcPr>
            <w:tcW w:w="76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w:t>
            </w:r>
          </w:p>
        </w:tc>
        <w:tc>
          <w:tcPr>
            <w:tcW w:w="0" w:type="dxa"/>
            <w:vAlign w:val="bottom"/>
          </w:tcPr>
          <w:p>
            <w:pPr>
              <w:spacing w:after="0"/>
              <w:rPr>
                <w:sz w:val="1"/>
                <w:szCs w:val="1"/>
                <w:color w:val="auto"/>
              </w:rPr>
            </w:pPr>
          </w:p>
        </w:tc>
      </w:tr>
      <w:tr>
        <w:trPr>
          <w:trHeight w:val="20"/>
        </w:trPr>
        <w:tc>
          <w:tcPr>
            <w:tcW w:w="3620" w:type="dxa"/>
            <w:vAlign w:val="bottom"/>
            <w:shd w:val="clear" w:color="auto" w:fill="457157"/>
          </w:tcPr>
          <w:p>
            <w:pPr>
              <w:spacing w:after="0" w:line="20" w:lineRule="exact"/>
              <w:rPr>
                <w:sz w:val="1"/>
                <w:szCs w:val="1"/>
                <w:color w:val="auto"/>
              </w:rPr>
            </w:pPr>
          </w:p>
        </w:tc>
        <w:tc>
          <w:tcPr>
            <w:tcW w:w="400" w:type="dxa"/>
            <w:vAlign w:val="bottom"/>
            <w:shd w:val="clear" w:color="auto" w:fill="457157"/>
          </w:tcPr>
          <w:p>
            <w:pPr>
              <w:spacing w:after="0" w:line="20" w:lineRule="exact"/>
              <w:rPr>
                <w:sz w:val="1"/>
                <w:szCs w:val="1"/>
                <w:color w:val="auto"/>
              </w:rPr>
            </w:pPr>
          </w:p>
        </w:tc>
        <w:tc>
          <w:tcPr>
            <w:tcW w:w="1840" w:type="dxa"/>
            <w:vAlign w:val="bottom"/>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06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20" w:type="dxa"/>
            <w:vAlign w:val="bottom"/>
          </w:tcPr>
          <w:p>
            <w:pPr>
              <w:ind w:left="40"/>
              <w:spacing w:after="0" w:line="196" w:lineRule="exact"/>
              <w:rPr>
                <w:sz w:val="20"/>
                <w:szCs w:val="20"/>
                <w:color w:val="auto"/>
              </w:rPr>
            </w:pPr>
            <w:r>
              <w:rPr>
                <w:rFonts w:ascii="Arial" w:cs="Arial" w:eastAsia="Arial" w:hAnsi="Arial"/>
                <w:sz w:val="18"/>
                <w:szCs w:val="18"/>
                <w:color w:val="457157"/>
              </w:rPr>
              <w:t xml:space="preserve">• </w:t>
            </w:r>
            <w:r>
              <w:rPr>
                <w:rFonts w:ascii="Arial" w:cs="Arial" w:eastAsia="Arial" w:hAnsi="Arial"/>
                <w:sz w:val="18"/>
                <w:szCs w:val="18"/>
                <w:color w:val="000000"/>
              </w:rPr>
              <w:t>Accelerated vesting of stock options</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840" w:type="dxa"/>
            <w:vAlign w:val="bottom"/>
          </w:tcPr>
          <w:p>
            <w:pPr>
              <w:ind w:left="20"/>
              <w:spacing w:after="0" w:line="196" w:lineRule="exact"/>
              <w:rPr>
                <w:sz w:val="20"/>
                <w:szCs w:val="20"/>
                <w:color w:val="auto"/>
              </w:rPr>
            </w:pPr>
            <w:r>
              <w:rPr>
                <w:rFonts w:ascii="Arial" w:cs="Arial" w:eastAsia="Arial" w:hAnsi="Arial"/>
                <w:sz w:val="18"/>
                <w:szCs w:val="18"/>
                <w:color w:val="auto"/>
              </w:rPr>
              <w:t>3,285,022 ​  794,149</w:t>
            </w:r>
          </w:p>
        </w:tc>
        <w:tc>
          <w:tcPr>
            <w:tcW w:w="1020" w:type="dxa"/>
            <w:vAlign w:val="bottom"/>
          </w:tcPr>
          <w:p>
            <w:pPr>
              <w:ind w:left="120"/>
              <w:spacing w:after="0" w:line="196" w:lineRule="exact"/>
              <w:rPr>
                <w:sz w:val="20"/>
                <w:szCs w:val="20"/>
                <w:color w:val="auto"/>
              </w:rPr>
            </w:pPr>
            <w:r>
              <w:rPr>
                <w:rFonts w:ascii="Arial" w:cs="Arial" w:eastAsia="Arial" w:hAnsi="Arial"/>
                <w:sz w:val="18"/>
                <w:szCs w:val="18"/>
                <w:color w:val="auto"/>
              </w:rPr>
              <w:t>​  934,694</w:t>
            </w:r>
          </w:p>
        </w:tc>
        <w:tc>
          <w:tcPr>
            <w:tcW w:w="280" w:type="dxa"/>
            <w:vAlign w:val="bottom"/>
          </w:tcPr>
          <w:p>
            <w:pPr>
              <w:jc w:val="right"/>
              <w:ind w:right="30"/>
              <w:spacing w:after="0" w:line="196" w:lineRule="exact"/>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51"/>
              <w:spacing w:after="0" w:line="196" w:lineRule="exact"/>
              <w:rPr>
                <w:sz w:val="20"/>
                <w:szCs w:val="20"/>
                <w:color w:val="auto"/>
              </w:rPr>
            </w:pPr>
            <w:r>
              <w:rPr>
                <w:rFonts w:ascii="Arial" w:cs="Arial" w:eastAsia="Arial" w:hAnsi="Arial"/>
                <w:sz w:val="18"/>
                <w:szCs w:val="18"/>
                <w:color w:val="auto"/>
              </w:rPr>
              <w:t xml:space="preserve">618,378  </w:t>
            </w:r>
            <w:r>
              <w:rPr>
                <w:rFonts w:ascii="Arial" w:cs="Arial" w:eastAsia="Arial" w:hAnsi="Arial"/>
                <w:sz w:val="18"/>
                <w:szCs w:val="18"/>
                <w:b w:val="1"/>
                <w:bCs w:val="1"/>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660,390</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62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400" w:type="dxa"/>
            <w:vAlign w:val="bottom"/>
          </w:tcPr>
          <w:p>
            <w:pPr>
              <w:jc w:val="right"/>
              <w:ind w:right="10"/>
              <w:spacing w:after="0" w:line="54" w:lineRule="exact"/>
              <w:rPr>
                <w:sz w:val="20"/>
                <w:szCs w:val="20"/>
                <w:color w:val="auto"/>
              </w:rPr>
            </w:pPr>
            <w:r>
              <w:rPr>
                <w:rFonts w:ascii="Arial" w:cs="Arial" w:eastAsia="Arial" w:hAnsi="Arial"/>
                <w:sz w:val="6"/>
                <w:szCs w:val="6"/>
                <w:color w:val="auto"/>
              </w:rPr>
              <w:t>​​</w:t>
            </w:r>
          </w:p>
        </w:tc>
        <w:tc>
          <w:tcPr>
            <w:tcW w:w="1840" w:type="dxa"/>
            <w:vAlign w:val="bottom"/>
          </w:tcPr>
          <w:p>
            <w:pPr>
              <w:ind w:left="820"/>
              <w:spacing w:after="0" w:line="54" w:lineRule="exact"/>
              <w:rPr>
                <w:sz w:val="20"/>
                <w:szCs w:val="20"/>
                <w:color w:val="auto"/>
              </w:rPr>
            </w:pPr>
            <w:r>
              <w:rPr>
                <w:rFonts w:ascii="Arial" w:cs="Arial" w:eastAsia="Arial" w:hAnsi="Arial"/>
                <w:sz w:val="6"/>
                <w:szCs w:val="6"/>
                <w:color w:val="auto"/>
              </w:rPr>
              <w:t>​​​</w:t>
            </w:r>
          </w:p>
        </w:tc>
        <w:tc>
          <w:tcPr>
            <w:tcW w:w="1020" w:type="dxa"/>
            <w:vAlign w:val="bottom"/>
          </w:tcPr>
          <w:p>
            <w:pPr>
              <w:spacing w:after="0" w:line="54" w:lineRule="exact"/>
              <w:rPr>
                <w:sz w:val="20"/>
                <w:szCs w:val="20"/>
                <w:color w:val="auto"/>
              </w:rPr>
            </w:pPr>
            <w:r>
              <w:rPr>
                <w:rFonts w:ascii="Arial" w:cs="Arial" w:eastAsia="Arial" w:hAnsi="Arial"/>
                <w:sz w:val="6"/>
                <w:szCs w:val="6"/>
                <w:color w:val="auto"/>
              </w:rPr>
              <w:t>​​​</w:t>
            </w:r>
          </w:p>
        </w:tc>
        <w:tc>
          <w:tcPr>
            <w:tcW w:w="280" w:type="dxa"/>
            <w:vAlign w:val="bottom"/>
          </w:tcPr>
          <w:p>
            <w:pPr>
              <w:jc w:val="right"/>
              <w:ind w:right="70"/>
              <w:spacing w:after="0" w:line="54" w:lineRule="exact"/>
              <w:rPr>
                <w:sz w:val="20"/>
                <w:szCs w:val="20"/>
                <w:color w:val="auto"/>
              </w:rPr>
            </w:pPr>
            <w:r>
              <w:rPr>
                <w:rFonts w:ascii="Arial" w:cs="Arial" w:eastAsia="Arial" w:hAnsi="Arial"/>
                <w:sz w:val="6"/>
                <w:szCs w:val="6"/>
                <w:color w:val="auto"/>
              </w:rPr>
              <w:t>​​​</w:t>
            </w:r>
          </w:p>
        </w:tc>
        <w:tc>
          <w:tcPr>
            <w:tcW w:w="1060" w:type="dxa"/>
            <w:vAlign w:val="bottom"/>
          </w:tcPr>
          <w:p>
            <w:pPr>
              <w:jc w:val="right"/>
              <w:ind w:right="91"/>
              <w:spacing w:after="0" w:line="54" w:lineRule="exact"/>
              <w:rPr>
                <w:sz w:val="20"/>
                <w:szCs w:val="20"/>
                <w:color w:val="auto"/>
              </w:rPr>
            </w:pPr>
            <w:r>
              <w:rPr>
                <w:rFonts w:ascii="Arial" w:cs="Arial" w:eastAsia="Arial" w:hAnsi="Arial"/>
                <w:sz w:val="6"/>
                <w:szCs w:val="6"/>
                <w:color w:val="auto"/>
              </w:rPr>
              <w:t>​​​</w:t>
            </w:r>
          </w:p>
        </w:tc>
        <w:tc>
          <w:tcPr>
            <w:tcW w:w="76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620" w:type="dxa"/>
            <w:vAlign w:val="bottom"/>
            <w:shd w:val="clear" w:color="auto" w:fill="457157"/>
          </w:tcPr>
          <w:p>
            <w:pPr>
              <w:spacing w:after="0" w:line="20" w:lineRule="exact"/>
              <w:rPr>
                <w:sz w:val="1"/>
                <w:szCs w:val="1"/>
                <w:color w:val="auto"/>
              </w:rPr>
            </w:pPr>
          </w:p>
        </w:tc>
        <w:tc>
          <w:tcPr>
            <w:tcW w:w="400" w:type="dxa"/>
            <w:vAlign w:val="bottom"/>
            <w:shd w:val="clear" w:color="auto" w:fill="457157"/>
          </w:tcPr>
          <w:p>
            <w:pPr>
              <w:spacing w:after="0" w:line="20" w:lineRule="exact"/>
              <w:rPr>
                <w:sz w:val="1"/>
                <w:szCs w:val="1"/>
                <w:color w:val="auto"/>
              </w:rPr>
            </w:pPr>
          </w:p>
        </w:tc>
        <w:tc>
          <w:tcPr>
            <w:tcW w:w="1840" w:type="dxa"/>
            <w:vAlign w:val="bottom"/>
            <w:shd w:val="clear" w:color="auto" w:fill="457157"/>
          </w:tcPr>
          <w:p>
            <w:pPr>
              <w:spacing w:after="0" w:line="20" w:lineRule="exact"/>
              <w:rPr>
                <w:sz w:val="1"/>
                <w:szCs w:val="1"/>
                <w:color w:val="auto"/>
              </w:rPr>
            </w:pPr>
          </w:p>
        </w:tc>
        <w:tc>
          <w:tcPr>
            <w:tcW w:w="10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106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-179070</wp:posOffset>
            </wp:positionV>
            <wp:extent cx="5760720" cy="1714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760720" cy="171450"/>
                    </a:xfrm>
                    <a:prstGeom prst="rect">
                      <a:avLst/>
                    </a:prstGeom>
                    <a:noFill/>
                  </pic:spPr>
                </pic:pic>
              </a:graphicData>
            </a:graphic>
          </wp:anchor>
        </w:drawing>
      </w:r>
    </w:p>
    <w:p>
      <w:pPr>
        <w:spacing w:after="0" w:line="15" w:lineRule="exact"/>
        <w:rPr>
          <w:sz w:val="20"/>
          <w:szCs w:val="20"/>
          <w:color w:val="auto"/>
        </w:rPr>
      </w:pPr>
    </w:p>
    <w:p>
      <w:pPr>
        <w:ind w:left="1040" w:hanging="183"/>
        <w:spacing w:after="0"/>
        <w:tabs>
          <w:tab w:leader="none" w:pos="1040" w:val="left"/>
        </w:tabs>
        <w:numPr>
          <w:ilvl w:val="0"/>
          <w:numId w:val="50"/>
        </w:numPr>
        <w:rPr>
          <w:rFonts w:ascii="Arial" w:cs="Arial" w:eastAsia="Arial" w:hAnsi="Arial"/>
          <w:sz w:val="18"/>
          <w:szCs w:val="18"/>
          <w:color w:val="457157"/>
        </w:rPr>
      </w:pPr>
      <w:r>
        <w:rPr>
          <w:rFonts w:ascii="Arial" w:cs="Arial" w:eastAsia="Arial" w:hAnsi="Arial"/>
          <w:sz w:val="18"/>
          <w:szCs w:val="18"/>
          <w:color w:val="auto"/>
        </w:rPr>
        <w:t>Payment of PSUs (contingent on actual</w:t>
      </w:r>
    </w:p>
    <w:p>
      <w:pPr>
        <w:spacing w:after="0" w:line="18"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3640" w:type="dxa"/>
            <w:vAlign w:val="bottom"/>
          </w:tcPr>
          <w:p>
            <w:pPr>
              <w:ind w:left="60"/>
              <w:spacing w:after="0"/>
              <w:rPr>
                <w:sz w:val="20"/>
                <w:szCs w:val="20"/>
                <w:color w:val="auto"/>
              </w:rPr>
            </w:pPr>
            <w:r>
              <w:rPr>
                <w:rFonts w:ascii="Arial" w:cs="Arial" w:eastAsia="Arial" w:hAnsi="Arial"/>
                <w:sz w:val="18"/>
                <w:szCs w:val="18"/>
                <w:color w:val="auto"/>
              </w:rPr>
              <w:t>performance at end of performance</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640" w:type="dxa"/>
            <w:vAlign w:val="bottom"/>
          </w:tcPr>
          <w:p>
            <w:pPr>
              <w:ind w:left="60"/>
              <w:spacing w:after="0"/>
              <w:rPr>
                <w:sz w:val="20"/>
                <w:szCs w:val="20"/>
                <w:color w:val="auto"/>
              </w:rPr>
            </w:pPr>
            <w:r>
              <w:rPr>
                <w:rFonts w:ascii="Arial" w:cs="Arial" w:eastAsia="Arial" w:hAnsi="Arial"/>
                <w:sz w:val="18"/>
                <w:szCs w:val="18"/>
                <w:color w:val="auto"/>
              </w:rPr>
              <w:t>period)</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18,468,224​​​</w:t>
            </w:r>
            <w:r>
              <w:rPr>
                <w:rFonts w:ascii="Arial" w:cs="Arial" w:eastAsia="Arial" w:hAnsi="Arial"/>
                <w:sz w:val="18"/>
                <w:szCs w:val="18"/>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4,356,646​​​</w:t>
            </w:r>
            <w:r>
              <w:rPr>
                <w:rFonts w:ascii="Arial" w:cs="Arial" w:eastAsia="Arial" w:hAnsi="Arial"/>
                <w:sz w:val="18"/>
                <w:szCs w:val="18"/>
                <w:b w:val="1"/>
                <w:bCs w:val="1"/>
                <w:color w:val="auto"/>
              </w:rPr>
              <w:t>​</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5,322,009​​​</w:t>
            </w:r>
            <w:r>
              <w:rPr>
                <w:rFonts w:ascii="Arial" w:cs="Arial" w:eastAsia="Arial" w:hAnsi="Arial"/>
                <w:sz w:val="18"/>
                <w:szCs w:val="18"/>
                <w:b w:val="1"/>
                <w:bCs w:val="1"/>
                <w:color w:val="auto"/>
              </w:rPr>
              <w:t>​</w:t>
            </w:r>
            <w:r>
              <w:rPr>
                <w:rFonts w:ascii="Arial" w:cs="Arial" w:eastAsia="Arial" w:hAnsi="Arial"/>
                <w:sz w:val="18"/>
                <w:szCs w:val="18"/>
                <w:color w:val="auto"/>
              </w:rPr>
              <w:t xml:space="preserve"> 3,576,122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3,788,405</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6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04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ind w:left="40"/>
              <w:spacing w:after="0" w:line="196" w:lineRule="exact"/>
              <w:rPr>
                <w:sz w:val="20"/>
                <w:szCs w:val="20"/>
                <w:color w:val="auto"/>
              </w:rPr>
            </w:pPr>
            <w:r>
              <w:rPr>
                <w:rFonts w:ascii="Arial" w:cs="Arial" w:eastAsia="Arial" w:hAnsi="Arial"/>
                <w:sz w:val="18"/>
                <w:szCs w:val="18"/>
                <w:color w:val="457157"/>
              </w:rPr>
              <w:t>•</w:t>
            </w:r>
          </w:p>
        </w:tc>
        <w:tc>
          <w:tcPr>
            <w:tcW w:w="3640" w:type="dxa"/>
            <w:vAlign w:val="bottom"/>
          </w:tcPr>
          <w:p>
            <w:pPr>
              <w:ind w:left="60"/>
              <w:spacing w:after="0" w:line="196" w:lineRule="exact"/>
              <w:rPr>
                <w:sz w:val="20"/>
                <w:szCs w:val="20"/>
                <w:color w:val="auto"/>
              </w:rPr>
            </w:pPr>
            <w:r>
              <w:rPr>
                <w:rFonts w:ascii="Arial" w:cs="Arial" w:eastAsia="Arial" w:hAnsi="Arial"/>
                <w:sz w:val="18"/>
                <w:szCs w:val="18"/>
                <w:color w:val="auto"/>
              </w:rPr>
              <w:t>Accelerated vesting of RSUs</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1,372,777</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2,059,065</w:t>
            </w: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1,029,533</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617,679</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3640" w:type="dxa"/>
            <w:vAlign w:val="bottom"/>
          </w:tcPr>
          <w:p>
            <w:pPr>
              <w:spacing w:after="0"/>
              <w:rPr>
                <w:sz w:val="4"/>
                <w:szCs w:val="4"/>
                <w:color w:val="auto"/>
              </w:rPr>
            </w:pPr>
          </w:p>
        </w:tc>
        <w:tc>
          <w:tcPr>
            <w:tcW w:w="220" w:type="dxa"/>
            <w:vAlign w:val="bottom"/>
          </w:tcPr>
          <w:p>
            <w:pPr>
              <w:jc w:val="right"/>
              <w:ind w:right="8"/>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80" w:type="dxa"/>
            <w:vAlign w:val="bottom"/>
          </w:tcPr>
          <w:p>
            <w:pPr>
              <w:jc w:val="right"/>
              <w:ind w:right="81"/>
              <w:spacing w:after="0" w:line="54" w:lineRule="exact"/>
              <w:rPr>
                <w:sz w:val="20"/>
                <w:szCs w:val="20"/>
                <w:color w:val="auto"/>
              </w:rPr>
            </w:pPr>
            <w:r>
              <w:rPr>
                <w:rFonts w:ascii="Arial" w:cs="Arial" w:eastAsia="Arial" w:hAnsi="Arial"/>
                <w:sz w:val="6"/>
                <w:szCs w:val="6"/>
                <w:color w:val="auto"/>
              </w:rPr>
              <w:t>​​​</w:t>
            </w:r>
          </w:p>
        </w:tc>
        <w:tc>
          <w:tcPr>
            <w:tcW w:w="760" w:type="dxa"/>
            <w:vAlign w:val="bottom"/>
          </w:tcPr>
          <w:p>
            <w:pPr>
              <w:spacing w:after="0"/>
              <w:rPr>
                <w:sz w:val="4"/>
                <w:szCs w:val="4"/>
                <w:color w:val="auto"/>
              </w:rPr>
            </w:pPr>
          </w:p>
        </w:tc>
        <w:tc>
          <w:tcPr>
            <w:tcW w:w="220" w:type="dxa"/>
            <w:vAlign w:val="bottom"/>
          </w:tcPr>
          <w:p>
            <w:pPr>
              <w:jc w:val="right"/>
              <w:ind w:right="8"/>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6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457157"/>
              </w:rPr>
              <w:t>•</w:t>
            </w:r>
          </w:p>
        </w:tc>
        <w:tc>
          <w:tcPr>
            <w:tcW w:w="364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Life insurance benefit paid by insurance</w:t>
            </w:r>
          </w:p>
        </w:tc>
        <w:tc>
          <w:tcPr>
            <w:tcW w:w="22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0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0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80" w:type="dxa"/>
            <w:vAlign w:val="bottom"/>
            <w:tcBorders>
              <w:top w:val="single" w:sz="8" w:color="457157"/>
            </w:tcBorders>
          </w:tcPr>
          <w:p>
            <w:pPr>
              <w:spacing w:after="0"/>
              <w:rPr>
                <w:sz w:val="21"/>
                <w:szCs w:val="21"/>
                <w:color w:val="auto"/>
              </w:rPr>
            </w:pPr>
          </w:p>
        </w:tc>
        <w:tc>
          <w:tcPr>
            <w:tcW w:w="760" w:type="dxa"/>
            <w:vAlign w:val="bottom"/>
            <w:tcBorders>
              <w:top w:val="single" w:sz="8" w:color="457157"/>
            </w:tcBorders>
          </w:tcPr>
          <w:p>
            <w:pPr>
              <w:spacing w:after="0"/>
              <w:rPr>
                <w:sz w:val="21"/>
                <w:szCs w:val="21"/>
                <w:color w:val="auto"/>
              </w:rPr>
            </w:pPr>
          </w:p>
        </w:tc>
        <w:tc>
          <w:tcPr>
            <w:tcW w:w="220" w:type="dxa"/>
            <w:vAlign w:val="bottom"/>
            <w:tcBorders>
              <w:top w:val="single" w:sz="8" w:color="457157"/>
            </w:tcBorders>
          </w:tcPr>
          <w:p>
            <w:pPr>
              <w:spacing w:after="0"/>
              <w:rPr>
                <w:sz w:val="21"/>
                <w:szCs w:val="21"/>
                <w:color w:val="auto"/>
              </w:rPr>
            </w:pPr>
          </w:p>
        </w:tc>
        <w:tc>
          <w:tcPr>
            <w:tcW w:w="860" w:type="dxa"/>
            <w:vAlign w:val="bottom"/>
            <w:tcBorders>
              <w:top w:val="single" w:sz="8" w:color="457157"/>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640" w:type="dxa"/>
            <w:vAlign w:val="bottom"/>
          </w:tcPr>
          <w:p>
            <w:pPr>
              <w:ind w:left="60"/>
              <w:spacing w:after="0"/>
              <w:rPr>
                <w:sz w:val="20"/>
                <w:szCs w:val="20"/>
                <w:color w:val="auto"/>
              </w:rPr>
            </w:pPr>
            <w:r>
              <w:rPr>
                <w:rFonts w:ascii="Arial" w:cs="Arial" w:eastAsia="Arial" w:hAnsi="Arial"/>
                <w:sz w:val="18"/>
                <w:szCs w:val="18"/>
                <w:color w:val="auto"/>
              </w:rPr>
              <w:t>company (in the case of death)</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1,187,000​​​</w:t>
            </w:r>
            <w:r>
              <w:rPr>
                <w:rFonts w:ascii="Arial" w:cs="Arial" w:eastAsia="Arial" w:hAnsi="Arial"/>
                <w:sz w:val="18"/>
                <w:szCs w:val="18"/>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768,000​​​</w:t>
            </w:r>
            <w:r>
              <w:rPr>
                <w:rFonts w:ascii="Arial" w:cs="Arial" w:eastAsia="Arial" w:hAnsi="Arial"/>
                <w:sz w:val="18"/>
                <w:szCs w:val="18"/>
                <w:b w:val="1"/>
                <w:bCs w:val="1"/>
                <w:color w:val="auto"/>
              </w:rPr>
              <w:t>​</w:t>
            </w: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784,000​​​</w:t>
            </w: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669,000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646,000</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00" w:type="dxa"/>
            <w:vAlign w:val="bottom"/>
            <w:gridSpan w:val="2"/>
            <w:shd w:val="clear" w:color="auto" w:fill="457157"/>
          </w:tcPr>
          <w:p>
            <w:pPr>
              <w:spacing w:after="0" w:line="20" w:lineRule="exact"/>
              <w:rPr>
                <w:sz w:val="1"/>
                <w:szCs w:val="1"/>
                <w:color w:val="auto"/>
              </w:rPr>
            </w:pPr>
          </w:p>
        </w:tc>
        <w:tc>
          <w:tcPr>
            <w:tcW w:w="1240" w:type="dxa"/>
            <w:vAlign w:val="bottom"/>
            <w:gridSpan w:val="3"/>
            <w:shd w:val="clear" w:color="auto" w:fill="457157"/>
          </w:tcPr>
          <w:p>
            <w:pPr>
              <w:spacing w:after="0" w:line="20" w:lineRule="exact"/>
              <w:rPr>
                <w:sz w:val="1"/>
                <w:szCs w:val="1"/>
                <w:color w:val="auto"/>
              </w:rPr>
            </w:pPr>
          </w:p>
        </w:tc>
        <w:tc>
          <w:tcPr>
            <w:tcW w:w="1020" w:type="dxa"/>
            <w:vAlign w:val="bottom"/>
            <w:gridSpan w:val="2"/>
            <w:shd w:val="clear" w:color="auto" w:fill="457157"/>
          </w:tcPr>
          <w:p>
            <w:pPr>
              <w:spacing w:after="0" w:line="20" w:lineRule="exact"/>
              <w:rPr>
                <w:sz w:val="1"/>
                <w:szCs w:val="1"/>
                <w:color w:val="auto"/>
              </w:rPr>
            </w:pPr>
          </w:p>
        </w:tc>
        <w:tc>
          <w:tcPr>
            <w:tcW w:w="1860" w:type="dxa"/>
            <w:vAlign w:val="bottom"/>
            <w:gridSpan w:val="3"/>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​22,940,246</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7,291,572</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9,099,768</w:t>
            </w:r>
            <w:r>
              <w:rPr>
                <w:rFonts w:ascii="Arial" w:cs="Arial" w:eastAsia="Arial" w:hAnsi="Arial"/>
                <w:sz w:val="18"/>
                <w:szCs w:val="18"/>
                <w:color w:val="auto"/>
              </w:rPr>
              <w:t>​​​</w:t>
            </w:r>
            <w:r>
              <w:rPr>
                <w:rFonts w:ascii="Arial" w:cs="Arial" w:eastAsia="Arial" w:hAnsi="Arial"/>
                <w:sz w:val="18"/>
                <w:szCs w:val="18"/>
                <w:b w:val="1"/>
                <w:bCs w:val="1"/>
                <w:color w:val="auto"/>
              </w:rPr>
              <w:t>​ 5,893,033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5,712,474</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000" w:type="dxa"/>
            <w:vAlign w:val="bottom"/>
            <w:gridSpan w:val="12"/>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000" w:type="dxa"/>
            <w:vAlign w:val="bottom"/>
            <w:gridSpan w:val="12"/>
          </w:tcPr>
          <w:p>
            <w:pPr>
              <w:spacing w:after="0"/>
              <w:rPr>
                <w:sz w:val="20"/>
                <w:szCs w:val="20"/>
                <w:color w:val="auto"/>
              </w:rPr>
            </w:pPr>
            <w:r>
              <w:rPr>
                <w:rFonts w:ascii="Arial" w:cs="Arial" w:eastAsia="Arial" w:hAnsi="Arial"/>
                <w:sz w:val="18"/>
                <w:szCs w:val="18"/>
                <w:b w:val="1"/>
                <w:bCs w:val="1"/>
                <w:i w:val="1"/>
                <w:iCs w:val="1"/>
                <w:color w:val="auto"/>
              </w:rPr>
              <w:t>​In Event of Termination Without Cause by the Company or For Good Reason by the Employee</w:t>
            </w:r>
          </w:p>
        </w:tc>
        <w:tc>
          <w:tcPr>
            <w:tcW w:w="1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w:t>
            </w:r>
          </w:p>
        </w:tc>
        <w:tc>
          <w:tcPr>
            <w:tcW w:w="0" w:type="dxa"/>
            <w:vAlign w:val="bottom"/>
          </w:tcPr>
          <w:p>
            <w:pPr>
              <w:spacing w:after="0"/>
              <w:rPr>
                <w:sz w:val="1"/>
                <w:szCs w:val="1"/>
                <w:color w:val="auto"/>
              </w:rPr>
            </w:pPr>
          </w:p>
        </w:tc>
      </w:tr>
      <w:tr>
        <w:trPr>
          <w:trHeight w:val="245"/>
        </w:trPr>
        <w:tc>
          <w:tcPr>
            <w:tcW w:w="16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457157"/>
              </w:rPr>
              <w:t>•</w:t>
            </w:r>
          </w:p>
        </w:tc>
        <w:tc>
          <w:tcPr>
            <w:tcW w:w="364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Two times base salary plus target</w:t>
            </w:r>
          </w:p>
        </w:tc>
        <w:tc>
          <w:tcPr>
            <w:tcW w:w="22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0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0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80" w:type="dxa"/>
            <w:vAlign w:val="bottom"/>
            <w:tcBorders>
              <w:top w:val="single" w:sz="8" w:color="457157"/>
            </w:tcBorders>
          </w:tcPr>
          <w:p>
            <w:pPr>
              <w:spacing w:after="0"/>
              <w:rPr>
                <w:sz w:val="21"/>
                <w:szCs w:val="21"/>
                <w:color w:val="auto"/>
              </w:rPr>
            </w:pPr>
          </w:p>
        </w:tc>
        <w:tc>
          <w:tcPr>
            <w:tcW w:w="760" w:type="dxa"/>
            <w:vAlign w:val="bottom"/>
            <w:tcBorders>
              <w:top w:val="single" w:sz="8" w:color="457157"/>
            </w:tcBorders>
          </w:tcPr>
          <w:p>
            <w:pPr>
              <w:spacing w:after="0"/>
              <w:rPr>
                <w:sz w:val="21"/>
                <w:szCs w:val="21"/>
                <w:color w:val="auto"/>
              </w:rPr>
            </w:pPr>
          </w:p>
        </w:tc>
        <w:tc>
          <w:tcPr>
            <w:tcW w:w="220" w:type="dxa"/>
            <w:vAlign w:val="bottom"/>
            <w:tcBorders>
              <w:top w:val="single" w:sz="8" w:color="457157"/>
            </w:tcBorders>
          </w:tcPr>
          <w:p>
            <w:pPr>
              <w:spacing w:after="0"/>
              <w:rPr>
                <w:sz w:val="21"/>
                <w:szCs w:val="21"/>
                <w:color w:val="auto"/>
              </w:rPr>
            </w:pPr>
          </w:p>
        </w:tc>
        <w:tc>
          <w:tcPr>
            <w:tcW w:w="860" w:type="dxa"/>
            <w:vAlign w:val="bottom"/>
            <w:tcBorders>
              <w:top w:val="single" w:sz="8" w:color="457157"/>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640" w:type="dxa"/>
            <w:vAlign w:val="bottom"/>
          </w:tcPr>
          <w:p>
            <w:pPr>
              <w:ind w:left="60"/>
              <w:spacing w:after="0"/>
              <w:rPr>
                <w:sz w:val="20"/>
                <w:szCs w:val="20"/>
                <w:color w:val="auto"/>
              </w:rPr>
            </w:pPr>
            <w:r>
              <w:rPr>
                <w:rFonts w:ascii="Arial" w:cs="Arial" w:eastAsia="Arial" w:hAnsi="Arial"/>
                <w:sz w:val="18"/>
                <w:szCs w:val="18"/>
                <w:color w:val="auto"/>
              </w:rPr>
              <w:t>annual cash bonus (one-half payable in</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640" w:type="dxa"/>
            <w:vAlign w:val="bottom"/>
          </w:tcPr>
          <w:p>
            <w:pPr>
              <w:ind w:left="60"/>
              <w:spacing w:after="0"/>
              <w:rPr>
                <w:sz w:val="20"/>
                <w:szCs w:val="20"/>
                <w:color w:val="auto"/>
              </w:rPr>
            </w:pPr>
            <w:r>
              <w:rPr>
                <w:rFonts w:ascii="Arial" w:cs="Arial" w:eastAsia="Arial" w:hAnsi="Arial"/>
                <w:sz w:val="18"/>
                <w:szCs w:val="18"/>
                <w:color w:val="auto"/>
              </w:rPr>
              <w:t>lump sum; one-half payable in bi-weekly</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640" w:type="dxa"/>
            <w:vAlign w:val="bottom"/>
          </w:tcPr>
          <w:p>
            <w:pPr>
              <w:ind w:left="60"/>
              <w:spacing w:after="0"/>
              <w:rPr>
                <w:sz w:val="20"/>
                <w:szCs w:val="20"/>
                <w:color w:val="auto"/>
              </w:rPr>
            </w:pPr>
            <w:r>
              <w:rPr>
                <w:rFonts w:ascii="Arial" w:cs="Arial" w:eastAsia="Arial" w:hAnsi="Arial"/>
                <w:sz w:val="18"/>
                <w:szCs w:val="18"/>
                <w:color w:val="auto"/>
              </w:rPr>
              <w:t>installments over a two-year period)</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7,540,000​​​</w:t>
            </w:r>
            <w:r>
              <w:rPr>
                <w:rFonts w:ascii="Arial" w:cs="Arial" w:eastAsia="Arial" w:hAnsi="Arial"/>
                <w:sz w:val="18"/>
                <w:szCs w:val="18"/>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3,193,200​​​</w:t>
            </w:r>
            <w:r>
              <w:rPr>
                <w:rFonts w:ascii="Arial" w:cs="Arial" w:eastAsia="Arial" w:hAnsi="Arial"/>
                <w:sz w:val="18"/>
                <w:szCs w:val="18"/>
                <w:b w:val="1"/>
                <w:bCs w:val="1"/>
                <w:color w:val="auto"/>
              </w:rPr>
              <w:t>​</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3,424,680​​​</w:t>
            </w:r>
            <w:r>
              <w:rPr>
                <w:rFonts w:ascii="Arial" w:cs="Arial" w:eastAsia="Arial" w:hAnsi="Arial"/>
                <w:sz w:val="18"/>
                <w:szCs w:val="18"/>
                <w:b w:val="1"/>
                <w:bCs w:val="1"/>
                <w:color w:val="auto"/>
              </w:rPr>
              <w:t>​</w:t>
            </w:r>
            <w:r>
              <w:rPr>
                <w:rFonts w:ascii="Arial" w:cs="Arial" w:eastAsia="Arial" w:hAnsi="Arial"/>
                <w:sz w:val="18"/>
                <w:szCs w:val="18"/>
                <w:color w:val="auto"/>
              </w:rPr>
              <w:t xml:space="preserve"> 2,730,000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2,568,800</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16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457157"/>
              </w:rPr>
              <w:t>•</w:t>
            </w:r>
          </w:p>
        </w:tc>
        <w:tc>
          <w:tcPr>
            <w:tcW w:w="364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Continued coverage under health and</w:t>
            </w:r>
          </w:p>
        </w:tc>
        <w:tc>
          <w:tcPr>
            <w:tcW w:w="22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0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0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80" w:type="dxa"/>
            <w:vAlign w:val="bottom"/>
            <w:tcBorders>
              <w:top w:val="single" w:sz="8" w:color="457157"/>
            </w:tcBorders>
          </w:tcPr>
          <w:p>
            <w:pPr>
              <w:spacing w:after="0"/>
              <w:rPr>
                <w:sz w:val="21"/>
                <w:szCs w:val="21"/>
                <w:color w:val="auto"/>
              </w:rPr>
            </w:pPr>
          </w:p>
        </w:tc>
        <w:tc>
          <w:tcPr>
            <w:tcW w:w="760" w:type="dxa"/>
            <w:vAlign w:val="bottom"/>
            <w:tcBorders>
              <w:top w:val="single" w:sz="8" w:color="457157"/>
            </w:tcBorders>
          </w:tcPr>
          <w:p>
            <w:pPr>
              <w:spacing w:after="0"/>
              <w:rPr>
                <w:sz w:val="21"/>
                <w:szCs w:val="21"/>
                <w:color w:val="auto"/>
              </w:rPr>
            </w:pPr>
          </w:p>
        </w:tc>
        <w:tc>
          <w:tcPr>
            <w:tcW w:w="220" w:type="dxa"/>
            <w:vAlign w:val="bottom"/>
            <w:tcBorders>
              <w:top w:val="single" w:sz="8" w:color="457157"/>
            </w:tcBorders>
          </w:tcPr>
          <w:p>
            <w:pPr>
              <w:spacing w:after="0"/>
              <w:rPr>
                <w:sz w:val="21"/>
                <w:szCs w:val="21"/>
                <w:color w:val="auto"/>
              </w:rPr>
            </w:pPr>
          </w:p>
        </w:tc>
        <w:tc>
          <w:tcPr>
            <w:tcW w:w="860" w:type="dxa"/>
            <w:vAlign w:val="bottom"/>
            <w:tcBorders>
              <w:top w:val="single" w:sz="8" w:color="457157"/>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640" w:type="dxa"/>
            <w:vAlign w:val="bottom"/>
          </w:tcPr>
          <w:p>
            <w:pPr>
              <w:ind w:left="60"/>
              <w:spacing w:after="0"/>
              <w:rPr>
                <w:sz w:val="20"/>
                <w:szCs w:val="20"/>
                <w:color w:val="auto"/>
              </w:rPr>
            </w:pPr>
            <w:r>
              <w:rPr>
                <w:rFonts w:ascii="Arial" w:cs="Arial" w:eastAsia="Arial" w:hAnsi="Arial"/>
                <w:sz w:val="18"/>
                <w:szCs w:val="18"/>
                <w:color w:val="auto"/>
              </w:rPr>
              <w:t>welfare benefit plans for two years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32,636​​​</w:t>
            </w:r>
            <w:r>
              <w:rPr>
                <w:rFonts w:ascii="Arial" w:cs="Arial" w:eastAsia="Arial" w:hAnsi="Arial"/>
                <w:sz w:val="18"/>
                <w:szCs w:val="18"/>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32,636​​​</w:t>
            </w:r>
            <w:r>
              <w:rPr>
                <w:rFonts w:ascii="Arial" w:cs="Arial" w:eastAsia="Arial" w:hAnsi="Arial"/>
                <w:sz w:val="18"/>
                <w:szCs w:val="18"/>
                <w:b w:val="1"/>
                <w:bCs w:val="1"/>
                <w:color w:val="auto"/>
              </w:rPr>
              <w:t>​</w:t>
            </w: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32,636​​​</w:t>
            </w: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32,636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32,636</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16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457157"/>
              </w:rPr>
              <w:t>•</w:t>
            </w:r>
          </w:p>
        </w:tc>
        <w:tc>
          <w:tcPr>
            <w:tcW w:w="364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Prorated payment of PSUs (contingent</w:t>
            </w:r>
          </w:p>
        </w:tc>
        <w:tc>
          <w:tcPr>
            <w:tcW w:w="22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0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0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80" w:type="dxa"/>
            <w:vAlign w:val="bottom"/>
            <w:tcBorders>
              <w:top w:val="single" w:sz="8" w:color="457157"/>
            </w:tcBorders>
          </w:tcPr>
          <w:p>
            <w:pPr>
              <w:spacing w:after="0"/>
              <w:rPr>
                <w:sz w:val="21"/>
                <w:szCs w:val="21"/>
                <w:color w:val="auto"/>
              </w:rPr>
            </w:pPr>
          </w:p>
        </w:tc>
        <w:tc>
          <w:tcPr>
            <w:tcW w:w="760" w:type="dxa"/>
            <w:vAlign w:val="bottom"/>
            <w:tcBorders>
              <w:top w:val="single" w:sz="8" w:color="457157"/>
            </w:tcBorders>
          </w:tcPr>
          <w:p>
            <w:pPr>
              <w:spacing w:after="0"/>
              <w:rPr>
                <w:sz w:val="21"/>
                <w:szCs w:val="21"/>
                <w:color w:val="auto"/>
              </w:rPr>
            </w:pPr>
          </w:p>
        </w:tc>
        <w:tc>
          <w:tcPr>
            <w:tcW w:w="220" w:type="dxa"/>
            <w:vAlign w:val="bottom"/>
            <w:tcBorders>
              <w:top w:val="single" w:sz="8" w:color="457157"/>
            </w:tcBorders>
          </w:tcPr>
          <w:p>
            <w:pPr>
              <w:spacing w:after="0"/>
              <w:rPr>
                <w:sz w:val="21"/>
                <w:szCs w:val="21"/>
                <w:color w:val="auto"/>
              </w:rPr>
            </w:pPr>
          </w:p>
        </w:tc>
        <w:tc>
          <w:tcPr>
            <w:tcW w:w="860" w:type="dxa"/>
            <w:vAlign w:val="bottom"/>
            <w:tcBorders>
              <w:top w:val="single" w:sz="8" w:color="457157"/>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640" w:type="dxa"/>
            <w:vAlign w:val="bottom"/>
          </w:tcPr>
          <w:p>
            <w:pPr>
              <w:ind w:left="60"/>
              <w:spacing w:after="0"/>
              <w:rPr>
                <w:sz w:val="20"/>
                <w:szCs w:val="20"/>
                <w:color w:val="auto"/>
              </w:rPr>
            </w:pPr>
            <w:r>
              <w:rPr>
                <w:rFonts w:ascii="Arial" w:cs="Arial" w:eastAsia="Arial" w:hAnsi="Arial"/>
                <w:sz w:val="18"/>
                <w:szCs w:val="18"/>
                <w:color w:val="auto"/>
              </w:rPr>
              <w:t>on actual performance at end of</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640" w:type="dxa"/>
            <w:vAlign w:val="bottom"/>
          </w:tcPr>
          <w:p>
            <w:pPr>
              <w:ind w:left="60"/>
              <w:spacing w:after="0"/>
              <w:rPr>
                <w:sz w:val="20"/>
                <w:szCs w:val="20"/>
                <w:color w:val="auto"/>
              </w:rPr>
            </w:pPr>
            <w:r>
              <w:rPr>
                <w:rFonts w:ascii="Arial" w:cs="Arial" w:eastAsia="Arial" w:hAnsi="Arial"/>
                <w:sz w:val="18"/>
                <w:szCs w:val="18"/>
                <w:color w:val="auto"/>
              </w:rPr>
              <w:t>performance period)</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9,607,760​​​</w:t>
            </w:r>
            <w:r>
              <w:rPr>
                <w:rFonts w:ascii="Arial" w:cs="Arial" w:eastAsia="Arial" w:hAnsi="Arial"/>
                <w:sz w:val="18"/>
                <w:szCs w:val="18"/>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2,266,505​​​</w:t>
            </w:r>
            <w:r>
              <w:rPr>
                <w:rFonts w:ascii="Arial" w:cs="Arial" w:eastAsia="Arial" w:hAnsi="Arial"/>
                <w:sz w:val="18"/>
                <w:szCs w:val="18"/>
                <w:b w:val="1"/>
                <w:bCs w:val="1"/>
                <w:color w:val="auto"/>
              </w:rPr>
              <w:t>​</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2,729,815​​​</w:t>
            </w:r>
            <w:r>
              <w:rPr>
                <w:rFonts w:ascii="Arial" w:cs="Arial" w:eastAsia="Arial" w:hAnsi="Arial"/>
                <w:sz w:val="18"/>
                <w:szCs w:val="18"/>
                <w:b w:val="1"/>
                <w:bCs w:val="1"/>
                <w:color w:val="auto"/>
              </w:rPr>
              <w:t>​</w:t>
            </w:r>
            <w:r>
              <w:rPr>
                <w:rFonts w:ascii="Arial" w:cs="Arial" w:eastAsia="Arial" w:hAnsi="Arial"/>
                <w:sz w:val="18"/>
                <w:szCs w:val="18"/>
                <w:color w:val="auto"/>
              </w:rPr>
              <w:t xml:space="preserve"> 1,829,294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1,970,816</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6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ind w:left="40"/>
              <w:spacing w:after="0" w:line="196" w:lineRule="exact"/>
              <w:rPr>
                <w:sz w:val="20"/>
                <w:szCs w:val="20"/>
                <w:color w:val="auto"/>
              </w:rPr>
            </w:pPr>
            <w:r>
              <w:rPr>
                <w:rFonts w:ascii="Arial" w:cs="Arial" w:eastAsia="Arial" w:hAnsi="Arial"/>
                <w:sz w:val="18"/>
                <w:szCs w:val="18"/>
                <w:color w:val="457157"/>
              </w:rPr>
              <w:t>•</w:t>
            </w:r>
          </w:p>
        </w:tc>
        <w:tc>
          <w:tcPr>
            <w:tcW w:w="3640" w:type="dxa"/>
            <w:vAlign w:val="bottom"/>
          </w:tcPr>
          <w:p>
            <w:pPr>
              <w:ind w:left="60"/>
              <w:spacing w:after="0" w:line="196" w:lineRule="exact"/>
              <w:rPr>
                <w:sz w:val="20"/>
                <w:szCs w:val="20"/>
                <w:color w:val="auto"/>
              </w:rPr>
            </w:pPr>
            <w:r>
              <w:rPr>
                <w:rFonts w:ascii="Arial" w:cs="Arial" w:eastAsia="Arial" w:hAnsi="Arial"/>
                <w:sz w:val="18"/>
                <w:szCs w:val="18"/>
                <w:color w:val="auto"/>
              </w:rPr>
              <w:t>Prorated vesting of RSUs</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1,297,557</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1,946,240</w:t>
            </w:r>
          </w:p>
        </w:tc>
        <w:tc>
          <w:tcPr>
            <w:tcW w:w="280" w:type="dxa"/>
            <w:vAlign w:val="bottom"/>
          </w:tcPr>
          <w:p>
            <w:pPr>
              <w:jc w:val="right"/>
              <w:ind w:right="41"/>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973,120</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583,834</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3640" w:type="dxa"/>
            <w:vAlign w:val="bottom"/>
          </w:tcPr>
          <w:p>
            <w:pPr>
              <w:spacing w:after="0"/>
              <w:rPr>
                <w:sz w:val="4"/>
                <w:szCs w:val="4"/>
                <w:color w:val="auto"/>
              </w:rPr>
            </w:pPr>
          </w:p>
        </w:tc>
        <w:tc>
          <w:tcPr>
            <w:tcW w:w="220" w:type="dxa"/>
            <w:vAlign w:val="bottom"/>
          </w:tcPr>
          <w:p>
            <w:pPr>
              <w:jc w:val="right"/>
              <w:ind w:right="8"/>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80" w:type="dxa"/>
            <w:vAlign w:val="bottom"/>
          </w:tcPr>
          <w:p>
            <w:pPr>
              <w:jc w:val="right"/>
              <w:ind w:right="81"/>
              <w:spacing w:after="0" w:line="54" w:lineRule="exact"/>
              <w:rPr>
                <w:sz w:val="20"/>
                <w:szCs w:val="20"/>
                <w:color w:val="auto"/>
              </w:rPr>
            </w:pPr>
            <w:r>
              <w:rPr>
                <w:rFonts w:ascii="Arial" w:cs="Arial" w:eastAsia="Arial" w:hAnsi="Arial"/>
                <w:sz w:val="6"/>
                <w:szCs w:val="6"/>
                <w:color w:val="auto"/>
              </w:rPr>
              <w:t>​​​</w:t>
            </w:r>
          </w:p>
        </w:tc>
        <w:tc>
          <w:tcPr>
            <w:tcW w:w="760" w:type="dxa"/>
            <w:vAlign w:val="bottom"/>
          </w:tcPr>
          <w:p>
            <w:pPr>
              <w:spacing w:after="0"/>
              <w:rPr>
                <w:sz w:val="4"/>
                <w:szCs w:val="4"/>
                <w:color w:val="auto"/>
              </w:rPr>
            </w:pPr>
          </w:p>
        </w:tc>
        <w:tc>
          <w:tcPr>
            <w:tcW w:w="220" w:type="dxa"/>
            <w:vAlign w:val="bottom"/>
          </w:tcPr>
          <w:p>
            <w:pPr>
              <w:jc w:val="right"/>
              <w:ind w:right="8"/>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800" w:type="dxa"/>
            <w:vAlign w:val="bottom"/>
            <w:gridSpan w:val="2"/>
            <w:shd w:val="clear" w:color="auto" w:fill="457157"/>
          </w:tcPr>
          <w:p>
            <w:pPr>
              <w:spacing w:after="0" w:line="20" w:lineRule="exact"/>
              <w:rPr>
                <w:sz w:val="1"/>
                <w:szCs w:val="1"/>
                <w:color w:val="auto"/>
              </w:rPr>
            </w:pPr>
          </w:p>
        </w:tc>
        <w:tc>
          <w:tcPr>
            <w:tcW w:w="1240" w:type="dxa"/>
            <w:vAlign w:val="bottom"/>
            <w:gridSpan w:val="3"/>
            <w:shd w:val="clear" w:color="auto" w:fill="457157"/>
          </w:tcPr>
          <w:p>
            <w:pPr>
              <w:spacing w:after="0" w:line="20" w:lineRule="exact"/>
              <w:rPr>
                <w:sz w:val="1"/>
                <w:szCs w:val="1"/>
                <w:color w:val="auto"/>
              </w:rPr>
            </w:pPr>
          </w:p>
        </w:tc>
        <w:tc>
          <w:tcPr>
            <w:tcW w:w="1020" w:type="dxa"/>
            <w:vAlign w:val="bottom"/>
            <w:gridSpan w:val="2"/>
            <w:shd w:val="clear" w:color="auto" w:fill="457157"/>
          </w:tcPr>
          <w:p>
            <w:pPr>
              <w:spacing w:after="0" w:line="20" w:lineRule="exact"/>
              <w:rPr>
                <w:sz w:val="1"/>
                <w:szCs w:val="1"/>
                <w:color w:val="auto"/>
              </w:rPr>
            </w:pPr>
          </w:p>
        </w:tc>
        <w:tc>
          <w:tcPr>
            <w:tcW w:w="1860" w:type="dxa"/>
            <w:vAlign w:val="bottom"/>
            <w:gridSpan w:val="3"/>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00" w:type="dxa"/>
            <w:vAlign w:val="bottom"/>
            <w:gridSpan w:val="2"/>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​17,180,396</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6,789,898</w:t>
            </w: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8,133,371</w:t>
            </w:r>
            <w:r>
              <w:rPr>
                <w:rFonts w:ascii="Arial" w:cs="Arial" w:eastAsia="Arial" w:hAnsi="Arial"/>
                <w:sz w:val="18"/>
                <w:szCs w:val="18"/>
                <w:color w:val="auto"/>
              </w:rPr>
              <w:t>​​​</w:t>
            </w:r>
            <w:r>
              <w:rPr>
                <w:rFonts w:ascii="Arial" w:cs="Arial" w:eastAsia="Arial" w:hAnsi="Arial"/>
                <w:sz w:val="18"/>
                <w:szCs w:val="18"/>
                <w:b w:val="1"/>
                <w:bCs w:val="1"/>
                <w:color w:val="auto"/>
              </w:rPr>
              <w:t>​ 5,565,050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5,156,086</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9000" w:type="dxa"/>
            <w:vAlign w:val="bottom"/>
            <w:tcBorders>
              <w:top w:val="single" w:sz="8" w:color="457157"/>
            </w:tcBorders>
            <w:gridSpan w:val="12"/>
          </w:tcPr>
          <w:p>
            <w:pPr>
              <w:ind w:left="40"/>
              <w:spacing w:after="0"/>
              <w:rPr>
                <w:sz w:val="20"/>
                <w:szCs w:val="20"/>
                <w:color w:val="auto"/>
              </w:rPr>
            </w:pPr>
            <w:r>
              <w:rPr>
                <w:rFonts w:ascii="Arial" w:cs="Arial" w:eastAsia="Arial" w:hAnsi="Arial"/>
                <w:sz w:val="18"/>
                <w:szCs w:val="18"/>
                <w:b w:val="1"/>
                <w:bCs w:val="1"/>
                <w:i w:val="1"/>
                <w:iCs w:val="1"/>
                <w:color w:val="auto"/>
              </w:rPr>
              <w:t>In Event of Termination Without Cause by the Company or For Good Reason by the Employee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860" w:type="dxa"/>
            <w:vAlign w:val="bottom"/>
            <w:gridSpan w:val="6"/>
          </w:tcPr>
          <w:p>
            <w:pPr>
              <w:spacing w:after="0"/>
              <w:rPr>
                <w:sz w:val="20"/>
                <w:szCs w:val="20"/>
                <w:color w:val="auto"/>
              </w:rPr>
            </w:pPr>
            <w:r>
              <w:rPr>
                <w:rFonts w:ascii="Arial" w:cs="Arial" w:eastAsia="Arial" w:hAnsi="Arial"/>
                <w:sz w:val="18"/>
                <w:szCs w:val="18"/>
                <w:b w:val="1"/>
                <w:bCs w:val="1"/>
                <w:i w:val="1"/>
                <w:iCs w:val="1"/>
                <w:color w:val="auto"/>
              </w:rPr>
              <w:t>​Six Months Following a Change in Control (Double Trigger)</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w:t>
            </w:r>
          </w:p>
        </w:tc>
        <w:tc>
          <w:tcPr>
            <w:tcW w:w="0" w:type="dxa"/>
            <w:vAlign w:val="bottom"/>
          </w:tcPr>
          <w:p>
            <w:pPr>
              <w:spacing w:after="0"/>
              <w:rPr>
                <w:sz w:val="1"/>
                <w:szCs w:val="1"/>
                <w:color w:val="auto"/>
              </w:rPr>
            </w:pPr>
          </w:p>
        </w:tc>
      </w:tr>
      <w:tr>
        <w:trPr>
          <w:trHeight w:val="245"/>
        </w:trPr>
        <w:tc>
          <w:tcPr>
            <w:tcW w:w="16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457157"/>
              </w:rPr>
              <w:t>•</w:t>
            </w:r>
          </w:p>
        </w:tc>
        <w:tc>
          <w:tcPr>
            <w:tcW w:w="364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Two times base salary plus target</w:t>
            </w:r>
          </w:p>
        </w:tc>
        <w:tc>
          <w:tcPr>
            <w:tcW w:w="22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0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0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80" w:type="dxa"/>
            <w:vAlign w:val="bottom"/>
            <w:tcBorders>
              <w:top w:val="single" w:sz="8" w:color="457157"/>
            </w:tcBorders>
          </w:tcPr>
          <w:p>
            <w:pPr>
              <w:spacing w:after="0"/>
              <w:rPr>
                <w:sz w:val="21"/>
                <w:szCs w:val="21"/>
                <w:color w:val="auto"/>
              </w:rPr>
            </w:pPr>
          </w:p>
        </w:tc>
        <w:tc>
          <w:tcPr>
            <w:tcW w:w="760" w:type="dxa"/>
            <w:vAlign w:val="bottom"/>
            <w:tcBorders>
              <w:top w:val="single" w:sz="8" w:color="457157"/>
            </w:tcBorders>
          </w:tcPr>
          <w:p>
            <w:pPr>
              <w:spacing w:after="0"/>
              <w:rPr>
                <w:sz w:val="21"/>
                <w:szCs w:val="21"/>
                <w:color w:val="auto"/>
              </w:rPr>
            </w:pPr>
          </w:p>
        </w:tc>
        <w:tc>
          <w:tcPr>
            <w:tcW w:w="220" w:type="dxa"/>
            <w:vAlign w:val="bottom"/>
            <w:tcBorders>
              <w:top w:val="single" w:sz="8" w:color="457157"/>
            </w:tcBorders>
          </w:tcPr>
          <w:p>
            <w:pPr>
              <w:spacing w:after="0"/>
              <w:rPr>
                <w:sz w:val="21"/>
                <w:szCs w:val="21"/>
                <w:color w:val="auto"/>
              </w:rPr>
            </w:pPr>
          </w:p>
        </w:tc>
        <w:tc>
          <w:tcPr>
            <w:tcW w:w="860" w:type="dxa"/>
            <w:vAlign w:val="bottom"/>
            <w:tcBorders>
              <w:top w:val="single" w:sz="8" w:color="457157"/>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640" w:type="dxa"/>
            <w:vAlign w:val="bottom"/>
          </w:tcPr>
          <w:p>
            <w:pPr>
              <w:ind w:left="60"/>
              <w:spacing w:after="0"/>
              <w:rPr>
                <w:sz w:val="20"/>
                <w:szCs w:val="20"/>
                <w:color w:val="auto"/>
              </w:rPr>
            </w:pPr>
            <w:r>
              <w:rPr>
                <w:rFonts w:ascii="Arial" w:cs="Arial" w:eastAsia="Arial" w:hAnsi="Arial"/>
                <w:sz w:val="18"/>
                <w:szCs w:val="18"/>
                <w:color w:val="auto"/>
              </w:rPr>
              <w:t>annual cash bonus (one-half payable in</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3640" w:type="dxa"/>
            <w:vAlign w:val="bottom"/>
          </w:tcPr>
          <w:p>
            <w:pPr>
              <w:ind w:left="60"/>
              <w:spacing w:after="0"/>
              <w:rPr>
                <w:sz w:val="20"/>
                <w:szCs w:val="20"/>
                <w:color w:val="auto"/>
              </w:rPr>
            </w:pPr>
            <w:r>
              <w:rPr>
                <w:rFonts w:ascii="Arial" w:cs="Arial" w:eastAsia="Arial" w:hAnsi="Arial"/>
                <w:sz w:val="18"/>
                <w:szCs w:val="18"/>
                <w:color w:val="auto"/>
              </w:rPr>
              <w:t>lump sum; one-half payable in bi-weekly</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640" w:type="dxa"/>
            <w:vAlign w:val="bottom"/>
          </w:tcPr>
          <w:p>
            <w:pPr>
              <w:ind w:left="60"/>
              <w:spacing w:after="0"/>
              <w:rPr>
                <w:sz w:val="20"/>
                <w:szCs w:val="20"/>
                <w:color w:val="auto"/>
              </w:rPr>
            </w:pPr>
            <w:r>
              <w:rPr>
                <w:rFonts w:ascii="Arial" w:cs="Arial" w:eastAsia="Arial" w:hAnsi="Arial"/>
                <w:sz w:val="18"/>
                <w:szCs w:val="18"/>
                <w:color w:val="auto"/>
              </w:rPr>
              <w:t>installments over a two-year period)</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7,540,000​​​</w:t>
            </w:r>
            <w:r>
              <w:rPr>
                <w:rFonts w:ascii="Arial" w:cs="Arial" w:eastAsia="Arial" w:hAnsi="Arial"/>
                <w:sz w:val="18"/>
                <w:szCs w:val="18"/>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3,193,200​​​</w:t>
            </w:r>
            <w:r>
              <w:rPr>
                <w:rFonts w:ascii="Arial" w:cs="Arial" w:eastAsia="Arial" w:hAnsi="Arial"/>
                <w:sz w:val="18"/>
                <w:szCs w:val="18"/>
                <w:b w:val="1"/>
                <w:bCs w:val="1"/>
                <w:color w:val="auto"/>
              </w:rPr>
              <w:t>​</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3,424,680​​​</w:t>
            </w:r>
            <w:r>
              <w:rPr>
                <w:rFonts w:ascii="Arial" w:cs="Arial" w:eastAsia="Arial" w:hAnsi="Arial"/>
                <w:sz w:val="18"/>
                <w:szCs w:val="18"/>
                <w:b w:val="1"/>
                <w:bCs w:val="1"/>
                <w:color w:val="auto"/>
              </w:rPr>
              <w:t>​</w:t>
            </w:r>
            <w:r>
              <w:rPr>
                <w:rFonts w:ascii="Arial" w:cs="Arial" w:eastAsia="Arial" w:hAnsi="Arial"/>
                <w:sz w:val="18"/>
                <w:szCs w:val="18"/>
                <w:color w:val="auto"/>
              </w:rPr>
              <w:t xml:space="preserve"> 2,730,000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2,568,800</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160" w:type="dxa"/>
            <w:vAlign w:val="bottom"/>
            <w:tcBorders>
              <w:top w:val="single" w:sz="8" w:color="457157"/>
            </w:tcBorders>
          </w:tcPr>
          <w:p>
            <w:pPr>
              <w:ind w:left="40"/>
              <w:spacing w:after="0"/>
              <w:rPr>
                <w:sz w:val="20"/>
                <w:szCs w:val="20"/>
                <w:color w:val="auto"/>
              </w:rPr>
            </w:pPr>
            <w:r>
              <w:rPr>
                <w:rFonts w:ascii="Arial" w:cs="Arial" w:eastAsia="Arial" w:hAnsi="Arial"/>
                <w:sz w:val="18"/>
                <w:szCs w:val="18"/>
                <w:color w:val="457157"/>
              </w:rPr>
              <w:t>•</w:t>
            </w:r>
          </w:p>
        </w:tc>
        <w:tc>
          <w:tcPr>
            <w:tcW w:w="364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Continued coverage under health and</w:t>
            </w:r>
          </w:p>
        </w:tc>
        <w:tc>
          <w:tcPr>
            <w:tcW w:w="22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0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00" w:type="dxa"/>
            <w:vAlign w:val="bottom"/>
            <w:tcBorders>
              <w:top w:val="single" w:sz="8" w:color="457157"/>
            </w:tcBorders>
          </w:tcPr>
          <w:p>
            <w:pPr>
              <w:spacing w:after="0"/>
              <w:rPr>
                <w:sz w:val="21"/>
                <w:szCs w:val="21"/>
                <w:color w:val="auto"/>
              </w:rPr>
            </w:pPr>
          </w:p>
        </w:tc>
        <w:tc>
          <w:tcPr>
            <w:tcW w:w="820" w:type="dxa"/>
            <w:vAlign w:val="bottom"/>
            <w:tcBorders>
              <w:top w:val="single" w:sz="8" w:color="457157"/>
            </w:tcBorders>
          </w:tcPr>
          <w:p>
            <w:pPr>
              <w:spacing w:after="0"/>
              <w:rPr>
                <w:sz w:val="21"/>
                <w:szCs w:val="21"/>
                <w:color w:val="auto"/>
              </w:rPr>
            </w:pPr>
          </w:p>
        </w:tc>
        <w:tc>
          <w:tcPr>
            <w:tcW w:w="280" w:type="dxa"/>
            <w:vAlign w:val="bottom"/>
            <w:tcBorders>
              <w:top w:val="single" w:sz="8" w:color="457157"/>
            </w:tcBorders>
          </w:tcPr>
          <w:p>
            <w:pPr>
              <w:spacing w:after="0"/>
              <w:rPr>
                <w:sz w:val="21"/>
                <w:szCs w:val="21"/>
                <w:color w:val="auto"/>
              </w:rPr>
            </w:pPr>
          </w:p>
        </w:tc>
        <w:tc>
          <w:tcPr>
            <w:tcW w:w="760" w:type="dxa"/>
            <w:vAlign w:val="bottom"/>
            <w:tcBorders>
              <w:top w:val="single" w:sz="8" w:color="457157"/>
            </w:tcBorders>
          </w:tcPr>
          <w:p>
            <w:pPr>
              <w:spacing w:after="0"/>
              <w:rPr>
                <w:sz w:val="21"/>
                <w:szCs w:val="21"/>
                <w:color w:val="auto"/>
              </w:rPr>
            </w:pPr>
          </w:p>
        </w:tc>
        <w:tc>
          <w:tcPr>
            <w:tcW w:w="220" w:type="dxa"/>
            <w:vAlign w:val="bottom"/>
            <w:tcBorders>
              <w:top w:val="single" w:sz="8" w:color="457157"/>
            </w:tcBorders>
          </w:tcPr>
          <w:p>
            <w:pPr>
              <w:spacing w:after="0"/>
              <w:rPr>
                <w:sz w:val="21"/>
                <w:szCs w:val="21"/>
                <w:color w:val="auto"/>
              </w:rPr>
            </w:pPr>
          </w:p>
        </w:tc>
        <w:tc>
          <w:tcPr>
            <w:tcW w:w="860" w:type="dxa"/>
            <w:vAlign w:val="bottom"/>
            <w:tcBorders>
              <w:top w:val="single" w:sz="8" w:color="457157"/>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3640" w:type="dxa"/>
            <w:vAlign w:val="bottom"/>
          </w:tcPr>
          <w:p>
            <w:pPr>
              <w:ind w:left="60"/>
              <w:spacing w:after="0"/>
              <w:rPr>
                <w:sz w:val="20"/>
                <w:szCs w:val="20"/>
                <w:color w:val="auto"/>
              </w:rPr>
            </w:pPr>
            <w:r>
              <w:rPr>
                <w:rFonts w:ascii="Arial" w:cs="Arial" w:eastAsia="Arial" w:hAnsi="Arial"/>
                <w:sz w:val="18"/>
                <w:szCs w:val="18"/>
                <w:color w:val="auto"/>
              </w:rPr>
              <w:t>welfare benefit plans for two years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32,636​​​</w:t>
            </w:r>
            <w:r>
              <w:rPr>
                <w:rFonts w:ascii="Arial" w:cs="Arial" w:eastAsia="Arial" w:hAnsi="Arial"/>
                <w:sz w:val="18"/>
                <w:szCs w:val="18"/>
                <w:b w:val="1"/>
                <w:bCs w:val="1"/>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32,636​​​</w:t>
            </w:r>
            <w:r>
              <w:rPr>
                <w:rFonts w:ascii="Arial" w:cs="Arial" w:eastAsia="Arial" w:hAnsi="Arial"/>
                <w:sz w:val="18"/>
                <w:szCs w:val="18"/>
                <w:b w:val="1"/>
                <w:bCs w:val="1"/>
                <w:color w:val="auto"/>
              </w:rPr>
              <w:t>​</w:t>
            </w:r>
          </w:p>
        </w:tc>
        <w:tc>
          <w:tcPr>
            <w:tcW w:w="1100" w:type="dxa"/>
            <w:vAlign w:val="bottom"/>
            <w:gridSpan w:val="2"/>
          </w:tcPr>
          <w:p>
            <w:pPr>
              <w:jc w:val="right"/>
              <w:ind w:right="41"/>
              <w:spacing w:after="0"/>
              <w:rPr>
                <w:sz w:val="20"/>
                <w:szCs w:val="20"/>
                <w:color w:val="auto"/>
              </w:rPr>
            </w:pPr>
            <w:r>
              <w:rPr>
                <w:rFonts w:ascii="Arial" w:cs="Arial" w:eastAsia="Arial" w:hAnsi="Arial"/>
                <w:sz w:val="18"/>
                <w:szCs w:val="18"/>
                <w:color w:val="auto"/>
              </w:rPr>
              <w:t>32,636​​​</w:t>
            </w: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32,636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32,636</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6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ind w:left="40"/>
              <w:spacing w:after="0" w:line="196" w:lineRule="exact"/>
              <w:rPr>
                <w:sz w:val="20"/>
                <w:szCs w:val="20"/>
                <w:color w:val="auto"/>
              </w:rPr>
            </w:pPr>
            <w:r>
              <w:rPr>
                <w:rFonts w:ascii="Arial" w:cs="Arial" w:eastAsia="Arial" w:hAnsi="Arial"/>
                <w:sz w:val="18"/>
                <w:szCs w:val="18"/>
                <w:color w:val="457157"/>
              </w:rPr>
              <w:t>•</w:t>
            </w:r>
          </w:p>
        </w:tc>
        <w:tc>
          <w:tcPr>
            <w:tcW w:w="3640" w:type="dxa"/>
            <w:vAlign w:val="bottom"/>
          </w:tcPr>
          <w:p>
            <w:pPr>
              <w:ind w:left="60"/>
              <w:spacing w:after="0" w:line="196" w:lineRule="exact"/>
              <w:rPr>
                <w:sz w:val="20"/>
                <w:szCs w:val="20"/>
                <w:color w:val="auto"/>
              </w:rPr>
            </w:pPr>
            <w:r>
              <w:rPr>
                <w:rFonts w:ascii="Arial" w:cs="Arial" w:eastAsia="Arial" w:hAnsi="Arial"/>
                <w:sz w:val="18"/>
                <w:szCs w:val="18"/>
                <w:color w:val="auto"/>
              </w:rPr>
              <w:t>Accelerated vesting of stock options</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3,285,022</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794,149</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934,694</w:t>
            </w:r>
          </w:p>
        </w:tc>
        <w:tc>
          <w:tcPr>
            <w:tcW w:w="280" w:type="dxa"/>
            <w:vAlign w:val="bottom"/>
          </w:tcPr>
          <w:p>
            <w:pPr>
              <w:jc w:val="right"/>
              <w:ind w:right="41"/>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618,378</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660,390</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3640" w:type="dxa"/>
            <w:vAlign w:val="bottom"/>
          </w:tcPr>
          <w:p>
            <w:pPr>
              <w:spacing w:after="0"/>
              <w:rPr>
                <w:sz w:val="4"/>
                <w:szCs w:val="4"/>
                <w:color w:val="auto"/>
              </w:rPr>
            </w:pPr>
          </w:p>
        </w:tc>
        <w:tc>
          <w:tcPr>
            <w:tcW w:w="220" w:type="dxa"/>
            <w:vAlign w:val="bottom"/>
          </w:tcPr>
          <w:p>
            <w:pPr>
              <w:jc w:val="right"/>
              <w:ind w:right="8"/>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80" w:type="dxa"/>
            <w:vAlign w:val="bottom"/>
          </w:tcPr>
          <w:p>
            <w:pPr>
              <w:jc w:val="right"/>
              <w:ind w:right="81"/>
              <w:spacing w:after="0" w:line="54" w:lineRule="exact"/>
              <w:rPr>
                <w:sz w:val="20"/>
                <w:szCs w:val="20"/>
                <w:color w:val="auto"/>
              </w:rPr>
            </w:pPr>
            <w:r>
              <w:rPr>
                <w:rFonts w:ascii="Arial" w:cs="Arial" w:eastAsia="Arial" w:hAnsi="Arial"/>
                <w:sz w:val="6"/>
                <w:szCs w:val="6"/>
                <w:color w:val="auto"/>
              </w:rPr>
              <w:t>​​​</w:t>
            </w:r>
          </w:p>
        </w:tc>
        <w:tc>
          <w:tcPr>
            <w:tcW w:w="760" w:type="dxa"/>
            <w:vAlign w:val="bottom"/>
          </w:tcPr>
          <w:p>
            <w:pPr>
              <w:spacing w:after="0"/>
              <w:rPr>
                <w:sz w:val="4"/>
                <w:szCs w:val="4"/>
                <w:color w:val="auto"/>
              </w:rPr>
            </w:pPr>
          </w:p>
        </w:tc>
        <w:tc>
          <w:tcPr>
            <w:tcW w:w="220" w:type="dxa"/>
            <w:vAlign w:val="bottom"/>
          </w:tcPr>
          <w:p>
            <w:pPr>
              <w:jc w:val="right"/>
              <w:ind w:right="8"/>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6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04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ind w:left="40"/>
              <w:spacing w:after="0" w:line="196" w:lineRule="exact"/>
              <w:rPr>
                <w:sz w:val="20"/>
                <w:szCs w:val="20"/>
                <w:color w:val="auto"/>
              </w:rPr>
            </w:pPr>
            <w:r>
              <w:rPr>
                <w:rFonts w:ascii="Arial" w:cs="Arial" w:eastAsia="Arial" w:hAnsi="Arial"/>
                <w:sz w:val="18"/>
                <w:szCs w:val="18"/>
                <w:color w:val="457157"/>
              </w:rPr>
              <w:t>•</w:t>
            </w:r>
          </w:p>
        </w:tc>
        <w:tc>
          <w:tcPr>
            <w:tcW w:w="3640" w:type="dxa"/>
            <w:vAlign w:val="bottom"/>
          </w:tcPr>
          <w:p>
            <w:pPr>
              <w:ind w:left="60"/>
              <w:spacing w:after="0" w:line="196" w:lineRule="exact"/>
              <w:rPr>
                <w:sz w:val="20"/>
                <w:szCs w:val="20"/>
                <w:color w:val="auto"/>
              </w:rPr>
            </w:pPr>
            <w:r>
              <w:rPr>
                <w:rFonts w:ascii="Arial" w:cs="Arial" w:eastAsia="Arial" w:hAnsi="Arial"/>
                <w:sz w:val="18"/>
                <w:szCs w:val="18"/>
                <w:color w:val="auto"/>
              </w:rPr>
              <w:t>Prorated accelerated payment of PSUs</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9,607,760</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2,266,505</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2,729,815</w:t>
            </w: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1,829,294</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1,970,816</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3640" w:type="dxa"/>
            <w:vAlign w:val="bottom"/>
          </w:tcPr>
          <w:p>
            <w:pPr>
              <w:spacing w:after="0"/>
              <w:rPr>
                <w:sz w:val="4"/>
                <w:szCs w:val="4"/>
                <w:color w:val="auto"/>
              </w:rPr>
            </w:pPr>
          </w:p>
        </w:tc>
        <w:tc>
          <w:tcPr>
            <w:tcW w:w="220" w:type="dxa"/>
            <w:vAlign w:val="bottom"/>
          </w:tcPr>
          <w:p>
            <w:pPr>
              <w:jc w:val="right"/>
              <w:ind w:right="8"/>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80" w:type="dxa"/>
            <w:vAlign w:val="bottom"/>
          </w:tcPr>
          <w:p>
            <w:pPr>
              <w:jc w:val="right"/>
              <w:ind w:right="81"/>
              <w:spacing w:after="0" w:line="54" w:lineRule="exact"/>
              <w:rPr>
                <w:sz w:val="20"/>
                <w:szCs w:val="20"/>
                <w:color w:val="auto"/>
              </w:rPr>
            </w:pPr>
            <w:r>
              <w:rPr>
                <w:rFonts w:ascii="Arial" w:cs="Arial" w:eastAsia="Arial" w:hAnsi="Arial"/>
                <w:sz w:val="6"/>
                <w:szCs w:val="6"/>
                <w:color w:val="auto"/>
              </w:rPr>
              <w:t>​​​</w:t>
            </w:r>
          </w:p>
        </w:tc>
        <w:tc>
          <w:tcPr>
            <w:tcW w:w="760" w:type="dxa"/>
            <w:vAlign w:val="bottom"/>
          </w:tcPr>
          <w:p>
            <w:pPr>
              <w:spacing w:after="0"/>
              <w:rPr>
                <w:sz w:val="4"/>
                <w:szCs w:val="4"/>
                <w:color w:val="auto"/>
              </w:rPr>
            </w:pPr>
          </w:p>
        </w:tc>
        <w:tc>
          <w:tcPr>
            <w:tcW w:w="220" w:type="dxa"/>
            <w:vAlign w:val="bottom"/>
          </w:tcPr>
          <w:p>
            <w:pPr>
              <w:jc w:val="right"/>
              <w:ind w:right="8"/>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457157"/>
            </w:tcBorders>
          </w:tcPr>
          <w:p>
            <w:pPr>
              <w:ind w:left="40"/>
              <w:spacing w:after="0" w:line="196" w:lineRule="exact"/>
              <w:rPr>
                <w:sz w:val="20"/>
                <w:szCs w:val="20"/>
                <w:color w:val="auto"/>
              </w:rPr>
            </w:pPr>
            <w:r>
              <w:rPr>
                <w:rFonts w:ascii="Arial" w:cs="Arial" w:eastAsia="Arial" w:hAnsi="Arial"/>
                <w:sz w:val="18"/>
                <w:szCs w:val="18"/>
                <w:color w:val="457157"/>
              </w:rPr>
              <w:t>•</w:t>
            </w:r>
          </w:p>
        </w:tc>
        <w:tc>
          <w:tcPr>
            <w:tcW w:w="3640" w:type="dxa"/>
            <w:vAlign w:val="bottom"/>
            <w:tcBorders>
              <w:top w:val="single" w:sz="8" w:color="457157"/>
            </w:tcBorders>
          </w:tcPr>
          <w:p>
            <w:pPr>
              <w:ind w:left="60"/>
              <w:spacing w:after="0" w:line="196" w:lineRule="exact"/>
              <w:rPr>
                <w:sz w:val="20"/>
                <w:szCs w:val="20"/>
                <w:color w:val="auto"/>
              </w:rPr>
            </w:pPr>
            <w:r>
              <w:rPr>
                <w:rFonts w:ascii="Arial" w:cs="Arial" w:eastAsia="Arial" w:hAnsi="Arial"/>
                <w:sz w:val="18"/>
                <w:szCs w:val="18"/>
                <w:color w:val="auto"/>
              </w:rPr>
              <w:t>Accelerated payment of PSUs</w:t>
            </w:r>
          </w:p>
        </w:tc>
        <w:tc>
          <w:tcPr>
            <w:tcW w:w="2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w w:val="99"/>
              </w:rPr>
              <w:t>8,860,464</w:t>
            </w:r>
          </w:p>
        </w:tc>
        <w:tc>
          <w:tcPr>
            <w:tcW w:w="20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w w:val="99"/>
              </w:rPr>
              <w:t>2,090,141</w:t>
            </w:r>
          </w:p>
        </w:tc>
        <w:tc>
          <w:tcPr>
            <w:tcW w:w="20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w w:val="99"/>
              </w:rPr>
              <w:t>2,592,194</w:t>
            </w:r>
          </w:p>
        </w:tc>
        <w:tc>
          <w:tcPr>
            <w:tcW w:w="1040" w:type="dxa"/>
            <w:vAlign w:val="bottom"/>
            <w:tcBorders>
              <w:top w:val="single" w:sz="8" w:color="457157"/>
            </w:tcBorders>
            <w:gridSpan w:val="2"/>
            <w:vMerge w:val="restart"/>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1,746,829</w:t>
            </w:r>
          </w:p>
        </w:tc>
        <w:tc>
          <w:tcPr>
            <w:tcW w:w="22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457157"/>
            </w:tcBorders>
            <w:vMerge w:val="restart"/>
          </w:tcPr>
          <w:p>
            <w:pPr>
              <w:jc w:val="right"/>
              <w:spacing w:after="0"/>
              <w:rPr>
                <w:sz w:val="20"/>
                <w:szCs w:val="20"/>
                <w:color w:val="auto"/>
              </w:rPr>
            </w:pPr>
            <w:r>
              <w:rPr>
                <w:rFonts w:ascii="Arial" w:cs="Arial" w:eastAsia="Arial" w:hAnsi="Arial"/>
                <w:sz w:val="18"/>
                <w:szCs w:val="18"/>
                <w:color w:val="auto"/>
              </w:rPr>
              <w:t>1,817,590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640" w:type="dxa"/>
            <w:vAlign w:val="bottom"/>
          </w:tcPr>
          <w:p>
            <w:pPr>
              <w:ind w:left="60"/>
              <w:spacing w:after="0" w:line="189" w:lineRule="exact"/>
              <w:rPr>
                <w:sz w:val="20"/>
                <w:szCs w:val="20"/>
                <w:color w:val="auto"/>
              </w:rPr>
            </w:pPr>
            <w:r>
              <w:rPr>
                <w:rFonts w:ascii="Arial" w:cs="Arial" w:eastAsia="Arial" w:hAnsi="Arial"/>
                <w:sz w:val="18"/>
                <w:szCs w:val="18"/>
                <w:color w:val="auto"/>
              </w:rPr>
              <w:t>replacement grant</w:t>
            </w:r>
          </w:p>
        </w:tc>
        <w:tc>
          <w:tcPr>
            <w:tcW w:w="2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vMerge w:val="continue"/>
          </w:tcPr>
          <w:p>
            <w:pPr>
              <w:spacing w:after="0"/>
              <w:rPr>
                <w:sz w:val="4"/>
                <w:szCs w:val="4"/>
                <w:color w:val="auto"/>
              </w:rPr>
            </w:pPr>
          </w:p>
        </w:tc>
        <w:tc>
          <w:tcPr>
            <w:tcW w:w="3640" w:type="dxa"/>
            <w:vAlign w:val="bottom"/>
          </w:tcPr>
          <w:p>
            <w:pPr>
              <w:spacing w:after="0"/>
              <w:rPr>
                <w:sz w:val="4"/>
                <w:szCs w:val="4"/>
                <w:color w:val="auto"/>
              </w:rPr>
            </w:pPr>
          </w:p>
        </w:tc>
        <w:tc>
          <w:tcPr>
            <w:tcW w:w="220" w:type="dxa"/>
            <w:vAlign w:val="bottom"/>
          </w:tcPr>
          <w:p>
            <w:pPr>
              <w:jc w:val="right"/>
              <w:ind w:right="8"/>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80" w:type="dxa"/>
            <w:vAlign w:val="bottom"/>
          </w:tcPr>
          <w:p>
            <w:pPr>
              <w:jc w:val="right"/>
              <w:ind w:right="81"/>
              <w:spacing w:after="0" w:line="54" w:lineRule="exact"/>
              <w:rPr>
                <w:sz w:val="20"/>
                <w:szCs w:val="20"/>
                <w:color w:val="auto"/>
              </w:rPr>
            </w:pPr>
            <w:r>
              <w:rPr>
                <w:rFonts w:ascii="Arial" w:cs="Arial" w:eastAsia="Arial" w:hAnsi="Arial"/>
                <w:sz w:val="6"/>
                <w:szCs w:val="6"/>
                <w:color w:val="auto"/>
              </w:rPr>
              <w:t>​​​</w:t>
            </w:r>
          </w:p>
        </w:tc>
        <w:tc>
          <w:tcPr>
            <w:tcW w:w="760" w:type="dxa"/>
            <w:vAlign w:val="bottom"/>
          </w:tcPr>
          <w:p>
            <w:pPr>
              <w:spacing w:after="0"/>
              <w:rPr>
                <w:sz w:val="4"/>
                <w:szCs w:val="4"/>
                <w:color w:val="auto"/>
              </w:rPr>
            </w:pPr>
          </w:p>
        </w:tc>
        <w:tc>
          <w:tcPr>
            <w:tcW w:w="220" w:type="dxa"/>
            <w:vAlign w:val="bottom"/>
          </w:tcPr>
          <w:p>
            <w:pPr>
              <w:jc w:val="right"/>
              <w:ind w:right="8"/>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6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104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ind w:left="40"/>
              <w:spacing w:after="0" w:line="196" w:lineRule="exact"/>
              <w:rPr>
                <w:sz w:val="20"/>
                <w:szCs w:val="20"/>
                <w:color w:val="auto"/>
              </w:rPr>
            </w:pPr>
            <w:r>
              <w:rPr>
                <w:rFonts w:ascii="Arial" w:cs="Arial" w:eastAsia="Arial" w:hAnsi="Arial"/>
                <w:sz w:val="18"/>
                <w:szCs w:val="18"/>
                <w:color w:val="457157"/>
              </w:rPr>
              <w:t>•</w:t>
            </w:r>
          </w:p>
        </w:tc>
        <w:tc>
          <w:tcPr>
            <w:tcW w:w="3640" w:type="dxa"/>
            <w:vAlign w:val="bottom"/>
          </w:tcPr>
          <w:p>
            <w:pPr>
              <w:ind w:left="60"/>
              <w:spacing w:after="0" w:line="196" w:lineRule="exact"/>
              <w:rPr>
                <w:sz w:val="20"/>
                <w:szCs w:val="20"/>
                <w:color w:val="auto"/>
              </w:rPr>
            </w:pPr>
            <w:r>
              <w:rPr>
                <w:rFonts w:ascii="Arial" w:cs="Arial" w:eastAsia="Arial" w:hAnsi="Arial"/>
                <w:sz w:val="18"/>
                <w:szCs w:val="18"/>
                <w:color w:val="auto"/>
              </w:rPr>
              <w:t>Accelerated vesting of RSUs</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1,372,777</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2,059,065</w:t>
            </w:r>
          </w:p>
        </w:tc>
        <w:tc>
          <w:tcPr>
            <w:tcW w:w="104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1,029,533</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617,679</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3640" w:type="dxa"/>
            <w:vAlign w:val="bottom"/>
          </w:tcPr>
          <w:p>
            <w:pPr>
              <w:spacing w:after="0"/>
              <w:rPr>
                <w:sz w:val="4"/>
                <w:szCs w:val="4"/>
                <w:color w:val="auto"/>
              </w:rPr>
            </w:pPr>
          </w:p>
        </w:tc>
        <w:tc>
          <w:tcPr>
            <w:tcW w:w="220" w:type="dxa"/>
            <w:vAlign w:val="bottom"/>
          </w:tcPr>
          <w:p>
            <w:pPr>
              <w:jc w:val="right"/>
              <w:ind w:right="8"/>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80" w:type="dxa"/>
            <w:vAlign w:val="bottom"/>
          </w:tcPr>
          <w:p>
            <w:pPr>
              <w:jc w:val="right"/>
              <w:ind w:right="81"/>
              <w:spacing w:after="0" w:line="54" w:lineRule="exact"/>
              <w:rPr>
                <w:sz w:val="20"/>
                <w:szCs w:val="20"/>
                <w:color w:val="auto"/>
              </w:rPr>
            </w:pPr>
            <w:r>
              <w:rPr>
                <w:rFonts w:ascii="Arial" w:cs="Arial" w:eastAsia="Arial" w:hAnsi="Arial"/>
                <w:sz w:val="6"/>
                <w:szCs w:val="6"/>
                <w:color w:val="auto"/>
              </w:rPr>
              <w:t>​​​</w:t>
            </w:r>
          </w:p>
        </w:tc>
        <w:tc>
          <w:tcPr>
            <w:tcW w:w="760" w:type="dxa"/>
            <w:vAlign w:val="bottom"/>
          </w:tcPr>
          <w:p>
            <w:pPr>
              <w:spacing w:after="0"/>
              <w:rPr>
                <w:sz w:val="4"/>
                <w:szCs w:val="4"/>
                <w:color w:val="auto"/>
              </w:rPr>
            </w:pPr>
          </w:p>
        </w:tc>
        <w:tc>
          <w:tcPr>
            <w:tcW w:w="220" w:type="dxa"/>
            <w:vAlign w:val="bottom"/>
          </w:tcPr>
          <w:p>
            <w:pPr>
              <w:jc w:val="right"/>
              <w:ind w:right="8"/>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6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ind w:left="40"/>
              <w:spacing w:after="0" w:line="196" w:lineRule="exact"/>
              <w:rPr>
                <w:sz w:val="20"/>
                <w:szCs w:val="20"/>
                <w:color w:val="auto"/>
              </w:rPr>
            </w:pPr>
            <w:r>
              <w:rPr>
                <w:rFonts w:ascii="Arial" w:cs="Arial" w:eastAsia="Arial" w:hAnsi="Arial"/>
                <w:sz w:val="18"/>
                <w:szCs w:val="18"/>
                <w:color w:val="457157"/>
              </w:rPr>
              <w:t>•</w:t>
            </w:r>
          </w:p>
        </w:tc>
        <w:tc>
          <w:tcPr>
            <w:tcW w:w="3640" w:type="dxa"/>
            <w:vAlign w:val="bottom"/>
          </w:tcPr>
          <w:p>
            <w:pPr>
              <w:ind w:left="60"/>
              <w:spacing w:after="0" w:line="195" w:lineRule="exact"/>
              <w:rPr>
                <w:sz w:val="20"/>
                <w:szCs w:val="20"/>
                <w:color w:val="auto"/>
              </w:rPr>
            </w:pPr>
            <w:r>
              <w:rPr>
                <w:rFonts w:ascii="Arial" w:cs="Arial" w:eastAsia="Arial" w:hAnsi="Arial"/>
                <w:sz w:val="17"/>
                <w:szCs w:val="17"/>
                <w:color w:val="auto"/>
              </w:rPr>
              <w:t>Prorated annual cash bonus</w:t>
            </w:r>
            <w:r>
              <w:rPr>
                <w:rFonts w:ascii="Arial" w:cs="Arial" w:eastAsia="Arial" w:hAnsi="Arial"/>
                <w:sz w:val="22"/>
                <w:szCs w:val="22"/>
                <w:color w:val="auto"/>
                <w:vertAlign w:val="superscript"/>
              </w:rPr>
              <w:t>(1)</w:t>
            </w:r>
          </w:p>
        </w:tc>
        <w:tc>
          <w:tcPr>
            <w:tcW w:w="2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4,640,000</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1,596,600</w:t>
            </w:r>
          </w:p>
        </w:tc>
        <w:tc>
          <w:tcPr>
            <w:tcW w:w="2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9"/>
              </w:rPr>
              <w:t>1,793,880</w:t>
            </w:r>
          </w:p>
        </w:tc>
        <w:tc>
          <w:tcPr>
            <w:tcW w:w="280" w:type="dxa"/>
            <w:vAlign w:val="bottom"/>
          </w:tcPr>
          <w:p>
            <w:pPr>
              <w:jc w:val="right"/>
              <w:ind w:right="41"/>
              <w:spacing w:after="0" w:line="196" w:lineRule="exact"/>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665,000</w:t>
            </w:r>
          </w:p>
        </w:tc>
        <w:tc>
          <w:tcPr>
            <w:tcW w:w="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608,400</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60" w:type="dxa"/>
            <w:vAlign w:val="bottom"/>
          </w:tcPr>
          <w:p>
            <w:pPr>
              <w:ind w:left="20"/>
              <w:spacing w:after="0" w:line="54" w:lineRule="exact"/>
              <w:rPr>
                <w:sz w:val="20"/>
                <w:szCs w:val="20"/>
                <w:color w:val="auto"/>
              </w:rPr>
            </w:pPr>
            <w:r>
              <w:rPr>
                <w:rFonts w:ascii="Arial" w:cs="Arial" w:eastAsia="Arial" w:hAnsi="Arial"/>
                <w:sz w:val="6"/>
                <w:szCs w:val="6"/>
                <w:color w:val="auto"/>
              </w:rPr>
              <w:t>​</w:t>
            </w:r>
          </w:p>
        </w:tc>
        <w:tc>
          <w:tcPr>
            <w:tcW w:w="3640" w:type="dxa"/>
            <w:vAlign w:val="bottom"/>
          </w:tcPr>
          <w:p>
            <w:pPr>
              <w:spacing w:after="0"/>
              <w:rPr>
                <w:sz w:val="4"/>
                <w:szCs w:val="4"/>
                <w:color w:val="auto"/>
              </w:rPr>
            </w:pPr>
          </w:p>
        </w:tc>
        <w:tc>
          <w:tcPr>
            <w:tcW w:w="220" w:type="dxa"/>
            <w:vAlign w:val="bottom"/>
          </w:tcPr>
          <w:p>
            <w:pPr>
              <w:jc w:val="right"/>
              <w:ind w:right="8"/>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00" w:type="dxa"/>
            <w:vAlign w:val="bottom"/>
          </w:tcPr>
          <w:p>
            <w:pPr>
              <w:jc w:val="right"/>
              <w:ind w:right="21"/>
              <w:spacing w:after="0" w:line="54" w:lineRule="exact"/>
              <w:rPr>
                <w:sz w:val="20"/>
                <w:szCs w:val="20"/>
                <w:color w:val="auto"/>
              </w:rPr>
            </w:pPr>
            <w:r>
              <w:rPr>
                <w:rFonts w:ascii="Arial" w:cs="Arial" w:eastAsia="Arial" w:hAnsi="Arial"/>
                <w:sz w:val="6"/>
                <w:szCs w:val="6"/>
                <w:color w:val="auto"/>
              </w:rPr>
              <w:t>​​​</w:t>
            </w:r>
          </w:p>
        </w:tc>
        <w:tc>
          <w:tcPr>
            <w:tcW w:w="820" w:type="dxa"/>
            <w:vAlign w:val="bottom"/>
          </w:tcPr>
          <w:p>
            <w:pPr>
              <w:spacing w:after="0"/>
              <w:rPr>
                <w:sz w:val="4"/>
                <w:szCs w:val="4"/>
                <w:color w:val="auto"/>
              </w:rPr>
            </w:pPr>
          </w:p>
        </w:tc>
        <w:tc>
          <w:tcPr>
            <w:tcW w:w="280" w:type="dxa"/>
            <w:vAlign w:val="bottom"/>
          </w:tcPr>
          <w:p>
            <w:pPr>
              <w:jc w:val="right"/>
              <w:ind w:right="81"/>
              <w:spacing w:after="0" w:line="54" w:lineRule="exact"/>
              <w:rPr>
                <w:sz w:val="20"/>
                <w:szCs w:val="20"/>
                <w:color w:val="auto"/>
              </w:rPr>
            </w:pPr>
            <w:r>
              <w:rPr>
                <w:rFonts w:ascii="Arial" w:cs="Arial" w:eastAsia="Arial" w:hAnsi="Arial"/>
                <w:sz w:val="6"/>
                <w:szCs w:val="6"/>
                <w:color w:val="auto"/>
              </w:rPr>
              <w:t>​​​</w:t>
            </w:r>
          </w:p>
        </w:tc>
        <w:tc>
          <w:tcPr>
            <w:tcW w:w="760" w:type="dxa"/>
            <w:vAlign w:val="bottom"/>
          </w:tcPr>
          <w:p>
            <w:pPr>
              <w:spacing w:after="0"/>
              <w:rPr>
                <w:sz w:val="4"/>
                <w:szCs w:val="4"/>
                <w:color w:val="auto"/>
              </w:rPr>
            </w:pPr>
          </w:p>
        </w:tc>
        <w:tc>
          <w:tcPr>
            <w:tcW w:w="220" w:type="dxa"/>
            <w:vAlign w:val="bottom"/>
          </w:tcPr>
          <w:p>
            <w:pPr>
              <w:jc w:val="right"/>
              <w:ind w:right="8"/>
              <w:spacing w:after="0" w:line="54" w:lineRule="exact"/>
              <w:rPr>
                <w:sz w:val="20"/>
                <w:szCs w:val="20"/>
                <w:color w:val="auto"/>
              </w:rPr>
            </w:pPr>
            <w:r>
              <w:rPr>
                <w:rFonts w:ascii="Arial" w:cs="Arial" w:eastAsia="Arial" w:hAnsi="Arial"/>
                <w:sz w:val="6"/>
                <w:szCs w:val="6"/>
                <w:color w:val="auto"/>
              </w:rPr>
              <w:t>​​​</w:t>
            </w:r>
          </w:p>
        </w:tc>
        <w:tc>
          <w:tcPr>
            <w:tcW w:w="8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800" w:type="dxa"/>
            <w:vAlign w:val="bottom"/>
            <w:gridSpan w:val="2"/>
            <w:shd w:val="clear" w:color="auto" w:fill="457157"/>
          </w:tcPr>
          <w:p>
            <w:pPr>
              <w:spacing w:after="0" w:line="20" w:lineRule="exact"/>
              <w:rPr>
                <w:sz w:val="1"/>
                <w:szCs w:val="1"/>
                <w:color w:val="auto"/>
              </w:rPr>
            </w:pPr>
          </w:p>
        </w:tc>
        <w:tc>
          <w:tcPr>
            <w:tcW w:w="4120" w:type="dxa"/>
            <w:vAlign w:val="bottom"/>
            <w:gridSpan w:val="8"/>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8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4120" w:type="dxa"/>
            <w:vAlign w:val="bottom"/>
            <w:gridSpan w:val="8"/>
          </w:tcPr>
          <w:p>
            <w:pPr>
              <w:jc w:val="right"/>
              <w:spacing w:after="0"/>
              <w:rPr>
                <w:sz w:val="20"/>
                <w:szCs w:val="20"/>
                <w:color w:val="auto"/>
              </w:rPr>
            </w:pPr>
            <w:r>
              <w:rPr>
                <w:rFonts w:ascii="Arial" w:cs="Arial" w:eastAsia="Arial" w:hAnsi="Arial"/>
                <w:sz w:val="18"/>
                <w:szCs w:val="18"/>
                <w:b w:val="1"/>
                <w:bCs w:val="1"/>
                <w:color w:val="auto"/>
              </w:rPr>
              <w:t>​​​33,965,882​​​​11,346,008​​​​13,566,964​​​​ 8,651,670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8,276,311</w:t>
            </w:r>
          </w:p>
        </w:tc>
        <w:tc>
          <w:tcPr>
            <w:tcW w:w="10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36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100" w:type="dxa"/>
            <w:vAlign w:val="bottom"/>
            <w:tcBorders>
              <w:left w:val="single" w:sz="8" w:color="45715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-4919980</wp:posOffset>
            </wp:positionV>
            <wp:extent cx="5760720" cy="1714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-4422775</wp:posOffset>
            </wp:positionV>
            <wp:extent cx="5760720" cy="1631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-4097020</wp:posOffset>
            </wp:positionV>
            <wp:extent cx="5760720" cy="6000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760720" cy="60007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-3171190</wp:posOffset>
            </wp:positionV>
            <wp:extent cx="5760720" cy="4629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760720" cy="46291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-2536825</wp:posOffset>
            </wp:positionV>
            <wp:extent cx="5760720" cy="1631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760720" cy="16319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-2073910</wp:posOffset>
            </wp:positionV>
            <wp:extent cx="5760720" cy="6000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760720" cy="60007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-1148080</wp:posOffset>
            </wp:positionV>
            <wp:extent cx="5760720" cy="1714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-805180</wp:posOffset>
            </wp:positionV>
            <wp:extent cx="5760720" cy="29146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760720" cy="29146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-342265</wp:posOffset>
            </wp:positionV>
            <wp:extent cx="5760720" cy="1714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760720" cy="171450"/>
                    </a:xfrm>
                    <a:prstGeom prst="rect">
                      <a:avLst/>
                    </a:prstGeom>
                    <a:noFill/>
                  </pic:spPr>
                </pic:pic>
              </a:graphicData>
            </a:graphic>
          </wp:anchor>
        </w:drawing>
      </w:r>
    </w:p>
    <w:p>
      <w:pPr>
        <w:spacing w:after="0" w:line="15" w:lineRule="exact"/>
        <w:rPr>
          <w:sz w:val="20"/>
          <w:szCs w:val="20"/>
          <w:color w:val="auto"/>
        </w:rPr>
      </w:pPr>
    </w:p>
    <w:p>
      <w:pPr>
        <w:jc w:val="both"/>
        <w:ind w:left="1180" w:right="60" w:hanging="364"/>
        <w:spacing w:after="0" w:line="257" w:lineRule="auto"/>
        <w:tabs>
          <w:tab w:leader="none" w:pos="11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Pursuant to the Severance Protection Plan, Ms. Hemmer and Mr. Carrasco receive a prorated target annual cash bonus under this scenario. Mr. Fish, Ms. Rankin, and Mr. Morris receive a prorated maximum annual cash bonus under this scenario pursuant to their 2017 Employment Agreements. The 2017 Employment Agreements provided for this enhanced treatment partially on account of similar terms in pre-existing employment agreements that executives were agreeing to terminate in order to support the Company’s transition toward a more standardized and flexible approach to severance protections.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27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1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Chief Executive Officer Pay Ratio</w:t>
      </w:r>
    </w:p>
    <w:p>
      <w:pPr>
        <w:spacing w:after="0" w:line="81" w:lineRule="exact"/>
        <w:rPr>
          <w:sz w:val="20"/>
          <w:szCs w:val="20"/>
          <w:color w:val="auto"/>
        </w:rPr>
      </w:pPr>
    </w:p>
    <w:p>
      <w:pPr>
        <w:jc w:val="both"/>
        <w:ind w:left="820" w:right="660"/>
        <w:spacing w:after="0" w:line="242" w:lineRule="auto"/>
        <w:rPr>
          <w:sz w:val="20"/>
          <w:szCs w:val="20"/>
          <w:color w:val="auto"/>
        </w:rPr>
      </w:pPr>
      <w:r>
        <w:rPr>
          <w:rFonts w:ascii="Arial" w:cs="Arial" w:eastAsia="Arial" w:hAnsi="Arial"/>
          <w:sz w:val="18"/>
          <w:szCs w:val="18"/>
          <w:color w:val="auto"/>
        </w:rPr>
        <w:t>In 2025, we reconducted our analysis to identify the Company’s median employee, based on total annual compensation for all employees other than our Chief Executive Officer, in accordance with SEC Regulation S-K, Item 402(u) (the “Median Employee”). To select the Median Employee, we determined the actual taxable compensation paid to each listed employee in 2024 and converted to U.S. dollars at appropriate exchange rates for non-U.S. employees. We did not apply any cost-of -living adjustments, nor did we use any form of statistical sampling. The Median Employee, a Shift Maintenance Supervisor in the U.S., was identified from a list of Company employees as of December 1, 2024. Out of a total worldwide employee population of 61,817 on that date, the list included 58,862 employees and excluded the Chief Executive Officer and 2,954 non-U.S. employees. The number of employees excluded from the list of Company employees comprised 4.8% of our total employee population on such date, and the breakdown of the number of excluded employees and the respective jurisdiction of those employees is as follows: India — 1,509; Spain — 703; Portugal — 443; Ireland — 143; France —  75; Germany — 67; Belgium — 10; Netherlands — 3; and Luxembourg — 1. Of the Company employees that were included on the list of employees as of December 1, 2024, for purposes of identifying the Median Employee, approximately 92.1% of these total employees work in the U.S., 5.3% work in Canada, and 2.6% work in United Kingdom. Over 99% of these individuals are full-time employees. Any temporary or seasonal employees are included; any subcontracted workers are not employees and are excluded. For 2024, total annual compensation for the Median Employee was $85,147.91. The annual compensation of our Chief Executive Officer was $17,097,120, for a ratio of 1:201. These values were calculated in accordance with SEC Regulation S-K, Item 402(c)(2)(x) requirements for reporting total compensation in the Summary Compensation Table.</w:t>
      </w:r>
    </w:p>
    <w:p>
      <w:pPr>
        <w:spacing w:after="0" w:line="200" w:lineRule="exact"/>
        <w:rPr>
          <w:sz w:val="20"/>
          <w:szCs w:val="20"/>
          <w:color w:val="auto"/>
        </w:rPr>
      </w:pPr>
    </w:p>
    <w:p>
      <w:pPr>
        <w:spacing w:after="0" w:line="388"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Equity Compensation Plan Table</w:t>
      </w:r>
    </w:p>
    <w:p>
      <w:pPr>
        <w:spacing w:after="0" w:line="81" w:lineRule="exact"/>
        <w:rPr>
          <w:sz w:val="20"/>
          <w:szCs w:val="20"/>
          <w:color w:val="auto"/>
        </w:rPr>
      </w:pPr>
    </w:p>
    <w:p>
      <w:pPr>
        <w:jc w:val="both"/>
        <w:ind w:left="820" w:right="660"/>
        <w:spacing w:after="0" w:line="261" w:lineRule="auto"/>
        <w:rPr>
          <w:sz w:val="20"/>
          <w:szCs w:val="20"/>
          <w:color w:val="auto"/>
        </w:rPr>
      </w:pPr>
      <w:r>
        <w:rPr>
          <w:rFonts w:ascii="Arial" w:cs="Arial" w:eastAsia="Arial" w:hAnsi="Arial"/>
          <w:sz w:val="18"/>
          <w:szCs w:val="18"/>
          <w:color w:val="auto"/>
        </w:rPr>
        <w:t>The following table provides information as of December 31, 2024 about the number of shares to be issued upon vesting or exercise of equity awards and shares remaining available for issuance under our equity compensation plans.</w:t>
      </w:r>
    </w:p>
    <w:p>
      <w:pPr>
        <w:spacing w:after="0" w:line="74"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348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Number of</w:t>
            </w:r>
          </w:p>
        </w:tc>
        <w:tc>
          <w:tcPr>
            <w:tcW w:w="1660" w:type="dxa"/>
            <w:vAlign w:val="bottom"/>
          </w:tcPr>
          <w:p>
            <w:pPr>
              <w:spacing w:after="0"/>
              <w:rPr>
                <w:sz w:val="14"/>
                <w:szCs w:val="14"/>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457157"/>
              </w:rPr>
              <w:t>Number of</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3480" w:type="dxa"/>
            <w:vAlign w:val="bottom"/>
            <w:vMerge w:val="continue"/>
          </w:tcPr>
          <w:p>
            <w:pPr>
              <w:spacing w:after="0"/>
              <w:rPr>
                <w:sz w:val="12"/>
                <w:szCs w:val="12"/>
                <w:color w:val="auto"/>
              </w:rPr>
            </w:pPr>
          </w:p>
        </w:tc>
        <w:tc>
          <w:tcPr>
            <w:tcW w:w="1660" w:type="dxa"/>
            <w:vAlign w:val="bottom"/>
          </w:tcPr>
          <w:p>
            <w:pPr>
              <w:spacing w:after="0"/>
              <w:rPr>
                <w:sz w:val="12"/>
                <w:szCs w:val="12"/>
                <w:color w:val="auto"/>
              </w:rPr>
            </w:pP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457157"/>
              </w:rPr>
              <w:t>Securities</w:t>
            </w:r>
          </w:p>
        </w:tc>
        <w:tc>
          <w:tcPr>
            <w:tcW w:w="0" w:type="dxa"/>
            <w:vAlign w:val="bottom"/>
          </w:tcPr>
          <w:p>
            <w:pPr>
              <w:spacing w:after="0"/>
              <w:rPr>
                <w:sz w:val="1"/>
                <w:szCs w:val="1"/>
                <w:color w:val="auto"/>
              </w:rPr>
            </w:pPr>
          </w:p>
        </w:tc>
      </w:tr>
      <w:tr>
        <w:trPr>
          <w:trHeight w:val="139"/>
        </w:trPr>
        <w:tc>
          <w:tcPr>
            <w:tcW w:w="3100" w:type="dxa"/>
            <w:vAlign w:val="bottom"/>
          </w:tcPr>
          <w:p>
            <w:pPr>
              <w:spacing w:after="0"/>
              <w:rPr>
                <w:sz w:val="12"/>
                <w:szCs w:val="12"/>
                <w:color w:val="auto"/>
              </w:rPr>
            </w:pPr>
          </w:p>
        </w:tc>
        <w:tc>
          <w:tcPr>
            <w:tcW w:w="3480" w:type="dxa"/>
            <w:vAlign w:val="bottom"/>
          </w:tcPr>
          <w:p>
            <w:pPr>
              <w:jc w:val="right"/>
              <w:spacing w:after="0" w:line="139" w:lineRule="exact"/>
              <w:rPr>
                <w:sz w:val="20"/>
                <w:szCs w:val="20"/>
                <w:color w:val="auto"/>
              </w:rPr>
            </w:pPr>
            <w:r>
              <w:rPr>
                <w:rFonts w:ascii="Arial" w:cs="Arial" w:eastAsia="Arial" w:hAnsi="Arial"/>
                <w:sz w:val="14"/>
                <w:szCs w:val="14"/>
                <w:b w:val="1"/>
                <w:bCs w:val="1"/>
                <w:color w:val="457157"/>
              </w:rPr>
              <w:t>Securities to be</w:t>
            </w:r>
          </w:p>
        </w:tc>
        <w:tc>
          <w:tcPr>
            <w:tcW w:w="166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457157"/>
              </w:rPr>
              <w:t>Weighted-Average</w:t>
            </w:r>
          </w:p>
        </w:tc>
        <w:tc>
          <w:tcPr>
            <w:tcW w:w="1480" w:type="dxa"/>
            <w:vAlign w:val="bottom"/>
            <w:gridSpan w:val="2"/>
          </w:tcPr>
          <w:p>
            <w:pPr>
              <w:jc w:val="right"/>
              <w:ind w:right="120"/>
              <w:spacing w:after="0" w:line="139" w:lineRule="exact"/>
              <w:rPr>
                <w:sz w:val="20"/>
                <w:szCs w:val="20"/>
                <w:color w:val="auto"/>
              </w:rPr>
            </w:pPr>
            <w:r>
              <w:rPr>
                <w:rFonts w:ascii="Arial" w:cs="Arial" w:eastAsia="Arial" w:hAnsi="Arial"/>
                <w:sz w:val="14"/>
                <w:szCs w:val="14"/>
                <w:b w:val="1"/>
                <w:bCs w:val="1"/>
                <w:color w:val="457157"/>
              </w:rPr>
              <w:t>Remaining</w:t>
            </w:r>
          </w:p>
        </w:tc>
        <w:tc>
          <w:tcPr>
            <w:tcW w:w="0" w:type="dxa"/>
            <w:vAlign w:val="bottom"/>
          </w:tcPr>
          <w:p>
            <w:pPr>
              <w:spacing w:after="0"/>
              <w:rPr>
                <w:sz w:val="1"/>
                <w:szCs w:val="1"/>
                <w:color w:val="auto"/>
              </w:rPr>
            </w:pPr>
          </w:p>
        </w:tc>
      </w:tr>
      <w:tr>
        <w:trPr>
          <w:trHeight w:val="144"/>
        </w:trPr>
        <w:tc>
          <w:tcPr>
            <w:tcW w:w="3100" w:type="dxa"/>
            <w:vAlign w:val="bottom"/>
          </w:tcPr>
          <w:p>
            <w:pPr>
              <w:spacing w:after="0"/>
              <w:rPr>
                <w:sz w:val="12"/>
                <w:szCs w:val="12"/>
                <w:color w:val="auto"/>
              </w:rPr>
            </w:pPr>
          </w:p>
        </w:tc>
        <w:tc>
          <w:tcPr>
            <w:tcW w:w="348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Issued Upon</w:t>
            </w:r>
          </w:p>
        </w:tc>
        <w:tc>
          <w:tcPr>
            <w:tcW w:w="1660" w:type="dxa"/>
            <w:vAlign w:val="bottom"/>
            <w:vMerge w:val="continue"/>
          </w:tcPr>
          <w:p>
            <w:pPr>
              <w:spacing w:after="0"/>
              <w:rPr>
                <w:sz w:val="12"/>
                <w:szCs w:val="12"/>
                <w:color w:val="auto"/>
              </w:rPr>
            </w:pPr>
          </w:p>
        </w:tc>
        <w:tc>
          <w:tcPr>
            <w:tcW w:w="1480" w:type="dxa"/>
            <w:vAlign w:val="bottom"/>
            <w:gridSpan w:val="2"/>
          </w:tcPr>
          <w:p>
            <w:pPr>
              <w:jc w:val="right"/>
              <w:ind w:right="120"/>
              <w:spacing w:after="0" w:line="145" w:lineRule="exact"/>
              <w:rPr>
                <w:sz w:val="20"/>
                <w:szCs w:val="20"/>
                <w:color w:val="auto"/>
              </w:rPr>
            </w:pPr>
            <w:r>
              <w:rPr>
                <w:rFonts w:ascii="Arial" w:cs="Arial" w:eastAsia="Arial" w:hAnsi="Arial"/>
                <w:sz w:val="14"/>
                <w:szCs w:val="14"/>
                <w:b w:val="1"/>
                <w:bCs w:val="1"/>
                <w:color w:val="457157"/>
              </w:rPr>
              <w:t>Available for</w:t>
            </w: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348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Exercise</w:t>
            </w:r>
          </w:p>
        </w:tc>
        <w:tc>
          <w:tcPr>
            <w:tcW w:w="1660" w:type="dxa"/>
            <w:vAlign w:val="bottom"/>
          </w:tcPr>
          <w:p>
            <w:pPr>
              <w:jc w:val="right"/>
              <w:ind w:right="124"/>
              <w:spacing w:after="0" w:line="149" w:lineRule="exact"/>
              <w:rPr>
                <w:sz w:val="20"/>
                <w:szCs w:val="20"/>
                <w:color w:val="auto"/>
              </w:rPr>
            </w:pPr>
            <w:r>
              <w:rPr>
                <w:rFonts w:ascii="Arial" w:cs="Arial" w:eastAsia="Arial" w:hAnsi="Arial"/>
                <w:sz w:val="14"/>
                <w:szCs w:val="14"/>
                <w:b w:val="1"/>
                <w:bCs w:val="1"/>
                <w:color w:val="457157"/>
              </w:rPr>
              <w:t>Exercise Price of</w:t>
            </w: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457157"/>
              </w:rPr>
              <w:t>Future Issuance</w:t>
            </w:r>
          </w:p>
        </w:tc>
        <w:tc>
          <w:tcPr>
            <w:tcW w:w="0" w:type="dxa"/>
            <w:vAlign w:val="bottom"/>
          </w:tcPr>
          <w:p>
            <w:pPr>
              <w:spacing w:after="0"/>
              <w:rPr>
                <w:sz w:val="1"/>
                <w:szCs w:val="1"/>
                <w:color w:val="auto"/>
              </w:rPr>
            </w:pPr>
          </w:p>
        </w:tc>
      </w:tr>
      <w:tr>
        <w:trPr>
          <w:trHeight w:val="139"/>
        </w:trPr>
        <w:tc>
          <w:tcPr>
            <w:tcW w:w="3100" w:type="dxa"/>
            <w:vAlign w:val="bottom"/>
            <w:vMerge w:val="restart"/>
          </w:tcPr>
          <w:p>
            <w:pPr>
              <w:spacing w:after="0"/>
              <w:rPr>
                <w:sz w:val="20"/>
                <w:szCs w:val="20"/>
                <w:color w:val="auto"/>
              </w:rPr>
            </w:pPr>
            <w:r>
              <w:rPr>
                <w:rFonts w:ascii="Arial" w:cs="Arial" w:eastAsia="Arial" w:hAnsi="Arial"/>
                <w:sz w:val="14"/>
                <w:szCs w:val="14"/>
                <w:b w:val="1"/>
                <w:bCs w:val="1"/>
                <w:color w:val="457157"/>
              </w:rPr>
              <w:t>​Plan Category</w:t>
            </w:r>
          </w:p>
        </w:tc>
        <w:tc>
          <w:tcPr>
            <w:tcW w:w="3480" w:type="dxa"/>
            <w:vAlign w:val="bottom"/>
          </w:tcPr>
          <w:p>
            <w:pPr>
              <w:jc w:val="right"/>
              <w:spacing w:after="0" w:line="139" w:lineRule="exact"/>
              <w:rPr>
                <w:sz w:val="20"/>
                <w:szCs w:val="20"/>
                <w:color w:val="auto"/>
              </w:rPr>
            </w:pPr>
            <w:r>
              <w:rPr>
                <w:rFonts w:ascii="Arial" w:cs="Arial" w:eastAsia="Arial" w:hAnsi="Arial"/>
                <w:sz w:val="14"/>
                <w:szCs w:val="14"/>
                <w:b w:val="1"/>
                <w:bCs w:val="1"/>
                <w:color w:val="457157"/>
              </w:rPr>
              <w:t>of Outstanding</w:t>
            </w:r>
          </w:p>
        </w:tc>
        <w:tc>
          <w:tcPr>
            <w:tcW w:w="1660" w:type="dxa"/>
            <w:vAlign w:val="bottom"/>
          </w:tcPr>
          <w:p>
            <w:pPr>
              <w:jc w:val="right"/>
              <w:ind w:right="124"/>
              <w:spacing w:after="0" w:line="139" w:lineRule="exact"/>
              <w:rPr>
                <w:sz w:val="20"/>
                <w:szCs w:val="20"/>
                <w:color w:val="auto"/>
              </w:rPr>
            </w:pPr>
            <w:r>
              <w:rPr>
                <w:rFonts w:ascii="Arial" w:cs="Arial" w:eastAsia="Arial" w:hAnsi="Arial"/>
                <w:sz w:val="14"/>
                <w:szCs w:val="14"/>
                <w:b w:val="1"/>
                <w:bCs w:val="1"/>
                <w:color w:val="457157"/>
              </w:rPr>
              <w:t>Outstanding</w:t>
            </w:r>
          </w:p>
        </w:tc>
        <w:tc>
          <w:tcPr>
            <w:tcW w:w="1480" w:type="dxa"/>
            <w:vAlign w:val="bottom"/>
            <w:gridSpan w:val="2"/>
          </w:tcPr>
          <w:p>
            <w:pPr>
              <w:jc w:val="right"/>
              <w:ind w:right="120"/>
              <w:spacing w:after="0" w:line="139" w:lineRule="exact"/>
              <w:rPr>
                <w:sz w:val="20"/>
                <w:szCs w:val="20"/>
                <w:color w:val="auto"/>
              </w:rPr>
            </w:pPr>
            <w:r>
              <w:rPr>
                <w:rFonts w:ascii="Arial" w:cs="Arial" w:eastAsia="Arial" w:hAnsi="Arial"/>
                <w:sz w:val="14"/>
                <w:szCs w:val="14"/>
                <w:b w:val="1"/>
                <w:bCs w:val="1"/>
                <w:color w:val="457157"/>
              </w:rPr>
              <w:t>Under Equity</w:t>
            </w:r>
          </w:p>
        </w:tc>
        <w:tc>
          <w:tcPr>
            <w:tcW w:w="0" w:type="dxa"/>
            <w:vAlign w:val="bottom"/>
          </w:tcPr>
          <w:p>
            <w:pPr>
              <w:spacing w:after="0"/>
              <w:rPr>
                <w:sz w:val="1"/>
                <w:szCs w:val="1"/>
                <w:color w:val="auto"/>
              </w:rPr>
            </w:pPr>
          </w:p>
        </w:tc>
      </w:tr>
      <w:tr>
        <w:trPr>
          <w:trHeight w:val="185"/>
        </w:trPr>
        <w:tc>
          <w:tcPr>
            <w:tcW w:w="3100" w:type="dxa"/>
            <w:vAlign w:val="bottom"/>
            <w:vMerge w:val="continue"/>
          </w:tcPr>
          <w:p>
            <w:pPr>
              <w:spacing w:after="0"/>
              <w:rPr>
                <w:sz w:val="16"/>
                <w:szCs w:val="16"/>
                <w:color w:val="auto"/>
              </w:rPr>
            </w:pPr>
          </w:p>
        </w:tc>
        <w:tc>
          <w:tcPr>
            <w:tcW w:w="6620" w:type="dxa"/>
            <w:vAlign w:val="bottom"/>
            <w:gridSpan w:val="4"/>
          </w:tcPr>
          <w:p>
            <w:pPr>
              <w:ind w:left="2060"/>
              <w:spacing w:after="0"/>
              <w:rPr>
                <w:sz w:val="20"/>
                <w:szCs w:val="20"/>
                <w:color w:val="auto"/>
              </w:rPr>
            </w:pPr>
            <w:r>
              <w:rPr>
                <w:rFonts w:ascii="Arial" w:cs="Arial" w:eastAsia="Arial" w:hAnsi="Arial"/>
                <w:sz w:val="14"/>
                <w:szCs w:val="14"/>
                <w:b w:val="1"/>
                <w:bCs w:val="1"/>
                <w:color w:val="457157"/>
              </w:rPr>
              <w:t>​Options and Rights​Options and Rights​Compensation Plans​</w:t>
            </w:r>
          </w:p>
        </w:tc>
        <w:tc>
          <w:tcPr>
            <w:tcW w:w="0" w:type="dxa"/>
            <w:vAlign w:val="bottom"/>
          </w:tcPr>
          <w:p>
            <w:pPr>
              <w:spacing w:after="0"/>
              <w:rPr>
                <w:sz w:val="1"/>
                <w:szCs w:val="1"/>
                <w:color w:val="auto"/>
              </w:rPr>
            </w:pPr>
          </w:p>
        </w:tc>
      </w:tr>
      <w:tr>
        <w:trPr>
          <w:trHeight w:val="20"/>
        </w:trPr>
        <w:tc>
          <w:tcPr>
            <w:tcW w:w="6580" w:type="dxa"/>
            <w:vAlign w:val="bottom"/>
            <w:gridSpan w:val="2"/>
            <w:shd w:val="clear" w:color="auto" w:fill="457157"/>
          </w:tcPr>
          <w:p>
            <w:pPr>
              <w:spacing w:after="0" w:line="20" w:lineRule="exact"/>
              <w:rPr>
                <w:sz w:val="1"/>
                <w:szCs w:val="1"/>
                <w:color w:val="auto"/>
              </w:rPr>
            </w:pPr>
          </w:p>
        </w:tc>
        <w:tc>
          <w:tcPr>
            <w:tcW w:w="1660" w:type="dxa"/>
            <w:vAlign w:val="bottom"/>
            <w:shd w:val="clear" w:color="auto" w:fill="457157"/>
          </w:tcPr>
          <w:p>
            <w:pPr>
              <w:spacing w:after="0" w:line="20" w:lineRule="exact"/>
              <w:rPr>
                <w:sz w:val="1"/>
                <w:szCs w:val="1"/>
                <w:color w:val="auto"/>
              </w:rPr>
            </w:pPr>
          </w:p>
        </w:tc>
        <w:tc>
          <w:tcPr>
            <w:tcW w:w="1420" w:type="dxa"/>
            <w:vAlign w:val="bottom"/>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580" w:type="dxa"/>
            <w:vAlign w:val="bottom"/>
            <w:gridSpan w:val="2"/>
          </w:tcPr>
          <w:p>
            <w:pPr>
              <w:spacing w:after="0"/>
              <w:rPr>
                <w:sz w:val="20"/>
                <w:szCs w:val="20"/>
                <w:color w:val="auto"/>
              </w:rPr>
            </w:pPr>
            <w:r>
              <w:rPr>
                <w:rFonts w:ascii="Arial" w:cs="Arial" w:eastAsia="Arial" w:hAnsi="Arial"/>
                <w:sz w:val="18"/>
                <w:szCs w:val="18"/>
                <w:color w:val="auto"/>
              </w:rPr>
              <w:t>​Equity compensation plans approved by security holders</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  ​​ 3,858,444</w:t>
            </w:r>
            <w:r>
              <w:rPr>
                <w:rFonts w:ascii="Arial" w:cs="Arial" w:eastAsia="Arial" w:hAnsi="Arial"/>
                <w:sz w:val="23"/>
                <w:szCs w:val="23"/>
                <w:color w:val="auto"/>
                <w:vertAlign w:val="superscript"/>
              </w:rPr>
              <w:t>(2)</w:t>
            </w:r>
          </w:p>
        </w:tc>
        <w:tc>
          <w:tcPr>
            <w:tcW w:w="1660" w:type="dxa"/>
            <w:vAlign w:val="bottom"/>
          </w:tcPr>
          <w:p>
            <w:pPr>
              <w:jc w:val="right"/>
              <w:ind w:right="24"/>
              <w:spacing w:after="0"/>
              <w:rPr>
                <w:sz w:val="20"/>
                <w:szCs w:val="20"/>
                <w:color w:val="auto"/>
              </w:rPr>
            </w:pPr>
            <w:r>
              <w:rPr>
                <w:rFonts w:ascii="Arial" w:cs="Arial" w:eastAsia="Arial" w:hAnsi="Arial"/>
                <w:sz w:val="18"/>
                <w:szCs w:val="18"/>
                <w:color w:val="auto"/>
              </w:rPr>
              <w:t>​​   ​ $  129.15</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w:t>
            </w: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 14,925,134</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-179705</wp:posOffset>
            </wp:positionV>
            <wp:extent cx="6137910" cy="1885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137910" cy="188595"/>
                    </a:xfrm>
                    <a:prstGeom prst="rect">
                      <a:avLst/>
                    </a:prstGeom>
                    <a:noFill/>
                  </pic:spPr>
                </pic:pic>
              </a:graphicData>
            </a:graphic>
          </wp:anchor>
        </w:drawing>
      </w:r>
    </w:p>
    <w:p>
      <w:pPr>
        <w:ind w:left="1180" w:right="660" w:hanging="364"/>
        <w:spacing w:after="0" w:line="281"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our 2014 Stock Incentive Plan, 2023 Stock Incentive Plan and Employee Stock Purchase Plan (“ESPP”). No additional awards may be granted under our 2014 Stock Incentive Plan.</w:t>
      </w:r>
    </w:p>
    <w:p>
      <w:pPr>
        <w:spacing w:after="0" w:line="1" w:lineRule="exact"/>
        <w:rPr>
          <w:rFonts w:ascii="Arial" w:cs="Arial" w:eastAsia="Arial" w:hAnsi="Arial"/>
          <w:sz w:val="18"/>
          <w:szCs w:val="18"/>
          <w:color w:val="auto"/>
        </w:rPr>
      </w:pPr>
    </w:p>
    <w:p>
      <w:pPr>
        <w:jc w:val="both"/>
        <w:ind w:left="1180" w:right="660" w:hanging="364"/>
        <w:spacing w:after="0" w:line="257"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options outstanding for 2,374,402 shares of Common Stock; 183 235 shares of Common Stock to be issued in connection with deferred compensation obligations; 472,265 shares underlying unvested RSUs and 828,542 shares of Common Stock that would be issued on account of outstanding PSUs if the target performance level is achieved. Assuming, instead, that the maximum performance level was achieved on such PSUs, the amount of Common Stock that would be issued on account of outstanding awards would increase by 828,542 shares.</w:t>
      </w:r>
    </w:p>
    <w:p>
      <w:pPr>
        <w:spacing w:after="0" w:line="60" w:lineRule="exact"/>
        <w:rPr>
          <w:rFonts w:ascii="Arial" w:cs="Arial" w:eastAsia="Arial" w:hAnsi="Arial"/>
          <w:sz w:val="18"/>
          <w:szCs w:val="18"/>
          <w:color w:val="auto"/>
        </w:rPr>
      </w:pPr>
    </w:p>
    <w:p>
      <w:pPr>
        <w:jc w:val="both"/>
        <w:ind w:left="1180" w:right="660"/>
        <w:spacing w:after="0" w:line="246" w:lineRule="auto"/>
        <w:rPr>
          <w:rFonts w:ascii="Arial" w:cs="Arial" w:eastAsia="Arial" w:hAnsi="Arial"/>
          <w:sz w:val="18"/>
          <w:szCs w:val="18"/>
          <w:color w:val="auto"/>
        </w:rPr>
      </w:pPr>
      <w:r>
        <w:rPr>
          <w:rFonts w:ascii="Arial" w:cs="Arial" w:eastAsia="Arial" w:hAnsi="Arial"/>
          <w:sz w:val="18"/>
          <w:szCs w:val="18"/>
          <w:color w:val="auto"/>
        </w:rPr>
        <w:t>The total number of shares subject to outstanding awards in the table above includes 262,680 shares on account of PSUs, at target, with the performance period ended December 31, 2024. The determination of achievement of performance results on such PSUs was performed by the MD&amp;C Committee in January 2025, and the Company exceeded target performance criteria on the TSR PSUs and the Cash Flow PSUs, yielding an overall 151.39% payout. A total of 261,344 shares of Common Stock were issued on account of such PSUs in January 2025, net of units deferred, of which 172,944 shares of Common Stock were included in the first column of the table above.</w:t>
      </w:r>
    </w:p>
    <w:p>
      <w:pPr>
        <w:spacing w:after="0" w:line="53" w:lineRule="exact"/>
        <w:rPr>
          <w:rFonts w:ascii="Arial" w:cs="Arial" w:eastAsia="Arial" w:hAnsi="Arial"/>
          <w:sz w:val="18"/>
          <w:szCs w:val="18"/>
          <w:color w:val="auto"/>
        </w:rPr>
      </w:pPr>
    </w:p>
    <w:p>
      <w:pPr>
        <w:jc w:val="both"/>
        <w:ind w:left="1180" w:right="680"/>
        <w:spacing w:after="0" w:line="248" w:lineRule="auto"/>
        <w:rPr>
          <w:rFonts w:ascii="Arial" w:cs="Arial" w:eastAsia="Arial" w:hAnsi="Arial"/>
          <w:sz w:val="18"/>
          <w:szCs w:val="18"/>
          <w:color w:val="auto"/>
        </w:rPr>
      </w:pPr>
      <w:r>
        <w:rPr>
          <w:rFonts w:ascii="Arial" w:cs="Arial" w:eastAsia="Arial" w:hAnsi="Arial"/>
          <w:sz w:val="18"/>
          <w:szCs w:val="18"/>
          <w:color w:val="auto"/>
        </w:rPr>
        <w:t>Excludes purchase rights that accrue under the ESPP. Purchase rights under the ESPP are considered equity compensation for accounting purposes; however, the number of shares to be purchased is indeterminable until the time shares are actually issued, as automatic employee contributions may be terminated before the end of an offering period and the purchase price is not yet known.</w:t>
      </w:r>
    </w:p>
    <w:p>
      <w:pPr>
        <w:spacing w:after="0" w:line="237" w:lineRule="exact"/>
        <w:rPr>
          <w:rFonts w:ascii="Arial" w:cs="Arial" w:eastAsia="Arial" w:hAnsi="Arial"/>
          <w:sz w:val="18"/>
          <w:szCs w:val="18"/>
          <w:color w:val="auto"/>
        </w:rPr>
      </w:pPr>
    </w:p>
    <w:p>
      <w:pPr>
        <w:ind w:left="1180" w:right="660" w:hanging="364"/>
        <w:spacing w:after="0" w:line="281"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Excludes PSUs and RSUs because those awards do not have exercise prices associated with them. Also excludes purchase rights under the ESPP for the reasons described in note (2) above.</w:t>
      </w:r>
    </w:p>
    <w:p>
      <w:pPr>
        <w:spacing w:after="0" w:line="1" w:lineRule="exact"/>
        <w:rPr>
          <w:rFonts w:ascii="Arial" w:cs="Arial" w:eastAsia="Arial" w:hAnsi="Arial"/>
          <w:sz w:val="18"/>
          <w:szCs w:val="18"/>
          <w:color w:val="auto"/>
        </w:rPr>
      </w:pPr>
    </w:p>
    <w:p>
      <w:pPr>
        <w:jc w:val="both"/>
        <w:ind w:left="1180" w:right="660" w:hanging="364"/>
        <w:spacing w:after="0" w:line="262" w:lineRule="auto"/>
        <w:tabs>
          <w:tab w:leader="none" w:pos="1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shares remaining available include 1,387,827 shares under our ESPP and 13,537,307 shares under our 2023 Stock Incentive Plan, assuming payout of PSUs at maximum. Assuming payout of PSUs at target, the number of shares remaining available for issuance under our 2023 Stock Incentive Plan would be 14,365,849.</w:t>
      </w:r>
    </w:p>
    <w:p>
      <w:pPr>
        <w:spacing w:after="0" w:line="219"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27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71805" cy="12827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540"/>
          </w:cols>
          <w:pgMar w:left="580" w:top="97" w:right="779"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307" w:lineRule="exact"/>
        <w:rPr>
          <w:sz w:val="20"/>
          <w:szCs w:val="20"/>
          <w:color w:val="auto"/>
        </w:rPr>
      </w:pPr>
    </w:p>
    <w:p>
      <w:pPr>
        <w:ind w:left="820"/>
        <w:spacing w:after="0"/>
        <w:tabs>
          <w:tab w:leader="none" w:pos="690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20"/>
          <w:szCs w:val="20"/>
          <w:b w:val="1"/>
          <w:bCs w:val="1"/>
          <w:color w:val="auto"/>
        </w:rPr>
        <w:t>EXECUTIVE COMPENSATION</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-139065</wp:posOffset>
            </wp:positionV>
            <wp:extent cx="57607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45"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PAY VERSUS PERFORMANCE</w:t>
      </w:r>
    </w:p>
    <w:p>
      <w:pPr>
        <w:spacing w:after="0" w:line="121" w:lineRule="exact"/>
        <w:rPr>
          <w:sz w:val="20"/>
          <w:szCs w:val="20"/>
          <w:color w:val="auto"/>
        </w:rPr>
      </w:pPr>
    </w:p>
    <w:p>
      <w:pPr>
        <w:jc w:val="both"/>
        <w:ind w:left="820" w:right="60"/>
        <w:spacing w:after="0" w:line="262" w:lineRule="auto"/>
        <w:rPr>
          <w:sz w:val="20"/>
          <w:szCs w:val="20"/>
          <w:color w:val="auto"/>
        </w:rPr>
      </w:pPr>
      <w:r>
        <w:rPr>
          <w:rFonts w:ascii="Arial" w:cs="Arial" w:eastAsia="Arial" w:hAnsi="Arial"/>
          <w:sz w:val="18"/>
          <w:szCs w:val="18"/>
          <w:color w:val="auto"/>
        </w:rPr>
        <w:t xml:space="preserve">We are required to calculate and present the following compensation information in the tabular format prescribed by the SEC.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and other executive compensation tables above should be read in conjunction with this section to gain a complete understanding of our executive compensation philosophy, programs and decisions.</w:t>
      </w:r>
    </w:p>
    <w:p>
      <w:pPr>
        <w:spacing w:after="0" w:line="68"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The tables and discussion below refer to an SEC-prescribed calculation of compensation actually paid, referred to as “CAP”. However, CAP does not correlate to the total amount of compensation that the executive realized during the year. CAP is a detailed calculation that includes adjustments to Total Compensation as reported in the Summary Compensation Table (the “SCT”) to reflect the increase (or decrease) in value of equity compensation over the course of the year, including equity compensation granted in prior years and equity compensation remaining unvested as of year -end. The equity compensation values used to determine CAP are calculated in accordance with ASC Topic 718, based on various methodologies and assumptions. The amount of compensation that the executive will actually realize when such equity awards vest or options are exercised may be materially different from the amounts used in the CAP calculation.</w:t>
      </w:r>
    </w:p>
    <w:p>
      <w:pPr>
        <w:spacing w:after="0" w:line="296" w:lineRule="exact"/>
        <w:rPr>
          <w:sz w:val="20"/>
          <w:szCs w:val="20"/>
          <w:color w:val="auto"/>
        </w:rPr>
      </w:pPr>
    </w:p>
    <w:p>
      <w:pPr>
        <w:jc w:val="both"/>
        <w:ind w:left="820" w:right="60"/>
        <w:spacing w:after="0" w:line="254" w:lineRule="auto"/>
        <w:rPr>
          <w:sz w:val="20"/>
          <w:szCs w:val="20"/>
          <w:color w:val="auto"/>
        </w:rPr>
      </w:pPr>
      <w:r>
        <w:rPr>
          <w:rFonts w:ascii="Arial" w:cs="Arial" w:eastAsia="Arial" w:hAnsi="Arial"/>
          <w:sz w:val="18"/>
          <w:szCs w:val="18"/>
          <w:color w:val="auto"/>
        </w:rPr>
        <w:t xml:space="preserve">The table below includes our Operating EBITDA annual cash incentive performance measure as the Company Selected Measure (“CSM”) that management believes is the most important annual financial performance measure used to link executive pay and Company performance in 2024. This measure is also discussed in our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and is generally defined as the Company’s income from operations, excluding depreciation, depletion and amortization, “Restructuring” and “(Gain) Loss from Divestitures, Asset Impairments and Unusual Items, Net” reported in our Annual Report on Form 10-K, and also excluding the impacts of our recycling brokerage business. Operating EBITDA presented in this proxy statement is a non-GAAP measure and is defined differently than Operating EBITDA reported in the Company’s quarterly earnings press release. See Appendix A for approved adjustments to the Operating EBITDA incentive performance measure results and a reconciliation of this non-GAAP measure to the most comparable GAAP measure.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Pay Versus Performance Table</w:t>
      </w:r>
    </w:p>
    <w:p>
      <w:pPr>
        <w:spacing w:after="0" w:line="132"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457157"/>
              </w:rPr>
              <w:t>Value of Initial</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gridSpan w:val="2"/>
          </w:tcPr>
          <w:p>
            <w:pPr>
              <w:jc w:val="right"/>
              <w:ind w:right="88"/>
              <w:spacing w:after="0" w:line="149" w:lineRule="exact"/>
              <w:rPr>
                <w:sz w:val="20"/>
                <w:szCs w:val="20"/>
                <w:color w:val="auto"/>
              </w:rPr>
            </w:pPr>
            <w:r>
              <w:rPr>
                <w:rFonts w:ascii="Arial" w:cs="Arial" w:eastAsia="Arial" w:hAnsi="Arial"/>
                <w:sz w:val="14"/>
                <w:szCs w:val="14"/>
                <w:b w:val="1"/>
                <w:bCs w:val="1"/>
                <w:color w:val="457157"/>
              </w:rPr>
              <w:t>Fixed $100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gridSpan w:val="2"/>
          </w:tcPr>
          <w:p>
            <w:pPr>
              <w:jc w:val="right"/>
              <w:ind w:right="68"/>
              <w:spacing w:after="0" w:line="145" w:lineRule="exact"/>
              <w:rPr>
                <w:sz w:val="20"/>
                <w:szCs w:val="20"/>
                <w:color w:val="auto"/>
              </w:rPr>
            </w:pPr>
            <w:r>
              <w:rPr>
                <w:rFonts w:ascii="Arial" w:cs="Arial" w:eastAsia="Arial" w:hAnsi="Arial"/>
                <w:sz w:val="14"/>
                <w:szCs w:val="14"/>
                <w:b w:val="1"/>
                <w:bCs w:val="1"/>
                <w:color w:val="457157"/>
              </w:rPr>
              <w:t>Investment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457157"/>
              </w:rPr>
              <w:t>Average SCT</w:t>
            </w:r>
          </w:p>
        </w:tc>
        <w:tc>
          <w:tcPr>
            <w:tcW w:w="180" w:type="dxa"/>
            <w:vAlign w:val="bottom"/>
          </w:tcPr>
          <w:p>
            <w:pPr>
              <w:spacing w:after="0"/>
              <w:rPr>
                <w:sz w:val="17"/>
                <w:szCs w:val="17"/>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457157"/>
              </w:rPr>
              <w:t>Average</w:t>
            </w:r>
          </w:p>
        </w:tc>
        <w:tc>
          <w:tcPr>
            <w:tcW w:w="1140" w:type="dxa"/>
            <w:vAlign w:val="bottom"/>
            <w:tcBorders>
              <w:bottom w:val="single" w:sz="8" w:color="457157"/>
            </w:tcBorders>
            <w:gridSpan w:val="2"/>
          </w:tcPr>
          <w:p>
            <w:pPr>
              <w:jc w:val="right"/>
              <w:ind w:right="8"/>
              <w:spacing w:after="0" w:line="169" w:lineRule="exact"/>
              <w:rPr>
                <w:sz w:val="20"/>
                <w:szCs w:val="20"/>
                <w:color w:val="auto"/>
              </w:rPr>
            </w:pPr>
            <w:r>
              <w:rPr>
                <w:rFonts w:ascii="Arial" w:cs="Arial" w:eastAsia="Arial" w:hAnsi="Arial"/>
                <w:sz w:val="19"/>
                <w:szCs w:val="19"/>
                <w:b w:val="1"/>
                <w:bCs w:val="1"/>
                <w:color w:val="457157"/>
                <w:vertAlign w:val="subscript"/>
              </w:rPr>
              <w:t>​</w:t>
            </w:r>
            <w:r>
              <w:rPr>
                <w:rFonts w:ascii="Arial" w:cs="Arial" w:eastAsia="Arial" w:hAnsi="Arial"/>
                <w:sz w:val="11"/>
                <w:szCs w:val="11"/>
                <w:b w:val="1"/>
                <w:bCs w:val="1"/>
                <w:color w:val="457157"/>
              </w:rPr>
              <w:t xml:space="preserve"> Based on:</w:t>
            </w:r>
            <w:r>
              <w:rPr>
                <w:rFonts w:ascii="Arial" w:cs="Arial" w:eastAsia="Arial" w:hAnsi="Arial"/>
                <w:sz w:val="7"/>
                <w:szCs w:val="7"/>
                <w:b w:val="1"/>
                <w:bCs w:val="1"/>
                <w:color w:val="457157"/>
              </w:rPr>
              <w:t>(3)</w:t>
            </w:r>
          </w:p>
        </w:tc>
        <w:tc>
          <w:tcPr>
            <w:tcW w:w="80" w:type="dxa"/>
            <w:vAlign w:val="bottom"/>
            <w:tcBorders>
              <w:bottom w:val="single" w:sz="8" w:color="457157"/>
            </w:tcBorders>
          </w:tcPr>
          <w:p>
            <w:pPr>
              <w:spacing w:after="0"/>
              <w:rPr>
                <w:sz w:val="17"/>
                <w:szCs w:val="17"/>
                <w:color w:val="auto"/>
              </w:rPr>
            </w:pPr>
          </w:p>
        </w:tc>
        <w:tc>
          <w:tcPr>
            <w:tcW w:w="120" w:type="dxa"/>
            <w:vAlign w:val="bottom"/>
          </w:tcPr>
          <w:p>
            <w:pPr>
              <w:jc w:val="center"/>
              <w:ind w:right="29"/>
              <w:spacing w:after="0"/>
              <w:rPr>
                <w:sz w:val="20"/>
                <w:szCs w:val="20"/>
                <w:color w:val="auto"/>
              </w:rPr>
            </w:pPr>
            <w:r>
              <w:rPr>
                <w:rFonts w:ascii="Arial" w:cs="Arial" w:eastAsia="Arial" w:hAnsi="Arial"/>
                <w:sz w:val="14"/>
                <w:szCs w:val="14"/>
                <w:b w:val="1"/>
                <w:bCs w:val="1"/>
                <w:color w:val="457157"/>
              </w:rPr>
              <w:t>​</w:t>
            </w: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457157"/>
              </w:rPr>
              <w:t>SCT Total</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Total for</w:t>
            </w:r>
          </w:p>
        </w:tc>
        <w:tc>
          <w:tcPr>
            <w:tcW w:w="180" w:type="dxa"/>
            <w:vAlign w:val="bottom"/>
          </w:tcPr>
          <w:p>
            <w:pPr>
              <w:spacing w:after="0"/>
              <w:rPr>
                <w:sz w:val="12"/>
                <w:szCs w:val="12"/>
                <w:color w:val="auto"/>
              </w:rPr>
            </w:pPr>
          </w:p>
        </w:tc>
        <w:tc>
          <w:tcPr>
            <w:tcW w:w="840" w:type="dxa"/>
            <w:vAlign w:val="bottom"/>
          </w:tcPr>
          <w:p>
            <w:pPr>
              <w:jc w:val="right"/>
              <w:ind w:right="28"/>
              <w:spacing w:after="0" w:line="149" w:lineRule="exact"/>
              <w:rPr>
                <w:sz w:val="20"/>
                <w:szCs w:val="20"/>
                <w:color w:val="auto"/>
              </w:rPr>
            </w:pPr>
            <w:r>
              <w:rPr>
                <w:rFonts w:ascii="Arial" w:cs="Arial" w:eastAsia="Arial" w:hAnsi="Arial"/>
                <w:sz w:val="14"/>
                <w:szCs w:val="14"/>
                <w:b w:val="1"/>
                <w:bCs w:val="1"/>
                <w:color w:val="457157"/>
              </w:rPr>
              <w:t>Non-CEO</w:t>
            </w:r>
          </w:p>
        </w:tc>
        <w:tc>
          <w:tcPr>
            <w:tcW w:w="6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457157"/>
              </w:rPr>
              <w:t>WM</w:t>
            </w: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Peer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CSM:</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1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457157"/>
              </w:rPr>
              <w:t>CEO CAP</w:t>
            </w:r>
            <w:r>
              <w:rPr>
                <w:rFonts w:ascii="Arial" w:cs="Arial" w:eastAsia="Arial" w:hAnsi="Arial"/>
                <w:sz w:val="17"/>
                <w:szCs w:val="17"/>
                <w:b w:val="1"/>
                <w:bCs w:val="1"/>
                <w:color w:val="457157"/>
                <w:vertAlign w:val="superscript"/>
              </w:rPr>
              <w:t>(1)(2)</w:t>
            </w:r>
          </w:p>
        </w:tc>
        <w:tc>
          <w:tcPr>
            <w:tcW w:w="200" w:type="dxa"/>
            <w:vAlign w:val="bottom"/>
          </w:tcPr>
          <w:p>
            <w:pPr>
              <w:spacing w:after="0"/>
              <w:rPr>
                <w:sz w:val="12"/>
                <w:szCs w:val="12"/>
                <w:color w:val="auto"/>
              </w:rPr>
            </w:pPr>
          </w:p>
        </w:tc>
        <w:tc>
          <w:tcPr>
            <w:tcW w:w="90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Non-CEO</w:t>
            </w:r>
          </w:p>
        </w:tc>
        <w:tc>
          <w:tcPr>
            <w:tcW w:w="180" w:type="dxa"/>
            <w:vAlign w:val="bottom"/>
          </w:tcPr>
          <w:p>
            <w:pPr>
              <w:spacing w:after="0"/>
              <w:rPr>
                <w:sz w:val="12"/>
                <w:szCs w:val="12"/>
                <w:color w:val="auto"/>
              </w:rPr>
            </w:pPr>
          </w:p>
        </w:tc>
        <w:tc>
          <w:tcPr>
            <w:tcW w:w="840" w:type="dxa"/>
            <w:vAlign w:val="bottom"/>
          </w:tcPr>
          <w:p>
            <w:pPr>
              <w:jc w:val="right"/>
              <w:ind w:right="28"/>
              <w:spacing w:after="0" w:line="145" w:lineRule="exact"/>
              <w:rPr>
                <w:sz w:val="20"/>
                <w:szCs w:val="20"/>
                <w:color w:val="auto"/>
              </w:rPr>
            </w:pPr>
            <w:r>
              <w:rPr>
                <w:rFonts w:ascii="Arial" w:cs="Arial" w:eastAsia="Arial" w:hAnsi="Arial"/>
                <w:sz w:val="14"/>
                <w:szCs w:val="14"/>
                <w:b w:val="1"/>
                <w:bCs w:val="1"/>
                <w:color w:val="457157"/>
              </w:rPr>
              <w:t>NEOs</w:t>
            </w:r>
          </w:p>
        </w:tc>
        <w:tc>
          <w:tcPr>
            <w:tcW w:w="640" w:type="dxa"/>
            <w:vAlign w:val="bottom"/>
            <w:vMerge w:val="continue"/>
          </w:tcPr>
          <w:p>
            <w:pPr>
              <w:spacing w:after="0"/>
              <w:rPr>
                <w:sz w:val="12"/>
                <w:szCs w:val="12"/>
                <w:color w:val="auto"/>
              </w:rPr>
            </w:pPr>
          </w:p>
        </w:tc>
        <w:tc>
          <w:tcPr>
            <w:tcW w:w="500" w:type="dxa"/>
            <w:vAlign w:val="bottom"/>
          </w:tcPr>
          <w:p>
            <w:pPr>
              <w:jc w:val="right"/>
              <w:spacing w:after="0" w:line="145" w:lineRule="exact"/>
              <w:rPr>
                <w:sz w:val="20"/>
                <w:szCs w:val="20"/>
                <w:color w:val="auto"/>
              </w:rPr>
            </w:pPr>
            <w:r>
              <w:rPr>
                <w:rFonts w:ascii="Arial" w:cs="Arial" w:eastAsia="Arial" w:hAnsi="Arial"/>
                <w:sz w:val="14"/>
                <w:szCs w:val="14"/>
                <w:b w:val="1"/>
                <w:bCs w:val="1"/>
                <w:color w:val="457157"/>
              </w:rPr>
              <w:t>Group</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ind w:left="40"/>
              <w:spacing w:after="0"/>
              <w:rPr>
                <w:sz w:val="20"/>
                <w:szCs w:val="20"/>
                <w:color w:val="auto"/>
              </w:rPr>
            </w:pPr>
            <w:r>
              <w:rPr>
                <w:rFonts w:ascii="Arial" w:cs="Arial" w:eastAsia="Arial" w:hAnsi="Arial"/>
                <w:sz w:val="14"/>
                <w:szCs w:val="14"/>
                <w:b w:val="1"/>
                <w:bCs w:val="1"/>
                <w:color w:val="457157"/>
              </w:rPr>
              <w:t>Net Income</w:t>
            </w:r>
          </w:p>
        </w:tc>
        <w:tc>
          <w:tcPr>
            <w:tcW w:w="240" w:type="dxa"/>
            <w:vAlign w:val="bottom"/>
          </w:tcPr>
          <w:p>
            <w:pPr>
              <w:spacing w:after="0"/>
              <w:rPr>
                <w:sz w:val="12"/>
                <w:szCs w:val="12"/>
                <w:color w:val="auto"/>
              </w:rPr>
            </w:pPr>
          </w:p>
        </w:tc>
        <w:tc>
          <w:tcPr>
            <w:tcW w:w="840" w:type="dxa"/>
            <w:vAlign w:val="bottom"/>
          </w:tcPr>
          <w:p>
            <w:pPr>
              <w:ind w:left="80"/>
              <w:spacing w:after="0" w:line="145" w:lineRule="exact"/>
              <w:rPr>
                <w:sz w:val="20"/>
                <w:szCs w:val="20"/>
                <w:color w:val="auto"/>
              </w:rPr>
            </w:pPr>
            <w:r>
              <w:rPr>
                <w:rFonts w:ascii="Arial" w:cs="Arial" w:eastAsia="Arial" w:hAnsi="Arial"/>
                <w:sz w:val="14"/>
                <w:szCs w:val="14"/>
                <w:b w:val="1"/>
                <w:bCs w:val="1"/>
                <w:color w:val="457157"/>
              </w:rPr>
              <w:t>Operating</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4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Year</w:t>
            </w:r>
          </w:p>
        </w:tc>
        <w:tc>
          <w:tcPr>
            <w:tcW w:w="6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to CEO</w:t>
            </w:r>
            <w:r>
              <w:rPr>
                <w:rFonts w:ascii="Arial" w:cs="Arial" w:eastAsia="Arial" w:hAnsi="Arial"/>
                <w:sz w:val="8"/>
                <w:szCs w:val="8"/>
                <w:b w:val="1"/>
                <w:bCs w:val="1"/>
                <w:color w:val="457157"/>
              </w:rPr>
              <w:t>(1)</w:t>
            </w: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NEOs</w:t>
            </w:r>
            <w:r>
              <w:rPr>
                <w:rFonts w:ascii="Arial" w:cs="Arial" w:eastAsia="Arial" w:hAnsi="Arial"/>
                <w:sz w:val="8"/>
                <w:szCs w:val="8"/>
                <w:b w:val="1"/>
                <w:bCs w:val="1"/>
                <w:color w:val="457157"/>
              </w:rPr>
              <w:t>(1)</w:t>
            </w:r>
          </w:p>
        </w:tc>
        <w:tc>
          <w:tcPr>
            <w:tcW w:w="180" w:type="dxa"/>
            <w:vAlign w:val="bottom"/>
          </w:tcPr>
          <w:p>
            <w:pPr>
              <w:spacing w:after="0"/>
              <w:rPr>
                <w:sz w:val="12"/>
                <w:szCs w:val="12"/>
                <w:color w:val="auto"/>
              </w:rPr>
            </w:pP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457157"/>
              </w:rPr>
              <w:t>CAP</w:t>
            </w:r>
            <w:r>
              <w:rPr>
                <w:rFonts w:ascii="Arial" w:cs="Arial" w:eastAsia="Arial" w:hAnsi="Arial"/>
                <w:sz w:val="8"/>
                <w:szCs w:val="8"/>
                <w:b w:val="1"/>
                <w:bCs w:val="1"/>
                <w:color w:val="457157"/>
              </w:rPr>
              <w:t>(1)(2)</w:t>
            </w:r>
          </w:p>
        </w:tc>
        <w:tc>
          <w:tcPr>
            <w:tcW w:w="640" w:type="dxa"/>
            <w:vAlign w:val="bottom"/>
          </w:tcPr>
          <w:p>
            <w:pPr>
              <w:jc w:val="right"/>
              <w:ind w:right="171"/>
              <w:spacing w:after="0" w:line="149" w:lineRule="exact"/>
              <w:rPr>
                <w:sz w:val="20"/>
                <w:szCs w:val="20"/>
                <w:color w:val="auto"/>
              </w:rPr>
            </w:pPr>
            <w:r>
              <w:rPr>
                <w:rFonts w:ascii="Arial" w:cs="Arial" w:eastAsia="Arial" w:hAnsi="Arial"/>
                <w:sz w:val="14"/>
                <w:szCs w:val="14"/>
                <w:b w:val="1"/>
                <w:bCs w:val="1"/>
                <w:color w:val="457157"/>
              </w:rPr>
              <w:t>TSR</w:t>
            </w: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TSR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457157"/>
              </w:rPr>
              <w:t>EBITDA</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40" w:type="dxa"/>
            <w:vAlign w:val="bottom"/>
            <w:vMerge w:val="continue"/>
          </w:tcPr>
          <w:p>
            <w:pPr>
              <w:spacing w:after="0"/>
              <w:rPr>
                <w:sz w:val="11"/>
                <w:szCs w:val="11"/>
                <w:color w:val="auto"/>
              </w:rPr>
            </w:pPr>
          </w:p>
        </w:tc>
        <w:tc>
          <w:tcPr>
            <w:tcW w:w="660" w:type="dxa"/>
            <w:vAlign w:val="bottom"/>
            <w:vMerge w:val="restart"/>
          </w:tcPr>
          <w:p>
            <w:pPr>
              <w:ind w:left="520"/>
              <w:spacing w:after="0"/>
              <w:rPr>
                <w:sz w:val="20"/>
                <w:szCs w:val="20"/>
                <w:color w:val="auto"/>
              </w:rPr>
            </w:pPr>
            <w:r>
              <w:rPr>
                <w:rFonts w:ascii="Arial" w:cs="Arial" w:eastAsia="Arial" w:hAnsi="Arial"/>
                <w:sz w:val="14"/>
                <w:szCs w:val="14"/>
                <w:b w:val="1"/>
                <w:bCs w:val="1"/>
                <w:color w:val="457157"/>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50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w:t>
            </w:r>
          </w:p>
        </w:tc>
        <w:tc>
          <w:tcPr>
            <w:tcW w:w="60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20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w:t>
            </w:r>
          </w:p>
        </w:tc>
        <w:tc>
          <w:tcPr>
            <w:tcW w:w="90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180" w:type="dxa"/>
            <w:vAlign w:val="bottom"/>
            <w:vMerge w:val="restart"/>
          </w:tcPr>
          <w:p>
            <w:pPr>
              <w:ind w:left="20"/>
              <w:spacing w:after="0"/>
              <w:rPr>
                <w:sz w:val="20"/>
                <w:szCs w:val="20"/>
                <w:color w:val="auto"/>
              </w:rPr>
            </w:pPr>
            <w:r>
              <w:rPr>
                <w:rFonts w:ascii="Arial" w:cs="Arial" w:eastAsia="Arial" w:hAnsi="Arial"/>
                <w:sz w:val="14"/>
                <w:szCs w:val="14"/>
                <w:b w:val="1"/>
                <w:bCs w:val="1"/>
                <w:color w:val="457157"/>
              </w:rPr>
              <w:t>​​</w:t>
            </w:r>
          </w:p>
        </w:tc>
        <w:tc>
          <w:tcPr>
            <w:tcW w:w="840" w:type="dxa"/>
            <w:vAlign w:val="bottom"/>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  ($) ​​</w:t>
            </w:r>
          </w:p>
        </w:tc>
        <w:tc>
          <w:tcPr>
            <w:tcW w:w="58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457157"/>
              </w:rPr>
              <w:t>($)</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60" w:type="dxa"/>
            <w:vAlign w:val="bottom"/>
            <w:gridSpan w:val="3"/>
          </w:tcPr>
          <w:p>
            <w:pPr>
              <w:ind w:left="120"/>
              <w:spacing w:after="0" w:line="135" w:lineRule="exact"/>
              <w:rPr>
                <w:sz w:val="20"/>
                <w:szCs w:val="20"/>
                <w:color w:val="auto"/>
              </w:rPr>
            </w:pPr>
            <w:r>
              <w:rPr>
                <w:rFonts w:ascii="Arial" w:cs="Arial" w:eastAsia="Arial" w:hAnsi="Arial"/>
                <w:sz w:val="14"/>
                <w:szCs w:val="14"/>
                <w:b w:val="1"/>
                <w:bCs w:val="1"/>
                <w:color w:val="457157"/>
              </w:rPr>
              <w:t>($ in billions)</w:t>
            </w: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54"/>
        </w:trPr>
        <w:tc>
          <w:tcPr>
            <w:tcW w:w="940" w:type="dxa"/>
            <w:vAlign w:val="bottom"/>
            <w:tcBorders>
              <w:bottom w:val="single" w:sz="8" w:color="457157"/>
            </w:tcBorders>
          </w:tcPr>
          <w:p>
            <w:pPr>
              <w:ind w:left="20"/>
              <w:spacing w:after="0" w:line="54" w:lineRule="exact"/>
              <w:rPr>
                <w:sz w:val="20"/>
                <w:szCs w:val="20"/>
                <w:color w:val="auto"/>
              </w:rPr>
            </w:pPr>
            <w:r>
              <w:rPr>
                <w:rFonts w:ascii="Arial" w:cs="Arial" w:eastAsia="Arial" w:hAnsi="Arial"/>
                <w:sz w:val="6"/>
                <w:szCs w:val="6"/>
                <w:b w:val="1"/>
                <w:bCs w:val="1"/>
                <w:color w:val="457157"/>
              </w:rPr>
              <w:t>​</w:t>
            </w:r>
          </w:p>
        </w:tc>
        <w:tc>
          <w:tcPr>
            <w:tcW w:w="660" w:type="dxa"/>
            <w:vAlign w:val="bottom"/>
            <w:tcBorders>
              <w:bottom w:val="single" w:sz="8" w:color="457157"/>
            </w:tcBorders>
            <w:vMerge w:val="continue"/>
          </w:tcPr>
          <w:p>
            <w:pPr>
              <w:spacing w:after="0"/>
              <w:rPr>
                <w:sz w:val="4"/>
                <w:szCs w:val="4"/>
                <w:color w:val="auto"/>
              </w:rPr>
            </w:pPr>
          </w:p>
        </w:tc>
        <w:tc>
          <w:tcPr>
            <w:tcW w:w="840" w:type="dxa"/>
            <w:vAlign w:val="bottom"/>
            <w:tcBorders>
              <w:bottom w:val="single" w:sz="8" w:color="457157"/>
            </w:tcBorders>
            <w:vMerge w:val="continue"/>
          </w:tcPr>
          <w:p>
            <w:pPr>
              <w:spacing w:after="0"/>
              <w:rPr>
                <w:sz w:val="4"/>
                <w:szCs w:val="4"/>
                <w:color w:val="auto"/>
              </w:rPr>
            </w:pPr>
          </w:p>
        </w:tc>
        <w:tc>
          <w:tcPr>
            <w:tcW w:w="500" w:type="dxa"/>
            <w:vAlign w:val="bottom"/>
            <w:tcBorders>
              <w:bottom w:val="single" w:sz="8" w:color="457157"/>
            </w:tcBorders>
            <w:vMerge w:val="continue"/>
          </w:tcPr>
          <w:p>
            <w:pPr>
              <w:spacing w:after="0"/>
              <w:rPr>
                <w:sz w:val="4"/>
                <w:szCs w:val="4"/>
                <w:color w:val="auto"/>
              </w:rPr>
            </w:pPr>
          </w:p>
        </w:tc>
        <w:tc>
          <w:tcPr>
            <w:tcW w:w="600" w:type="dxa"/>
            <w:vAlign w:val="bottom"/>
            <w:tcBorders>
              <w:bottom w:val="single" w:sz="8" w:color="457157"/>
            </w:tcBorders>
          </w:tcPr>
          <w:p>
            <w:pPr>
              <w:spacing w:after="0"/>
              <w:rPr>
                <w:sz w:val="4"/>
                <w:szCs w:val="4"/>
                <w:color w:val="auto"/>
              </w:rPr>
            </w:pPr>
          </w:p>
        </w:tc>
        <w:tc>
          <w:tcPr>
            <w:tcW w:w="200" w:type="dxa"/>
            <w:vAlign w:val="bottom"/>
            <w:tcBorders>
              <w:bottom w:val="single" w:sz="8" w:color="457157"/>
            </w:tcBorders>
            <w:vMerge w:val="continue"/>
          </w:tcPr>
          <w:p>
            <w:pPr>
              <w:spacing w:after="0"/>
              <w:rPr>
                <w:sz w:val="4"/>
                <w:szCs w:val="4"/>
                <w:color w:val="auto"/>
              </w:rPr>
            </w:pPr>
          </w:p>
        </w:tc>
        <w:tc>
          <w:tcPr>
            <w:tcW w:w="900" w:type="dxa"/>
            <w:vAlign w:val="bottom"/>
            <w:tcBorders>
              <w:bottom w:val="single" w:sz="8" w:color="457157"/>
            </w:tcBorders>
          </w:tcPr>
          <w:p>
            <w:pPr>
              <w:spacing w:after="0"/>
              <w:rPr>
                <w:sz w:val="4"/>
                <w:szCs w:val="4"/>
                <w:color w:val="auto"/>
              </w:rPr>
            </w:pPr>
          </w:p>
        </w:tc>
        <w:tc>
          <w:tcPr>
            <w:tcW w:w="180" w:type="dxa"/>
            <w:vAlign w:val="bottom"/>
            <w:tcBorders>
              <w:bottom w:val="single" w:sz="8" w:color="457157"/>
            </w:tcBorders>
            <w:vMerge w:val="continue"/>
          </w:tcPr>
          <w:p>
            <w:pPr>
              <w:spacing w:after="0"/>
              <w:rPr>
                <w:sz w:val="4"/>
                <w:szCs w:val="4"/>
                <w:color w:val="auto"/>
              </w:rPr>
            </w:pPr>
          </w:p>
        </w:tc>
        <w:tc>
          <w:tcPr>
            <w:tcW w:w="840" w:type="dxa"/>
            <w:vAlign w:val="bottom"/>
            <w:tcBorders>
              <w:bottom w:val="single" w:sz="8" w:color="457157"/>
            </w:tcBorders>
          </w:tcPr>
          <w:p>
            <w:pPr>
              <w:spacing w:after="0"/>
              <w:rPr>
                <w:sz w:val="4"/>
                <w:szCs w:val="4"/>
                <w:color w:val="auto"/>
              </w:rPr>
            </w:pPr>
          </w:p>
        </w:tc>
        <w:tc>
          <w:tcPr>
            <w:tcW w:w="640" w:type="dxa"/>
            <w:vAlign w:val="bottom"/>
            <w:tcBorders>
              <w:bottom w:val="single" w:sz="8" w:color="457157"/>
            </w:tcBorders>
            <w:vMerge w:val="continue"/>
          </w:tcPr>
          <w:p>
            <w:pPr>
              <w:spacing w:after="0"/>
              <w:rPr>
                <w:sz w:val="4"/>
                <w:szCs w:val="4"/>
                <w:color w:val="auto"/>
              </w:rPr>
            </w:pPr>
          </w:p>
        </w:tc>
        <w:tc>
          <w:tcPr>
            <w:tcW w:w="50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1260" w:type="dxa"/>
            <w:vAlign w:val="bottom"/>
            <w:tcBorders>
              <w:bottom w:val="single" w:sz="8" w:color="457157"/>
            </w:tcBorders>
            <w:gridSpan w:val="3"/>
          </w:tcPr>
          <w:p>
            <w:pPr>
              <w:spacing w:after="0" w:line="54" w:lineRule="exact"/>
              <w:rPr>
                <w:sz w:val="20"/>
                <w:szCs w:val="20"/>
                <w:color w:val="auto"/>
              </w:rPr>
            </w:pPr>
            <w:r>
              <w:rPr>
                <w:rFonts w:ascii="Arial" w:cs="Arial" w:eastAsia="Arial" w:hAnsi="Arial"/>
                <w:sz w:val="6"/>
                <w:szCs w:val="6"/>
                <w:b w:val="1"/>
                <w:bCs w:val="1"/>
                <w:color w:val="457157"/>
              </w:rPr>
              <w:t>​​($ in billions) ​​</w:t>
            </w:r>
          </w:p>
        </w:tc>
        <w:tc>
          <w:tcPr>
            <w:tcW w:w="840" w:type="dxa"/>
            <w:vAlign w:val="bottom"/>
            <w:tcBorders>
              <w:bottom w:val="single" w:sz="8" w:color="457157"/>
            </w:tcBorders>
          </w:tcPr>
          <w:p>
            <w:pPr>
              <w:spacing w:after="0"/>
              <w:rPr>
                <w:sz w:val="4"/>
                <w:szCs w:val="4"/>
                <w:color w:val="auto"/>
              </w:rPr>
            </w:pPr>
          </w:p>
        </w:tc>
        <w:tc>
          <w:tcPr>
            <w:tcW w:w="80" w:type="dxa"/>
            <w:vAlign w:val="bottom"/>
            <w:tcBorders>
              <w:bottom w:val="single" w:sz="8" w:color="457157"/>
            </w:tcBorders>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940" w:type="dxa"/>
            <w:vAlign w:val="bottom"/>
          </w:tcPr>
          <w:p>
            <w:pPr>
              <w:spacing w:after="0"/>
              <w:rPr>
                <w:sz w:val="20"/>
                <w:szCs w:val="20"/>
                <w:color w:val="auto"/>
              </w:rPr>
            </w:pPr>
            <w:r>
              <w:rPr>
                <w:rFonts w:ascii="Arial" w:cs="Arial" w:eastAsia="Arial" w:hAnsi="Arial"/>
                <w:sz w:val="18"/>
                <w:szCs w:val="18"/>
                <w:color w:val="auto"/>
              </w:rPr>
              <w:t>​2024</w:t>
            </w:r>
          </w:p>
        </w:tc>
        <w:tc>
          <w:tcPr>
            <w:tcW w:w="2800" w:type="dxa"/>
            <w:vAlign w:val="bottom"/>
            <w:gridSpan w:val="5"/>
          </w:tcPr>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17,097,120​​​</w:t>
            </w:r>
            <w:r>
              <w:rPr>
                <w:rFonts w:ascii="Arial" w:cs="Arial" w:eastAsia="Arial" w:hAnsi="Arial"/>
                <w:sz w:val="18"/>
                <w:szCs w:val="18"/>
                <w:b w:val="1"/>
                <w:bCs w:val="1"/>
                <w:color w:val="auto"/>
              </w:rPr>
              <w:t>​</w:t>
            </w:r>
            <w:r>
              <w:rPr>
                <w:rFonts w:ascii="Arial" w:cs="Arial" w:eastAsia="Arial" w:hAnsi="Arial"/>
                <w:sz w:val="18"/>
                <w:szCs w:val="18"/>
                <w:color w:val="auto"/>
              </w:rPr>
              <w:t xml:space="preserve"> 24,501,038​​​</w:t>
            </w:r>
            <w:r>
              <w:rPr>
                <w:rFonts w:ascii="Arial" w:cs="Arial" w:eastAsia="Arial" w:hAnsi="Arial"/>
                <w:sz w:val="18"/>
                <w:szCs w:val="18"/>
                <w:b w:val="1"/>
                <w:bCs w:val="1"/>
                <w:color w:val="auto"/>
              </w:rPr>
              <w:t>​</w:t>
            </w:r>
          </w:p>
        </w:tc>
        <w:tc>
          <w:tcPr>
            <w:tcW w:w="3060" w:type="dxa"/>
            <w:vAlign w:val="bottom"/>
            <w:gridSpan w:val="5"/>
          </w:tcPr>
          <w:p>
            <w:pPr>
              <w:jc w:val="right"/>
              <w:ind w:right="28"/>
              <w:spacing w:after="0"/>
              <w:rPr>
                <w:sz w:val="20"/>
                <w:szCs w:val="20"/>
                <w:color w:val="auto"/>
              </w:rPr>
            </w:pPr>
            <w:r>
              <w:rPr>
                <w:rFonts w:ascii="Arial" w:cs="Arial" w:eastAsia="Arial" w:hAnsi="Arial"/>
                <w:sz w:val="18"/>
                <w:szCs w:val="18"/>
                <w:color w:val="auto"/>
              </w:rPr>
              <w:t>4,851,561 ​​​</w:t>
            </w:r>
            <w:r>
              <w:rPr>
                <w:rFonts w:ascii="Arial" w:cs="Arial" w:eastAsia="Arial" w:hAnsi="Arial"/>
                <w:sz w:val="18"/>
                <w:szCs w:val="18"/>
                <w:b w:val="1"/>
                <w:bCs w:val="1"/>
                <w:color w:val="auto"/>
              </w:rPr>
              <w:t>​</w:t>
            </w:r>
            <w:r>
              <w:rPr>
                <w:rFonts w:ascii="Arial" w:cs="Arial" w:eastAsia="Arial" w:hAnsi="Arial"/>
                <w:sz w:val="18"/>
                <w:szCs w:val="18"/>
                <w:color w:val="auto"/>
              </w:rPr>
              <w:t xml:space="preserve"> 6,672,509​​​</w:t>
            </w:r>
            <w:r>
              <w:rPr>
                <w:rFonts w:ascii="Arial" w:cs="Arial" w:eastAsia="Arial" w:hAnsi="Arial"/>
                <w:sz w:val="18"/>
                <w:szCs w:val="18"/>
                <w:b w:val="1"/>
                <w:bCs w:val="1"/>
                <w:color w:val="auto"/>
              </w:rPr>
              <w:t>​</w:t>
            </w:r>
            <w:r>
              <w:rPr>
                <w:rFonts w:ascii="Arial" w:cs="Arial" w:eastAsia="Arial" w:hAnsi="Arial"/>
                <w:sz w:val="18"/>
                <w:szCs w:val="18"/>
                <w:color w:val="auto"/>
              </w:rPr>
              <w:t>192 ​​​ ​198</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900" w:type="dxa"/>
            <w:vAlign w:val="bottom"/>
          </w:tcPr>
          <w:p>
            <w:pPr>
              <w:ind w:left="140"/>
              <w:spacing w:after="0"/>
              <w:rPr>
                <w:sz w:val="20"/>
                <w:szCs w:val="20"/>
                <w:color w:val="auto"/>
              </w:rPr>
            </w:pPr>
            <w:r>
              <w:rPr>
                <w:rFonts w:ascii="Arial" w:cs="Arial" w:eastAsia="Arial" w:hAnsi="Arial"/>
                <w:sz w:val="18"/>
                <w:szCs w:val="18"/>
                <w:color w:val="auto"/>
              </w:rPr>
              <w:t>​ 2.746</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ind w:left="100"/>
              <w:spacing w:after="0"/>
              <w:rPr>
                <w:sz w:val="20"/>
                <w:szCs w:val="20"/>
                <w:color w:val="auto"/>
              </w:rPr>
            </w:pPr>
            <w:r>
              <w:rPr>
                <w:rFonts w:ascii="Arial" w:cs="Arial" w:eastAsia="Arial" w:hAnsi="Arial"/>
                <w:sz w:val="18"/>
                <w:szCs w:val="18"/>
                <w:color w:val="auto"/>
              </w:rPr>
              <w:t>​ 6.472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40" w:type="dxa"/>
            <w:vAlign w:val="bottom"/>
            <w:shd w:val="clear" w:color="auto" w:fill="457157"/>
          </w:tcPr>
          <w:p>
            <w:pPr>
              <w:spacing w:after="0" w:line="20" w:lineRule="exact"/>
              <w:rPr>
                <w:sz w:val="1"/>
                <w:szCs w:val="1"/>
                <w:color w:val="auto"/>
              </w:rPr>
            </w:pPr>
          </w:p>
        </w:tc>
        <w:tc>
          <w:tcPr>
            <w:tcW w:w="2800" w:type="dxa"/>
            <w:vAlign w:val="bottom"/>
            <w:gridSpan w:val="5"/>
            <w:shd w:val="clear" w:color="auto" w:fill="457157"/>
          </w:tcPr>
          <w:p>
            <w:pPr>
              <w:spacing w:after="0" w:line="20" w:lineRule="exact"/>
              <w:rPr>
                <w:sz w:val="1"/>
                <w:szCs w:val="1"/>
                <w:color w:val="auto"/>
              </w:rPr>
            </w:pPr>
          </w:p>
        </w:tc>
        <w:tc>
          <w:tcPr>
            <w:tcW w:w="3060" w:type="dxa"/>
            <w:vAlign w:val="bottom"/>
            <w:gridSpan w:val="5"/>
            <w:shd w:val="clear" w:color="auto" w:fill="457157"/>
          </w:tcPr>
          <w:p>
            <w:pPr>
              <w:spacing w:after="0" w:line="20" w:lineRule="exact"/>
              <w:rPr>
                <w:sz w:val="1"/>
                <w:szCs w:val="1"/>
                <w:color w:val="auto"/>
              </w:rPr>
            </w:pPr>
          </w:p>
        </w:tc>
        <w:tc>
          <w:tcPr>
            <w:tcW w:w="200" w:type="dxa"/>
            <w:vAlign w:val="bottom"/>
            <w:gridSpan w:val="2"/>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​2023</w:t>
            </w:r>
          </w:p>
        </w:tc>
        <w:tc>
          <w:tcPr>
            <w:tcW w:w="2800" w:type="dxa"/>
            <w:vAlign w:val="bottom"/>
            <w:gridSpan w:val="5"/>
          </w:tcPr>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14,628,854​​​</w:t>
            </w:r>
            <w:r>
              <w:rPr>
                <w:rFonts w:ascii="Arial" w:cs="Arial" w:eastAsia="Arial" w:hAnsi="Arial"/>
                <w:sz w:val="18"/>
                <w:szCs w:val="18"/>
                <w:b w:val="1"/>
                <w:bCs w:val="1"/>
                <w:color w:val="auto"/>
              </w:rPr>
              <w:t>​</w:t>
            </w:r>
            <w:r>
              <w:rPr>
                <w:rFonts w:ascii="Arial" w:cs="Arial" w:eastAsia="Arial" w:hAnsi="Arial"/>
                <w:sz w:val="18"/>
                <w:szCs w:val="18"/>
                <w:color w:val="auto"/>
              </w:rPr>
              <w:t xml:space="preserve"> 26,638,740​​​</w:t>
            </w:r>
            <w:r>
              <w:rPr>
                <w:rFonts w:ascii="Arial" w:cs="Arial" w:eastAsia="Arial" w:hAnsi="Arial"/>
                <w:sz w:val="18"/>
                <w:szCs w:val="18"/>
                <w:b w:val="1"/>
                <w:bCs w:val="1"/>
                <w:color w:val="auto"/>
              </w:rPr>
              <w:t>​</w:t>
            </w:r>
          </w:p>
        </w:tc>
        <w:tc>
          <w:tcPr>
            <w:tcW w:w="3060" w:type="dxa"/>
            <w:vAlign w:val="bottom"/>
            <w:gridSpan w:val="5"/>
          </w:tcPr>
          <w:p>
            <w:pPr>
              <w:jc w:val="right"/>
              <w:ind w:right="28"/>
              <w:spacing w:after="0"/>
              <w:rPr>
                <w:sz w:val="20"/>
                <w:szCs w:val="20"/>
                <w:color w:val="auto"/>
              </w:rPr>
            </w:pPr>
            <w:r>
              <w:rPr>
                <w:rFonts w:ascii="Arial" w:cs="Arial" w:eastAsia="Arial" w:hAnsi="Arial"/>
                <w:sz w:val="18"/>
                <w:szCs w:val="18"/>
                <w:color w:val="auto"/>
              </w:rPr>
              <w:t>3,971,546 ​​​</w:t>
            </w:r>
            <w:r>
              <w:rPr>
                <w:rFonts w:ascii="Arial" w:cs="Arial" w:eastAsia="Arial" w:hAnsi="Arial"/>
                <w:sz w:val="18"/>
                <w:szCs w:val="18"/>
                <w:b w:val="1"/>
                <w:bCs w:val="1"/>
                <w:color w:val="auto"/>
              </w:rPr>
              <w:t>​</w:t>
            </w:r>
            <w:r>
              <w:rPr>
                <w:rFonts w:ascii="Arial" w:cs="Arial" w:eastAsia="Arial" w:hAnsi="Arial"/>
                <w:sz w:val="18"/>
                <w:szCs w:val="18"/>
                <w:color w:val="auto"/>
              </w:rPr>
              <w:t xml:space="preserve"> 6,550,505​​​</w:t>
            </w:r>
            <w:r>
              <w:rPr>
                <w:rFonts w:ascii="Arial" w:cs="Arial" w:eastAsia="Arial" w:hAnsi="Arial"/>
                <w:sz w:val="18"/>
                <w:szCs w:val="18"/>
                <w:b w:val="1"/>
                <w:bCs w:val="1"/>
                <w:color w:val="auto"/>
              </w:rPr>
              <w:t>​</w:t>
            </w:r>
            <w:r>
              <w:rPr>
                <w:rFonts w:ascii="Arial" w:cs="Arial" w:eastAsia="Arial" w:hAnsi="Arial"/>
                <w:sz w:val="18"/>
                <w:szCs w:val="18"/>
                <w:color w:val="auto"/>
              </w:rPr>
              <w:t>168 ​​​ ​166</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900" w:type="dxa"/>
            <w:vAlign w:val="bottom"/>
          </w:tcPr>
          <w:p>
            <w:pPr>
              <w:ind w:left="140"/>
              <w:spacing w:after="0"/>
              <w:rPr>
                <w:sz w:val="20"/>
                <w:szCs w:val="20"/>
                <w:color w:val="auto"/>
              </w:rPr>
            </w:pPr>
            <w:r>
              <w:rPr>
                <w:rFonts w:ascii="Arial" w:cs="Arial" w:eastAsia="Arial" w:hAnsi="Arial"/>
                <w:sz w:val="18"/>
                <w:szCs w:val="18"/>
                <w:color w:val="auto"/>
              </w:rPr>
              <w:t>​ 2.304</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ind w:left="100"/>
              <w:spacing w:after="0"/>
              <w:rPr>
                <w:sz w:val="20"/>
                <w:szCs w:val="20"/>
                <w:color w:val="auto"/>
              </w:rPr>
            </w:pPr>
            <w:r>
              <w:rPr>
                <w:rFonts w:ascii="Arial" w:cs="Arial" w:eastAsia="Arial" w:hAnsi="Arial"/>
                <w:sz w:val="18"/>
                <w:szCs w:val="18"/>
                <w:color w:val="auto"/>
              </w:rPr>
              <w:t>​ 5.892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40" w:type="dxa"/>
            <w:vAlign w:val="bottom"/>
            <w:shd w:val="clear" w:color="auto" w:fill="457157"/>
          </w:tcPr>
          <w:p>
            <w:pPr>
              <w:spacing w:after="0" w:line="20" w:lineRule="exact"/>
              <w:rPr>
                <w:sz w:val="1"/>
                <w:szCs w:val="1"/>
                <w:color w:val="auto"/>
              </w:rPr>
            </w:pPr>
          </w:p>
        </w:tc>
        <w:tc>
          <w:tcPr>
            <w:tcW w:w="2800" w:type="dxa"/>
            <w:vAlign w:val="bottom"/>
            <w:gridSpan w:val="5"/>
            <w:shd w:val="clear" w:color="auto" w:fill="457157"/>
          </w:tcPr>
          <w:p>
            <w:pPr>
              <w:spacing w:after="0" w:line="20" w:lineRule="exact"/>
              <w:rPr>
                <w:sz w:val="1"/>
                <w:szCs w:val="1"/>
                <w:color w:val="auto"/>
              </w:rPr>
            </w:pPr>
          </w:p>
        </w:tc>
        <w:tc>
          <w:tcPr>
            <w:tcW w:w="3060" w:type="dxa"/>
            <w:vAlign w:val="bottom"/>
            <w:gridSpan w:val="5"/>
            <w:shd w:val="clear" w:color="auto" w:fill="457157"/>
          </w:tcPr>
          <w:p>
            <w:pPr>
              <w:spacing w:after="0" w:line="20" w:lineRule="exact"/>
              <w:rPr>
                <w:sz w:val="1"/>
                <w:szCs w:val="1"/>
                <w:color w:val="auto"/>
              </w:rPr>
            </w:pPr>
          </w:p>
        </w:tc>
        <w:tc>
          <w:tcPr>
            <w:tcW w:w="200" w:type="dxa"/>
            <w:vAlign w:val="bottom"/>
            <w:gridSpan w:val="2"/>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​2022</w:t>
            </w:r>
          </w:p>
        </w:tc>
        <w:tc>
          <w:tcPr>
            <w:tcW w:w="2800" w:type="dxa"/>
            <w:vAlign w:val="bottom"/>
            <w:gridSpan w:val="5"/>
          </w:tcPr>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14,820,684​​​</w:t>
            </w:r>
            <w:r>
              <w:rPr>
                <w:rFonts w:ascii="Arial" w:cs="Arial" w:eastAsia="Arial" w:hAnsi="Arial"/>
                <w:sz w:val="18"/>
                <w:szCs w:val="18"/>
                <w:b w:val="1"/>
                <w:bCs w:val="1"/>
                <w:color w:val="auto"/>
              </w:rPr>
              <w:t>​</w:t>
            </w:r>
            <w:r>
              <w:rPr>
                <w:rFonts w:ascii="Arial" w:cs="Arial" w:eastAsia="Arial" w:hAnsi="Arial"/>
                <w:sz w:val="18"/>
                <w:szCs w:val="18"/>
                <w:color w:val="auto"/>
              </w:rPr>
              <w:t xml:space="preserve"> 13,037,001​​​</w:t>
            </w:r>
            <w:r>
              <w:rPr>
                <w:rFonts w:ascii="Arial" w:cs="Arial" w:eastAsia="Arial" w:hAnsi="Arial"/>
                <w:sz w:val="18"/>
                <w:szCs w:val="18"/>
                <w:b w:val="1"/>
                <w:bCs w:val="1"/>
                <w:color w:val="auto"/>
              </w:rPr>
              <w:t>​</w:t>
            </w:r>
          </w:p>
        </w:tc>
        <w:tc>
          <w:tcPr>
            <w:tcW w:w="3060" w:type="dxa"/>
            <w:vAlign w:val="bottom"/>
            <w:gridSpan w:val="5"/>
          </w:tcPr>
          <w:p>
            <w:pPr>
              <w:jc w:val="right"/>
              <w:ind w:right="28"/>
              <w:spacing w:after="0"/>
              <w:rPr>
                <w:sz w:val="20"/>
                <w:szCs w:val="20"/>
                <w:color w:val="auto"/>
              </w:rPr>
            </w:pPr>
            <w:r>
              <w:rPr>
                <w:rFonts w:ascii="Arial" w:cs="Arial" w:eastAsia="Arial" w:hAnsi="Arial"/>
                <w:sz w:val="18"/>
                <w:szCs w:val="18"/>
                <w:color w:val="auto"/>
              </w:rPr>
              <w:t>5,202,091 ​​​</w:t>
            </w:r>
            <w:r>
              <w:rPr>
                <w:rFonts w:ascii="Arial" w:cs="Arial" w:eastAsia="Arial" w:hAnsi="Arial"/>
                <w:sz w:val="18"/>
                <w:szCs w:val="18"/>
                <w:b w:val="1"/>
                <w:bCs w:val="1"/>
                <w:color w:val="auto"/>
              </w:rPr>
              <w:t>​</w:t>
            </w:r>
            <w:r>
              <w:rPr>
                <w:rFonts w:ascii="Arial" w:cs="Arial" w:eastAsia="Arial" w:hAnsi="Arial"/>
                <w:sz w:val="18"/>
                <w:szCs w:val="18"/>
                <w:color w:val="auto"/>
              </w:rPr>
              <w:t xml:space="preserve"> 4,823,249​​​</w:t>
            </w:r>
            <w:r>
              <w:rPr>
                <w:rFonts w:ascii="Arial" w:cs="Arial" w:eastAsia="Arial" w:hAnsi="Arial"/>
                <w:sz w:val="18"/>
                <w:szCs w:val="18"/>
                <w:b w:val="1"/>
                <w:bCs w:val="1"/>
                <w:color w:val="auto"/>
              </w:rPr>
              <w:t>​</w:t>
            </w:r>
            <w:r>
              <w:rPr>
                <w:rFonts w:ascii="Arial" w:cs="Arial" w:eastAsia="Arial" w:hAnsi="Arial"/>
                <w:sz w:val="18"/>
                <w:szCs w:val="18"/>
                <w:color w:val="auto"/>
              </w:rPr>
              <w:t>145 ​​​ ​141</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900" w:type="dxa"/>
            <w:vAlign w:val="bottom"/>
          </w:tcPr>
          <w:p>
            <w:pPr>
              <w:ind w:left="140"/>
              <w:spacing w:after="0"/>
              <w:rPr>
                <w:sz w:val="20"/>
                <w:szCs w:val="20"/>
                <w:color w:val="auto"/>
              </w:rPr>
            </w:pPr>
            <w:r>
              <w:rPr>
                <w:rFonts w:ascii="Arial" w:cs="Arial" w:eastAsia="Arial" w:hAnsi="Arial"/>
                <w:sz w:val="18"/>
                <w:szCs w:val="18"/>
                <w:color w:val="auto"/>
              </w:rPr>
              <w:t>​ 2.238</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ind w:left="100"/>
              <w:spacing w:after="0"/>
              <w:rPr>
                <w:sz w:val="20"/>
                <w:szCs w:val="20"/>
                <w:color w:val="auto"/>
              </w:rPr>
            </w:pPr>
            <w:r>
              <w:rPr>
                <w:rFonts w:ascii="Arial" w:cs="Arial" w:eastAsia="Arial" w:hAnsi="Arial"/>
                <w:sz w:val="18"/>
                <w:szCs w:val="18"/>
                <w:color w:val="auto"/>
              </w:rPr>
              <w:t>​ 5.475</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40" w:type="dxa"/>
            <w:vAlign w:val="bottom"/>
            <w:shd w:val="clear" w:color="auto" w:fill="457157"/>
          </w:tcPr>
          <w:p>
            <w:pPr>
              <w:spacing w:after="0" w:line="20" w:lineRule="exact"/>
              <w:rPr>
                <w:sz w:val="1"/>
                <w:szCs w:val="1"/>
                <w:color w:val="auto"/>
              </w:rPr>
            </w:pPr>
          </w:p>
        </w:tc>
        <w:tc>
          <w:tcPr>
            <w:tcW w:w="2800" w:type="dxa"/>
            <w:vAlign w:val="bottom"/>
            <w:gridSpan w:val="5"/>
            <w:shd w:val="clear" w:color="auto" w:fill="457157"/>
          </w:tcPr>
          <w:p>
            <w:pPr>
              <w:spacing w:after="0" w:line="20" w:lineRule="exact"/>
              <w:rPr>
                <w:sz w:val="1"/>
                <w:szCs w:val="1"/>
                <w:color w:val="auto"/>
              </w:rPr>
            </w:pPr>
          </w:p>
        </w:tc>
        <w:tc>
          <w:tcPr>
            <w:tcW w:w="3060" w:type="dxa"/>
            <w:vAlign w:val="bottom"/>
            <w:gridSpan w:val="5"/>
            <w:shd w:val="clear" w:color="auto" w:fill="457157"/>
          </w:tcPr>
          <w:p>
            <w:pPr>
              <w:spacing w:after="0" w:line="20" w:lineRule="exact"/>
              <w:rPr>
                <w:sz w:val="1"/>
                <w:szCs w:val="1"/>
                <w:color w:val="auto"/>
              </w:rPr>
            </w:pPr>
          </w:p>
        </w:tc>
        <w:tc>
          <w:tcPr>
            <w:tcW w:w="200" w:type="dxa"/>
            <w:vAlign w:val="bottom"/>
            <w:gridSpan w:val="2"/>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​2021</w:t>
            </w:r>
          </w:p>
        </w:tc>
        <w:tc>
          <w:tcPr>
            <w:tcW w:w="2800" w:type="dxa"/>
            <w:vAlign w:val="bottom"/>
            <w:gridSpan w:val="5"/>
          </w:tcPr>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13,057,363​​​</w:t>
            </w:r>
            <w:r>
              <w:rPr>
                <w:rFonts w:ascii="Arial" w:cs="Arial" w:eastAsia="Arial" w:hAnsi="Arial"/>
                <w:sz w:val="18"/>
                <w:szCs w:val="18"/>
                <w:b w:val="1"/>
                <w:bCs w:val="1"/>
                <w:color w:val="auto"/>
              </w:rPr>
              <w:t>​</w:t>
            </w:r>
            <w:r>
              <w:rPr>
                <w:rFonts w:ascii="Arial" w:cs="Arial" w:eastAsia="Arial" w:hAnsi="Arial"/>
                <w:sz w:val="18"/>
                <w:szCs w:val="18"/>
                <w:color w:val="auto"/>
              </w:rPr>
              <w:t xml:space="preserve"> 44,273,994​​​</w:t>
            </w:r>
            <w:r>
              <w:rPr>
                <w:rFonts w:ascii="Arial" w:cs="Arial" w:eastAsia="Arial" w:hAnsi="Arial"/>
                <w:sz w:val="18"/>
                <w:szCs w:val="18"/>
                <w:b w:val="1"/>
                <w:bCs w:val="1"/>
                <w:color w:val="auto"/>
              </w:rPr>
              <w:t>​</w:t>
            </w:r>
          </w:p>
        </w:tc>
        <w:tc>
          <w:tcPr>
            <w:tcW w:w="3060" w:type="dxa"/>
            <w:vAlign w:val="bottom"/>
            <w:gridSpan w:val="5"/>
          </w:tcPr>
          <w:p>
            <w:pPr>
              <w:jc w:val="right"/>
              <w:ind w:right="28"/>
              <w:spacing w:after="0"/>
              <w:rPr>
                <w:sz w:val="20"/>
                <w:szCs w:val="20"/>
                <w:color w:val="auto"/>
              </w:rPr>
            </w:pPr>
            <w:r>
              <w:rPr>
                <w:rFonts w:ascii="Arial" w:cs="Arial" w:eastAsia="Arial" w:hAnsi="Arial"/>
                <w:sz w:val="18"/>
                <w:szCs w:val="18"/>
                <w:color w:val="auto"/>
              </w:rPr>
              <w:t>3,637,383 ​​​</w:t>
            </w:r>
            <w:r>
              <w:rPr>
                <w:rFonts w:ascii="Arial" w:cs="Arial" w:eastAsia="Arial" w:hAnsi="Arial"/>
                <w:sz w:val="18"/>
                <w:szCs w:val="18"/>
                <w:b w:val="1"/>
                <w:bCs w:val="1"/>
                <w:color w:val="auto"/>
              </w:rPr>
              <w:t>​</w:t>
            </w:r>
            <w:r>
              <w:rPr>
                <w:rFonts w:ascii="Arial" w:cs="Arial" w:eastAsia="Arial" w:hAnsi="Arial"/>
                <w:sz w:val="18"/>
                <w:szCs w:val="18"/>
                <w:color w:val="auto"/>
              </w:rPr>
              <w:t>10,803,402​​​</w:t>
            </w:r>
            <w:r>
              <w:rPr>
                <w:rFonts w:ascii="Arial" w:cs="Arial" w:eastAsia="Arial" w:hAnsi="Arial"/>
                <w:sz w:val="18"/>
                <w:szCs w:val="18"/>
                <w:b w:val="1"/>
                <w:bCs w:val="1"/>
                <w:color w:val="auto"/>
              </w:rPr>
              <w:t>​</w:t>
            </w:r>
            <w:r>
              <w:rPr>
                <w:rFonts w:ascii="Arial" w:cs="Arial" w:eastAsia="Arial" w:hAnsi="Arial"/>
                <w:sz w:val="18"/>
                <w:szCs w:val="18"/>
                <w:color w:val="auto"/>
              </w:rPr>
              <w:t>152 ​​​ ​149</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900" w:type="dxa"/>
            <w:vAlign w:val="bottom"/>
          </w:tcPr>
          <w:p>
            <w:pPr>
              <w:ind w:left="140"/>
              <w:spacing w:after="0"/>
              <w:rPr>
                <w:sz w:val="20"/>
                <w:szCs w:val="20"/>
                <w:color w:val="auto"/>
              </w:rPr>
            </w:pPr>
            <w:r>
              <w:rPr>
                <w:rFonts w:ascii="Arial" w:cs="Arial" w:eastAsia="Arial" w:hAnsi="Arial"/>
                <w:sz w:val="18"/>
                <w:szCs w:val="18"/>
                <w:color w:val="auto"/>
              </w:rPr>
              <w:t>​ 1.816</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ind w:left="100"/>
              <w:spacing w:after="0"/>
              <w:rPr>
                <w:sz w:val="20"/>
                <w:szCs w:val="20"/>
                <w:color w:val="auto"/>
              </w:rPr>
            </w:pPr>
            <w:r>
              <w:rPr>
                <w:rFonts w:ascii="Arial" w:cs="Arial" w:eastAsia="Arial" w:hAnsi="Arial"/>
                <w:sz w:val="18"/>
                <w:szCs w:val="18"/>
                <w:color w:val="auto"/>
              </w:rPr>
              <w:t>​ 4.961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40" w:type="dxa"/>
            <w:vAlign w:val="bottom"/>
            <w:shd w:val="clear" w:color="auto" w:fill="457157"/>
          </w:tcPr>
          <w:p>
            <w:pPr>
              <w:spacing w:after="0" w:line="20" w:lineRule="exact"/>
              <w:rPr>
                <w:sz w:val="1"/>
                <w:szCs w:val="1"/>
                <w:color w:val="auto"/>
              </w:rPr>
            </w:pPr>
          </w:p>
        </w:tc>
        <w:tc>
          <w:tcPr>
            <w:tcW w:w="2800" w:type="dxa"/>
            <w:vAlign w:val="bottom"/>
            <w:gridSpan w:val="5"/>
            <w:shd w:val="clear" w:color="auto" w:fill="457157"/>
          </w:tcPr>
          <w:p>
            <w:pPr>
              <w:spacing w:after="0" w:line="20" w:lineRule="exact"/>
              <w:rPr>
                <w:sz w:val="1"/>
                <w:szCs w:val="1"/>
                <w:color w:val="auto"/>
              </w:rPr>
            </w:pPr>
          </w:p>
        </w:tc>
        <w:tc>
          <w:tcPr>
            <w:tcW w:w="3060" w:type="dxa"/>
            <w:vAlign w:val="bottom"/>
            <w:gridSpan w:val="5"/>
            <w:shd w:val="clear" w:color="auto" w:fill="457157"/>
          </w:tcPr>
          <w:p>
            <w:pPr>
              <w:spacing w:after="0" w:line="20" w:lineRule="exact"/>
              <w:rPr>
                <w:sz w:val="1"/>
                <w:szCs w:val="1"/>
                <w:color w:val="auto"/>
              </w:rPr>
            </w:pPr>
          </w:p>
        </w:tc>
        <w:tc>
          <w:tcPr>
            <w:tcW w:w="200" w:type="dxa"/>
            <w:vAlign w:val="bottom"/>
            <w:gridSpan w:val="2"/>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​2020</w:t>
            </w:r>
          </w:p>
        </w:tc>
        <w:tc>
          <w:tcPr>
            <w:tcW w:w="2800" w:type="dxa"/>
            <w:vAlign w:val="bottom"/>
            <w:gridSpan w:val="5"/>
          </w:tcPr>
          <w:p>
            <w:pPr>
              <w:ind w:left="5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12,373,925​​​</w:t>
            </w:r>
            <w:r>
              <w:rPr>
                <w:rFonts w:ascii="Arial" w:cs="Arial" w:eastAsia="Arial" w:hAnsi="Arial"/>
                <w:sz w:val="18"/>
                <w:szCs w:val="18"/>
                <w:b w:val="1"/>
                <w:bCs w:val="1"/>
                <w:color w:val="auto"/>
              </w:rPr>
              <w:t>​</w:t>
            </w:r>
            <w:r>
              <w:rPr>
                <w:rFonts w:ascii="Arial" w:cs="Arial" w:eastAsia="Arial" w:hAnsi="Arial"/>
                <w:sz w:val="18"/>
                <w:szCs w:val="18"/>
                <w:color w:val="auto"/>
              </w:rPr>
              <w:t xml:space="preserve"> 15,824,928​​​</w:t>
            </w:r>
            <w:r>
              <w:rPr>
                <w:rFonts w:ascii="Arial" w:cs="Arial" w:eastAsia="Arial" w:hAnsi="Arial"/>
                <w:sz w:val="18"/>
                <w:szCs w:val="18"/>
                <w:b w:val="1"/>
                <w:bCs w:val="1"/>
                <w:color w:val="auto"/>
              </w:rPr>
              <w:t>​</w:t>
            </w:r>
          </w:p>
        </w:tc>
        <w:tc>
          <w:tcPr>
            <w:tcW w:w="3060" w:type="dxa"/>
            <w:vAlign w:val="bottom"/>
            <w:gridSpan w:val="5"/>
          </w:tcPr>
          <w:p>
            <w:pPr>
              <w:jc w:val="right"/>
              <w:ind w:right="28"/>
              <w:spacing w:after="0"/>
              <w:rPr>
                <w:sz w:val="20"/>
                <w:szCs w:val="20"/>
                <w:color w:val="auto"/>
              </w:rPr>
            </w:pPr>
            <w:r>
              <w:rPr>
                <w:rFonts w:ascii="Arial" w:cs="Arial" w:eastAsia="Arial" w:hAnsi="Arial"/>
                <w:sz w:val="18"/>
                <w:szCs w:val="18"/>
                <w:color w:val="auto"/>
              </w:rPr>
              <w:t>3,372,614 ​​​</w:t>
            </w:r>
            <w:r>
              <w:rPr>
                <w:rFonts w:ascii="Arial" w:cs="Arial" w:eastAsia="Arial" w:hAnsi="Arial"/>
                <w:sz w:val="18"/>
                <w:szCs w:val="18"/>
                <w:b w:val="1"/>
                <w:bCs w:val="1"/>
                <w:color w:val="auto"/>
              </w:rPr>
              <w:t>​</w:t>
            </w:r>
            <w:r>
              <w:rPr>
                <w:rFonts w:ascii="Arial" w:cs="Arial" w:eastAsia="Arial" w:hAnsi="Arial"/>
                <w:sz w:val="18"/>
                <w:szCs w:val="18"/>
                <w:color w:val="auto"/>
              </w:rPr>
              <w:t xml:space="preserve"> 4,308,433​​​</w:t>
            </w:r>
            <w:r>
              <w:rPr>
                <w:rFonts w:ascii="Arial" w:cs="Arial" w:eastAsia="Arial" w:hAnsi="Arial"/>
                <w:sz w:val="18"/>
                <w:szCs w:val="18"/>
                <w:b w:val="1"/>
                <w:bCs w:val="1"/>
                <w:color w:val="auto"/>
              </w:rPr>
              <w:t>​</w:t>
            </w:r>
            <w:r>
              <w:rPr>
                <w:rFonts w:ascii="Arial" w:cs="Arial" w:eastAsia="Arial" w:hAnsi="Arial"/>
                <w:sz w:val="18"/>
                <w:szCs w:val="18"/>
                <w:color w:val="auto"/>
              </w:rPr>
              <w:t>105 ​​​ ​107</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900" w:type="dxa"/>
            <w:vAlign w:val="bottom"/>
          </w:tcPr>
          <w:p>
            <w:pPr>
              <w:ind w:left="140"/>
              <w:spacing w:after="0"/>
              <w:rPr>
                <w:sz w:val="20"/>
                <w:szCs w:val="20"/>
                <w:color w:val="auto"/>
              </w:rPr>
            </w:pPr>
            <w:r>
              <w:rPr>
                <w:rFonts w:ascii="Arial" w:cs="Arial" w:eastAsia="Arial" w:hAnsi="Arial"/>
                <w:sz w:val="18"/>
                <w:szCs w:val="18"/>
                <w:color w:val="auto"/>
              </w:rPr>
              <w:t>​ 1.496</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ind w:left="100"/>
              <w:spacing w:after="0"/>
              <w:rPr>
                <w:sz w:val="20"/>
                <w:szCs w:val="20"/>
                <w:color w:val="auto"/>
              </w:rPr>
            </w:pPr>
            <w:r>
              <w:rPr>
                <w:rFonts w:ascii="Arial" w:cs="Arial" w:eastAsia="Arial" w:hAnsi="Arial"/>
                <w:sz w:val="18"/>
                <w:szCs w:val="18"/>
                <w:color w:val="auto"/>
              </w:rPr>
              <w:t>​ 4.371</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40" w:type="dxa"/>
            <w:vAlign w:val="bottom"/>
            <w:shd w:val="clear" w:color="auto" w:fill="457157"/>
          </w:tcPr>
          <w:p>
            <w:pPr>
              <w:spacing w:after="0" w:line="20" w:lineRule="exact"/>
              <w:rPr>
                <w:sz w:val="1"/>
                <w:szCs w:val="1"/>
                <w:color w:val="auto"/>
              </w:rPr>
            </w:pPr>
          </w:p>
        </w:tc>
        <w:tc>
          <w:tcPr>
            <w:tcW w:w="66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60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64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90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8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-744855</wp:posOffset>
            </wp:positionV>
            <wp:extent cx="5760720" cy="1543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-445135</wp:posOffset>
            </wp:positionV>
            <wp:extent cx="5760720" cy="1454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760720" cy="14541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-153670</wp:posOffset>
            </wp:positionV>
            <wp:extent cx="5760720" cy="1460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760720" cy="146050"/>
                    </a:xfrm>
                    <a:prstGeom prst="rect">
                      <a:avLst/>
                    </a:prstGeom>
                    <a:noFill/>
                  </pic:spPr>
                </pic:pic>
              </a:graphicData>
            </a:graphic>
          </wp:anchor>
        </w:drawing>
      </w:r>
    </w:p>
    <w:p>
      <w:pPr>
        <w:spacing w:after="0" w:line="29" w:lineRule="exact"/>
        <w:rPr>
          <w:sz w:val="20"/>
          <w:szCs w:val="20"/>
          <w:color w:val="auto"/>
        </w:rPr>
      </w:pPr>
    </w:p>
    <w:p>
      <w:pPr>
        <w:jc w:val="both"/>
        <w:ind w:left="1180" w:right="60" w:hanging="364"/>
        <w:spacing w:after="0" w:line="256"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For all periods shown in the table above, the Company’s CEO was Mr. James C. Fish, Jr. The Non-CEO NEOs for purposes of the 2024 and 2023 disclosures include Ms. Devina A. Rankin, Mr. John C. Morris, Jr., Ms. Tara J. Hemmer and Mr. Rafael E. Carrasco. The Non-CEO NEOs for purposes of the 2022 and 2020 disclosures include Ms. Rankin, Mr. Morris, Ms. Hemmer and Mr. Steven R. Batchelor, the Company’s retired Senior Vice President — Operations. The Non-CEO NEOs for purposes of the 2021 disclosures include Ms. Rankin, Mr. Morris, Ms. Hemmer and Mr. Charles C. Boettcher, Executive Vice President &amp; Chief Legal Officer.</w:t>
      </w:r>
    </w:p>
    <w:p>
      <w:pPr>
        <w:spacing w:after="0" w:line="74" w:lineRule="exact"/>
        <w:rPr>
          <w:rFonts w:ascii="Arial" w:cs="Arial" w:eastAsia="Arial" w:hAnsi="Arial"/>
          <w:sz w:val="18"/>
          <w:szCs w:val="18"/>
          <w:color w:val="auto"/>
        </w:rPr>
      </w:pPr>
    </w:p>
    <w:p>
      <w:pPr>
        <w:ind w:left="1180" w:right="60" w:hanging="364"/>
        <w:spacing w:after="0" w:line="287" w:lineRule="auto"/>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To calculate 2024 CAP, we made specified adjustments to Total Compensation as reported in the SCT, as set forth below:</w:t>
      </w:r>
    </w:p>
    <w:p>
      <w:pPr>
        <w:spacing w:after="0" w:line="200" w:lineRule="exact"/>
        <w:rPr>
          <w:sz w:val="20"/>
          <w:szCs w:val="20"/>
          <w:color w:val="auto"/>
        </w:rPr>
      </w:pPr>
    </w:p>
    <w:p>
      <w:pPr>
        <w:spacing w:after="0" w:line="293"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27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-159385</wp:posOffset>
            </wp:positionV>
            <wp:extent cx="57607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760720" cy="8890"/>
                    </a:xfrm>
                    <a:prstGeom prst="rect">
                      <a:avLst/>
                    </a:prstGeom>
                    <a:noFill/>
                  </pic:spPr>
                </pic:pic>
              </a:graphicData>
            </a:graphic>
          </wp:anchor>
        </w:drawing>
      </w:r>
    </w:p>
    <w:p>
      <w:pPr>
        <w:spacing w:after="0" w:line="21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Adjustments to CEO’s SCT Total Compensation to Calculate CAP:</w:t>
      </w:r>
    </w:p>
    <w:p>
      <w:pPr>
        <w:spacing w:after="0" w:line="34" w:lineRule="exact"/>
        <w:rPr>
          <w:sz w:val="20"/>
          <w:szCs w:val="20"/>
          <w:color w:val="auto"/>
        </w:rPr>
      </w:pPr>
    </w:p>
    <w:tbl>
      <w:tblPr>
        <w:tblLayout w:type="fixed"/>
        <w:tblInd w:w="820" w:type="dxa"/>
        <w:tblCellMar>
          <w:top w:w="0" w:type="dxa"/>
          <w:left w:w="0" w:type="dxa"/>
          <w:bottom w:w="0" w:type="dxa"/>
          <w:right w:w="0" w:type="dxa"/>
        </w:tblCellMar>
      </w:tblPr>
      <w:tr>
        <w:trPr>
          <w:trHeight w:val="322"/>
        </w:trPr>
        <w:tc>
          <w:tcPr>
            <w:tcW w:w="160" w:type="dxa"/>
            <w:vAlign w:val="bottom"/>
          </w:tcPr>
          <w:p>
            <w:pPr>
              <w:jc w:val="center"/>
              <w:spacing w:after="0"/>
              <w:rPr>
                <w:sz w:val="20"/>
                <w:szCs w:val="20"/>
                <w:color w:val="auto"/>
              </w:rPr>
            </w:pPr>
            <w:r>
              <w:rPr>
                <w:rFonts w:ascii="Arial" w:cs="Arial" w:eastAsia="Arial" w:hAnsi="Arial"/>
                <w:sz w:val="14"/>
                <w:szCs w:val="14"/>
                <w:b w:val="1"/>
                <w:bCs w:val="1"/>
                <w:color w:val="457157"/>
              </w:rPr>
              <w:t>​​</w:t>
            </w:r>
          </w:p>
        </w:tc>
        <w:tc>
          <w:tcPr>
            <w:tcW w:w="7200" w:type="dxa"/>
            <w:vAlign w:val="bottom"/>
          </w:tcPr>
          <w:p>
            <w:pPr>
              <w:spacing w:after="0"/>
              <w:rPr>
                <w:sz w:val="24"/>
                <w:szCs w:val="24"/>
                <w:color w:val="auto"/>
              </w:rPr>
            </w:pPr>
          </w:p>
        </w:tc>
        <w:tc>
          <w:tcPr>
            <w:tcW w:w="900" w:type="dxa"/>
            <w:vAlign w:val="bottom"/>
            <w:gridSpan w:val="2"/>
          </w:tcPr>
          <w:p>
            <w:pPr>
              <w:ind w:left="520"/>
              <w:spacing w:after="0"/>
              <w:rPr>
                <w:sz w:val="20"/>
                <w:szCs w:val="20"/>
                <w:color w:val="auto"/>
              </w:rPr>
            </w:pPr>
            <w:r>
              <w:rPr>
                <w:rFonts w:ascii="Arial" w:cs="Arial" w:eastAsia="Arial" w:hAnsi="Arial"/>
                <w:sz w:val="14"/>
                <w:szCs w:val="14"/>
                <w:b w:val="1"/>
                <w:bCs w:val="1"/>
                <w:color w:val="457157"/>
              </w:rPr>
              <w:t>​ ​</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457157"/>
              </w:rPr>
              <w:t>2024</w:t>
            </w:r>
            <w:r>
              <w:rPr>
                <w:rFonts w:ascii="Arial" w:cs="Arial" w:eastAsia="Arial" w:hAnsi="Arial"/>
                <w:sz w:val="28"/>
                <w:szCs w:val="28"/>
                <w:b w:val="1"/>
                <w:bCs w:val="1"/>
                <w:color w:val="457157"/>
                <w:vertAlign w:val="subscript"/>
              </w:rPr>
              <w:t>​</w:t>
            </w:r>
          </w:p>
        </w:tc>
        <w:tc>
          <w:tcPr>
            <w:tcW w:w="0" w:type="dxa"/>
            <w:vAlign w:val="bottom"/>
          </w:tcPr>
          <w:p>
            <w:pPr>
              <w:spacing w:after="0"/>
              <w:rPr>
                <w:sz w:val="1"/>
                <w:szCs w:val="1"/>
                <w:color w:val="auto"/>
              </w:rPr>
            </w:pPr>
          </w:p>
        </w:tc>
      </w:tr>
      <w:tr>
        <w:trPr>
          <w:trHeight w:val="20"/>
        </w:trPr>
        <w:tc>
          <w:tcPr>
            <w:tcW w:w="73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​SCT Total Compensation</w:t>
            </w:r>
          </w:p>
        </w:tc>
        <w:tc>
          <w:tcPr>
            <w:tcW w:w="620" w:type="dxa"/>
            <w:vAlign w:val="bottom"/>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360" w:type="dxa"/>
            <w:vAlign w:val="bottom"/>
            <w:gridSpan w:val="2"/>
            <w:vMerge w:val="continue"/>
          </w:tcPr>
          <w:p>
            <w:pPr>
              <w:spacing w:after="0"/>
              <w:rPr>
                <w:sz w:val="19"/>
                <w:szCs w:val="19"/>
                <w:color w:val="auto"/>
              </w:rPr>
            </w:pPr>
          </w:p>
        </w:tc>
        <w:tc>
          <w:tcPr>
            <w:tcW w:w="1740" w:type="dxa"/>
            <w:vAlign w:val="bottom"/>
            <w:gridSpan w:val="4"/>
          </w:tcPr>
          <w:p>
            <w:pPr>
              <w:jc w:val="right"/>
              <w:spacing w:after="0"/>
              <w:rPr>
                <w:sz w:val="20"/>
                <w:szCs w:val="20"/>
                <w:color w:val="auto"/>
              </w:rPr>
            </w:pPr>
            <w:r>
              <w:rPr>
                <w:rFonts w:ascii="Arial" w:cs="Arial" w:eastAsia="Arial" w:hAnsi="Arial"/>
                <w:sz w:val="18"/>
                <w:szCs w:val="18"/>
                <w:b w:val="1"/>
                <w:bCs w:val="1"/>
                <w:color w:val="auto"/>
              </w:rPr>
              <w:t>​ ​​17,097,120​​</w:t>
            </w:r>
          </w:p>
        </w:tc>
        <w:tc>
          <w:tcPr>
            <w:tcW w:w="0" w:type="dxa"/>
            <w:vAlign w:val="bottom"/>
          </w:tcPr>
          <w:p>
            <w:pPr>
              <w:spacing w:after="0"/>
              <w:rPr>
                <w:sz w:val="1"/>
                <w:szCs w:val="1"/>
                <w:color w:val="auto"/>
              </w:rPr>
            </w:pPr>
          </w:p>
        </w:tc>
      </w:tr>
      <w:tr>
        <w:trPr>
          <w:trHeight w:val="20"/>
        </w:trPr>
        <w:tc>
          <w:tcPr>
            <w:tcW w:w="7360" w:type="dxa"/>
            <w:vAlign w:val="bottom"/>
            <w:gridSpan w:val="2"/>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​Deduction from SCT Total Compensation, in dollars</w:t>
            </w:r>
          </w:p>
        </w:tc>
        <w:tc>
          <w:tcPr>
            <w:tcW w:w="900" w:type="dxa"/>
            <w:vAlign w:val="bottom"/>
            <w:gridSpan w:val="2"/>
          </w:tcPr>
          <w:p>
            <w:pPr>
              <w:ind w:left="580"/>
              <w:spacing w:after="0"/>
              <w:rPr>
                <w:sz w:val="20"/>
                <w:szCs w:val="20"/>
                <w:color w:val="auto"/>
              </w:rPr>
            </w:pPr>
            <w:r>
              <w:rPr>
                <w:rFonts w:ascii="Arial" w:cs="Arial" w:eastAsia="Arial" w:hAnsi="Arial"/>
                <w:sz w:val="18"/>
                <w:szCs w:val="18"/>
                <w:b w:val="1"/>
                <w:bCs w:val="1"/>
                <w:color w:val="auto"/>
              </w:rPr>
              <w:t>​ ​​</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1"/>
        </w:trPr>
        <w:tc>
          <w:tcPr>
            <w:tcW w:w="160" w:type="dxa"/>
            <w:vAlign w:val="bottom"/>
            <w:tcBorders>
              <w:top w:val="single" w:sz="8" w:color="457157"/>
            </w:tcBorders>
          </w:tcPr>
          <w:p>
            <w:pPr>
              <w:jc w:val="right"/>
              <w:spacing w:after="0"/>
              <w:rPr>
                <w:sz w:val="20"/>
                <w:szCs w:val="20"/>
                <w:color w:val="auto"/>
              </w:rPr>
            </w:pPr>
            <w:r>
              <w:rPr>
                <w:rFonts w:ascii="Arial" w:cs="Arial" w:eastAsia="Arial" w:hAnsi="Arial"/>
                <w:sz w:val="18"/>
                <w:szCs w:val="18"/>
                <w:color w:val="457157"/>
              </w:rPr>
              <w:t>•</w:t>
            </w:r>
          </w:p>
        </w:tc>
        <w:tc>
          <w:tcPr>
            <w:tcW w:w="720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Grant date fair values of equity awards reported in the</w:t>
            </w:r>
          </w:p>
        </w:tc>
        <w:tc>
          <w:tcPr>
            <w:tcW w:w="620" w:type="dxa"/>
            <w:vAlign w:val="bottom"/>
            <w:tcBorders>
              <w:top w:val="single" w:sz="8" w:color="457157"/>
            </w:tcBorders>
          </w:tcPr>
          <w:p>
            <w:pPr>
              <w:spacing w:after="0"/>
              <w:rPr>
                <w:sz w:val="20"/>
                <w:szCs w:val="20"/>
                <w:color w:val="auto"/>
              </w:rPr>
            </w:pPr>
          </w:p>
        </w:tc>
        <w:tc>
          <w:tcPr>
            <w:tcW w:w="280" w:type="dxa"/>
            <w:vAlign w:val="bottom"/>
            <w:tcBorders>
              <w:top w:val="single" w:sz="8" w:color="457157"/>
            </w:tcBorders>
          </w:tcPr>
          <w:p>
            <w:pPr>
              <w:spacing w:after="0"/>
              <w:rPr>
                <w:sz w:val="20"/>
                <w:szCs w:val="20"/>
                <w:color w:val="auto"/>
              </w:rPr>
            </w:pPr>
          </w:p>
        </w:tc>
        <w:tc>
          <w:tcPr>
            <w:tcW w:w="800" w:type="dxa"/>
            <w:vAlign w:val="bottom"/>
            <w:tcBorders>
              <w:top w:val="single" w:sz="8" w:color="457157"/>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60" w:type="dxa"/>
            <w:vAlign w:val="bottom"/>
          </w:tcPr>
          <w:p>
            <w:pPr>
              <w:jc w:val="center"/>
              <w:spacing w:after="0"/>
              <w:rPr>
                <w:sz w:val="20"/>
                <w:szCs w:val="20"/>
                <w:color w:val="auto"/>
              </w:rPr>
            </w:pPr>
            <w:r>
              <w:rPr>
                <w:rFonts w:ascii="Arial" w:cs="Arial" w:eastAsia="Arial" w:hAnsi="Arial"/>
                <w:sz w:val="18"/>
                <w:szCs w:val="18"/>
                <w:color w:val="auto"/>
              </w:rPr>
              <w:t>​</w:t>
            </w:r>
          </w:p>
        </w:tc>
        <w:tc>
          <w:tcPr>
            <w:tcW w:w="7200" w:type="dxa"/>
            <w:vAlign w:val="bottom"/>
          </w:tcPr>
          <w:p>
            <w:pPr>
              <w:ind w:left="60"/>
              <w:spacing w:after="0"/>
              <w:rPr>
                <w:sz w:val="20"/>
                <w:szCs w:val="20"/>
                <w:color w:val="auto"/>
              </w:rPr>
            </w:pPr>
            <w:r>
              <w:rPr>
                <w:rFonts w:ascii="Arial" w:cs="Arial" w:eastAsia="Arial" w:hAnsi="Arial"/>
                <w:sz w:val="18"/>
                <w:szCs w:val="18"/>
                <w:color w:val="auto"/>
              </w:rPr>
              <w:t>“Stock Awards” and “Options Awards” columns in the SCT</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​12,242,110</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60" w:type="dxa"/>
            <w:vAlign w:val="bottom"/>
            <w:gridSpan w:val="2"/>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​Additions to SCT Total Compensation, in dollars:</w:t>
            </w:r>
          </w:p>
        </w:tc>
        <w:tc>
          <w:tcPr>
            <w:tcW w:w="900" w:type="dxa"/>
            <w:vAlign w:val="bottom"/>
            <w:gridSpan w:val="2"/>
          </w:tcPr>
          <w:p>
            <w:pPr>
              <w:ind w:left="580"/>
              <w:spacing w:after="0"/>
              <w:rPr>
                <w:sz w:val="20"/>
                <w:szCs w:val="20"/>
                <w:color w:val="auto"/>
              </w:rPr>
            </w:pPr>
            <w:r>
              <w:rPr>
                <w:rFonts w:ascii="Arial" w:cs="Arial" w:eastAsia="Arial" w:hAnsi="Arial"/>
                <w:sz w:val="18"/>
                <w:szCs w:val="18"/>
                <w:b w:val="1"/>
                <w:bCs w:val="1"/>
                <w:color w:val="auto"/>
              </w:rPr>
              <w:t>​ ​​</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00" w:type="dxa"/>
            <w:vAlign w:val="bottom"/>
          </w:tcPr>
          <w:p>
            <w:pPr>
              <w:ind w:left="60"/>
              <w:spacing w:after="0" w:line="223" w:lineRule="exact"/>
              <w:rPr>
                <w:sz w:val="20"/>
                <w:szCs w:val="20"/>
                <w:color w:val="auto"/>
              </w:rPr>
            </w:pPr>
            <w:r>
              <w:rPr>
                <w:rFonts w:ascii="Arial" w:cs="Arial" w:eastAsia="Arial" w:hAnsi="Arial"/>
                <w:sz w:val="18"/>
                <w:szCs w:val="18"/>
                <w:color w:val="auto"/>
              </w:rPr>
              <w:t>Fair value of stock awards granted during the year, as of 12/31</w:t>
            </w:r>
            <w:r>
              <w:rPr>
                <w:rFonts w:ascii="Arial" w:cs="Arial" w:eastAsia="Arial" w:hAnsi="Arial"/>
                <w:sz w:val="23"/>
                <w:szCs w:val="23"/>
                <w:color w:val="auto"/>
                <w:vertAlign w:val="superscript"/>
              </w:rPr>
              <w:t>(a)</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9,603,806​​</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00" w:type="dxa"/>
            <w:vAlign w:val="bottom"/>
          </w:tcPr>
          <w:p>
            <w:pPr>
              <w:ind w:left="60"/>
              <w:spacing w:after="0" w:line="223" w:lineRule="exact"/>
              <w:rPr>
                <w:sz w:val="20"/>
                <w:szCs w:val="20"/>
                <w:color w:val="auto"/>
              </w:rPr>
            </w:pPr>
            <w:r>
              <w:rPr>
                <w:rFonts w:ascii="Arial" w:cs="Arial" w:eastAsia="Arial" w:hAnsi="Arial"/>
                <w:sz w:val="18"/>
                <w:szCs w:val="18"/>
                <w:color w:val="auto"/>
              </w:rPr>
              <w:t>Fair value of option awards granted during the year, as of 12/31</w:t>
            </w:r>
            <w:r>
              <w:rPr>
                <w:rFonts w:ascii="Arial" w:cs="Arial" w:eastAsia="Arial" w:hAnsi="Arial"/>
                <w:sz w:val="23"/>
                <w:szCs w:val="23"/>
                <w:color w:val="auto"/>
                <w:vertAlign w:val="superscript"/>
              </w:rPr>
              <w:t>(b)</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1,676,850​​</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00" w:type="dxa"/>
            <w:vAlign w:val="bottom"/>
          </w:tcPr>
          <w:p>
            <w:pPr>
              <w:ind w:left="60"/>
              <w:spacing w:after="0" w:line="223" w:lineRule="exact"/>
              <w:rPr>
                <w:sz w:val="20"/>
                <w:szCs w:val="20"/>
                <w:color w:val="auto"/>
              </w:rPr>
            </w:pPr>
            <w:r>
              <w:rPr>
                <w:rFonts w:ascii="Arial" w:cs="Arial" w:eastAsia="Arial" w:hAnsi="Arial"/>
                <w:sz w:val="18"/>
                <w:szCs w:val="18"/>
                <w:color w:val="auto"/>
              </w:rPr>
              <w:t>Change in fair value of prior years’ stock awards unvested at 12/31</w:t>
            </w:r>
            <w:r>
              <w:rPr>
                <w:rFonts w:ascii="Arial" w:cs="Arial" w:eastAsia="Arial" w:hAnsi="Arial"/>
                <w:sz w:val="23"/>
                <w:szCs w:val="23"/>
                <w:color w:val="auto"/>
                <w:vertAlign w:val="superscript"/>
              </w:rPr>
              <w:t>(a)</w:t>
            </w: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268,511​​</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00" w:type="dxa"/>
            <w:vAlign w:val="bottom"/>
          </w:tcPr>
          <w:p>
            <w:pPr>
              <w:ind w:left="60"/>
              <w:spacing w:after="0" w:line="223" w:lineRule="exact"/>
              <w:rPr>
                <w:sz w:val="20"/>
                <w:szCs w:val="20"/>
                <w:color w:val="auto"/>
              </w:rPr>
            </w:pPr>
            <w:r>
              <w:rPr>
                <w:rFonts w:ascii="Arial" w:cs="Arial" w:eastAsia="Arial" w:hAnsi="Arial"/>
                <w:sz w:val="18"/>
                <w:szCs w:val="18"/>
                <w:color w:val="auto"/>
              </w:rPr>
              <w:t>Change in fair value of prior years’ option awards unvested at 12/31</w:t>
            </w:r>
            <w:r>
              <w:rPr>
                <w:rFonts w:ascii="Arial" w:cs="Arial" w:eastAsia="Arial" w:hAnsi="Arial"/>
                <w:sz w:val="23"/>
                <w:szCs w:val="23"/>
                <w:color w:val="auto"/>
                <w:vertAlign w:val="superscript"/>
              </w:rPr>
              <w:t>(b)</w:t>
            </w: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932,612​​</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00" w:type="dxa"/>
            <w:vAlign w:val="bottom"/>
          </w:tcPr>
          <w:p>
            <w:pPr>
              <w:ind w:left="60"/>
              <w:spacing w:after="0" w:line="223" w:lineRule="exact"/>
              <w:rPr>
                <w:sz w:val="20"/>
                <w:szCs w:val="20"/>
                <w:color w:val="auto"/>
              </w:rPr>
            </w:pPr>
            <w:r>
              <w:rPr>
                <w:rFonts w:ascii="Arial" w:cs="Arial" w:eastAsia="Arial" w:hAnsi="Arial"/>
                <w:sz w:val="18"/>
                <w:szCs w:val="18"/>
                <w:color w:val="auto"/>
              </w:rPr>
              <w:t>Change in fair value of prior years’ stock awards vesting during the year</w:t>
            </w:r>
            <w:r>
              <w:rPr>
                <w:rFonts w:ascii="Arial" w:cs="Arial" w:eastAsia="Arial" w:hAnsi="Arial"/>
                <w:sz w:val="23"/>
                <w:szCs w:val="23"/>
                <w:color w:val="auto"/>
                <w:vertAlign w:val="superscript"/>
              </w:rPr>
              <w:t>(a)</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4,628,504​​</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00" w:type="dxa"/>
            <w:vAlign w:val="bottom"/>
          </w:tcPr>
          <w:p>
            <w:pPr>
              <w:ind w:left="60"/>
              <w:spacing w:after="0" w:line="223" w:lineRule="exact"/>
              <w:rPr>
                <w:sz w:val="20"/>
                <w:szCs w:val="20"/>
                <w:color w:val="auto"/>
              </w:rPr>
            </w:pPr>
            <w:r>
              <w:rPr>
                <w:rFonts w:ascii="Arial" w:cs="Arial" w:eastAsia="Arial" w:hAnsi="Arial"/>
                <w:sz w:val="18"/>
                <w:szCs w:val="18"/>
                <w:color w:val="auto"/>
              </w:rPr>
              <w:t>Change in fair value of prior years’ option awards vesting during the year</w:t>
            </w:r>
            <w:r>
              <w:rPr>
                <w:rFonts w:ascii="Arial" w:cs="Arial" w:eastAsia="Arial" w:hAnsi="Arial"/>
                <w:sz w:val="23"/>
                <w:szCs w:val="23"/>
                <w:color w:val="auto"/>
                <w:vertAlign w:val="superscript"/>
              </w:rPr>
              <w:t>(b)</w:t>
            </w: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1,930,172​​</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00" w:type="dxa"/>
            <w:vAlign w:val="bottom"/>
          </w:tcPr>
          <w:p>
            <w:pPr>
              <w:ind w:left="60"/>
              <w:spacing w:after="0"/>
              <w:rPr>
                <w:sz w:val="20"/>
                <w:szCs w:val="20"/>
                <w:color w:val="auto"/>
              </w:rPr>
            </w:pPr>
            <w:r>
              <w:rPr>
                <w:rFonts w:ascii="Arial" w:cs="Arial" w:eastAsia="Arial" w:hAnsi="Arial"/>
                <w:sz w:val="18"/>
                <w:szCs w:val="18"/>
                <w:color w:val="auto"/>
              </w:rPr>
              <w:t>Dividend equivalents paid upon stock awards vesting during the year</w:t>
            </w:r>
          </w:p>
        </w:tc>
        <w:tc>
          <w:tcPr>
            <w:tcW w:w="900" w:type="dxa"/>
            <w:vAlign w:val="bottom"/>
            <w:gridSpan w:val="2"/>
          </w:tcPr>
          <w:p>
            <w:pPr>
              <w:ind w:left="5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605,573​​</w:t>
            </w:r>
          </w:p>
        </w:tc>
        <w:tc>
          <w:tcPr>
            <w:tcW w:w="0" w:type="dxa"/>
            <w:vAlign w:val="bottom"/>
          </w:tcPr>
          <w:p>
            <w:pPr>
              <w:spacing w:after="0"/>
              <w:rPr>
                <w:sz w:val="1"/>
                <w:szCs w:val="1"/>
                <w:color w:val="auto"/>
              </w:rPr>
            </w:pPr>
          </w:p>
        </w:tc>
      </w:tr>
      <w:tr>
        <w:trPr>
          <w:trHeight w:val="20"/>
        </w:trPr>
        <w:tc>
          <w:tcPr>
            <w:tcW w:w="7360" w:type="dxa"/>
            <w:vAlign w:val="bottom"/>
            <w:gridSpan w:val="2"/>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Additions to SCT Total Compensation, in dollars</w:t>
            </w:r>
          </w:p>
        </w:tc>
        <w:tc>
          <w:tcPr>
            <w:tcW w:w="1740" w:type="dxa"/>
            <w:vAlign w:val="bottom"/>
            <w:gridSpan w:val="4"/>
          </w:tcPr>
          <w:p>
            <w:pPr>
              <w:jc w:val="right"/>
              <w:spacing w:after="0"/>
              <w:rPr>
                <w:sz w:val="20"/>
                <w:szCs w:val="20"/>
                <w:color w:val="auto"/>
              </w:rPr>
            </w:pPr>
            <w:r>
              <w:rPr>
                <w:rFonts w:ascii="Arial" w:cs="Arial" w:eastAsia="Arial" w:hAnsi="Arial"/>
                <w:sz w:val="18"/>
                <w:szCs w:val="18"/>
                <w:b w:val="1"/>
                <w:bCs w:val="1"/>
                <w:color w:val="auto"/>
              </w:rPr>
              <w:t>​ ​​19,646,028​​</w:t>
            </w:r>
          </w:p>
        </w:tc>
        <w:tc>
          <w:tcPr>
            <w:tcW w:w="0" w:type="dxa"/>
            <w:vAlign w:val="bottom"/>
          </w:tcPr>
          <w:p>
            <w:pPr>
              <w:spacing w:after="0"/>
              <w:rPr>
                <w:sz w:val="1"/>
                <w:szCs w:val="1"/>
                <w:color w:val="auto"/>
              </w:rPr>
            </w:pPr>
          </w:p>
        </w:tc>
      </w:tr>
      <w:tr>
        <w:trPr>
          <w:trHeight w:val="20"/>
        </w:trPr>
        <w:tc>
          <w:tcPr>
            <w:tcW w:w="7360" w:type="dxa"/>
            <w:vAlign w:val="bottom"/>
            <w:gridSpan w:val="2"/>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10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60" w:type="dxa"/>
            <w:vAlign w:val="bottom"/>
            <w:gridSpan w:val="2"/>
          </w:tcPr>
          <w:p>
            <w:pPr>
              <w:ind w:left="20"/>
              <w:spacing w:after="0"/>
              <w:rPr>
                <w:sz w:val="20"/>
                <w:szCs w:val="20"/>
                <w:color w:val="auto"/>
              </w:rPr>
            </w:pPr>
            <w:r>
              <w:rPr>
                <w:rFonts w:ascii="Arial" w:cs="Arial" w:eastAsia="Arial" w:hAnsi="Arial"/>
                <w:sz w:val="18"/>
                <w:szCs w:val="18"/>
                <w:b w:val="1"/>
                <w:bCs w:val="1"/>
                <w:color w:val="auto"/>
              </w:rPr>
              <w:t>​CAP</w:t>
            </w:r>
          </w:p>
        </w:tc>
        <w:tc>
          <w:tcPr>
            <w:tcW w:w="1740" w:type="dxa"/>
            <w:vAlign w:val="bottom"/>
            <w:gridSpan w:val="4"/>
          </w:tcPr>
          <w:p>
            <w:pPr>
              <w:jc w:val="right"/>
              <w:spacing w:after="0"/>
              <w:rPr>
                <w:sz w:val="20"/>
                <w:szCs w:val="20"/>
                <w:color w:val="auto"/>
              </w:rPr>
            </w:pPr>
            <w:r>
              <w:rPr>
                <w:rFonts w:ascii="Arial" w:cs="Arial" w:eastAsia="Arial" w:hAnsi="Arial"/>
                <w:sz w:val="18"/>
                <w:szCs w:val="18"/>
                <w:b w:val="1"/>
                <w:bCs w:val="1"/>
                <w:color w:val="auto"/>
              </w:rPr>
              <w:t>​ ​​24,501,038​​</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00" w:type="dxa"/>
            <w:vAlign w:val="bottom"/>
            <w:shd w:val="clear" w:color="auto" w:fill="457157"/>
          </w:tcPr>
          <w:p>
            <w:pPr>
              <w:spacing w:after="0" w:line="20" w:lineRule="exact"/>
              <w:rPr>
                <w:sz w:val="1"/>
                <w:szCs w:val="1"/>
                <w:color w:val="auto"/>
              </w:rPr>
            </w:pPr>
          </w:p>
        </w:tc>
        <w:tc>
          <w:tcPr>
            <w:tcW w:w="62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-1833880</wp:posOffset>
            </wp:positionV>
            <wp:extent cx="5760720" cy="3086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760720" cy="30861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-1379220</wp:posOffset>
            </wp:positionV>
            <wp:extent cx="5760720" cy="1543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-1071245</wp:posOffset>
            </wp:positionV>
            <wp:extent cx="5760720" cy="1543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-762635</wp:posOffset>
            </wp:positionV>
            <wp:extent cx="5760720" cy="1543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-453390</wp:posOffset>
            </wp:positionV>
            <wp:extent cx="5760720" cy="1543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-153670</wp:posOffset>
            </wp:positionV>
            <wp:extent cx="5760720" cy="1460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760720" cy="1460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-2133600</wp:posOffset>
            </wp:positionV>
            <wp:extent cx="5760720" cy="154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760720" cy="154305"/>
                    </a:xfrm>
                    <a:prstGeom prst="rect">
                      <a:avLst/>
                    </a:prstGeom>
                    <a:noFill/>
                  </pic:spPr>
                </pic:pic>
              </a:graphicData>
            </a:graphic>
          </wp:anchor>
        </w:drawing>
      </w:r>
    </w:p>
    <w:p>
      <w:pPr>
        <w:spacing w:after="0" w:line="154" w:lineRule="exact"/>
        <w:rPr>
          <w:sz w:val="20"/>
          <w:szCs w:val="20"/>
          <w:color w:val="auto"/>
        </w:rPr>
      </w:pPr>
    </w:p>
    <w:p>
      <w:pPr>
        <w:ind w:left="820" w:right="300"/>
        <w:spacing w:after="0" w:line="256" w:lineRule="auto"/>
        <w:rPr>
          <w:sz w:val="20"/>
          <w:szCs w:val="20"/>
          <w:color w:val="auto"/>
        </w:rPr>
      </w:pPr>
      <w:r>
        <w:rPr>
          <w:rFonts w:ascii="Arial" w:cs="Arial" w:eastAsia="Arial" w:hAnsi="Arial"/>
          <w:sz w:val="22"/>
          <w:szCs w:val="22"/>
          <w:b w:val="1"/>
          <w:bCs w:val="1"/>
          <w:color w:val="457157"/>
        </w:rPr>
        <w:t>Adjustments to Non-CEO NEOs Average SCT Total Compensation to Calculate Average CAP:</w:t>
      </w:r>
    </w:p>
    <w:tbl>
      <w:tblPr>
        <w:tblLayout w:type="fixed"/>
        <w:tblInd w:w="820" w:type="dxa"/>
        <w:tblCellMar>
          <w:top w:w="0" w:type="dxa"/>
          <w:left w:w="0" w:type="dxa"/>
          <w:bottom w:w="0" w:type="dxa"/>
          <w:right w:w="0" w:type="dxa"/>
        </w:tblCellMar>
      </w:tblPr>
      <w:tr>
        <w:trPr>
          <w:trHeight w:val="312"/>
        </w:trPr>
        <w:tc>
          <w:tcPr>
            <w:tcW w:w="160" w:type="dxa"/>
            <w:vAlign w:val="bottom"/>
          </w:tcPr>
          <w:p>
            <w:pPr>
              <w:jc w:val="center"/>
              <w:spacing w:after="0"/>
              <w:rPr>
                <w:sz w:val="20"/>
                <w:szCs w:val="20"/>
                <w:color w:val="auto"/>
              </w:rPr>
            </w:pPr>
            <w:r>
              <w:rPr>
                <w:rFonts w:ascii="Arial" w:cs="Arial" w:eastAsia="Arial" w:hAnsi="Arial"/>
                <w:sz w:val="14"/>
                <w:szCs w:val="14"/>
                <w:b w:val="1"/>
                <w:bCs w:val="1"/>
                <w:color w:val="457157"/>
              </w:rPr>
              <w:t>​​</w:t>
            </w:r>
          </w:p>
        </w:tc>
        <w:tc>
          <w:tcPr>
            <w:tcW w:w="7240" w:type="dxa"/>
            <w:vAlign w:val="bottom"/>
          </w:tcPr>
          <w:p>
            <w:pPr>
              <w:spacing w:after="0"/>
              <w:rPr>
                <w:sz w:val="24"/>
                <w:szCs w:val="24"/>
                <w:color w:val="auto"/>
              </w:rPr>
            </w:pPr>
          </w:p>
        </w:tc>
        <w:tc>
          <w:tcPr>
            <w:tcW w:w="900" w:type="dxa"/>
            <w:vAlign w:val="bottom"/>
            <w:gridSpan w:val="2"/>
          </w:tcPr>
          <w:p>
            <w:pPr>
              <w:ind w:left="580"/>
              <w:spacing w:after="0"/>
              <w:rPr>
                <w:sz w:val="20"/>
                <w:szCs w:val="20"/>
                <w:color w:val="auto"/>
              </w:rPr>
            </w:pPr>
            <w:r>
              <w:rPr>
                <w:rFonts w:ascii="Arial" w:cs="Arial" w:eastAsia="Arial" w:hAnsi="Arial"/>
                <w:sz w:val="14"/>
                <w:szCs w:val="14"/>
                <w:b w:val="1"/>
                <w:bCs w:val="1"/>
                <w:color w:val="457157"/>
              </w:rPr>
              <w:t>​ ​</w:t>
            </w:r>
          </w:p>
        </w:tc>
        <w:tc>
          <w:tcPr>
            <w:tcW w:w="800" w:type="dxa"/>
            <w:vAlign w:val="bottom"/>
            <w:gridSpan w:val="2"/>
          </w:tcPr>
          <w:p>
            <w:pPr>
              <w:jc w:val="right"/>
              <w:ind w:right="40"/>
              <w:spacing w:after="0" w:line="312" w:lineRule="exact"/>
              <w:rPr>
                <w:sz w:val="20"/>
                <w:szCs w:val="20"/>
                <w:color w:val="auto"/>
              </w:rPr>
            </w:pPr>
            <w:r>
              <w:rPr>
                <w:rFonts w:ascii="Arial" w:cs="Arial" w:eastAsia="Arial" w:hAnsi="Arial"/>
                <w:sz w:val="14"/>
                <w:szCs w:val="14"/>
                <w:b w:val="1"/>
                <w:bCs w:val="1"/>
                <w:color w:val="457157"/>
              </w:rPr>
              <w:t>2024</w:t>
            </w:r>
            <w:r>
              <w:rPr>
                <w:rFonts w:ascii="Arial" w:cs="Arial" w:eastAsia="Arial" w:hAnsi="Arial"/>
                <w:sz w:val="28"/>
                <w:szCs w:val="28"/>
                <w:b w:val="1"/>
                <w:bCs w:val="1"/>
                <w:color w:val="457157"/>
                <w:vertAlign w:val="subscript"/>
              </w:rPr>
              <w:t>​</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​SCT Total Compensation</w:t>
            </w:r>
          </w:p>
        </w:tc>
        <w:tc>
          <w:tcPr>
            <w:tcW w:w="680" w:type="dxa"/>
            <w:vAlign w:val="bottom"/>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gridSpan w:val="2"/>
            <w:vMerge w:val="continue"/>
          </w:tcPr>
          <w:p>
            <w:pPr>
              <w:spacing w:after="0"/>
              <w:rPr>
                <w:sz w:val="19"/>
                <w:szCs w:val="19"/>
                <w:color w:val="auto"/>
              </w:rPr>
            </w:pPr>
          </w:p>
        </w:tc>
        <w:tc>
          <w:tcPr>
            <w:tcW w:w="1700" w:type="dxa"/>
            <w:vAlign w:val="bottom"/>
            <w:gridSpan w:val="4"/>
          </w:tcPr>
          <w:p>
            <w:pPr>
              <w:jc w:val="right"/>
              <w:spacing w:after="0"/>
              <w:rPr>
                <w:sz w:val="20"/>
                <w:szCs w:val="20"/>
                <w:color w:val="auto"/>
              </w:rPr>
            </w:pPr>
            <w:r>
              <w:rPr>
                <w:rFonts w:ascii="Arial" w:cs="Arial" w:eastAsia="Arial" w:hAnsi="Arial"/>
                <w:sz w:val="18"/>
                <w:szCs w:val="18"/>
                <w:b w:val="1"/>
                <w:bCs w:val="1"/>
                <w:color w:val="auto"/>
              </w:rPr>
              <w:t>​ ​​4,851,561​​</w:t>
            </w:r>
          </w:p>
        </w:tc>
        <w:tc>
          <w:tcPr>
            <w:tcW w:w="0" w:type="dxa"/>
            <w:vAlign w:val="bottom"/>
          </w:tcPr>
          <w:p>
            <w:pPr>
              <w:spacing w:after="0"/>
              <w:rPr>
                <w:sz w:val="1"/>
                <w:szCs w:val="1"/>
                <w:color w:val="auto"/>
              </w:rPr>
            </w:pPr>
          </w:p>
        </w:tc>
      </w:tr>
      <w:tr>
        <w:trPr>
          <w:trHeight w:val="20"/>
        </w:trPr>
        <w:tc>
          <w:tcPr>
            <w:tcW w:w="7400" w:type="dxa"/>
            <w:vAlign w:val="bottom"/>
            <w:gridSpan w:val="2"/>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gridSpan w:val="2"/>
          </w:tcPr>
          <w:p>
            <w:pPr>
              <w:ind w:left="20"/>
              <w:spacing w:after="0"/>
              <w:rPr>
                <w:sz w:val="20"/>
                <w:szCs w:val="20"/>
                <w:color w:val="auto"/>
              </w:rPr>
            </w:pPr>
            <w:r>
              <w:rPr>
                <w:rFonts w:ascii="Arial" w:cs="Arial" w:eastAsia="Arial" w:hAnsi="Arial"/>
                <w:sz w:val="18"/>
                <w:szCs w:val="18"/>
                <w:b w:val="1"/>
                <w:bCs w:val="1"/>
                <w:color w:val="auto"/>
              </w:rPr>
              <w:t>​Deduction from SCT Total Compensation, in dollars</w:t>
            </w:r>
          </w:p>
        </w:tc>
        <w:tc>
          <w:tcPr>
            <w:tcW w:w="900" w:type="dxa"/>
            <w:vAlign w:val="bottom"/>
            <w:gridSpan w:val="2"/>
          </w:tcPr>
          <w:p>
            <w:pPr>
              <w:ind w:left="620"/>
              <w:spacing w:after="0"/>
              <w:rPr>
                <w:sz w:val="20"/>
                <w:szCs w:val="20"/>
                <w:color w:val="auto"/>
              </w:rPr>
            </w:pPr>
            <w:r>
              <w:rPr>
                <w:rFonts w:ascii="Arial" w:cs="Arial" w:eastAsia="Arial" w:hAnsi="Arial"/>
                <w:sz w:val="18"/>
                <w:szCs w:val="18"/>
                <w:b w:val="1"/>
                <w:bCs w:val="1"/>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1"/>
        </w:trPr>
        <w:tc>
          <w:tcPr>
            <w:tcW w:w="160" w:type="dxa"/>
            <w:vAlign w:val="bottom"/>
            <w:tcBorders>
              <w:top w:val="single" w:sz="8" w:color="457157"/>
            </w:tcBorders>
          </w:tcPr>
          <w:p>
            <w:pPr>
              <w:jc w:val="right"/>
              <w:spacing w:after="0"/>
              <w:rPr>
                <w:sz w:val="20"/>
                <w:szCs w:val="20"/>
                <w:color w:val="auto"/>
              </w:rPr>
            </w:pPr>
            <w:r>
              <w:rPr>
                <w:rFonts w:ascii="Arial" w:cs="Arial" w:eastAsia="Arial" w:hAnsi="Arial"/>
                <w:sz w:val="18"/>
                <w:szCs w:val="18"/>
                <w:color w:val="457157"/>
              </w:rPr>
              <w:t>•</w:t>
            </w:r>
          </w:p>
        </w:tc>
        <w:tc>
          <w:tcPr>
            <w:tcW w:w="724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Grant date fair values of equity awards reported in the</w:t>
            </w:r>
          </w:p>
        </w:tc>
        <w:tc>
          <w:tcPr>
            <w:tcW w:w="680" w:type="dxa"/>
            <w:vAlign w:val="bottom"/>
            <w:tcBorders>
              <w:top w:val="single" w:sz="8" w:color="457157"/>
            </w:tcBorders>
          </w:tcPr>
          <w:p>
            <w:pPr>
              <w:spacing w:after="0"/>
              <w:rPr>
                <w:sz w:val="20"/>
                <w:szCs w:val="20"/>
                <w:color w:val="auto"/>
              </w:rPr>
            </w:pPr>
          </w:p>
        </w:tc>
        <w:tc>
          <w:tcPr>
            <w:tcW w:w="220" w:type="dxa"/>
            <w:vAlign w:val="bottom"/>
            <w:tcBorders>
              <w:top w:val="single" w:sz="8" w:color="457157"/>
            </w:tcBorders>
          </w:tcPr>
          <w:p>
            <w:pPr>
              <w:spacing w:after="0"/>
              <w:rPr>
                <w:sz w:val="20"/>
                <w:szCs w:val="20"/>
                <w:color w:val="auto"/>
              </w:rPr>
            </w:pPr>
          </w:p>
        </w:tc>
        <w:tc>
          <w:tcPr>
            <w:tcW w:w="760" w:type="dxa"/>
            <w:vAlign w:val="bottom"/>
            <w:tcBorders>
              <w:top w:val="single" w:sz="8" w:color="457157"/>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60" w:type="dxa"/>
            <w:vAlign w:val="bottom"/>
          </w:tcPr>
          <w:p>
            <w:pPr>
              <w:jc w:val="center"/>
              <w:spacing w:after="0"/>
              <w:rPr>
                <w:sz w:val="20"/>
                <w:szCs w:val="20"/>
                <w:color w:val="auto"/>
              </w:rPr>
            </w:pPr>
            <w:r>
              <w:rPr>
                <w:rFonts w:ascii="Arial" w:cs="Arial" w:eastAsia="Arial" w:hAnsi="Arial"/>
                <w:sz w:val="18"/>
                <w:szCs w:val="18"/>
                <w:color w:val="auto"/>
              </w:rPr>
              <w:t>​</w:t>
            </w:r>
          </w:p>
        </w:tc>
        <w:tc>
          <w:tcPr>
            <w:tcW w:w="7240" w:type="dxa"/>
            <w:vAlign w:val="bottom"/>
          </w:tcPr>
          <w:p>
            <w:pPr>
              <w:ind w:left="60"/>
              <w:spacing w:after="0"/>
              <w:rPr>
                <w:sz w:val="20"/>
                <w:szCs w:val="20"/>
                <w:color w:val="auto"/>
              </w:rPr>
            </w:pPr>
            <w:r>
              <w:rPr>
                <w:rFonts w:ascii="Arial" w:cs="Arial" w:eastAsia="Arial" w:hAnsi="Arial"/>
                <w:sz w:val="18"/>
                <w:szCs w:val="18"/>
                <w:color w:val="auto"/>
              </w:rPr>
              <w:t>“Stock Awards” and “Options Awards” columns in the SCT</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​2,903,563</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00" w:type="dxa"/>
            <w:vAlign w:val="bottom"/>
            <w:gridSpan w:val="2"/>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0" w:type="dxa"/>
            <w:vAlign w:val="bottom"/>
            <w:gridSpan w:val="2"/>
          </w:tcPr>
          <w:p>
            <w:pPr>
              <w:ind w:left="20"/>
              <w:spacing w:after="0"/>
              <w:rPr>
                <w:sz w:val="20"/>
                <w:szCs w:val="20"/>
                <w:color w:val="auto"/>
              </w:rPr>
            </w:pPr>
            <w:r>
              <w:rPr>
                <w:rFonts w:ascii="Arial" w:cs="Arial" w:eastAsia="Arial" w:hAnsi="Arial"/>
                <w:sz w:val="18"/>
                <w:szCs w:val="18"/>
                <w:b w:val="1"/>
                <w:bCs w:val="1"/>
                <w:color w:val="auto"/>
              </w:rPr>
              <w:t>​Additions to SCT Total Compensation, in dollars:</w:t>
            </w:r>
          </w:p>
        </w:tc>
        <w:tc>
          <w:tcPr>
            <w:tcW w:w="900" w:type="dxa"/>
            <w:vAlign w:val="bottom"/>
            <w:gridSpan w:val="2"/>
          </w:tcPr>
          <w:p>
            <w:pPr>
              <w:ind w:left="620"/>
              <w:spacing w:after="0"/>
              <w:rPr>
                <w:sz w:val="20"/>
                <w:szCs w:val="20"/>
                <w:color w:val="auto"/>
              </w:rPr>
            </w:pPr>
            <w:r>
              <w:rPr>
                <w:rFonts w:ascii="Arial" w:cs="Arial" w:eastAsia="Arial" w:hAnsi="Arial"/>
                <w:sz w:val="18"/>
                <w:szCs w:val="18"/>
                <w:b w:val="1"/>
                <w:bCs w:val="1"/>
                <w:color w:val="auto"/>
              </w:rPr>
              <w:t>​ ​​</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40" w:type="dxa"/>
            <w:vAlign w:val="bottom"/>
          </w:tcPr>
          <w:p>
            <w:pPr>
              <w:ind w:left="60"/>
              <w:spacing w:after="0" w:line="223" w:lineRule="exact"/>
              <w:rPr>
                <w:sz w:val="20"/>
                <w:szCs w:val="20"/>
                <w:color w:val="auto"/>
              </w:rPr>
            </w:pPr>
            <w:r>
              <w:rPr>
                <w:rFonts w:ascii="Arial" w:cs="Arial" w:eastAsia="Arial" w:hAnsi="Arial"/>
                <w:sz w:val="18"/>
                <w:szCs w:val="18"/>
                <w:color w:val="auto"/>
              </w:rPr>
              <w:t>Fair value of stock awards granted during the year, as of 12/31</w:t>
            </w:r>
            <w:r>
              <w:rPr>
                <w:rFonts w:ascii="Arial" w:cs="Arial" w:eastAsia="Arial" w:hAnsi="Arial"/>
                <w:sz w:val="23"/>
                <w:szCs w:val="23"/>
                <w:color w:val="auto"/>
                <w:vertAlign w:val="superscript"/>
              </w:rPr>
              <w:t>(a)</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2,277,817​​</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40" w:type="dxa"/>
            <w:vAlign w:val="bottom"/>
          </w:tcPr>
          <w:p>
            <w:pPr>
              <w:ind w:left="60"/>
              <w:spacing w:after="0" w:line="223" w:lineRule="exact"/>
              <w:rPr>
                <w:sz w:val="20"/>
                <w:szCs w:val="20"/>
                <w:color w:val="auto"/>
              </w:rPr>
            </w:pPr>
            <w:r>
              <w:rPr>
                <w:rFonts w:ascii="Arial" w:cs="Arial" w:eastAsia="Arial" w:hAnsi="Arial"/>
                <w:sz w:val="18"/>
                <w:szCs w:val="18"/>
                <w:color w:val="auto"/>
              </w:rPr>
              <w:t>Fair value of option awards granted during the year, as of 12/31</w:t>
            </w:r>
            <w:r>
              <w:rPr>
                <w:rFonts w:ascii="Arial" w:cs="Arial" w:eastAsia="Arial" w:hAnsi="Arial"/>
                <w:sz w:val="23"/>
                <w:szCs w:val="23"/>
                <w:color w:val="auto"/>
                <w:vertAlign w:val="superscript"/>
              </w:rPr>
              <w:t>(b)</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397,712​​</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40" w:type="dxa"/>
            <w:vAlign w:val="bottom"/>
          </w:tcPr>
          <w:p>
            <w:pPr>
              <w:ind w:left="60"/>
              <w:spacing w:after="0" w:line="223" w:lineRule="exact"/>
              <w:rPr>
                <w:sz w:val="20"/>
                <w:szCs w:val="20"/>
                <w:color w:val="auto"/>
              </w:rPr>
            </w:pPr>
            <w:r>
              <w:rPr>
                <w:rFonts w:ascii="Arial" w:cs="Arial" w:eastAsia="Arial" w:hAnsi="Arial"/>
                <w:sz w:val="18"/>
                <w:szCs w:val="18"/>
                <w:color w:val="auto"/>
              </w:rPr>
              <w:t>Change in fair value of prior years’ stock awards unvested at 12/31</w:t>
            </w:r>
            <w:r>
              <w:rPr>
                <w:rFonts w:ascii="Arial" w:cs="Arial" w:eastAsia="Arial" w:hAnsi="Arial"/>
                <w:sz w:val="23"/>
                <w:szCs w:val="23"/>
                <w:color w:val="auto"/>
                <w:vertAlign w:val="superscript"/>
              </w:rPr>
              <w:t>(a)</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204,056​​</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40" w:type="dxa"/>
            <w:vAlign w:val="bottom"/>
          </w:tcPr>
          <w:p>
            <w:pPr>
              <w:ind w:left="60"/>
              <w:spacing w:after="0" w:line="223" w:lineRule="exact"/>
              <w:rPr>
                <w:sz w:val="20"/>
                <w:szCs w:val="20"/>
                <w:color w:val="auto"/>
              </w:rPr>
            </w:pPr>
            <w:r>
              <w:rPr>
                <w:rFonts w:ascii="Arial" w:cs="Arial" w:eastAsia="Arial" w:hAnsi="Arial"/>
                <w:sz w:val="18"/>
                <w:szCs w:val="18"/>
                <w:color w:val="auto"/>
              </w:rPr>
              <w:t>Change in fair value of prior years’ option awards unvested at 12/31</w:t>
            </w:r>
            <w:r>
              <w:rPr>
                <w:rFonts w:ascii="Arial" w:cs="Arial" w:eastAsia="Arial" w:hAnsi="Arial"/>
                <w:sz w:val="23"/>
                <w:szCs w:val="23"/>
                <w:color w:val="auto"/>
                <w:vertAlign w:val="superscript"/>
              </w:rPr>
              <w:t>(b)</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213,402​​</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40" w:type="dxa"/>
            <w:vAlign w:val="bottom"/>
          </w:tcPr>
          <w:p>
            <w:pPr>
              <w:ind w:left="60"/>
              <w:spacing w:after="0" w:line="223" w:lineRule="exact"/>
              <w:rPr>
                <w:sz w:val="20"/>
                <w:szCs w:val="20"/>
                <w:color w:val="auto"/>
              </w:rPr>
            </w:pPr>
            <w:r>
              <w:rPr>
                <w:rFonts w:ascii="Arial" w:cs="Arial" w:eastAsia="Arial" w:hAnsi="Arial"/>
                <w:sz w:val="18"/>
                <w:szCs w:val="18"/>
                <w:color w:val="auto"/>
              </w:rPr>
              <w:t>Change in fair value of prior years’ stock awards vesting during the year</w:t>
            </w:r>
            <w:r>
              <w:rPr>
                <w:rFonts w:ascii="Arial" w:cs="Arial" w:eastAsia="Arial" w:hAnsi="Arial"/>
                <w:sz w:val="23"/>
                <w:szCs w:val="23"/>
                <w:color w:val="auto"/>
                <w:vertAlign w:val="superscript"/>
              </w:rPr>
              <w:t>(a)</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1,086,996​​</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40" w:type="dxa"/>
            <w:vAlign w:val="bottom"/>
          </w:tcPr>
          <w:p>
            <w:pPr>
              <w:ind w:left="60"/>
              <w:spacing w:after="0" w:line="223" w:lineRule="exact"/>
              <w:rPr>
                <w:sz w:val="20"/>
                <w:szCs w:val="20"/>
                <w:color w:val="auto"/>
              </w:rPr>
            </w:pPr>
            <w:r>
              <w:rPr>
                <w:rFonts w:ascii="Arial" w:cs="Arial" w:eastAsia="Arial" w:hAnsi="Arial"/>
                <w:sz w:val="18"/>
                <w:szCs w:val="18"/>
                <w:color w:val="auto"/>
              </w:rPr>
              <w:t>Change in fair value of prior years’ option awards vesting during the year</w:t>
            </w:r>
            <w:r>
              <w:rPr>
                <w:rFonts w:ascii="Arial" w:cs="Arial" w:eastAsia="Arial" w:hAnsi="Arial"/>
                <w:sz w:val="23"/>
                <w:szCs w:val="23"/>
                <w:color w:val="auto"/>
                <w:vertAlign w:val="superscript"/>
              </w:rPr>
              <w:t>(b)</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401,999​​</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6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457157"/>
              </w:rPr>
              <w:t>•</w:t>
            </w:r>
          </w:p>
        </w:tc>
        <w:tc>
          <w:tcPr>
            <w:tcW w:w="7240" w:type="dxa"/>
            <w:vAlign w:val="bottom"/>
          </w:tcPr>
          <w:p>
            <w:pPr>
              <w:ind w:left="60"/>
              <w:spacing w:after="0"/>
              <w:rPr>
                <w:sz w:val="20"/>
                <w:szCs w:val="20"/>
                <w:color w:val="auto"/>
              </w:rPr>
            </w:pPr>
            <w:r>
              <w:rPr>
                <w:rFonts w:ascii="Arial" w:cs="Arial" w:eastAsia="Arial" w:hAnsi="Arial"/>
                <w:sz w:val="18"/>
                <w:szCs w:val="18"/>
                <w:color w:val="auto"/>
              </w:rPr>
              <w:t>Dividend equivalents paid upon stock awards vesting during the year</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145,529​​</w:t>
            </w:r>
          </w:p>
        </w:tc>
        <w:tc>
          <w:tcPr>
            <w:tcW w:w="0" w:type="dxa"/>
            <w:vAlign w:val="bottom"/>
          </w:tcPr>
          <w:p>
            <w:pPr>
              <w:spacing w:after="0"/>
              <w:rPr>
                <w:sz w:val="1"/>
                <w:szCs w:val="1"/>
                <w:color w:val="auto"/>
              </w:rPr>
            </w:pPr>
          </w:p>
        </w:tc>
      </w:tr>
      <w:tr>
        <w:trPr>
          <w:trHeight w:val="20"/>
        </w:trPr>
        <w:tc>
          <w:tcPr>
            <w:tcW w:w="7400" w:type="dxa"/>
            <w:vAlign w:val="bottom"/>
            <w:gridSpan w:val="2"/>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Additions to SCT Total Compensation, in dollars</w:t>
            </w:r>
          </w:p>
        </w:tc>
        <w:tc>
          <w:tcPr>
            <w:tcW w:w="1700" w:type="dxa"/>
            <w:vAlign w:val="bottom"/>
            <w:gridSpan w:val="4"/>
          </w:tcPr>
          <w:p>
            <w:pPr>
              <w:jc w:val="right"/>
              <w:spacing w:after="0"/>
              <w:rPr>
                <w:sz w:val="20"/>
                <w:szCs w:val="20"/>
                <w:color w:val="auto"/>
              </w:rPr>
            </w:pPr>
            <w:r>
              <w:rPr>
                <w:rFonts w:ascii="Arial" w:cs="Arial" w:eastAsia="Arial" w:hAnsi="Arial"/>
                <w:sz w:val="18"/>
                <w:szCs w:val="18"/>
                <w:b w:val="1"/>
                <w:bCs w:val="1"/>
                <w:color w:val="auto"/>
              </w:rPr>
              <w:t>​ ​​4,724,511​​</w:t>
            </w:r>
          </w:p>
        </w:tc>
        <w:tc>
          <w:tcPr>
            <w:tcW w:w="0" w:type="dxa"/>
            <w:vAlign w:val="bottom"/>
          </w:tcPr>
          <w:p>
            <w:pPr>
              <w:spacing w:after="0"/>
              <w:rPr>
                <w:sz w:val="1"/>
                <w:szCs w:val="1"/>
                <w:color w:val="auto"/>
              </w:rPr>
            </w:pPr>
          </w:p>
        </w:tc>
      </w:tr>
      <w:tr>
        <w:trPr>
          <w:trHeight w:val="20"/>
        </w:trPr>
        <w:tc>
          <w:tcPr>
            <w:tcW w:w="7400" w:type="dxa"/>
            <w:vAlign w:val="bottom"/>
            <w:gridSpan w:val="2"/>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98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0" w:type="dxa"/>
            <w:vAlign w:val="bottom"/>
            <w:gridSpan w:val="2"/>
          </w:tcPr>
          <w:p>
            <w:pPr>
              <w:ind w:left="20"/>
              <w:spacing w:after="0"/>
              <w:rPr>
                <w:sz w:val="20"/>
                <w:szCs w:val="20"/>
                <w:color w:val="auto"/>
              </w:rPr>
            </w:pPr>
            <w:r>
              <w:rPr>
                <w:rFonts w:ascii="Arial" w:cs="Arial" w:eastAsia="Arial" w:hAnsi="Arial"/>
                <w:sz w:val="18"/>
                <w:szCs w:val="18"/>
                <w:b w:val="1"/>
                <w:bCs w:val="1"/>
                <w:color w:val="auto"/>
              </w:rPr>
              <w:t>​CAP</w:t>
            </w:r>
          </w:p>
        </w:tc>
        <w:tc>
          <w:tcPr>
            <w:tcW w:w="1700" w:type="dxa"/>
            <w:vAlign w:val="bottom"/>
            <w:gridSpan w:val="4"/>
          </w:tcPr>
          <w:p>
            <w:pPr>
              <w:jc w:val="right"/>
              <w:spacing w:after="0"/>
              <w:rPr>
                <w:sz w:val="20"/>
                <w:szCs w:val="20"/>
                <w:color w:val="auto"/>
              </w:rPr>
            </w:pPr>
            <w:r>
              <w:rPr>
                <w:rFonts w:ascii="Arial" w:cs="Arial" w:eastAsia="Arial" w:hAnsi="Arial"/>
                <w:sz w:val="18"/>
                <w:szCs w:val="18"/>
                <w:b w:val="1"/>
                <w:bCs w:val="1"/>
                <w:color w:val="auto"/>
              </w:rPr>
              <w:t>​ ​​6,672,509​​</w:t>
            </w:r>
          </w:p>
        </w:tc>
        <w:tc>
          <w:tcPr>
            <w:tcW w:w="0" w:type="dxa"/>
            <w:vAlign w:val="bottom"/>
          </w:tcPr>
          <w:p>
            <w:pPr>
              <w:spacing w:after="0"/>
              <w:rPr>
                <w:sz w:val="1"/>
                <w:szCs w:val="1"/>
                <w:color w:val="auto"/>
              </w:rPr>
            </w:pPr>
          </w:p>
        </w:tc>
      </w:tr>
      <w:tr>
        <w:trPr>
          <w:trHeight w:val="20"/>
        </w:trPr>
        <w:tc>
          <w:tcPr>
            <w:tcW w:w="160" w:type="dxa"/>
            <w:vAlign w:val="bottom"/>
            <w:shd w:val="clear" w:color="auto" w:fill="457157"/>
          </w:tcPr>
          <w:p>
            <w:pPr>
              <w:spacing w:after="0" w:line="20" w:lineRule="exact"/>
              <w:rPr>
                <w:sz w:val="1"/>
                <w:szCs w:val="1"/>
                <w:color w:val="auto"/>
              </w:rPr>
            </w:pPr>
          </w:p>
        </w:tc>
        <w:tc>
          <w:tcPr>
            <w:tcW w:w="7240" w:type="dxa"/>
            <w:vAlign w:val="bottom"/>
            <w:shd w:val="clear" w:color="auto" w:fill="457157"/>
          </w:tcPr>
          <w:p>
            <w:pPr>
              <w:spacing w:after="0" w:line="20" w:lineRule="exact"/>
              <w:rPr>
                <w:sz w:val="1"/>
                <w:szCs w:val="1"/>
                <w:color w:val="auto"/>
              </w:rPr>
            </w:pPr>
          </w:p>
        </w:tc>
        <w:tc>
          <w:tcPr>
            <w:tcW w:w="68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-1833880</wp:posOffset>
            </wp:positionV>
            <wp:extent cx="5760720" cy="3086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760720" cy="30861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-1379220</wp:posOffset>
            </wp:positionV>
            <wp:extent cx="5760720" cy="1543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-1070610</wp:posOffset>
            </wp:positionV>
            <wp:extent cx="5760720" cy="1543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-762000</wp:posOffset>
            </wp:positionV>
            <wp:extent cx="5760720" cy="1543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-453390</wp:posOffset>
            </wp:positionV>
            <wp:extent cx="5760720" cy="1543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760720" cy="1543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-153670</wp:posOffset>
            </wp:positionV>
            <wp:extent cx="5760720" cy="1460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760720" cy="1460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-2133600</wp:posOffset>
            </wp:positionV>
            <wp:extent cx="5760720" cy="1543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760720" cy="154305"/>
                    </a:xfrm>
                    <a:prstGeom prst="rect">
                      <a:avLst/>
                    </a:prstGeom>
                    <a:noFill/>
                  </pic:spPr>
                </pic:pic>
              </a:graphicData>
            </a:graphic>
          </wp:anchor>
        </w:drawing>
      </w:r>
    </w:p>
    <w:p>
      <w:pPr>
        <w:spacing w:after="0" w:line="15" w:lineRule="exact"/>
        <w:rPr>
          <w:sz w:val="20"/>
          <w:szCs w:val="20"/>
          <w:color w:val="auto"/>
        </w:rPr>
      </w:pPr>
    </w:p>
    <w:p>
      <w:pPr>
        <w:jc w:val="both"/>
        <w:ind w:left="1540" w:right="60" w:hanging="364"/>
        <w:spacing w:after="0" w:line="254" w:lineRule="auto"/>
        <w:tabs>
          <w:tab w:leader="none" w:pos="1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Stock awards for all NEOs include annual grants of TSR PSUs and Cash Flow PSUs. The fair value of an unvested TSR PSU is calculated using a multifactor Monte Carlo model, and because total shareholder return is a market condition, projected achievement is embedded in the fair value. The fair value of an unvested Cash Flow PSU is equal to the average of the high and low market price of our Common Stock on the given date; we then multiply the fair value of a Cash Flow PSU by our projection, for accounting purposes, of the probable outcome of the Cash Flow Generation performance measure applicable to such PSUs, based on results to-date and forecast. The following grid summarizes the projected probable outcomes utilized to calculate the value of unvested Cash Flow PSUs at year-end for years prior to the end of the performance period for purposes of 2024 CAP: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60</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27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71805" cy="12827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287"/>
        </w:trPr>
        <w:tc>
          <w:tcPr>
            <w:tcW w:w="700" w:type="dxa"/>
            <w:vAlign w:val="bottom"/>
            <w:tcBorders>
              <w:top w:val="single" w:sz="8" w:color="457157"/>
            </w:tcBorders>
          </w:tcPr>
          <w:p>
            <w:pPr>
              <w:spacing w:after="0"/>
              <w:rPr>
                <w:sz w:val="20"/>
                <w:szCs w:val="20"/>
                <w:color w:val="auto"/>
              </w:rPr>
            </w:pPr>
            <w:r>
              <w:rPr>
                <w:rFonts w:ascii="Arial" w:cs="Arial" w:eastAsia="Arial" w:hAnsi="Arial"/>
                <w:sz w:val="16"/>
                <w:szCs w:val="16"/>
                <w:b w:val="1"/>
                <w:bCs w:val="1"/>
                <w:color w:val="auto"/>
              </w:rPr>
              <w:t>​</w:t>
            </w:r>
          </w:p>
        </w:tc>
        <w:tc>
          <w:tcPr>
            <w:tcW w:w="8360" w:type="dxa"/>
            <w:vAlign w:val="bottom"/>
            <w:tcBorders>
              <w:top w:val="single" w:sz="8" w:color="457157"/>
            </w:tcBorders>
            <w:gridSpan w:val="10"/>
          </w:tcPr>
          <w:p>
            <w:pPr>
              <w:ind w:left="5400"/>
              <w:spacing w:after="0"/>
              <w:rPr>
                <w:sz w:val="20"/>
                <w:szCs w:val="20"/>
                <w:color w:val="auto"/>
              </w:rPr>
            </w:pPr>
            <w:r>
              <w:rPr>
                <w:rFonts w:ascii="Arial" w:cs="Arial" w:eastAsia="Arial" w:hAnsi="Arial"/>
                <w:sz w:val="20"/>
                <w:szCs w:val="20"/>
                <w:b w:val="1"/>
                <w:bCs w:val="1"/>
                <w:color w:val="auto"/>
              </w:rPr>
              <w:t>EXECUTIVE COMPENSATION</w:t>
            </w:r>
          </w:p>
        </w:tc>
        <w:tc>
          <w:tcPr>
            <w:tcW w:w="60" w:type="dxa"/>
            <w:vAlign w:val="bottom"/>
          </w:tcPr>
          <w:p>
            <w:pPr>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348"/>
        </w:trPr>
        <w:tc>
          <w:tcPr>
            <w:tcW w:w="700" w:type="dxa"/>
            <w:vAlign w:val="bottom"/>
          </w:tcPr>
          <w:p>
            <w:pPr>
              <w:spacing w:after="0"/>
              <w:rPr>
                <w:sz w:val="24"/>
                <w:szCs w:val="24"/>
                <w:color w:val="auto"/>
              </w:rPr>
            </w:pPr>
          </w:p>
        </w:tc>
        <w:tc>
          <w:tcPr>
            <w:tcW w:w="6280" w:type="dxa"/>
            <w:vAlign w:val="bottom"/>
          </w:tcPr>
          <w:p>
            <w:pPr>
              <w:ind w:left="60"/>
              <w:spacing w:after="0"/>
              <w:rPr>
                <w:sz w:val="20"/>
                <w:szCs w:val="20"/>
                <w:color w:val="auto"/>
              </w:rPr>
            </w:pPr>
            <w:r>
              <w:rPr>
                <w:rFonts w:ascii="Arial" w:cs="Arial" w:eastAsia="Arial" w:hAnsi="Arial"/>
                <w:sz w:val="14"/>
                <w:szCs w:val="14"/>
                <w:b w:val="1"/>
                <w:bCs w:val="1"/>
                <w:color w:val="457157"/>
              </w:rPr>
              <w:t>Projected Payout of Unvested Cash Flow PSUs at Year-End</w:t>
            </w:r>
          </w:p>
        </w:tc>
        <w:tc>
          <w:tcPr>
            <w:tcW w:w="360" w:type="dxa"/>
            <w:vAlign w:val="bottom"/>
          </w:tcPr>
          <w:p>
            <w:pPr>
              <w:spacing w:after="0"/>
              <w:rPr>
                <w:sz w:val="24"/>
                <w:szCs w:val="24"/>
                <w:color w:val="auto"/>
              </w:rPr>
            </w:pP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457157"/>
              </w:rPr>
              <w:t>2024</w:t>
            </w:r>
          </w:p>
        </w:tc>
        <w:tc>
          <w:tcPr>
            <w:tcW w:w="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457157"/>
              </w:rPr>
              <w:t>​</w:t>
            </w:r>
          </w:p>
        </w:tc>
        <w:tc>
          <w:tcPr>
            <w:tcW w:w="360" w:type="dxa"/>
            <w:vAlign w:val="bottom"/>
            <w:gridSpan w:val="2"/>
          </w:tcPr>
          <w:p>
            <w:pPr>
              <w:ind w:left="20"/>
              <w:spacing w:after="0"/>
              <w:rPr>
                <w:sz w:val="20"/>
                <w:szCs w:val="20"/>
                <w:color w:val="auto"/>
              </w:rPr>
            </w:pPr>
            <w:r>
              <w:rPr>
                <w:rFonts w:ascii="Arial" w:cs="Arial" w:eastAsia="Arial" w:hAnsi="Arial"/>
                <w:sz w:val="14"/>
                <w:szCs w:val="14"/>
                <w:b w:val="1"/>
                <w:bCs w:val="1"/>
                <w:color w:val="457157"/>
              </w:rPr>
              <w:t>2023</w:t>
            </w:r>
          </w:p>
        </w:tc>
        <w:tc>
          <w:tcPr>
            <w:tcW w:w="60" w:type="dxa"/>
            <w:vAlign w:val="bottom"/>
          </w:tcPr>
          <w:p>
            <w:pPr>
              <w:spacing w:after="0"/>
              <w:rPr>
                <w:sz w:val="24"/>
                <w:szCs w:val="24"/>
                <w:color w:val="auto"/>
              </w:rPr>
            </w:pPr>
          </w:p>
        </w:tc>
        <w:tc>
          <w:tcPr>
            <w:tcW w:w="780" w:type="dxa"/>
            <w:vAlign w:val="bottom"/>
            <w:gridSpan w:val="2"/>
            <w:vMerge w:val="restart"/>
          </w:tcPr>
          <w:p>
            <w:pPr>
              <w:jc w:val="right"/>
              <w:ind w:right="659"/>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6280" w:type="dxa"/>
            <w:vAlign w:val="bottom"/>
            <w:tcBorders>
              <w:bottom w:val="single" w:sz="8" w:color="457157"/>
            </w:tcBorders>
          </w:tcPr>
          <w:p>
            <w:pPr>
              <w:ind w:left="60"/>
              <w:spacing w:after="0" w:line="68" w:lineRule="exact"/>
              <w:rPr>
                <w:sz w:val="20"/>
                <w:szCs w:val="20"/>
                <w:color w:val="auto"/>
              </w:rPr>
            </w:pPr>
            <w:r>
              <w:rPr>
                <w:rFonts w:ascii="Arial" w:cs="Arial" w:eastAsia="Arial" w:hAnsi="Arial"/>
                <w:sz w:val="7"/>
                <w:szCs w:val="7"/>
                <w:b w:val="1"/>
                <w:bCs w:val="1"/>
                <w:color w:val="457157"/>
              </w:rPr>
              <w:t>​</w:t>
            </w:r>
          </w:p>
        </w:tc>
        <w:tc>
          <w:tcPr>
            <w:tcW w:w="480" w:type="dxa"/>
            <w:vAlign w:val="bottom"/>
            <w:tcBorders>
              <w:bottom w:val="single" w:sz="8" w:color="457157"/>
            </w:tcBorders>
            <w:gridSpan w:val="2"/>
          </w:tcPr>
          <w:p>
            <w:pPr>
              <w:ind w:left="260"/>
              <w:spacing w:after="0" w:line="68" w:lineRule="exact"/>
              <w:rPr>
                <w:sz w:val="20"/>
                <w:szCs w:val="20"/>
                <w:color w:val="auto"/>
              </w:rPr>
            </w:pPr>
            <w:r>
              <w:rPr>
                <w:rFonts w:ascii="Arial" w:cs="Arial" w:eastAsia="Arial" w:hAnsi="Arial"/>
                <w:sz w:val="7"/>
                <w:szCs w:val="7"/>
                <w:b w:val="1"/>
                <w:bCs w:val="1"/>
                <w:color w:val="457157"/>
              </w:rPr>
              <w:t>​ ​</w:t>
            </w:r>
          </w:p>
        </w:tc>
        <w:tc>
          <w:tcPr>
            <w:tcW w:w="240" w:type="dxa"/>
            <w:vAlign w:val="bottom"/>
            <w:tcBorders>
              <w:bottom w:val="single" w:sz="8" w:color="457157"/>
            </w:tcBorders>
          </w:tcPr>
          <w:p>
            <w:pPr>
              <w:spacing w:after="0"/>
              <w:rPr>
                <w:sz w:val="5"/>
                <w:szCs w:val="5"/>
                <w:color w:val="auto"/>
              </w:rPr>
            </w:pPr>
          </w:p>
        </w:tc>
        <w:tc>
          <w:tcPr>
            <w:tcW w:w="220" w:type="dxa"/>
            <w:vAlign w:val="bottom"/>
            <w:tcBorders>
              <w:bottom w:val="single" w:sz="8" w:color="457157"/>
            </w:tcBorders>
            <w:gridSpan w:val="2"/>
            <w:vMerge w:val="continue"/>
          </w:tcPr>
          <w:p>
            <w:pPr>
              <w:spacing w:after="0"/>
              <w:rPr>
                <w:sz w:val="5"/>
                <w:szCs w:val="5"/>
                <w:color w:val="auto"/>
              </w:rPr>
            </w:pPr>
          </w:p>
        </w:tc>
        <w:tc>
          <w:tcPr>
            <w:tcW w:w="220" w:type="dxa"/>
            <w:vAlign w:val="bottom"/>
            <w:tcBorders>
              <w:bottom w:val="single" w:sz="8" w:color="457157"/>
            </w:tcBorders>
          </w:tcPr>
          <w:p>
            <w:pPr>
              <w:spacing w:after="0" w:line="68" w:lineRule="exact"/>
              <w:rPr>
                <w:sz w:val="20"/>
                <w:szCs w:val="20"/>
                <w:color w:val="auto"/>
              </w:rPr>
            </w:pPr>
            <w:r>
              <w:rPr>
                <w:rFonts w:ascii="Arial" w:cs="Arial" w:eastAsia="Arial" w:hAnsi="Arial"/>
                <w:sz w:val="7"/>
                <w:szCs w:val="7"/>
                <w:b w:val="1"/>
                <w:bCs w:val="1"/>
                <w:color w:val="457157"/>
              </w:rPr>
              <w:t>​</w:t>
            </w:r>
          </w:p>
        </w:tc>
        <w:tc>
          <w:tcPr>
            <w:tcW w:w="140" w:type="dxa"/>
            <w:vAlign w:val="bottom"/>
            <w:tcBorders>
              <w:bottom w:val="single" w:sz="8" w:color="457157"/>
            </w:tcBorders>
          </w:tcPr>
          <w:p>
            <w:pPr>
              <w:spacing w:after="0"/>
              <w:rPr>
                <w:sz w:val="5"/>
                <w:szCs w:val="5"/>
                <w:color w:val="auto"/>
              </w:rPr>
            </w:pPr>
          </w:p>
        </w:tc>
        <w:tc>
          <w:tcPr>
            <w:tcW w:w="60" w:type="dxa"/>
            <w:vAlign w:val="bottom"/>
            <w:tcBorders>
              <w:bottom w:val="single" w:sz="8" w:color="457157"/>
            </w:tcBorders>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6280" w:type="dxa"/>
            <w:vAlign w:val="bottom"/>
          </w:tcPr>
          <w:p>
            <w:pPr>
              <w:ind w:left="60"/>
              <w:spacing w:after="0" w:line="196" w:lineRule="exact"/>
              <w:rPr>
                <w:sz w:val="20"/>
                <w:szCs w:val="20"/>
                <w:color w:val="auto"/>
              </w:rPr>
            </w:pPr>
            <w:r>
              <w:rPr>
                <w:rFonts w:ascii="Arial" w:cs="Arial" w:eastAsia="Arial" w:hAnsi="Arial"/>
                <w:sz w:val="18"/>
                <w:szCs w:val="18"/>
                <w:color w:val="auto"/>
              </w:rPr>
              <w:t>Cash Flow PSUs with 3-year Performance Period Ended 12/31/2024</w:t>
            </w:r>
          </w:p>
        </w:tc>
        <w:tc>
          <w:tcPr>
            <w:tcW w:w="480" w:type="dxa"/>
            <w:vAlign w:val="bottom"/>
            <w:gridSpan w:val="2"/>
            <w:vMerge w:val="restart"/>
          </w:tcPr>
          <w:p>
            <w:pPr>
              <w:ind w:left="200"/>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4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20" w:type="dxa"/>
            <w:vAlign w:val="bottom"/>
            <w:gridSpan w:val="3"/>
          </w:tcPr>
          <w:p>
            <w:pPr>
              <w:ind w:left="20"/>
              <w:spacing w:after="0" w:line="196" w:lineRule="exact"/>
              <w:rPr>
                <w:sz w:val="20"/>
                <w:szCs w:val="20"/>
                <w:color w:val="auto"/>
              </w:rPr>
            </w:pPr>
            <w:r>
              <w:rPr>
                <w:rFonts w:ascii="Arial" w:cs="Arial" w:eastAsia="Arial" w:hAnsi="Arial"/>
                <w:sz w:val="18"/>
                <w:szCs w:val="18"/>
                <w:color w:val="auto"/>
                <w:w w:val="82"/>
              </w:rPr>
              <w:t>​100%</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628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480" w:type="dxa"/>
            <w:vAlign w:val="bottom"/>
            <w:gridSpan w:val="2"/>
            <w:vMerge w:val="continue"/>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3"/>
          </w:tcPr>
          <w:p>
            <w:pPr>
              <w:jc w:val="right"/>
              <w:ind w:right="679"/>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2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400" w:type="dxa"/>
            <w:vAlign w:val="bottom"/>
            <w:gridSpan w:val="2"/>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420" w:type="dxa"/>
            <w:vAlign w:val="bottom"/>
            <w:gridSpan w:val="3"/>
            <w:shd w:val="clear" w:color="auto" w:fill="457157"/>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6280" w:type="dxa"/>
            <w:vAlign w:val="bottom"/>
          </w:tcPr>
          <w:p>
            <w:pPr>
              <w:ind w:left="60"/>
              <w:spacing w:after="0" w:line="196" w:lineRule="exact"/>
              <w:rPr>
                <w:sz w:val="20"/>
                <w:szCs w:val="20"/>
                <w:color w:val="auto"/>
              </w:rPr>
            </w:pPr>
            <w:r>
              <w:rPr>
                <w:rFonts w:ascii="Arial" w:cs="Arial" w:eastAsia="Arial" w:hAnsi="Arial"/>
                <w:sz w:val="18"/>
                <w:szCs w:val="18"/>
                <w:color w:val="auto"/>
              </w:rPr>
              <w:t>Cash Flow PSUs with 3-year Performance Period Ended 12/31/2025</w:t>
            </w:r>
          </w:p>
        </w:tc>
        <w:tc>
          <w:tcPr>
            <w:tcW w:w="360" w:type="dxa"/>
            <w:vAlign w:val="bottom"/>
            <w:vMerge w:val="restart"/>
          </w:tcPr>
          <w:p>
            <w:pPr>
              <w:ind w:left="200"/>
              <w:spacing w:after="0"/>
              <w:rPr>
                <w:sz w:val="20"/>
                <w:szCs w:val="20"/>
                <w:color w:val="auto"/>
              </w:rPr>
            </w:pPr>
            <w:r>
              <w:rPr>
                <w:rFonts w:ascii="Arial" w:cs="Arial" w:eastAsia="Arial" w:hAnsi="Arial"/>
                <w:sz w:val="18"/>
                <w:szCs w:val="18"/>
                <w:color w:val="auto"/>
              </w:rPr>
              <w:t>​ ​</w:t>
            </w:r>
          </w:p>
        </w:tc>
        <w:tc>
          <w:tcPr>
            <w:tcW w:w="12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99"/>
              </w:rPr>
              <w:t>75%</w:t>
            </w:r>
          </w:p>
        </w:tc>
        <w:tc>
          <w:tcPr>
            <w:tcW w:w="6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5"/>
          </w:tcPr>
          <w:p>
            <w:pPr>
              <w:ind w:left="2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628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3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3"/>
          </w:tcPr>
          <w:p>
            <w:pPr>
              <w:jc w:val="right"/>
              <w:ind w:right="679"/>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6280" w:type="dxa"/>
            <w:vAlign w:val="bottom"/>
            <w:tcBorders>
              <w:top w:val="single" w:sz="8" w:color="457157"/>
            </w:tcBorders>
          </w:tcPr>
          <w:p>
            <w:pPr>
              <w:ind w:left="60"/>
              <w:spacing w:after="0" w:line="196" w:lineRule="exact"/>
              <w:rPr>
                <w:sz w:val="20"/>
                <w:szCs w:val="20"/>
                <w:color w:val="auto"/>
              </w:rPr>
            </w:pPr>
            <w:r>
              <w:rPr>
                <w:rFonts w:ascii="Arial" w:cs="Arial" w:eastAsia="Arial" w:hAnsi="Arial"/>
                <w:sz w:val="18"/>
                <w:szCs w:val="18"/>
                <w:color w:val="auto"/>
              </w:rPr>
              <w:t>Cash Flow PSUs with 3-year Performance Period Ended 12/31/2026</w:t>
            </w:r>
          </w:p>
        </w:tc>
        <w:tc>
          <w:tcPr>
            <w:tcW w:w="360" w:type="dxa"/>
            <w:vAlign w:val="bottom"/>
            <w:tcBorders>
              <w:top w:val="single" w:sz="8" w:color="457157"/>
            </w:tcBorders>
            <w:vMerge w:val="restart"/>
          </w:tcPr>
          <w:p>
            <w:pPr>
              <w:ind w:left="200"/>
              <w:spacing w:after="0"/>
              <w:rPr>
                <w:sz w:val="20"/>
                <w:szCs w:val="20"/>
                <w:color w:val="auto"/>
              </w:rPr>
            </w:pPr>
            <w:r>
              <w:rPr>
                <w:rFonts w:ascii="Arial" w:cs="Arial" w:eastAsia="Arial" w:hAnsi="Arial"/>
                <w:sz w:val="18"/>
                <w:szCs w:val="18"/>
                <w:color w:val="auto"/>
              </w:rPr>
              <w:t>​ ​</w:t>
            </w:r>
          </w:p>
        </w:tc>
        <w:tc>
          <w:tcPr>
            <w:tcW w:w="520" w:type="dxa"/>
            <w:vAlign w:val="bottom"/>
            <w:tcBorders>
              <w:top w:val="single" w:sz="8" w:color="457157"/>
            </w:tcBorders>
            <w:gridSpan w:val="3"/>
          </w:tcPr>
          <w:p>
            <w:pPr>
              <w:jc w:val="right"/>
              <w:spacing w:after="0" w:line="196" w:lineRule="exact"/>
              <w:rPr>
                <w:sz w:val="20"/>
                <w:szCs w:val="20"/>
                <w:color w:val="auto"/>
              </w:rPr>
            </w:pPr>
            <w:r>
              <w:rPr>
                <w:rFonts w:ascii="Arial" w:cs="Arial" w:eastAsia="Arial" w:hAnsi="Arial"/>
                <w:sz w:val="18"/>
                <w:szCs w:val="18"/>
                <w:color w:val="auto"/>
              </w:rPr>
              <w:t>​100%</w:t>
            </w:r>
          </w:p>
        </w:tc>
        <w:tc>
          <w:tcPr>
            <w:tcW w:w="60" w:type="dxa"/>
            <w:vAlign w:val="bottom"/>
            <w:tcBorders>
              <w:top w:val="single" w:sz="8" w:color="457157"/>
            </w:tcBorders>
            <w:vMerge w:val="restart"/>
          </w:tcPr>
          <w:p>
            <w:pPr>
              <w:ind w:left="2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457157"/>
            </w:tcBorders>
          </w:tcPr>
          <w:p>
            <w:pPr>
              <w:ind w:left="20"/>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457157"/>
            </w:tcBorders>
            <w:gridSpan w:val="2"/>
          </w:tcPr>
          <w:p>
            <w:pPr>
              <w:ind w:left="120"/>
              <w:spacing w:after="0" w:line="196" w:lineRule="exact"/>
              <w:rPr>
                <w:sz w:val="20"/>
                <w:szCs w:val="20"/>
                <w:color w:val="auto"/>
              </w:rPr>
            </w:pPr>
            <w:r>
              <w:rPr>
                <w:rFonts w:ascii="Arial" w:cs="Arial" w:eastAsia="Arial" w:hAnsi="Arial"/>
                <w:sz w:val="18"/>
                <w:szCs w:val="18"/>
                <w:color w:val="auto"/>
              </w:rPr>
              <w:t>​</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700" w:type="dxa"/>
            <w:vAlign w:val="bottom"/>
          </w:tcPr>
          <w:p>
            <w:pPr>
              <w:spacing w:after="0"/>
              <w:rPr>
                <w:sz w:val="5"/>
                <w:szCs w:val="5"/>
                <w:color w:val="auto"/>
              </w:rPr>
            </w:pPr>
          </w:p>
        </w:tc>
        <w:tc>
          <w:tcPr>
            <w:tcW w:w="628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3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gridSpan w:val="3"/>
          </w:tcPr>
          <w:p>
            <w:pPr>
              <w:jc w:val="right"/>
              <w:ind w:right="679"/>
              <w:spacing w:after="0" w:line="68"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280" w:type="dxa"/>
            <w:vAlign w:val="bottom"/>
            <w:shd w:val="clear" w:color="auto" w:fill="457157"/>
          </w:tcPr>
          <w:p>
            <w:pPr>
              <w:spacing w:after="0" w:line="20" w:lineRule="exact"/>
              <w:rPr>
                <w:sz w:val="1"/>
                <w:szCs w:val="1"/>
                <w:color w:val="auto"/>
              </w:rPr>
            </w:pPr>
          </w:p>
        </w:tc>
        <w:tc>
          <w:tcPr>
            <w:tcW w:w="36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971550</wp:posOffset>
            </wp:positionH>
            <wp:positionV relativeFrom="paragraph">
              <wp:posOffset>-548005</wp:posOffset>
            </wp:positionV>
            <wp:extent cx="4843145" cy="1797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843145" cy="179705"/>
                    </a:xfrm>
                    <a:prstGeom prst="rect">
                      <a:avLst/>
                    </a:prstGeom>
                    <a:noFill/>
                  </pic:spPr>
                </pic:pic>
              </a:graphicData>
            </a:graphic>
          </wp:anchor>
        </w:drawing>
        <w:drawing>
          <wp:anchor simplePos="0" relativeHeight="251657728" behindDoc="1" locked="0" layoutInCell="0" allowOverlap="1">
            <wp:simplePos x="0" y="0"/>
            <wp:positionH relativeFrom="column">
              <wp:posOffset>971550</wp:posOffset>
            </wp:positionH>
            <wp:positionV relativeFrom="paragraph">
              <wp:posOffset>-187960</wp:posOffset>
            </wp:positionV>
            <wp:extent cx="4843145" cy="1797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843145" cy="179705"/>
                    </a:xfrm>
                    <a:prstGeom prst="rect">
                      <a:avLst/>
                    </a:prstGeom>
                    <a:noFill/>
                  </pic:spPr>
                </pic:pic>
              </a:graphicData>
            </a:graphic>
          </wp:anchor>
        </w:drawing>
      </w:r>
    </w:p>
    <w:p>
      <w:pPr>
        <w:spacing w:after="0" w:line="29" w:lineRule="exact"/>
        <w:rPr>
          <w:sz w:val="20"/>
          <w:szCs w:val="20"/>
          <w:color w:val="auto"/>
        </w:rPr>
      </w:pPr>
    </w:p>
    <w:p>
      <w:pPr>
        <w:jc w:val="both"/>
        <w:ind w:left="1540" w:right="60"/>
        <w:spacing w:after="0" w:line="262" w:lineRule="auto"/>
        <w:rPr>
          <w:sz w:val="20"/>
          <w:szCs w:val="20"/>
          <w:color w:val="auto"/>
        </w:rPr>
      </w:pPr>
      <w:r>
        <w:rPr>
          <w:rFonts w:ascii="Arial" w:cs="Arial" w:eastAsia="Arial" w:hAnsi="Arial"/>
          <w:sz w:val="18"/>
          <w:szCs w:val="18"/>
          <w:color w:val="auto"/>
        </w:rPr>
        <w:t>Stock awards also includes RSUs that vested for Mr. Carrasco in 2024 and unvested RSUs that were granted to Ms. Rankin, Mr. Morris, Ms. Hemmer and Mr. Carrasco in 2022 and vested in March 2025. The fair value of an RSU is equal to the average of the high and low market price of our Common Stock on the given date.</w:t>
      </w:r>
    </w:p>
    <w:p>
      <w:pPr>
        <w:spacing w:after="0" w:line="68" w:lineRule="exact"/>
        <w:rPr>
          <w:sz w:val="20"/>
          <w:szCs w:val="20"/>
          <w:color w:val="auto"/>
        </w:rPr>
      </w:pPr>
    </w:p>
    <w:p>
      <w:pPr>
        <w:ind w:left="1540" w:hanging="364"/>
        <w:spacing w:after="0"/>
        <w:tabs>
          <w:tab w:leader="none" w:pos="1540" w:val="left"/>
        </w:tabs>
        <w:numPr>
          <w:ilvl w:val="1"/>
          <w:numId w:val="55"/>
        </w:numPr>
        <w:rPr>
          <w:rFonts w:ascii="Arial" w:cs="Arial" w:eastAsia="Arial" w:hAnsi="Arial"/>
          <w:sz w:val="18"/>
          <w:szCs w:val="18"/>
          <w:color w:val="auto"/>
        </w:rPr>
      </w:pPr>
      <w:r>
        <w:rPr>
          <w:rFonts w:ascii="Arial" w:cs="Arial" w:eastAsia="Arial" w:hAnsi="Arial"/>
          <w:sz w:val="18"/>
          <w:szCs w:val="18"/>
          <w:color w:val="auto"/>
        </w:rPr>
        <w:t>Option award fair values are calculated using a Black-Scholes option pricing model.</w:t>
      </w:r>
    </w:p>
    <w:p>
      <w:pPr>
        <w:spacing w:after="0" w:line="117" w:lineRule="exact"/>
        <w:rPr>
          <w:rFonts w:ascii="Arial" w:cs="Arial" w:eastAsia="Arial" w:hAnsi="Arial"/>
          <w:sz w:val="18"/>
          <w:szCs w:val="18"/>
          <w:color w:val="auto"/>
        </w:rPr>
      </w:pPr>
    </w:p>
    <w:p>
      <w:pPr>
        <w:jc w:val="both"/>
        <w:ind w:left="1180" w:right="60" w:hanging="364"/>
        <w:spacing w:after="0" w:line="259" w:lineRule="auto"/>
        <w:tabs>
          <w:tab w:leader="none" w:pos="1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Total shareholder return (“TSR”) is based on a hypothetical $100 investment on December 31, 2019. The TSR amounts shown for 2020 represent the value of that $100 investment on December 31, 2020, and TSR is then calculated, on a cumulative basis, as of December 31, 2021, December 31, 2022, December 31, 2023 and December 31, 2024. The Peer Group TSR refers to the Dow Jones Waste &amp; Disposal Services Index.</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Tabular Disclosure of Most Important Measures to Determine 2024 CAP</w:t>
      </w:r>
    </w:p>
    <w:p>
      <w:pPr>
        <w:spacing w:after="0" w:line="108" w:lineRule="exact"/>
        <w:rPr>
          <w:sz w:val="20"/>
          <w:szCs w:val="20"/>
          <w:color w:val="auto"/>
        </w:rPr>
      </w:pPr>
    </w:p>
    <w:p>
      <w:pPr>
        <w:jc w:val="both"/>
        <w:ind w:left="820" w:right="60"/>
        <w:spacing w:after="0" w:line="268" w:lineRule="auto"/>
        <w:rPr>
          <w:sz w:val="20"/>
          <w:szCs w:val="20"/>
          <w:color w:val="auto"/>
        </w:rPr>
      </w:pPr>
      <w:r>
        <w:rPr>
          <w:rFonts w:ascii="Arial" w:cs="Arial" w:eastAsia="Arial" w:hAnsi="Arial"/>
          <w:sz w:val="18"/>
          <w:szCs w:val="18"/>
          <w:color w:val="auto"/>
        </w:rPr>
        <w:t xml:space="preserve">The five items listed below represent the most important measures used to determine CAP for 2024 for all of our NEOs, as each measure and its impact on executive compensation is further described in our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w:t>
      </w:r>
    </w:p>
    <w:p>
      <w:pPr>
        <w:spacing w:after="0" w:line="90" w:lineRule="exact"/>
        <w:rPr>
          <w:sz w:val="20"/>
          <w:szCs w:val="20"/>
          <w:color w:val="auto"/>
        </w:rPr>
      </w:pPr>
    </w:p>
    <w:tbl>
      <w:tblPr>
        <w:tblLayout w:type="fixed"/>
        <w:tblInd w:w="820" w:type="dxa"/>
        <w:tblCellMar>
          <w:top w:w="0" w:type="dxa"/>
          <w:left w:w="0" w:type="dxa"/>
          <w:bottom w:w="0" w:type="dxa"/>
          <w:right w:w="0" w:type="dxa"/>
        </w:tblCellMar>
      </w:tblPr>
      <w:tr>
        <w:trPr>
          <w:trHeight w:val="248"/>
        </w:trPr>
        <w:tc>
          <w:tcPr>
            <w:tcW w:w="6360" w:type="dxa"/>
            <w:vAlign w:val="bottom"/>
            <w:tcBorders>
              <w:bottom w:val="single" w:sz="8" w:color="457157"/>
            </w:tcBorders>
          </w:tcPr>
          <w:p>
            <w:pPr>
              <w:spacing w:after="0"/>
              <w:rPr>
                <w:sz w:val="20"/>
                <w:szCs w:val="20"/>
                <w:color w:val="auto"/>
              </w:rPr>
            </w:pPr>
            <w:r>
              <w:rPr>
                <w:rFonts w:ascii="Arial" w:cs="Arial" w:eastAsia="Arial" w:hAnsi="Arial"/>
                <w:sz w:val="18"/>
                <w:szCs w:val="18"/>
                <w:b w:val="1"/>
                <w:bCs w:val="1"/>
                <w:color w:val="auto"/>
              </w:rPr>
              <w:t>​Most Important Performance Measures</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b w:val="1"/>
                <w:bCs w:val="1"/>
                <w:color w:val="auto"/>
              </w:rPr>
              <w:t>​</w:t>
            </w:r>
          </w:p>
        </w:tc>
      </w:tr>
      <w:tr>
        <w:trPr>
          <w:trHeight w:val="264"/>
        </w:trPr>
        <w:tc>
          <w:tcPr>
            <w:tcW w:w="6360" w:type="dxa"/>
            <w:vAlign w:val="bottom"/>
            <w:tcBorders>
              <w:bottom w:val="single" w:sz="8" w:color="457157"/>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TSR Relative to the S&amp;P 500</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color w:val="auto"/>
              </w:rPr>
              <w:t>​</w:t>
            </w:r>
          </w:p>
        </w:tc>
      </w:tr>
      <w:tr>
        <w:trPr>
          <w:trHeight w:val="263"/>
        </w:trPr>
        <w:tc>
          <w:tcPr>
            <w:tcW w:w="6360" w:type="dxa"/>
            <w:vAlign w:val="bottom"/>
            <w:tcBorders>
              <w:bottom w:val="single" w:sz="8" w:color="457157"/>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Cash Flow Generation</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color w:val="auto"/>
              </w:rPr>
              <w:t>​</w:t>
            </w:r>
          </w:p>
        </w:tc>
      </w:tr>
      <w:tr>
        <w:trPr>
          <w:trHeight w:val="264"/>
        </w:trPr>
        <w:tc>
          <w:tcPr>
            <w:tcW w:w="6360" w:type="dxa"/>
            <w:vAlign w:val="bottom"/>
            <w:tcBorders>
              <w:bottom w:val="single" w:sz="8" w:color="457157"/>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Operating EBITDA</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color w:val="auto"/>
              </w:rPr>
              <w:t>​</w:t>
            </w:r>
          </w:p>
        </w:tc>
      </w:tr>
      <w:tr>
        <w:trPr>
          <w:trHeight w:val="263"/>
        </w:trPr>
        <w:tc>
          <w:tcPr>
            <w:tcW w:w="6360" w:type="dxa"/>
            <w:vAlign w:val="bottom"/>
            <w:tcBorders>
              <w:bottom w:val="single" w:sz="8" w:color="457157"/>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Income from Operations Margin</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color w:val="auto"/>
              </w:rPr>
              <w:t>​</w:t>
            </w:r>
          </w:p>
        </w:tc>
      </w:tr>
      <w:tr>
        <w:trPr>
          <w:trHeight w:val="263"/>
        </w:trPr>
        <w:tc>
          <w:tcPr>
            <w:tcW w:w="6360" w:type="dxa"/>
            <w:vAlign w:val="bottom"/>
            <w:tcBorders>
              <w:bottom w:val="single" w:sz="8" w:color="457157"/>
            </w:tcBorders>
          </w:tcPr>
          <w:p>
            <w:pPr>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Internal Revenue Growth</w:t>
            </w:r>
          </w:p>
        </w:tc>
        <w:tc>
          <w:tcPr>
            <w:tcW w:w="2700" w:type="dxa"/>
            <w:vAlign w:val="bottom"/>
            <w:tcBorders>
              <w:bottom w:val="single" w:sz="8" w:color="457157"/>
            </w:tcBorders>
          </w:tcPr>
          <w:p>
            <w:pPr>
              <w:ind w:left="2660"/>
              <w:spacing w:after="0"/>
              <w:rPr>
                <w:sz w:val="20"/>
                <w:szCs w:val="20"/>
                <w:color w:val="auto"/>
              </w:rPr>
            </w:pPr>
            <w:r>
              <w:rPr>
                <w:rFonts w:ascii="Arial" w:cs="Arial" w:eastAsia="Arial" w:hAnsi="Arial"/>
                <w:sz w:val="18"/>
                <w:szCs w:val="18"/>
                <w:color w:val="auto"/>
              </w:rPr>
              <w:t>​</w:t>
            </w:r>
          </w:p>
        </w:tc>
      </w:tr>
    </w:tbl>
    <w:p>
      <w:pPr>
        <w:spacing w:after="0" w:line="174"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Narrative Disclosure to Pay Versus Performance Table</w:t>
      </w:r>
    </w:p>
    <w:p>
      <w:pPr>
        <w:spacing w:after="0" w:line="108" w:lineRule="exact"/>
        <w:rPr>
          <w:sz w:val="20"/>
          <w:szCs w:val="20"/>
          <w:color w:val="auto"/>
        </w:rPr>
      </w:pPr>
    </w:p>
    <w:p>
      <w:pPr>
        <w:jc w:val="both"/>
        <w:ind w:left="820" w:right="60"/>
        <w:spacing w:after="0" w:line="265" w:lineRule="auto"/>
        <w:rPr>
          <w:sz w:val="20"/>
          <w:szCs w:val="20"/>
          <w:color w:val="auto"/>
        </w:rPr>
      </w:pPr>
      <w:r>
        <w:rPr>
          <w:rFonts w:ascii="Arial" w:cs="Arial" w:eastAsia="Arial" w:hAnsi="Arial"/>
          <w:sz w:val="18"/>
          <w:szCs w:val="18"/>
          <w:color w:val="auto"/>
        </w:rPr>
        <w:t>The following charts reflect the relationship of CAP over the five -year period ended December 31, 2024 to trends in the Company’s TSR, net income and Operating EBITDA over the same period. In addition, the first chart below reflects that the Company’s TSR is highly-aligned with the Peer Group TSR.</w:t>
      </w:r>
    </w:p>
    <w:p>
      <w:pPr>
        <w:spacing w:after="0" w:line="286" w:lineRule="exact"/>
        <w:rPr>
          <w:sz w:val="20"/>
          <w:szCs w:val="20"/>
          <w:color w:val="auto"/>
        </w:rPr>
      </w:pPr>
    </w:p>
    <w:p>
      <w:pPr>
        <w:jc w:val="both"/>
        <w:ind w:left="820" w:right="60"/>
        <w:spacing w:after="0" w:line="244" w:lineRule="auto"/>
        <w:rPr>
          <w:sz w:val="20"/>
          <w:szCs w:val="20"/>
          <w:color w:val="auto"/>
        </w:rPr>
      </w:pPr>
      <w:r>
        <w:rPr>
          <w:rFonts w:ascii="Arial" w:cs="Arial" w:eastAsia="Arial" w:hAnsi="Arial"/>
          <w:sz w:val="18"/>
          <w:szCs w:val="18"/>
          <w:color w:val="auto"/>
        </w:rPr>
        <w:t>We believe variations in CAP due to use of ASC Topic 718 fair values for four years of outstanding equity grants at specified points in time have resulted in CAP for the four-year period presented not having a direct correlation to Company performance trends. However, we generally believe our CAP, and our CAP relative to our TSR, net income and Operating EBITDA, is reflective of our use of equity incentives that are tied to stock price, strong operational performance and financial results, consistent above- target performance on financial compensation metrics and our TSR relative to the S&amp;P 500 having exceeded the 50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percentile since 2020. Due to the size of our President and CEO’s annual equity incentive award and the fact that nearly three-quarters of our President and CEO’s compensation is tied to such equity incentive awards, above target performance has a more pronounced impact on his CAP, relative to our non-CEO NEOs. Operating EBITDA is identified as our CSM because it is assigned the heaviest weighting, at 50%, in our annual cash incentive awards, making it the most important annual financial performance measure used to link executive pay and Company performance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tabs>
          <w:tab w:leader="none" w:pos="54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-162560</wp:posOffset>
            </wp:positionV>
            <wp:extent cx="471805" cy="1282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71805" cy="12827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116"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20"/>
                <w:szCs w:val="20"/>
                <w:b w:val="1"/>
                <w:bCs w:val="1"/>
                <w:color w:val="auto"/>
              </w:rPr>
              <w:t>EXECUTIVE COMPENSATION</w:t>
            </w:r>
            <w:r>
              <w:rPr>
                <w:rFonts w:ascii="Arial" w:cs="Arial" w:eastAsia="Arial" w:hAnsi="Arial"/>
                <w:sz w:val="17"/>
                <w:szCs w:val="17"/>
                <w:color w:val="auto"/>
              </w:rPr>
              <w:t>​</w:t>
            </w:r>
          </w:p>
        </w:tc>
        <w:tc>
          <w:tcPr>
            <w:tcW w:w="3080" w:type="dxa"/>
            <w:vAlign w:val="bottom"/>
            <w:vMerge w:val="restart"/>
          </w:tcPr>
          <w:p>
            <w:pPr>
              <w:ind w:left="302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23"/>
        </w:trPr>
        <w:tc>
          <w:tcPr>
            <w:tcW w:w="6040" w:type="dxa"/>
            <w:vAlign w:val="bottom"/>
          </w:tcPr>
          <w:p>
            <w:pPr>
              <w:spacing w:after="0"/>
              <w:rPr>
                <w:sz w:val="20"/>
                <w:szCs w:val="20"/>
                <w:color w:val="auto"/>
              </w:rPr>
            </w:pPr>
            <w:r>
              <w:rPr>
                <w:rFonts w:ascii="Arial" w:cs="Arial" w:eastAsia="Arial" w:hAnsi="Arial"/>
                <w:sz w:val="16"/>
                <w:szCs w:val="16"/>
                <w:b w:val="1"/>
                <w:bCs w:val="1"/>
                <w:color w:val="auto"/>
              </w:rPr>
              <w:t>​</w:t>
            </w:r>
          </w:p>
        </w:tc>
        <w:tc>
          <w:tcPr>
            <w:tcW w:w="3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-158750</wp:posOffset>
            </wp:positionV>
            <wp:extent cx="57607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165735</wp:posOffset>
            </wp:positionV>
            <wp:extent cx="5031740" cy="271716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031740" cy="2717165"/>
                    </a:xfrm>
                    <a:prstGeom prst="rect">
                      <a:avLst/>
                    </a:prstGeom>
                    <a:noFill/>
                  </pic:spPr>
                </pic:pic>
              </a:graphicData>
            </a:graphic>
          </wp:anchor>
        </w:drawing>
        <w:drawing>
          <wp:anchor simplePos="0" relativeHeight="251657728" behindDoc="1" locked="0" layoutInCell="0" allowOverlap="1">
            <wp:simplePos x="0" y="0"/>
            <wp:positionH relativeFrom="column">
              <wp:posOffset>885825</wp:posOffset>
            </wp:positionH>
            <wp:positionV relativeFrom="paragraph">
              <wp:posOffset>3766185</wp:posOffset>
            </wp:positionV>
            <wp:extent cx="5031740" cy="26485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031740"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270"/>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71805" cy="12827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65" w:lineRule="exact"/>
        <w:rPr>
          <w:sz w:val="20"/>
          <w:szCs w:val="20"/>
          <w:color w:val="auto"/>
        </w:rPr>
      </w:pPr>
    </w:p>
    <w:p>
      <w:pPr>
        <w:ind w:left="820"/>
        <w:spacing w:after="0"/>
        <w:tabs>
          <w:tab w:leader="none" w:pos="98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39"/>
          <w:szCs w:val="39"/>
          <w:b w:val="1"/>
          <w:bCs w:val="1"/>
          <w:color w:val="auto"/>
          <w:vertAlign w:val="subscript"/>
        </w:rPr>
        <w:t xml:space="preserve"> </w:t>
      </w:r>
      <w:r>
        <w:rPr>
          <w:rFonts w:ascii="Arial" w:cs="Arial" w:eastAsia="Arial" w:hAnsi="Arial"/>
          <w:sz w:val="32"/>
          <w:szCs w:val="32"/>
          <w:b w:val="1"/>
          <w:bCs w:val="1"/>
          <w:color w:val="auto"/>
          <w:vertAlign w:val="subscript"/>
        </w:rPr>
        <w:t>​</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-124460</wp:posOffset>
            </wp:positionV>
            <wp:extent cx="57607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760720" cy="8255"/>
                    </a:xfrm>
                    <a:prstGeom prst="rect">
                      <a:avLst/>
                    </a:prstGeom>
                    <a:noFill/>
                  </pic:spPr>
                </pic:pic>
              </a:graphicData>
            </a:graphic>
          </wp:anchor>
        </w:drawing>
      </w:r>
    </w:p>
    <w:p>
      <w:pPr>
        <w:spacing w:after="0" w:line="272" w:lineRule="exact"/>
        <w:rPr>
          <w:sz w:val="20"/>
          <w:szCs w:val="20"/>
          <w:color w:val="auto"/>
        </w:rPr>
      </w:pPr>
    </w:p>
    <w:p>
      <w:pPr>
        <w:ind w:left="820" w:right="260"/>
        <w:spacing w:after="0" w:line="264" w:lineRule="auto"/>
        <w:rPr>
          <w:sz w:val="20"/>
          <w:szCs w:val="20"/>
          <w:color w:val="auto"/>
        </w:rPr>
      </w:pPr>
      <w:r>
        <w:rPr>
          <w:rFonts w:ascii="Arial" w:cs="Arial" w:eastAsia="Arial" w:hAnsi="Arial"/>
          <w:sz w:val="36"/>
          <w:szCs w:val="36"/>
          <w:b w:val="1"/>
          <w:bCs w:val="1"/>
          <w:color w:val="457157"/>
        </w:rPr>
        <w:t>RATIFICATION OF INDEPENDENT REGISTERED PUBLIC ACCOUNTING FIRM</w:t>
      </w:r>
    </w:p>
    <w:p>
      <w:pPr>
        <w:spacing w:after="0" w:line="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(ITEM 2 ON THE PROXY CARD)</w:t>
      </w:r>
    </w:p>
    <w:p>
      <w:pPr>
        <w:spacing w:after="0" w:line="94" w:lineRule="exact"/>
        <w:rPr>
          <w:sz w:val="20"/>
          <w:szCs w:val="20"/>
          <w:color w:val="auto"/>
        </w:rPr>
      </w:pPr>
    </w:p>
    <w:p>
      <w:pPr>
        <w:jc w:val="both"/>
        <w:ind w:left="820" w:right="60"/>
        <w:spacing w:after="0" w:line="245" w:lineRule="auto"/>
        <w:rPr>
          <w:sz w:val="20"/>
          <w:szCs w:val="20"/>
          <w:color w:val="auto"/>
        </w:rPr>
      </w:pPr>
      <w:r>
        <w:rPr>
          <w:rFonts w:ascii="Arial" w:cs="Arial" w:eastAsia="Arial" w:hAnsi="Arial"/>
          <w:sz w:val="18"/>
          <w:szCs w:val="18"/>
          <w:color w:val="auto"/>
        </w:rPr>
        <w:t>Our Board of Directors, upon the recommendation of the Audit Committee, has ratified the selection of Ernst &amp; Young LLP to serve as our independent registered public accounting firm for fiscal year 2025,</w:t>
      </w:r>
    </w:p>
    <w:p>
      <w:pPr>
        <w:ind w:left="820" w:right="60"/>
        <w:spacing w:after="0" w:line="226" w:lineRule="auto"/>
        <w:rPr>
          <w:sz w:val="20"/>
          <w:szCs w:val="20"/>
          <w:color w:val="auto"/>
        </w:rPr>
      </w:pPr>
      <w:r>
        <w:rPr>
          <w:rFonts w:ascii="Arial" w:cs="Arial" w:eastAsia="Arial" w:hAnsi="Arial"/>
          <w:sz w:val="18"/>
          <w:szCs w:val="18"/>
          <w:color w:val="auto"/>
        </w:rPr>
        <w:t>subject to ratification by our stockholders. Representatives of Ernst &amp; Young LLP will attend the Annual Meeting. They will be able to make a statement if they want, and will be available to answer</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appropriate questions from stockholders.</w:t>
      </w:r>
    </w:p>
    <w:p>
      <w:pPr>
        <w:spacing w:after="0" w:line="86" w:lineRule="exact"/>
        <w:rPr>
          <w:sz w:val="20"/>
          <w:szCs w:val="20"/>
          <w:color w:val="auto"/>
        </w:rPr>
      </w:pPr>
    </w:p>
    <w:p>
      <w:pPr>
        <w:jc w:val="both"/>
        <w:ind w:left="820" w:right="60"/>
        <w:spacing w:after="0" w:line="237" w:lineRule="auto"/>
        <w:rPr>
          <w:sz w:val="20"/>
          <w:szCs w:val="20"/>
          <w:color w:val="auto"/>
        </w:rPr>
      </w:pPr>
      <w:r>
        <w:rPr>
          <w:rFonts w:ascii="Arial" w:cs="Arial" w:eastAsia="Arial" w:hAnsi="Arial"/>
          <w:sz w:val="18"/>
          <w:szCs w:val="18"/>
          <w:color w:val="auto"/>
        </w:rPr>
        <w:t>Although ratification of the selection of Ernst &amp; Young LLP is not required by our By- laws or otherwise, we are submitting the selection to stockholders for ratification because we value our stockholders’</w:t>
      </w:r>
    </w:p>
    <w:p>
      <w:pPr>
        <w:ind w:left="820"/>
        <w:spacing w:after="0" w:line="235" w:lineRule="auto"/>
        <w:rPr>
          <w:sz w:val="20"/>
          <w:szCs w:val="20"/>
          <w:color w:val="auto"/>
        </w:rPr>
      </w:pPr>
      <w:r>
        <w:rPr>
          <w:rFonts w:ascii="Arial" w:cs="Arial" w:eastAsia="Arial" w:hAnsi="Arial"/>
          <w:sz w:val="18"/>
          <w:szCs w:val="18"/>
          <w:color w:val="auto"/>
        </w:rPr>
        <w:t>views on our independent registered public accounting firm and as a matter of good governance. If our</w:t>
      </w:r>
    </w:p>
    <w:p>
      <w:pPr>
        <w:spacing w:after="0" w:line="1" w:lineRule="exact"/>
        <w:rPr>
          <w:sz w:val="20"/>
          <w:szCs w:val="20"/>
          <w:color w:val="auto"/>
        </w:rPr>
      </w:pPr>
    </w:p>
    <w:p>
      <w:pPr>
        <w:ind w:left="820" w:right="60"/>
        <w:spacing w:after="0" w:line="226" w:lineRule="auto"/>
        <w:rPr>
          <w:sz w:val="20"/>
          <w:szCs w:val="20"/>
          <w:color w:val="auto"/>
        </w:rPr>
      </w:pPr>
      <w:r>
        <w:rPr>
          <w:rFonts w:ascii="Arial" w:cs="Arial" w:eastAsia="Arial" w:hAnsi="Arial"/>
          <w:sz w:val="18"/>
          <w:szCs w:val="18"/>
          <w:color w:val="auto"/>
        </w:rPr>
        <w:t>stockholders do not ratify our selection, it will be considered a direction to our Board and Audit Committee to consider selecting another firm. Even if the selection is ratified, the Audit Committee</w:t>
      </w:r>
    </w:p>
    <w:p>
      <w:pPr>
        <w:ind w:left="820"/>
        <w:spacing w:after="0" w:line="236" w:lineRule="auto"/>
        <w:rPr>
          <w:sz w:val="20"/>
          <w:szCs w:val="20"/>
          <w:color w:val="auto"/>
        </w:rPr>
      </w:pPr>
      <w:r>
        <w:rPr>
          <w:rFonts w:ascii="Arial" w:cs="Arial" w:eastAsia="Arial" w:hAnsi="Arial"/>
          <w:sz w:val="18"/>
          <w:szCs w:val="18"/>
          <w:color w:val="auto"/>
        </w:rPr>
        <w:t>may, in its discretion, select a different independent registered public accounting firm, subject to</w:t>
      </w:r>
    </w:p>
    <w:p>
      <w:pPr>
        <w:spacing w:after="0" w:line="1" w:lineRule="exact"/>
        <w:rPr>
          <w:sz w:val="20"/>
          <w:szCs w:val="20"/>
          <w:color w:val="auto"/>
        </w:rPr>
      </w:pPr>
    </w:p>
    <w:p>
      <w:pPr>
        <w:ind w:left="820" w:right="60"/>
        <w:spacing w:after="0" w:line="237" w:lineRule="auto"/>
        <w:rPr>
          <w:sz w:val="20"/>
          <w:szCs w:val="20"/>
          <w:color w:val="auto"/>
        </w:rPr>
      </w:pPr>
      <w:r>
        <w:rPr>
          <w:rFonts w:ascii="Arial" w:cs="Arial" w:eastAsia="Arial" w:hAnsi="Arial"/>
          <w:sz w:val="18"/>
          <w:szCs w:val="18"/>
          <w:color w:val="auto"/>
        </w:rPr>
        <w:t>ratification by the Board, at any time during the year if it determines that such a change is in the best interests of the Company and our stockholders.</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INDEPENDENT REGISTERED PUBLIC ACCOUNTING FIRM FEE INFORMATION</w:t>
      </w:r>
    </w:p>
    <w:p>
      <w:pPr>
        <w:spacing w:after="0" w:line="108" w:lineRule="exact"/>
        <w:rPr>
          <w:sz w:val="20"/>
          <w:szCs w:val="20"/>
          <w:color w:val="auto"/>
        </w:rPr>
      </w:pPr>
    </w:p>
    <w:p>
      <w:pPr>
        <w:ind w:left="820" w:right="60"/>
        <w:spacing w:after="0" w:line="255" w:lineRule="auto"/>
        <w:rPr>
          <w:sz w:val="20"/>
          <w:szCs w:val="20"/>
          <w:color w:val="auto"/>
        </w:rPr>
      </w:pPr>
      <w:r>
        <w:rPr>
          <w:rFonts w:ascii="Arial" w:cs="Arial" w:eastAsia="Arial" w:hAnsi="Arial"/>
          <w:sz w:val="18"/>
          <w:szCs w:val="18"/>
          <w:color w:val="auto"/>
        </w:rPr>
        <w:t>Fees for professional services provided by our independent registered public accounting firm in each of the last two fiscal years, in each of the following categories, were as follows:</w:t>
      </w:r>
    </w:p>
    <w:tbl>
      <w:tblPr>
        <w:tblLayout w:type="fixed"/>
        <w:tblInd w:w="820" w:type="dxa"/>
        <w:tblCellMar>
          <w:top w:w="0" w:type="dxa"/>
          <w:left w:w="0" w:type="dxa"/>
          <w:bottom w:w="0" w:type="dxa"/>
          <w:right w:w="0" w:type="dxa"/>
        </w:tblCellMar>
      </w:tblPr>
      <w:tr>
        <w:trPr>
          <w:trHeight w:val="308"/>
        </w:trPr>
        <w:tc>
          <w:tcPr>
            <w:tcW w:w="4720" w:type="dxa"/>
            <w:vAlign w:val="bottom"/>
          </w:tcPr>
          <w:p>
            <w:pPr>
              <w:jc w:val="right"/>
              <w:ind w:right="4562"/>
              <w:spacing w:after="0"/>
              <w:rPr>
                <w:sz w:val="20"/>
                <w:szCs w:val="20"/>
                <w:color w:val="auto"/>
              </w:rPr>
            </w:pPr>
            <w:r>
              <w:rPr>
                <w:rFonts w:ascii="Arial" w:cs="Arial" w:eastAsia="Arial" w:hAnsi="Arial"/>
                <w:sz w:val="14"/>
                <w:szCs w:val="14"/>
                <w:b w:val="1"/>
                <w:bCs w:val="1"/>
                <w:color w:val="457157"/>
              </w:rPr>
              <w:t>​</w:t>
            </w:r>
          </w:p>
        </w:tc>
        <w:tc>
          <w:tcPr>
            <w:tcW w:w="3640" w:type="dxa"/>
            <w:vAlign w:val="bottom"/>
            <w:gridSpan w:val="2"/>
          </w:tcPr>
          <w:p>
            <w:pPr>
              <w:jc w:val="right"/>
              <w:spacing w:after="0" w:line="308" w:lineRule="exact"/>
              <w:rPr>
                <w:sz w:val="20"/>
                <w:szCs w:val="20"/>
                <w:color w:val="auto"/>
              </w:rPr>
            </w:pPr>
            <w:r>
              <w:rPr>
                <w:rFonts w:ascii="Arial" w:cs="Arial" w:eastAsia="Arial" w:hAnsi="Arial"/>
                <w:sz w:val="28"/>
                <w:szCs w:val="28"/>
                <w:b w:val="1"/>
                <w:bCs w:val="1"/>
                <w:color w:val="457157"/>
                <w:vertAlign w:val="subscript"/>
              </w:rPr>
              <w:t>​ ​</w:t>
            </w:r>
            <w:r>
              <w:rPr>
                <w:rFonts w:ascii="Arial" w:cs="Arial" w:eastAsia="Arial" w:hAnsi="Arial"/>
                <w:sz w:val="14"/>
                <w:szCs w:val="14"/>
                <w:b w:val="1"/>
                <w:bCs w:val="1"/>
                <w:color w:val="457157"/>
              </w:rPr>
              <w:t xml:space="preserve">  2024</w:t>
            </w:r>
          </w:p>
        </w:tc>
        <w:tc>
          <w:tcPr>
            <w:tcW w:w="740" w:type="dxa"/>
            <w:vAlign w:val="bottom"/>
            <w:gridSpan w:val="2"/>
          </w:tcPr>
          <w:p>
            <w:pPr>
              <w:jc w:val="right"/>
              <w:spacing w:after="0" w:line="308" w:lineRule="exact"/>
              <w:rPr>
                <w:sz w:val="20"/>
                <w:szCs w:val="20"/>
                <w:color w:val="auto"/>
              </w:rPr>
            </w:pPr>
            <w:r>
              <w:rPr>
                <w:rFonts w:ascii="Arial" w:cs="Arial" w:eastAsia="Arial" w:hAnsi="Arial"/>
                <w:sz w:val="28"/>
                <w:szCs w:val="28"/>
                <w:b w:val="1"/>
                <w:bCs w:val="1"/>
                <w:color w:val="457157"/>
                <w:vertAlign w:val="subscript"/>
              </w:rPr>
              <w:t>​ ​</w:t>
            </w:r>
            <w:r>
              <w:rPr>
                <w:rFonts w:ascii="Arial" w:cs="Arial" w:eastAsia="Arial" w:hAnsi="Arial"/>
                <w:sz w:val="14"/>
                <w:szCs w:val="14"/>
                <w:b w:val="1"/>
                <w:bCs w:val="1"/>
                <w:color w:val="457157"/>
              </w:rPr>
              <w:t xml:space="preserve"> 2023 </w:t>
            </w:r>
            <w:r>
              <w:rPr>
                <w:rFonts w:ascii="Arial" w:cs="Arial" w:eastAsia="Arial" w:hAnsi="Arial"/>
                <w:sz w:val="28"/>
                <w:szCs w:val="28"/>
                <w:b w:val="1"/>
                <w:bCs w:val="1"/>
                <w:color w:val="457157"/>
                <w:vertAlign w:val="subscript"/>
              </w:rPr>
              <w:t>​</w:t>
            </w:r>
          </w:p>
        </w:tc>
      </w:tr>
      <w:tr>
        <w:trPr>
          <w:trHeight w:val="237"/>
        </w:trPr>
        <w:tc>
          <w:tcPr>
            <w:tcW w:w="4720" w:type="dxa"/>
            <w:vAlign w:val="bottom"/>
            <w:tcBorders>
              <w:top w:val="single" w:sz="8" w:color="457157"/>
            </w:tcBorders>
          </w:tcPr>
          <w:p>
            <w:pPr>
              <w:jc w:val="right"/>
              <w:ind w:right="4562"/>
              <w:spacing w:after="0"/>
              <w:rPr>
                <w:sz w:val="20"/>
                <w:szCs w:val="20"/>
                <w:color w:val="auto"/>
              </w:rPr>
            </w:pPr>
            <w:r>
              <w:rPr>
                <w:rFonts w:ascii="Arial" w:cs="Arial" w:eastAsia="Arial" w:hAnsi="Arial"/>
                <w:sz w:val="14"/>
                <w:szCs w:val="14"/>
                <w:b w:val="1"/>
                <w:bCs w:val="1"/>
                <w:color w:val="457157"/>
              </w:rPr>
              <w:t>​​</w:t>
            </w:r>
          </w:p>
        </w:tc>
        <w:tc>
          <w:tcPr>
            <w:tcW w:w="3340" w:type="dxa"/>
            <w:vAlign w:val="bottom"/>
            <w:tcBorders>
              <w:top w:val="single" w:sz="8" w:color="457157"/>
            </w:tcBorders>
          </w:tcPr>
          <w:p>
            <w:pPr>
              <w:ind w:left="2920"/>
              <w:spacing w:after="0"/>
              <w:rPr>
                <w:sz w:val="20"/>
                <w:szCs w:val="20"/>
                <w:color w:val="auto"/>
              </w:rPr>
            </w:pPr>
            <w:r>
              <w:rPr>
                <w:rFonts w:ascii="Arial" w:cs="Arial" w:eastAsia="Arial" w:hAnsi="Arial"/>
                <w:sz w:val="14"/>
                <w:szCs w:val="14"/>
                <w:b w:val="1"/>
                <w:bCs w:val="1"/>
                <w:color w:val="457157"/>
              </w:rPr>
              <w:t>​ ​</w:t>
            </w:r>
          </w:p>
        </w:tc>
        <w:tc>
          <w:tcPr>
            <w:tcW w:w="1000" w:type="dxa"/>
            <w:vAlign w:val="bottom"/>
            <w:tcBorders>
              <w:top w:val="single" w:sz="8" w:color="457157"/>
            </w:tcBorders>
            <w:gridSpan w:val="2"/>
          </w:tcPr>
          <w:p>
            <w:pPr>
              <w:ind w:left="40"/>
              <w:spacing w:after="0" w:line="236" w:lineRule="exact"/>
              <w:rPr>
                <w:sz w:val="20"/>
                <w:szCs w:val="20"/>
                <w:color w:val="auto"/>
              </w:rPr>
            </w:pPr>
            <w:r>
              <w:rPr>
                <w:rFonts w:ascii="Arial" w:cs="Arial" w:eastAsia="Arial" w:hAnsi="Arial"/>
                <w:sz w:val="14"/>
                <w:szCs w:val="14"/>
                <w:b w:val="1"/>
                <w:bCs w:val="1"/>
                <w:color w:val="457157"/>
              </w:rPr>
              <w:t>(In millions)</w:t>
            </w:r>
            <w:r>
              <w:rPr>
                <w:rFonts w:ascii="Arial" w:cs="Arial" w:eastAsia="Arial" w:hAnsi="Arial"/>
                <w:sz w:val="27"/>
                <w:szCs w:val="27"/>
                <w:b w:val="1"/>
                <w:bCs w:val="1"/>
                <w:color w:val="457157"/>
                <w:vertAlign w:val="subscript"/>
              </w:rPr>
              <w:t>​</w:t>
            </w:r>
          </w:p>
        </w:tc>
        <w:tc>
          <w:tcPr>
            <w:tcW w:w="40" w:type="dxa"/>
            <w:vAlign w:val="bottom"/>
          </w:tcPr>
          <w:p>
            <w:pPr>
              <w:spacing w:after="0"/>
              <w:rPr>
                <w:sz w:val="20"/>
                <w:szCs w:val="20"/>
                <w:color w:val="auto"/>
              </w:rPr>
            </w:pPr>
          </w:p>
        </w:tc>
      </w:tr>
      <w:tr>
        <w:trPr>
          <w:trHeight w:val="270"/>
        </w:trPr>
        <w:tc>
          <w:tcPr>
            <w:tcW w:w="4720" w:type="dxa"/>
            <w:vAlign w:val="bottom"/>
          </w:tcPr>
          <w:p>
            <w:pPr>
              <w:ind w:left="20"/>
              <w:spacing w:after="0" w:line="269" w:lineRule="exact"/>
              <w:rPr>
                <w:sz w:val="20"/>
                <w:szCs w:val="20"/>
                <w:color w:val="auto"/>
              </w:rPr>
            </w:pPr>
            <w:r>
              <w:rPr>
                <w:rFonts w:ascii="Arial" w:cs="Arial" w:eastAsia="Arial" w:hAnsi="Arial"/>
                <w:sz w:val="31"/>
                <w:szCs w:val="31"/>
                <w:b w:val="1"/>
                <w:bCs w:val="1"/>
                <w:color w:val="auto"/>
                <w:vertAlign w:val="subscript"/>
              </w:rPr>
              <w:t>​</w:t>
            </w:r>
            <w:r>
              <w:rPr>
                <w:rFonts w:ascii="Arial" w:cs="Arial" w:eastAsia="Arial" w:hAnsi="Arial"/>
                <w:sz w:val="17"/>
                <w:szCs w:val="17"/>
                <w:b w:val="1"/>
                <w:bCs w:val="1"/>
                <w:color w:val="auto"/>
              </w:rPr>
              <w:t>Audit Fees</w:t>
            </w:r>
          </w:p>
        </w:tc>
        <w:tc>
          <w:tcPr>
            <w:tcW w:w="3340" w:type="dxa"/>
            <w:vAlign w:val="bottom"/>
          </w:tcPr>
          <w:p>
            <w:pPr>
              <w:ind w:left="2980"/>
              <w:spacing w:after="0" w:line="269" w:lineRule="exact"/>
              <w:rPr>
                <w:sz w:val="20"/>
                <w:szCs w:val="20"/>
                <w:color w:val="auto"/>
              </w:rPr>
            </w:pPr>
            <w:r>
              <w:rPr>
                <w:rFonts w:ascii="Arial" w:cs="Arial" w:eastAsia="Arial" w:hAnsi="Arial"/>
                <w:sz w:val="17"/>
                <w:szCs w:val="17"/>
                <w:b w:val="1"/>
                <w:bCs w:val="1"/>
                <w:color w:val="auto"/>
              </w:rPr>
              <w:t>​ ​​</w:t>
            </w:r>
            <w:r>
              <w:rPr>
                <w:rFonts w:ascii="Arial" w:cs="Arial" w:eastAsia="Arial" w:hAnsi="Arial"/>
                <w:sz w:val="31"/>
                <w:szCs w:val="31"/>
                <w:b w:val="1"/>
                <w:bCs w:val="1"/>
                <w:color w:val="auto"/>
                <w:vertAlign w:val="superscript"/>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740" w:type="dxa"/>
            <w:vAlign w:val="bottom"/>
            <w:gridSpan w:val="2"/>
          </w:tcPr>
          <w:p>
            <w:pPr>
              <w:jc w:val="right"/>
              <w:spacing w:after="0" w:line="269" w:lineRule="exact"/>
              <w:rPr>
                <w:sz w:val="20"/>
                <w:szCs w:val="20"/>
                <w:color w:val="auto"/>
              </w:rPr>
            </w:pPr>
            <w:r>
              <w:rPr>
                <w:rFonts w:ascii="Arial" w:cs="Arial" w:eastAsia="Arial" w:hAnsi="Arial"/>
                <w:sz w:val="17"/>
                <w:szCs w:val="17"/>
                <w:b w:val="1"/>
                <w:bCs w:val="1"/>
                <w:color w:val="auto"/>
              </w:rPr>
              <w:t>​​ ​​</w:t>
            </w:r>
            <w:r>
              <w:rPr>
                <w:rFonts w:ascii="Arial" w:cs="Arial" w:eastAsia="Arial" w:hAnsi="Arial"/>
                <w:sz w:val="31"/>
                <w:szCs w:val="31"/>
                <w:b w:val="1"/>
                <w:bCs w:val="1"/>
                <w:color w:val="auto"/>
                <w:vertAlign w:val="superscript"/>
              </w:rPr>
              <w:t>$ 6.8</w:t>
            </w:r>
            <w:r>
              <w:rPr>
                <w:rFonts w:ascii="Arial" w:cs="Arial" w:eastAsia="Arial" w:hAnsi="Arial"/>
                <w:sz w:val="17"/>
                <w:szCs w:val="17"/>
                <w:b w:val="1"/>
                <w:bCs w:val="1"/>
                <w:color w:val="auto"/>
              </w:rPr>
              <w:t>​​</w:t>
            </w:r>
          </w:p>
        </w:tc>
      </w:tr>
      <w:tr>
        <w:trPr>
          <w:trHeight w:val="20"/>
        </w:trPr>
        <w:tc>
          <w:tcPr>
            <w:tcW w:w="4720" w:type="dxa"/>
            <w:vAlign w:val="bottom"/>
            <w:shd w:val="clear" w:color="auto" w:fill="457157"/>
          </w:tcPr>
          <w:p>
            <w:pPr>
              <w:spacing w:after="0" w:line="20" w:lineRule="exact"/>
              <w:rPr>
                <w:sz w:val="1"/>
                <w:szCs w:val="1"/>
                <w:color w:val="auto"/>
              </w:rPr>
            </w:pPr>
          </w:p>
        </w:tc>
        <w:tc>
          <w:tcPr>
            <w:tcW w:w="4340" w:type="dxa"/>
            <w:vAlign w:val="bottom"/>
            <w:gridSpan w:val="3"/>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720" w:type="dxa"/>
            <w:vAlign w:val="bottom"/>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Audit-Related Fees</w:t>
            </w:r>
          </w:p>
        </w:tc>
        <w:tc>
          <w:tcPr>
            <w:tcW w:w="4380" w:type="dxa"/>
            <w:vAlign w:val="bottom"/>
            <w:gridSpan w:val="4"/>
          </w:tcPr>
          <w:p>
            <w:pPr>
              <w:jc w:val="right"/>
              <w:spacing w:after="0" w:line="264" w:lineRule="exact"/>
              <w:rPr>
                <w:sz w:val="20"/>
                <w:szCs w:val="20"/>
                <w:color w:val="auto"/>
              </w:rPr>
            </w:pPr>
            <w:r>
              <w:rPr>
                <w:rFonts w:ascii="Arial" w:cs="Arial" w:eastAsia="Arial" w:hAnsi="Arial"/>
                <w:sz w:val="16"/>
                <w:szCs w:val="16"/>
                <w:b w:val="1"/>
                <w:bCs w:val="1"/>
                <w:color w:val="auto"/>
              </w:rPr>
              <w:t xml:space="preserve">​ ​​ </w:t>
            </w:r>
            <w:r>
              <w:rPr>
                <w:rFonts w:ascii="Arial" w:cs="Arial" w:eastAsia="Arial" w:hAnsi="Arial"/>
                <w:sz w:val="30"/>
                <w:szCs w:val="30"/>
                <w:b w:val="1"/>
                <w:bCs w:val="1"/>
                <w:color w:val="auto"/>
                <w:vertAlign w:val="superscript"/>
              </w:rPr>
              <w:t>​ 0.4</w:t>
            </w:r>
            <w:r>
              <w:rPr>
                <w:rFonts w:ascii="Arial" w:cs="Arial" w:eastAsia="Arial" w:hAnsi="Arial"/>
                <w:sz w:val="16"/>
                <w:szCs w:val="16"/>
                <w:b w:val="1"/>
                <w:bCs w:val="1"/>
                <w:color w:val="auto"/>
              </w:rPr>
              <w:t xml:space="preserve">​​ ​​ </w:t>
            </w:r>
            <w:r>
              <w:rPr>
                <w:rFonts w:ascii="Arial" w:cs="Arial" w:eastAsia="Arial" w:hAnsi="Arial"/>
                <w:sz w:val="30"/>
                <w:szCs w:val="30"/>
                <w:b w:val="1"/>
                <w:bCs w:val="1"/>
                <w:color w:val="auto"/>
                <w:vertAlign w:val="superscript"/>
              </w:rPr>
              <w:t>​1.0</w:t>
            </w:r>
            <w:r>
              <w:rPr>
                <w:rFonts w:ascii="Arial" w:cs="Arial" w:eastAsia="Arial" w:hAnsi="Arial"/>
                <w:sz w:val="16"/>
                <w:szCs w:val="16"/>
                <w:b w:val="1"/>
                <w:bCs w:val="1"/>
                <w:color w:val="auto"/>
              </w:rPr>
              <w:t>​​</w:t>
            </w:r>
          </w:p>
        </w:tc>
      </w:tr>
      <w:tr>
        <w:trPr>
          <w:trHeight w:val="20"/>
        </w:trPr>
        <w:tc>
          <w:tcPr>
            <w:tcW w:w="4720" w:type="dxa"/>
            <w:vAlign w:val="bottom"/>
            <w:shd w:val="clear" w:color="auto" w:fill="457157"/>
          </w:tcPr>
          <w:p>
            <w:pPr>
              <w:spacing w:after="0" w:line="20" w:lineRule="exact"/>
              <w:rPr>
                <w:sz w:val="1"/>
                <w:szCs w:val="1"/>
                <w:color w:val="auto"/>
              </w:rPr>
            </w:pPr>
          </w:p>
        </w:tc>
        <w:tc>
          <w:tcPr>
            <w:tcW w:w="334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720" w:type="dxa"/>
            <w:vAlign w:val="bottom"/>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Tax Fees</w:t>
            </w:r>
          </w:p>
        </w:tc>
        <w:tc>
          <w:tcPr>
            <w:tcW w:w="3340" w:type="dxa"/>
            <w:vAlign w:val="bottom"/>
          </w:tcPr>
          <w:p>
            <w:pPr>
              <w:ind w:left="2980"/>
              <w:spacing w:after="0" w:line="264" w:lineRule="exact"/>
              <w:rPr>
                <w:sz w:val="20"/>
                <w:szCs w:val="20"/>
                <w:color w:val="auto"/>
              </w:rPr>
            </w:pPr>
            <w:r>
              <w:rPr>
                <w:rFonts w:ascii="Arial" w:cs="Arial" w:eastAsia="Arial" w:hAnsi="Arial"/>
                <w:sz w:val="16"/>
                <w:szCs w:val="16"/>
                <w:b w:val="1"/>
                <w:bCs w:val="1"/>
                <w:color w:val="auto"/>
              </w:rPr>
              <w:t xml:space="preserve">​ ​​ </w:t>
            </w:r>
            <w:r>
              <w:rPr>
                <w:rFonts w:ascii="Arial" w:cs="Arial" w:eastAsia="Arial" w:hAnsi="Arial"/>
                <w:sz w:val="30"/>
                <w:szCs w:val="30"/>
                <w:b w:val="1"/>
                <w:bCs w:val="1"/>
                <w:color w:val="auto"/>
                <w:vertAlign w:val="superscript"/>
              </w:rPr>
              <w:t>​</w:t>
            </w:r>
          </w:p>
        </w:tc>
        <w:tc>
          <w:tcPr>
            <w:tcW w:w="1040" w:type="dxa"/>
            <w:vAlign w:val="bottom"/>
            <w:gridSpan w:val="3"/>
          </w:tcPr>
          <w:p>
            <w:pPr>
              <w:jc w:val="right"/>
              <w:spacing w:after="0" w:line="264" w:lineRule="exact"/>
              <w:rPr>
                <w:sz w:val="20"/>
                <w:szCs w:val="20"/>
                <w:color w:val="auto"/>
              </w:rPr>
            </w:pPr>
            <w:r>
              <w:rPr>
                <w:rFonts w:ascii="Arial" w:cs="Arial" w:eastAsia="Arial" w:hAnsi="Arial"/>
                <w:sz w:val="30"/>
                <w:szCs w:val="30"/>
                <w:b w:val="1"/>
                <w:bCs w:val="1"/>
                <w:color w:val="auto"/>
                <w:vertAlign w:val="superscript"/>
              </w:rPr>
              <w:t>—</w:t>
            </w:r>
            <w:r>
              <w:rPr>
                <w:rFonts w:ascii="Arial" w:cs="Arial" w:eastAsia="Arial" w:hAnsi="Arial"/>
                <w:sz w:val="16"/>
                <w:szCs w:val="16"/>
                <w:b w:val="1"/>
                <w:bCs w:val="1"/>
                <w:color w:val="auto"/>
              </w:rPr>
              <w:t xml:space="preserve">​​ ​​ </w:t>
            </w:r>
            <w:r>
              <w:rPr>
                <w:rFonts w:ascii="Arial" w:cs="Arial" w:eastAsia="Arial" w:hAnsi="Arial"/>
                <w:sz w:val="30"/>
                <w:szCs w:val="30"/>
                <w:b w:val="1"/>
                <w:bCs w:val="1"/>
                <w:color w:val="auto"/>
                <w:vertAlign w:val="superscript"/>
              </w:rPr>
              <w:t>​ —</w:t>
            </w:r>
            <w:r>
              <w:rPr>
                <w:rFonts w:ascii="Arial" w:cs="Arial" w:eastAsia="Arial" w:hAnsi="Arial"/>
                <w:sz w:val="16"/>
                <w:szCs w:val="16"/>
                <w:b w:val="1"/>
                <w:bCs w:val="1"/>
                <w:color w:val="auto"/>
              </w:rPr>
              <w:t>​​</w:t>
            </w:r>
          </w:p>
        </w:tc>
      </w:tr>
      <w:tr>
        <w:trPr>
          <w:trHeight w:val="20"/>
        </w:trPr>
        <w:tc>
          <w:tcPr>
            <w:tcW w:w="4720" w:type="dxa"/>
            <w:vAlign w:val="bottom"/>
            <w:shd w:val="clear" w:color="auto" w:fill="457157"/>
          </w:tcPr>
          <w:p>
            <w:pPr>
              <w:spacing w:after="0" w:line="20" w:lineRule="exact"/>
              <w:rPr>
                <w:sz w:val="1"/>
                <w:szCs w:val="1"/>
                <w:color w:val="auto"/>
              </w:rPr>
            </w:pPr>
          </w:p>
        </w:tc>
        <w:tc>
          <w:tcPr>
            <w:tcW w:w="3340" w:type="dxa"/>
            <w:vAlign w:val="bottom"/>
            <w:shd w:val="clear" w:color="auto" w:fill="457157"/>
          </w:tcPr>
          <w:p>
            <w:pPr>
              <w:spacing w:after="0" w:line="20" w:lineRule="exact"/>
              <w:rPr>
                <w:sz w:val="1"/>
                <w:szCs w:val="1"/>
                <w:color w:val="auto"/>
              </w:rPr>
            </w:pPr>
          </w:p>
        </w:tc>
        <w:tc>
          <w:tcPr>
            <w:tcW w:w="1000" w:type="dxa"/>
            <w:vAlign w:val="bottom"/>
            <w:gridSpan w:val="2"/>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720" w:type="dxa"/>
            <w:vAlign w:val="bottom"/>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All Other Fees</w:t>
            </w:r>
          </w:p>
        </w:tc>
        <w:tc>
          <w:tcPr>
            <w:tcW w:w="3340" w:type="dxa"/>
            <w:vAlign w:val="bottom"/>
          </w:tcPr>
          <w:p>
            <w:pPr>
              <w:ind w:left="2980"/>
              <w:spacing w:after="0" w:line="264" w:lineRule="exact"/>
              <w:rPr>
                <w:sz w:val="20"/>
                <w:szCs w:val="20"/>
                <w:color w:val="auto"/>
              </w:rPr>
            </w:pPr>
            <w:r>
              <w:rPr>
                <w:rFonts w:ascii="Arial" w:cs="Arial" w:eastAsia="Arial" w:hAnsi="Arial"/>
                <w:sz w:val="16"/>
                <w:szCs w:val="16"/>
                <w:b w:val="1"/>
                <w:bCs w:val="1"/>
                <w:color w:val="auto"/>
              </w:rPr>
              <w:t xml:space="preserve">​ ​​ </w:t>
            </w:r>
            <w:r>
              <w:rPr>
                <w:rFonts w:ascii="Arial" w:cs="Arial" w:eastAsia="Arial" w:hAnsi="Arial"/>
                <w:sz w:val="30"/>
                <w:szCs w:val="30"/>
                <w:b w:val="1"/>
                <w:bCs w:val="1"/>
                <w:color w:val="auto"/>
                <w:vertAlign w:val="superscript"/>
              </w:rPr>
              <w:t>​</w:t>
            </w:r>
          </w:p>
        </w:tc>
        <w:tc>
          <w:tcPr>
            <w:tcW w:w="1040" w:type="dxa"/>
            <w:vAlign w:val="bottom"/>
            <w:gridSpan w:val="3"/>
          </w:tcPr>
          <w:p>
            <w:pPr>
              <w:jc w:val="right"/>
              <w:spacing w:after="0" w:line="264" w:lineRule="exact"/>
              <w:rPr>
                <w:sz w:val="20"/>
                <w:szCs w:val="20"/>
                <w:color w:val="auto"/>
              </w:rPr>
            </w:pPr>
            <w:r>
              <w:rPr>
                <w:rFonts w:ascii="Arial" w:cs="Arial" w:eastAsia="Arial" w:hAnsi="Arial"/>
                <w:sz w:val="30"/>
                <w:szCs w:val="30"/>
                <w:b w:val="1"/>
                <w:bCs w:val="1"/>
                <w:color w:val="auto"/>
                <w:vertAlign w:val="superscript"/>
              </w:rPr>
              <w:t>—</w:t>
            </w:r>
            <w:r>
              <w:rPr>
                <w:rFonts w:ascii="Arial" w:cs="Arial" w:eastAsia="Arial" w:hAnsi="Arial"/>
                <w:sz w:val="16"/>
                <w:szCs w:val="16"/>
                <w:b w:val="1"/>
                <w:bCs w:val="1"/>
                <w:color w:val="auto"/>
              </w:rPr>
              <w:t xml:space="preserve">​​ ​​ </w:t>
            </w:r>
            <w:r>
              <w:rPr>
                <w:rFonts w:ascii="Arial" w:cs="Arial" w:eastAsia="Arial" w:hAnsi="Arial"/>
                <w:sz w:val="30"/>
                <w:szCs w:val="30"/>
                <w:b w:val="1"/>
                <w:bCs w:val="1"/>
                <w:color w:val="auto"/>
                <w:vertAlign w:val="superscript"/>
              </w:rPr>
              <w:t>​ —</w:t>
            </w:r>
            <w:r>
              <w:rPr>
                <w:rFonts w:ascii="Arial" w:cs="Arial" w:eastAsia="Arial" w:hAnsi="Arial"/>
                <w:sz w:val="16"/>
                <w:szCs w:val="16"/>
                <w:b w:val="1"/>
                <w:bCs w:val="1"/>
                <w:color w:val="auto"/>
              </w:rPr>
              <w:t>​​</w:t>
            </w:r>
          </w:p>
        </w:tc>
      </w:tr>
      <w:tr>
        <w:trPr>
          <w:trHeight w:val="20"/>
        </w:trPr>
        <w:tc>
          <w:tcPr>
            <w:tcW w:w="4720" w:type="dxa"/>
            <w:vAlign w:val="bottom"/>
            <w:shd w:val="clear" w:color="auto" w:fill="457157"/>
          </w:tcPr>
          <w:p>
            <w:pPr>
              <w:spacing w:after="0" w:line="20" w:lineRule="exact"/>
              <w:rPr>
                <w:sz w:val="1"/>
                <w:szCs w:val="1"/>
                <w:color w:val="auto"/>
              </w:rPr>
            </w:pPr>
          </w:p>
        </w:tc>
        <w:tc>
          <w:tcPr>
            <w:tcW w:w="3640" w:type="dxa"/>
            <w:vAlign w:val="bottom"/>
            <w:gridSpan w:val="2"/>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720" w:type="dxa"/>
            <w:vAlign w:val="bottom"/>
          </w:tcPr>
          <w:p>
            <w:pPr>
              <w:ind w:left="20"/>
              <w:spacing w:after="0" w:line="264" w:lineRule="exact"/>
              <w:rPr>
                <w:sz w:val="20"/>
                <w:szCs w:val="20"/>
                <w:color w:val="auto"/>
              </w:rPr>
            </w:pPr>
            <w:r>
              <w:rPr>
                <w:rFonts w:ascii="Arial" w:cs="Arial" w:eastAsia="Arial" w:hAnsi="Arial"/>
                <w:sz w:val="30"/>
                <w:szCs w:val="30"/>
                <w:b w:val="1"/>
                <w:bCs w:val="1"/>
                <w:color w:val="auto"/>
                <w:vertAlign w:val="subscript"/>
              </w:rPr>
              <w:t>​</w:t>
            </w:r>
            <w:r>
              <w:rPr>
                <w:rFonts w:ascii="Arial" w:cs="Arial" w:eastAsia="Arial" w:hAnsi="Arial"/>
                <w:sz w:val="16"/>
                <w:szCs w:val="16"/>
                <w:b w:val="1"/>
                <w:bCs w:val="1"/>
                <w:color w:val="auto"/>
              </w:rPr>
              <w:t>Total</w:t>
            </w:r>
          </w:p>
        </w:tc>
        <w:tc>
          <w:tcPr>
            <w:tcW w:w="3640" w:type="dxa"/>
            <w:vAlign w:val="bottom"/>
            <w:gridSpan w:val="2"/>
          </w:tcPr>
          <w:p>
            <w:pPr>
              <w:ind w:left="2980"/>
              <w:spacing w:after="0" w:line="264" w:lineRule="exact"/>
              <w:rPr>
                <w:sz w:val="20"/>
                <w:szCs w:val="20"/>
                <w:color w:val="auto"/>
              </w:rPr>
            </w:pPr>
            <w:r>
              <w:rPr>
                <w:rFonts w:ascii="Arial" w:cs="Arial" w:eastAsia="Arial" w:hAnsi="Arial"/>
                <w:sz w:val="30"/>
                <w:szCs w:val="30"/>
                <w:b w:val="1"/>
                <w:bCs w:val="1"/>
                <w:color w:val="auto"/>
                <w:vertAlign w:val="subscript"/>
              </w:rPr>
              <w:t>​ ​​</w:t>
            </w:r>
            <w:r>
              <w:rPr>
                <w:rFonts w:ascii="Arial" w:cs="Arial" w:eastAsia="Arial" w:hAnsi="Arial"/>
                <w:sz w:val="16"/>
                <w:szCs w:val="16"/>
                <w:b w:val="1"/>
                <w:bCs w:val="1"/>
                <w:color w:val="auto"/>
              </w:rPr>
              <w:t>$10.3</w:t>
            </w:r>
          </w:p>
        </w:tc>
        <w:tc>
          <w:tcPr>
            <w:tcW w:w="740" w:type="dxa"/>
            <w:vAlign w:val="bottom"/>
            <w:gridSpan w:val="2"/>
          </w:tcPr>
          <w:p>
            <w:pPr>
              <w:jc w:val="right"/>
              <w:spacing w:after="0" w:line="264" w:lineRule="exact"/>
              <w:rPr>
                <w:sz w:val="20"/>
                <w:szCs w:val="20"/>
                <w:color w:val="auto"/>
              </w:rPr>
            </w:pPr>
            <w:r>
              <w:rPr>
                <w:rFonts w:ascii="Arial" w:cs="Arial" w:eastAsia="Arial" w:hAnsi="Arial"/>
                <w:sz w:val="16"/>
                <w:szCs w:val="16"/>
                <w:b w:val="1"/>
                <w:bCs w:val="1"/>
                <w:color w:val="auto"/>
              </w:rPr>
              <w:t>​​ ​​</w:t>
            </w:r>
            <w:r>
              <w:rPr>
                <w:rFonts w:ascii="Arial" w:cs="Arial" w:eastAsia="Arial" w:hAnsi="Arial"/>
                <w:sz w:val="30"/>
                <w:szCs w:val="30"/>
                <w:b w:val="1"/>
                <w:bCs w:val="1"/>
                <w:color w:val="auto"/>
                <w:vertAlign w:val="superscript"/>
              </w:rPr>
              <w:t>$ 7.8</w:t>
            </w:r>
            <w:r>
              <w:rPr>
                <w:rFonts w:ascii="Arial" w:cs="Arial" w:eastAsia="Arial" w:hAnsi="Arial"/>
                <w:sz w:val="16"/>
                <w:szCs w:val="16"/>
                <w:b w:val="1"/>
                <w:bCs w:val="1"/>
                <w:color w:val="auto"/>
              </w:rPr>
              <w:t>​​</w:t>
            </w:r>
          </w:p>
        </w:tc>
      </w:tr>
      <w:tr>
        <w:trPr>
          <w:trHeight w:val="20"/>
        </w:trPr>
        <w:tc>
          <w:tcPr>
            <w:tcW w:w="4720" w:type="dxa"/>
            <w:vAlign w:val="bottom"/>
            <w:shd w:val="clear" w:color="auto" w:fill="457157"/>
          </w:tcPr>
          <w:p>
            <w:pPr>
              <w:spacing w:after="0" w:line="20" w:lineRule="exact"/>
              <w:rPr>
                <w:sz w:val="1"/>
                <w:szCs w:val="1"/>
                <w:color w:val="auto"/>
              </w:rPr>
            </w:pPr>
          </w:p>
        </w:tc>
        <w:tc>
          <w:tcPr>
            <w:tcW w:w="334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700" w:type="dxa"/>
            <w:vAlign w:val="bottom"/>
            <w:shd w:val="clear" w:color="auto" w:fill="45715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-899795</wp:posOffset>
            </wp:positionV>
            <wp:extent cx="5760720" cy="1714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760720" cy="17145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-548005</wp:posOffset>
            </wp:positionV>
            <wp:extent cx="5760720" cy="1803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760720" cy="18034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-187960</wp:posOffset>
            </wp:positionV>
            <wp:extent cx="5760720" cy="17970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760720" cy="179705"/>
                    </a:xfrm>
                    <a:prstGeom prst="rect">
                      <a:avLst/>
                    </a:prstGeom>
                    <a:noFill/>
                  </pic:spPr>
                </pic:pic>
              </a:graphicData>
            </a:graphic>
          </wp:anchor>
        </w:drawing>
      </w:r>
    </w:p>
    <w:p>
      <w:pPr>
        <w:spacing w:after="0" w:line="29" w:lineRule="exact"/>
        <w:rPr>
          <w:sz w:val="20"/>
          <w:szCs w:val="20"/>
          <w:color w:val="auto"/>
        </w:rPr>
      </w:pPr>
    </w:p>
    <w:p>
      <w:pPr>
        <w:ind w:left="820" w:right="60"/>
        <w:spacing w:after="0" w:line="237" w:lineRule="auto"/>
        <w:rPr>
          <w:sz w:val="20"/>
          <w:szCs w:val="20"/>
          <w:color w:val="auto"/>
        </w:rPr>
      </w:pPr>
      <w:r>
        <w:rPr>
          <w:rFonts w:ascii="Arial" w:cs="Arial" w:eastAsia="Arial" w:hAnsi="Arial"/>
          <w:sz w:val="18"/>
          <w:szCs w:val="18"/>
          <w:color w:val="auto"/>
        </w:rPr>
        <w:t>Audit fees include fees for the annual audit, reviews of the Company’s Quarterly Reports on Form 10-Q, work performed to support the Company’s debt issuances; acquisitions, including our 2024</w:t>
      </w:r>
    </w:p>
    <w:p>
      <w:pPr>
        <w:ind w:left="820"/>
        <w:spacing w:after="0" w:line="235" w:lineRule="auto"/>
        <w:rPr>
          <w:sz w:val="20"/>
          <w:szCs w:val="20"/>
          <w:color w:val="auto"/>
        </w:rPr>
      </w:pPr>
      <w:r>
        <w:rPr>
          <w:rFonts w:ascii="Arial" w:cs="Arial" w:eastAsia="Arial" w:hAnsi="Arial"/>
          <w:sz w:val="18"/>
          <w:szCs w:val="18"/>
          <w:color w:val="auto"/>
        </w:rPr>
        <w:t>acquisition of Stericycle; accounting consultations; and separate subsidiary audits required by statute</w:t>
      </w:r>
    </w:p>
    <w:p>
      <w:pPr>
        <w:spacing w:after="0" w:line="1" w:lineRule="exact"/>
        <w:rPr>
          <w:sz w:val="20"/>
          <w:szCs w:val="20"/>
          <w:color w:val="auto"/>
        </w:rPr>
      </w:pPr>
    </w:p>
    <w:p>
      <w:pPr>
        <w:ind w:left="820" w:right="60"/>
        <w:spacing w:after="0" w:line="237" w:lineRule="auto"/>
        <w:rPr>
          <w:sz w:val="20"/>
          <w:szCs w:val="20"/>
          <w:color w:val="auto"/>
        </w:rPr>
      </w:pPr>
      <w:r>
        <w:rPr>
          <w:rFonts w:ascii="Arial" w:cs="Arial" w:eastAsia="Arial" w:hAnsi="Arial"/>
          <w:sz w:val="18"/>
          <w:szCs w:val="18"/>
          <w:color w:val="auto"/>
        </w:rPr>
        <w:t>or regulation. Audit-related fees include attest services related to financial reporting that are not required by statute or regulations.</w:t>
      </w:r>
    </w:p>
    <w:p>
      <w:pPr>
        <w:spacing w:after="0" w:line="7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Audit Committee has adopted procedures for the approval of Ernst &amp; Young LLP’s services and</w:t>
      </w:r>
    </w:p>
    <w:p>
      <w:pPr>
        <w:spacing w:after="0" w:line="14" w:lineRule="exact"/>
        <w:rPr>
          <w:sz w:val="20"/>
          <w:szCs w:val="20"/>
          <w:color w:val="auto"/>
        </w:rPr>
      </w:pPr>
    </w:p>
    <w:p>
      <w:pPr>
        <w:ind w:left="820" w:right="60"/>
        <w:spacing w:after="0" w:line="226" w:lineRule="auto"/>
        <w:rPr>
          <w:sz w:val="20"/>
          <w:szCs w:val="20"/>
          <w:color w:val="auto"/>
        </w:rPr>
      </w:pPr>
      <w:r>
        <w:rPr>
          <w:rFonts w:ascii="Arial" w:cs="Arial" w:eastAsia="Arial" w:hAnsi="Arial"/>
          <w:sz w:val="18"/>
          <w:szCs w:val="18"/>
          <w:color w:val="auto"/>
        </w:rPr>
        <w:t>related fees. At the beginning of each year, all audit and audit-related services, tax fees and other fees for the upcoming audit are provided to the Audit Committee for approval. The services are</w:t>
      </w:r>
    </w:p>
    <w:p>
      <w:pPr>
        <w:ind w:left="820"/>
        <w:spacing w:after="0" w:line="236" w:lineRule="auto"/>
        <w:rPr>
          <w:sz w:val="20"/>
          <w:szCs w:val="20"/>
          <w:color w:val="auto"/>
        </w:rPr>
      </w:pPr>
      <w:r>
        <w:rPr>
          <w:rFonts w:ascii="Arial" w:cs="Arial" w:eastAsia="Arial" w:hAnsi="Arial"/>
          <w:sz w:val="18"/>
          <w:szCs w:val="18"/>
          <w:color w:val="auto"/>
        </w:rPr>
        <w:t>grouped into significant categories and provided to the Audit Committee in the format shown above.</w:t>
      </w:r>
    </w:p>
    <w:p>
      <w:pPr>
        <w:spacing w:after="0" w:line="1" w:lineRule="exact"/>
        <w:rPr>
          <w:sz w:val="20"/>
          <w:szCs w:val="20"/>
          <w:color w:val="auto"/>
        </w:rPr>
      </w:pPr>
    </w:p>
    <w:p>
      <w:pPr>
        <w:jc w:val="both"/>
        <w:ind w:left="820" w:right="60"/>
        <w:spacing w:after="0" w:line="226" w:lineRule="auto"/>
        <w:rPr>
          <w:sz w:val="20"/>
          <w:szCs w:val="20"/>
          <w:color w:val="auto"/>
        </w:rPr>
      </w:pPr>
      <w:r>
        <w:rPr>
          <w:rFonts w:ascii="Arial" w:cs="Arial" w:eastAsia="Arial" w:hAnsi="Arial"/>
          <w:sz w:val="18"/>
          <w:szCs w:val="18"/>
          <w:color w:val="auto"/>
        </w:rPr>
        <w:t>All projects that have the potential to exceed $100,000 are separately identified and reported to the Committee for approval. The Audit Committee Chair has the authority to approve additional services,</w:t>
      </w:r>
    </w:p>
    <w:p>
      <w:pPr>
        <w:spacing w:after="0" w:line="2" w:lineRule="exact"/>
        <w:rPr>
          <w:sz w:val="20"/>
          <w:szCs w:val="20"/>
          <w:color w:val="auto"/>
        </w:rPr>
      </w:pPr>
    </w:p>
    <w:p>
      <w:pPr>
        <w:ind w:left="820" w:right="60"/>
        <w:spacing w:after="0" w:line="226" w:lineRule="auto"/>
        <w:rPr>
          <w:sz w:val="20"/>
          <w:szCs w:val="20"/>
          <w:color w:val="auto"/>
        </w:rPr>
      </w:pPr>
      <w:r>
        <w:rPr>
          <w:rFonts w:ascii="Arial" w:cs="Arial" w:eastAsia="Arial" w:hAnsi="Arial"/>
          <w:sz w:val="18"/>
          <w:szCs w:val="18"/>
          <w:color w:val="auto"/>
        </w:rPr>
        <w:t>not previously approved, between Committee meetings. Any additional services approved by the Audit Committee Chair between Committee meetings are reported to the full Audit Committee at the next</w:t>
      </w:r>
    </w:p>
    <w:p>
      <w:pPr>
        <w:ind w:left="820"/>
        <w:spacing w:after="0" w:line="236" w:lineRule="auto"/>
        <w:rPr>
          <w:sz w:val="20"/>
          <w:szCs w:val="20"/>
          <w:color w:val="auto"/>
        </w:rPr>
      </w:pPr>
      <w:r>
        <w:rPr>
          <w:rFonts w:ascii="Arial" w:cs="Arial" w:eastAsia="Arial" w:hAnsi="Arial"/>
          <w:sz w:val="18"/>
          <w:szCs w:val="18"/>
          <w:color w:val="auto"/>
        </w:rPr>
        <w:t>regularly scheduled meeting. The Audit Committee is updated on the status of all services and related</w:t>
      </w:r>
    </w:p>
    <w:p>
      <w:pPr>
        <w:spacing w:after="0" w:line="1" w:lineRule="exact"/>
        <w:rPr>
          <w:sz w:val="20"/>
          <w:szCs w:val="20"/>
          <w:color w:val="auto"/>
        </w:rPr>
      </w:pPr>
    </w:p>
    <w:p>
      <w:pPr>
        <w:ind w:left="820" w:right="60"/>
        <w:spacing w:after="0" w:line="226" w:lineRule="auto"/>
        <w:rPr>
          <w:sz w:val="20"/>
          <w:szCs w:val="20"/>
          <w:color w:val="auto"/>
        </w:rPr>
      </w:pPr>
      <w:r>
        <w:rPr>
          <w:rFonts w:ascii="Arial" w:cs="Arial" w:eastAsia="Arial" w:hAnsi="Arial"/>
          <w:sz w:val="18"/>
          <w:szCs w:val="18"/>
          <w:color w:val="auto"/>
        </w:rPr>
        <w:t>fees at every regular meeting. In 2024 and 2023, the Audit Committee or Audit Committee Chair pre-approved all audit and audit-related services performed by Ernst &amp; Young LLP. As set forth in the Audit</w:t>
      </w:r>
    </w:p>
    <w:p>
      <w:pPr>
        <w:spacing w:after="0" w:line="2" w:lineRule="exact"/>
        <w:rPr>
          <w:sz w:val="20"/>
          <w:szCs w:val="20"/>
          <w:color w:val="auto"/>
        </w:rPr>
      </w:pPr>
    </w:p>
    <w:p>
      <w:pPr>
        <w:ind w:left="820" w:right="60"/>
        <w:spacing w:after="0" w:line="250" w:lineRule="auto"/>
        <w:rPr>
          <w:sz w:val="20"/>
          <w:szCs w:val="20"/>
          <w:color w:val="auto"/>
        </w:rPr>
      </w:pPr>
      <w:r>
        <w:rPr>
          <w:rFonts w:ascii="Arial" w:cs="Arial" w:eastAsia="Arial" w:hAnsi="Arial"/>
          <w:sz w:val="18"/>
          <w:szCs w:val="18"/>
          <w:color w:val="auto"/>
        </w:rPr>
        <w:t>Committee Report, the Audit Committee has considered whether the provision of these audit-related services is compatible with maintaining auditor independence and has determined that it is.</w:t>
      </w:r>
    </w:p>
    <w:p>
      <w:pPr>
        <w:spacing w:after="0" w:line="162" w:lineRule="exact"/>
        <w:rPr>
          <w:sz w:val="20"/>
          <w:szCs w:val="20"/>
          <w:color w:val="auto"/>
        </w:rPr>
      </w:pPr>
    </w:p>
    <w:p>
      <w:pPr>
        <w:ind w:left="820"/>
        <w:spacing w:after="0"/>
        <w:rPr>
          <w:sz w:val="20"/>
          <w:szCs w:val="20"/>
          <w:color w:val="auto"/>
        </w:rPr>
      </w:pPr>
      <w:r>
        <w:rPr>
          <w:rFonts w:ascii="Arial" w:cs="Arial" w:eastAsia="Arial" w:hAnsi="Arial"/>
          <w:sz w:val="22"/>
          <w:szCs w:val="22"/>
          <w:b w:val="1"/>
          <w:bCs w:val="1"/>
          <w:u w:val="single" w:color="auto"/>
          <w:color w:val="457157"/>
        </w:rPr>
        <w:t>VOTE REQUIRED FOR APPROVAL</w:t>
      </w:r>
    </w:p>
    <w:p>
      <w:pPr>
        <w:spacing w:after="0" w:line="108" w:lineRule="exact"/>
        <w:rPr>
          <w:sz w:val="20"/>
          <w:szCs w:val="20"/>
          <w:color w:val="auto"/>
        </w:rPr>
      </w:pPr>
    </w:p>
    <w:p>
      <w:pPr>
        <w:ind w:left="820" w:right="60"/>
        <w:spacing w:after="0" w:line="237" w:lineRule="auto"/>
        <w:rPr>
          <w:sz w:val="20"/>
          <w:szCs w:val="20"/>
          <w:color w:val="auto"/>
        </w:rPr>
      </w:pPr>
      <w:r>
        <w:rPr>
          <w:rFonts w:ascii="Arial" w:cs="Arial" w:eastAsia="Arial" w:hAnsi="Arial"/>
          <w:sz w:val="18"/>
          <w:szCs w:val="18"/>
          <w:color w:val="auto"/>
        </w:rPr>
        <w:t>Approval of this proposal requires the affirmative vote of the holders of a majority of the outstanding shares of Common Stock present at the meeting, in person or represented by proxy, and entitled to</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74930</wp:posOffset>
            </wp:positionV>
            <wp:extent cx="5340350" cy="514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340350" cy="51435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7240"/>
        <w:spacing w:after="0"/>
        <w:tabs>
          <w:tab w:leader="none" w:pos="936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-153670</wp:posOffset>
            </wp:positionV>
            <wp:extent cx="471805" cy="1200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906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r>
      <w:tr>
        <w:trPr>
          <w:trHeight w:val="273"/>
        </w:trPr>
        <w:tc>
          <w:tcPr>
            <w:tcW w:w="9060" w:type="dxa"/>
            <w:vAlign w:val="bottom"/>
          </w:tcPr>
          <w:p>
            <w:pPr>
              <w:spacing w:after="0"/>
              <w:rPr>
                <w:sz w:val="20"/>
                <w:szCs w:val="20"/>
                <w:color w:val="auto"/>
              </w:rPr>
            </w:pPr>
            <w:r>
              <w:rPr>
                <w:rFonts w:ascii="Arial" w:cs="Arial" w:eastAsia="Arial" w:hAnsi="Arial"/>
                <w:sz w:val="20"/>
                <w:szCs w:val="20"/>
                <w:b w:val="1"/>
                <w:bCs w:val="1"/>
                <w:color w:val="auto"/>
              </w:rPr>
              <w:t> </w:t>
            </w:r>
          </w:p>
        </w:tc>
        <w:tc>
          <w:tcPr>
            <w:tcW w:w="60" w:type="dxa"/>
            <w:vAlign w:val="bottom"/>
          </w:tcPr>
          <w:p>
            <w:pPr>
              <w:spacing w:after="0"/>
              <w:rPr>
                <w:sz w:val="23"/>
                <w:szCs w:val="23"/>
                <w:color w:val="auto"/>
              </w:rPr>
            </w:pPr>
          </w:p>
        </w:tc>
      </w:tr>
    </w:tbl>
    <w:p>
      <w:pPr>
        <w:spacing w:after="0" w:line="40" w:lineRule="exact"/>
        <w:rPr>
          <w:sz w:val="20"/>
          <w:szCs w:val="20"/>
          <w:color w:val="auto"/>
        </w:rPr>
      </w:pPr>
    </w:p>
    <w:p>
      <w:pPr>
        <w:ind w:left="820" w:right="2940"/>
        <w:spacing w:after="0" w:line="268" w:lineRule="auto"/>
        <w:rPr>
          <w:sz w:val="20"/>
          <w:szCs w:val="20"/>
          <w:color w:val="auto"/>
        </w:rPr>
      </w:pPr>
      <w:r>
        <w:rPr>
          <w:rFonts w:ascii="Arial" w:cs="Arial" w:eastAsia="Arial" w:hAnsi="Arial"/>
          <w:sz w:val="36"/>
          <w:szCs w:val="36"/>
          <w:b w:val="1"/>
          <w:bCs w:val="1"/>
          <w:color w:val="457157"/>
        </w:rPr>
        <w:t>ADVISORY VOTE ON EXECUTIVE COMPENSATION</w:t>
      </w:r>
    </w:p>
    <w:p>
      <w:pPr>
        <w:spacing w:after="0" w:line="3"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457157"/>
        </w:rPr>
        <w:t>(ITEM 3 ON THE PROXY CARD)</w:t>
      </w:r>
    </w:p>
    <w:p>
      <w:pPr>
        <w:spacing w:after="0" w:line="121" w:lineRule="exact"/>
        <w:rPr>
          <w:sz w:val="20"/>
          <w:szCs w:val="20"/>
          <w:color w:val="auto"/>
        </w:rPr>
      </w:pPr>
    </w:p>
    <w:p>
      <w:pPr>
        <w:jc w:val="both"/>
        <w:ind w:left="820" w:right="60"/>
        <w:spacing w:after="0" w:line="247" w:lineRule="auto"/>
        <w:rPr>
          <w:sz w:val="20"/>
          <w:szCs w:val="20"/>
          <w:color w:val="auto"/>
        </w:rPr>
      </w:pPr>
      <w:r>
        <w:rPr>
          <w:rFonts w:ascii="Arial" w:cs="Arial" w:eastAsia="Arial" w:hAnsi="Arial"/>
          <w:sz w:val="18"/>
          <w:szCs w:val="18"/>
          <w:color w:val="auto"/>
        </w:rPr>
        <w:t>Pursuant to Section 14A of the Exchange Act, stockholders are entitled to an advisory (non- binding) vote on compensation programs for our named executive officers (sometimes referred to as “say on pay”). The Board of Directors has determined that it will include this “say on pay” vote in the Company’s proxy materials annually, pending consideration of future advisory stockholder votes on the frequency of this advisory vote on executive compensation.</w:t>
      </w:r>
    </w:p>
    <w:p>
      <w:pPr>
        <w:spacing w:after="0" w:line="69" w:lineRule="exact"/>
        <w:rPr>
          <w:sz w:val="20"/>
          <w:szCs w:val="20"/>
          <w:color w:val="auto"/>
        </w:rPr>
      </w:pPr>
    </w:p>
    <w:p>
      <w:pPr>
        <w:jc w:val="both"/>
        <w:ind w:left="820" w:right="60"/>
        <w:spacing w:after="0" w:line="246" w:lineRule="auto"/>
        <w:rPr>
          <w:sz w:val="20"/>
          <w:szCs w:val="20"/>
          <w:color w:val="auto"/>
        </w:rPr>
      </w:pPr>
      <w:r>
        <w:rPr>
          <w:rFonts w:ascii="Arial" w:cs="Arial" w:eastAsia="Arial" w:hAnsi="Arial"/>
          <w:sz w:val="18"/>
          <w:szCs w:val="18"/>
          <w:color w:val="auto"/>
        </w:rPr>
        <w:t xml:space="preserve">We encourage stockholders to review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included in this Proxy Statement. The Company has designed its executive compensation program to be supportive of, and align with, the strategy of the Company and the creation of stockholder value, while discouraging excessive risk-taking. The following key structural elements and policies, discussed in more detail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further the objective of our executive compensation program and evidence our dedication to competitive and reasonable compensation practices that are in the best interests of stockholders:</w:t>
      </w:r>
    </w:p>
    <w:p>
      <w:pPr>
        <w:spacing w:after="0" w:line="280" w:lineRule="exact"/>
        <w:rPr>
          <w:sz w:val="20"/>
          <w:szCs w:val="20"/>
          <w:color w:val="auto"/>
        </w:rPr>
      </w:pPr>
    </w:p>
    <w:p>
      <w:pPr>
        <w:jc w:val="both"/>
        <w:ind w:left="1360" w:right="60" w:hanging="184"/>
        <w:spacing w:after="0" w:line="278" w:lineRule="auto"/>
        <w:tabs>
          <w:tab w:leader="none" w:pos="1360" w:val="left"/>
        </w:tabs>
        <w:numPr>
          <w:ilvl w:val="0"/>
          <w:numId w:val="57"/>
        </w:numPr>
        <w:rPr>
          <w:rFonts w:ascii="Arial" w:cs="Arial" w:eastAsia="Arial" w:hAnsi="Arial"/>
          <w:sz w:val="18"/>
          <w:szCs w:val="18"/>
          <w:color w:val="457157"/>
        </w:rPr>
      </w:pPr>
      <w:r>
        <w:rPr>
          <w:rFonts w:ascii="Arial" w:cs="Arial" w:eastAsia="Arial" w:hAnsi="Arial"/>
          <w:sz w:val="18"/>
          <w:szCs w:val="18"/>
          <w:color w:val="auto"/>
        </w:rPr>
        <w:t>a significant majority of our named executive’s target compensation is linked to Company performance and long-term equity awards, which aligns executives’ interests with those of stockholders;</w:t>
      </w:r>
    </w:p>
    <w:p>
      <w:pPr>
        <w:spacing w:after="0" w:line="276"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57"/>
        </w:numPr>
        <w:rPr>
          <w:rFonts w:ascii="Arial" w:cs="Arial" w:eastAsia="Arial" w:hAnsi="Arial"/>
          <w:sz w:val="18"/>
          <w:szCs w:val="18"/>
          <w:color w:val="457157"/>
        </w:rPr>
      </w:pPr>
      <w:r>
        <w:rPr>
          <w:rFonts w:ascii="Arial" w:cs="Arial" w:eastAsia="Arial" w:hAnsi="Arial"/>
          <w:sz w:val="18"/>
          <w:szCs w:val="18"/>
          <w:color w:val="auto"/>
        </w:rPr>
        <w:t>our total direct compensation opportunities for named executive officers are targeted to fall in a range around the competitive median;</w:t>
      </w:r>
    </w:p>
    <w:p>
      <w:pPr>
        <w:spacing w:after="0" w:line="31"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57"/>
        </w:numPr>
        <w:rPr>
          <w:rFonts w:ascii="Arial" w:cs="Arial" w:eastAsia="Arial" w:hAnsi="Arial"/>
          <w:sz w:val="18"/>
          <w:szCs w:val="18"/>
          <w:color w:val="457157"/>
        </w:rPr>
      </w:pPr>
      <w:r>
        <w:rPr>
          <w:rFonts w:ascii="Arial" w:cs="Arial" w:eastAsia="Arial" w:hAnsi="Arial"/>
          <w:sz w:val="18"/>
          <w:szCs w:val="18"/>
          <w:color w:val="auto"/>
        </w:rPr>
        <w:t>performance-based awards include threshold, target and maximum payouts correlating to a range of performance outcomes and are based on a variety of indicators of performance, which limits risk-taking behavior;</w:t>
      </w:r>
    </w:p>
    <w:p>
      <w:pPr>
        <w:spacing w:after="0" w:line="62"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57"/>
        </w:numPr>
        <w:rPr>
          <w:rFonts w:ascii="Arial" w:cs="Arial" w:eastAsia="Arial" w:hAnsi="Arial"/>
          <w:sz w:val="18"/>
          <w:szCs w:val="18"/>
          <w:color w:val="457157"/>
        </w:rPr>
      </w:pPr>
      <w:r>
        <w:rPr>
          <w:rFonts w:ascii="Arial" w:cs="Arial" w:eastAsia="Arial" w:hAnsi="Arial"/>
          <w:sz w:val="18"/>
          <w:szCs w:val="18"/>
          <w:color w:val="auto"/>
        </w:rPr>
        <w:t>performance stock units with a three-year performance period, as well as stock options that vest over a three-year period, link executives’ interests with long-term performance and reduce incentives to maximize performance in any one year at the expense of future years;</w:t>
      </w:r>
    </w:p>
    <w:p>
      <w:pPr>
        <w:spacing w:after="0" w:line="62" w:lineRule="exact"/>
        <w:rPr>
          <w:rFonts w:ascii="Arial" w:cs="Arial" w:eastAsia="Arial" w:hAnsi="Arial"/>
          <w:sz w:val="18"/>
          <w:szCs w:val="18"/>
          <w:color w:val="457157"/>
        </w:rPr>
      </w:pPr>
    </w:p>
    <w:p>
      <w:pPr>
        <w:ind w:left="1360" w:right="60" w:hanging="184"/>
        <w:spacing w:after="0" w:line="287" w:lineRule="auto"/>
        <w:tabs>
          <w:tab w:leader="none" w:pos="1360" w:val="left"/>
        </w:tabs>
        <w:numPr>
          <w:ilvl w:val="0"/>
          <w:numId w:val="57"/>
        </w:numPr>
        <w:rPr>
          <w:rFonts w:ascii="Arial" w:cs="Arial" w:eastAsia="Arial" w:hAnsi="Arial"/>
          <w:sz w:val="18"/>
          <w:szCs w:val="18"/>
          <w:color w:val="457157"/>
        </w:rPr>
      </w:pPr>
      <w:r>
        <w:rPr>
          <w:rFonts w:ascii="Arial" w:cs="Arial" w:eastAsia="Arial" w:hAnsi="Arial"/>
          <w:sz w:val="18"/>
          <w:szCs w:val="18"/>
          <w:color w:val="auto"/>
        </w:rPr>
        <w:t>all of our executive officers are subject to stock ownership guidelines, which we believe demonstrates a commitment to, and confidence in, the Company’s long-term prospects;</w:t>
      </w:r>
    </w:p>
    <w:p>
      <w:pPr>
        <w:spacing w:after="0" w:line="31" w:lineRule="exact"/>
        <w:rPr>
          <w:rFonts w:ascii="Arial" w:cs="Arial" w:eastAsia="Arial" w:hAnsi="Arial"/>
          <w:sz w:val="18"/>
          <w:szCs w:val="18"/>
          <w:color w:val="457157"/>
        </w:rPr>
      </w:pPr>
    </w:p>
    <w:p>
      <w:pPr>
        <w:jc w:val="both"/>
        <w:ind w:left="1360" w:right="60" w:hanging="184"/>
        <w:spacing w:after="0" w:line="261" w:lineRule="auto"/>
        <w:tabs>
          <w:tab w:leader="none" w:pos="1360" w:val="left"/>
        </w:tabs>
        <w:numPr>
          <w:ilvl w:val="0"/>
          <w:numId w:val="57"/>
        </w:numPr>
        <w:rPr>
          <w:rFonts w:ascii="Arial" w:cs="Arial" w:eastAsia="Arial" w:hAnsi="Arial"/>
          <w:sz w:val="18"/>
          <w:szCs w:val="18"/>
          <w:color w:val="457157"/>
        </w:rPr>
      </w:pPr>
      <w:r>
        <w:rPr>
          <w:rFonts w:ascii="Arial" w:cs="Arial" w:eastAsia="Arial" w:hAnsi="Arial"/>
          <w:sz w:val="18"/>
          <w:szCs w:val="18"/>
          <w:color w:val="auto"/>
        </w:rPr>
        <w:t>in addition to adoption of the executive compensation clawback policy mandated by the New York Stock Exchange in 2023, the Company has clawback provisions in its equity award agreements and executive officer employment agreements, and has adopted a clawback policy applicable to annual incentive compensation, designed to recoup compensation when cause and/or misconduct are found; and</w:t>
      </w:r>
    </w:p>
    <w:p>
      <w:pPr>
        <w:spacing w:after="0" w:line="287" w:lineRule="exact"/>
        <w:rPr>
          <w:rFonts w:ascii="Arial" w:cs="Arial" w:eastAsia="Arial" w:hAnsi="Arial"/>
          <w:sz w:val="18"/>
          <w:szCs w:val="18"/>
          <w:color w:val="457157"/>
        </w:rPr>
      </w:pPr>
    </w:p>
    <w:p>
      <w:pPr>
        <w:jc w:val="both"/>
        <w:ind w:left="1360" w:right="60" w:hanging="184"/>
        <w:spacing w:after="0" w:line="268" w:lineRule="auto"/>
        <w:tabs>
          <w:tab w:leader="none" w:pos="1360" w:val="left"/>
        </w:tabs>
        <w:numPr>
          <w:ilvl w:val="0"/>
          <w:numId w:val="57"/>
        </w:numPr>
        <w:rPr>
          <w:rFonts w:ascii="Arial" w:cs="Arial" w:eastAsia="Arial" w:hAnsi="Arial"/>
          <w:sz w:val="18"/>
          <w:szCs w:val="18"/>
          <w:color w:val="457157"/>
        </w:rPr>
      </w:pPr>
      <w:r>
        <w:rPr>
          <w:rFonts w:ascii="Arial" w:cs="Arial" w:eastAsia="Arial" w:hAnsi="Arial"/>
          <w:sz w:val="18"/>
          <w:szCs w:val="18"/>
          <w:color w:val="auto"/>
        </w:rPr>
        <w:t>the Company has adopted policies that limit executive officer severance benefits and prohibit it from entering into agreements with executive officers that provide for certain death benefits or tax gross-up payments.</w:t>
      </w:r>
    </w:p>
    <w:p>
      <w:pPr>
        <w:spacing w:after="0" w:line="63" w:lineRule="exact"/>
        <w:rPr>
          <w:sz w:val="20"/>
          <w:szCs w:val="20"/>
          <w:color w:val="auto"/>
        </w:rPr>
      </w:pPr>
    </w:p>
    <w:p>
      <w:pPr>
        <w:jc w:val="both"/>
        <w:ind w:left="820" w:right="60"/>
        <w:spacing w:after="0" w:line="271" w:lineRule="auto"/>
        <w:rPr>
          <w:sz w:val="20"/>
          <w:szCs w:val="20"/>
          <w:color w:val="auto"/>
        </w:rPr>
      </w:pPr>
      <w:r>
        <w:rPr>
          <w:rFonts w:ascii="Arial" w:cs="Arial" w:eastAsia="Arial" w:hAnsi="Arial"/>
          <w:sz w:val="18"/>
          <w:szCs w:val="18"/>
          <w:color w:val="auto"/>
        </w:rPr>
        <w:t>The Board strongly endorses the Company’s executive compensation program and recommends that the stockholders vote in favor of the following resolution:</w:t>
      </w:r>
    </w:p>
    <w:p>
      <w:pPr>
        <w:spacing w:after="0" w:line="46" w:lineRule="exact"/>
        <w:rPr>
          <w:sz w:val="20"/>
          <w:szCs w:val="20"/>
          <w:color w:val="auto"/>
        </w:rPr>
      </w:pPr>
    </w:p>
    <w:p>
      <w:pPr>
        <w:jc w:val="both"/>
        <w:ind w:left="820" w:right="60"/>
        <w:spacing w:after="0" w:line="253" w:lineRule="auto"/>
        <w:rPr>
          <w:sz w:val="20"/>
          <w:szCs w:val="20"/>
          <w:color w:val="auto"/>
        </w:rPr>
      </w:pPr>
      <w:r>
        <w:rPr>
          <w:rFonts w:ascii="Arial" w:cs="Arial" w:eastAsia="Arial" w:hAnsi="Arial"/>
          <w:sz w:val="18"/>
          <w:szCs w:val="18"/>
          <w:color w:val="auto"/>
        </w:rPr>
        <w:t xml:space="preserve">RESOLVED, that the compensation of the Company’s named executive officers as described in this Proxy Statement under “Executive Compensation,” including the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w:t>
      </w:r>
      <w:r>
        <w:rPr>
          <w:rFonts w:ascii="Arial" w:cs="Arial" w:eastAsia="Arial" w:hAnsi="Arial"/>
          <w:sz w:val="18"/>
          <w:szCs w:val="18"/>
          <w:color w:val="auto"/>
        </w:rPr>
        <w:t>and the tabular and narrative disclosure contained in this Proxy Statement, is hereby</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w:t>
      </w:r>
    </w:p>
    <w:p>
      <w:pPr>
        <w:spacing w:after="0" w:line="389" w:lineRule="exact"/>
        <w:rPr>
          <w:sz w:val="20"/>
          <w:szCs w:val="20"/>
          <w:color w:val="auto"/>
        </w:rPr>
      </w:pPr>
    </w:p>
    <w:p>
      <w:pPr>
        <w:ind w:left="820"/>
        <w:spacing w:after="0"/>
        <w:rPr>
          <w:sz w:val="20"/>
          <w:szCs w:val="20"/>
          <w:color w:val="auto"/>
        </w:rPr>
      </w:pPr>
      <w:r>
        <w:rPr>
          <w:rFonts w:ascii="Arial" w:cs="Arial" w:eastAsia="Arial" w:hAnsi="Arial"/>
          <w:sz w:val="22"/>
          <w:szCs w:val="22"/>
          <w:b w:val="1"/>
          <w:bCs w:val="1"/>
          <w:u w:val="single" w:color="auto"/>
          <w:color w:val="457157"/>
        </w:rPr>
        <w:t>VOTE REQUIRED FOR APPROVAL</w:t>
      </w:r>
    </w:p>
    <w:p>
      <w:pPr>
        <w:spacing w:after="0" w:line="108" w:lineRule="exact"/>
        <w:rPr>
          <w:sz w:val="20"/>
          <w:szCs w:val="20"/>
          <w:color w:val="auto"/>
        </w:rPr>
      </w:pPr>
    </w:p>
    <w:p>
      <w:pPr>
        <w:jc w:val="both"/>
        <w:ind w:left="820" w:right="60"/>
        <w:spacing w:after="0" w:line="248" w:lineRule="auto"/>
        <w:rPr>
          <w:sz w:val="20"/>
          <w:szCs w:val="20"/>
          <w:color w:val="auto"/>
        </w:rPr>
      </w:pPr>
      <w:r>
        <w:rPr>
          <w:rFonts w:ascii="Arial" w:cs="Arial" w:eastAsia="Arial" w:hAnsi="Arial"/>
          <w:sz w:val="18"/>
          <w:szCs w:val="18"/>
          <w:color w:val="auto"/>
        </w:rPr>
        <w:t>Approval of this proposal requires the affirmative vote of the holders of a majority of the outstanding shares of Common Stock present at the meeting, in person or represented by proxy, and entitled to vote. Because the vote is advisory, it will not be binding, and neither the Board of Directors nor the MD&amp;C Committee will be required to take any action as a result of the outcome of the vote on this proposal. The MD&amp;C Committee will carefully consider the outcome of the vote in connection with future executive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215900</wp:posOffset>
            </wp:positionV>
            <wp:extent cx="5340350" cy="5143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340350" cy="514350"/>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20"/>
        <w:spacing w:after="0"/>
        <w:tabs>
          <w:tab w:leader="none" w:pos="12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805" cy="128905"/>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71805" cy="128905"/>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940"/>
          </w:cols>
          <w:pgMar w:left="580" w:top="97" w:right="1379"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820"/>
        <w:spacing w:after="0"/>
        <w:rPr>
          <w:sz w:val="20"/>
          <w:szCs w:val="20"/>
          <w:color w:val="auto"/>
        </w:rPr>
      </w:pPr>
      <w:r>
        <w:rPr>
          <w:rFonts w:ascii="Arial" w:cs="Arial" w:eastAsia="Arial" w:hAnsi="Arial"/>
          <w:sz w:val="36"/>
          <w:szCs w:val="36"/>
          <w:b w:val="1"/>
          <w:bCs w:val="1"/>
          <w:color w:val="457157"/>
        </w:rPr>
        <w:t>APPENDIX A</w:t>
      </w:r>
    </w:p>
    <w:p>
      <w:pPr>
        <w:spacing w:after="0" w:line="118" w:lineRule="exact"/>
        <w:rPr>
          <w:sz w:val="20"/>
          <w:szCs w:val="20"/>
          <w:color w:val="auto"/>
        </w:rPr>
      </w:pPr>
    </w:p>
    <w:p>
      <w:pPr>
        <w:jc w:val="both"/>
        <w:ind w:left="820" w:right="680"/>
        <w:spacing w:after="0" w:line="271" w:lineRule="auto"/>
        <w:rPr>
          <w:sz w:val="20"/>
          <w:szCs w:val="20"/>
          <w:color w:val="auto"/>
        </w:rPr>
      </w:pPr>
      <w:r>
        <w:rPr>
          <w:rFonts w:ascii="Arial" w:cs="Arial" w:eastAsia="Arial" w:hAnsi="Arial"/>
          <w:sz w:val="18"/>
          <w:szCs w:val="18"/>
          <w:color w:val="auto"/>
        </w:rPr>
        <w:t>Incentive compensation measures presented in this proxy statement are defined differently than corresponding measures reported in the Company’s quarterly earnings press release. See below for reconciliations of Operating EBITDA, Income from Operations Margin and Cash Flow Generation to the most comparable GAAP measures. Non-GAAP measures should not be considered a substitute for financial measures presented in accordance with GAAP.</w:t>
      </w:r>
    </w:p>
    <w:p>
      <w:pPr>
        <w:spacing w:after="0" w:line="7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(In Millions)</w:t>
      </w:r>
    </w:p>
    <w:p>
      <w:pPr>
        <w:spacing w:after="0" w:line="22"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820" w:type="dxa"/>
        <w:tblCellMar>
          <w:top w:w="0" w:type="dxa"/>
          <w:left w:w="0" w:type="dxa"/>
          <w:bottom w:w="0" w:type="dxa"/>
          <w:right w:w="0" w:type="dxa"/>
        </w:tblCellMar>
      </w:tblPr>
      <w:tr>
        <w:trPr>
          <w:trHeight w:val="212"/>
        </w:trPr>
        <w:tc>
          <w:tcPr>
            <w:tcW w:w="1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5700" w:type="dxa"/>
            <w:vAlign w:val="bottom"/>
          </w:tcPr>
          <w:p>
            <w:pPr>
              <w:spacing w:after="0"/>
              <w:rPr>
                <w:sz w:val="18"/>
                <w:szCs w:val="18"/>
                <w:color w:val="auto"/>
              </w:rPr>
            </w:pPr>
          </w:p>
        </w:tc>
        <w:tc>
          <w:tcPr>
            <w:tcW w:w="100" w:type="dxa"/>
            <w:vAlign w:val="bottom"/>
            <w:tcBorders>
              <w:bottom w:val="single" w:sz="8" w:color="457157"/>
            </w:tcBorders>
          </w:tcPr>
          <w:p>
            <w:pPr>
              <w:spacing w:after="0"/>
              <w:rPr>
                <w:sz w:val="20"/>
                <w:szCs w:val="20"/>
                <w:color w:val="auto"/>
              </w:rPr>
            </w:pPr>
            <w:r>
              <w:rPr>
                <w:rFonts w:ascii="Arial" w:cs="Arial" w:eastAsia="Arial" w:hAnsi="Arial"/>
                <w:sz w:val="14"/>
                <w:szCs w:val="14"/>
                <w:b w:val="1"/>
                <w:bCs w:val="1"/>
                <w:color w:val="457157"/>
              </w:rPr>
              <w:t>​</w:t>
            </w:r>
          </w:p>
        </w:tc>
        <w:tc>
          <w:tcPr>
            <w:tcW w:w="180" w:type="dxa"/>
            <w:vAlign w:val="bottom"/>
            <w:tcBorders>
              <w:bottom w:val="single" w:sz="8" w:color="457157"/>
            </w:tcBorders>
          </w:tcPr>
          <w:p>
            <w:pPr>
              <w:spacing w:after="0"/>
              <w:rPr>
                <w:sz w:val="18"/>
                <w:szCs w:val="18"/>
                <w:color w:val="auto"/>
              </w:rPr>
            </w:pPr>
          </w:p>
        </w:tc>
        <w:tc>
          <w:tcPr>
            <w:tcW w:w="3500" w:type="dxa"/>
            <w:vAlign w:val="bottom"/>
            <w:tcBorders>
              <w:bottom w:val="single" w:sz="8" w:color="457157"/>
            </w:tcBorders>
            <w:gridSpan w:val="14"/>
          </w:tcPr>
          <w:p>
            <w:pPr>
              <w:jc w:val="right"/>
              <w:ind w:right="211"/>
              <w:spacing w:after="0"/>
              <w:rPr>
                <w:sz w:val="20"/>
                <w:szCs w:val="20"/>
                <w:color w:val="auto"/>
              </w:rPr>
            </w:pPr>
            <w:r>
              <w:rPr>
                <w:rFonts w:ascii="Arial" w:cs="Arial" w:eastAsia="Arial" w:hAnsi="Arial"/>
                <w:sz w:val="14"/>
                <w:szCs w:val="14"/>
                <w:b w:val="1"/>
                <w:bCs w:val="1"/>
                <w:color w:val="457157"/>
              </w:rPr>
              <w:t>Twelve Months Ended December 31, 2024</w:t>
            </w:r>
          </w:p>
        </w:tc>
        <w:tc>
          <w:tcPr>
            <w:tcW w:w="80" w:type="dxa"/>
            <w:vAlign w:val="bottom"/>
            <w:tcBorders>
              <w:bottom w:val="single" w:sz="8" w:color="457157"/>
            </w:tcBorders>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80" w:type="dxa"/>
            <w:vAlign w:val="bottom"/>
            <w:gridSpan w:val="14"/>
          </w:tcPr>
          <w:p>
            <w:pPr>
              <w:ind w:left="40"/>
              <w:spacing w:after="0"/>
              <w:rPr>
                <w:sz w:val="20"/>
                <w:szCs w:val="20"/>
                <w:color w:val="auto"/>
              </w:rPr>
            </w:pPr>
            <w:r>
              <w:rPr>
                <w:rFonts w:ascii="Arial" w:cs="Arial" w:eastAsia="Arial" w:hAnsi="Arial"/>
                <w:sz w:val="14"/>
                <w:szCs w:val="14"/>
                <w:b w:val="1"/>
                <w:bCs w:val="1"/>
                <w:color w:val="457157"/>
              </w:rPr>
              <w:t>Income from Depreciation and Operating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5700" w:type="dxa"/>
            <w:vAlign w:val="bottom"/>
          </w:tcPr>
          <w:p>
            <w:pPr>
              <w:spacing w:after="0"/>
              <w:rPr>
                <w:sz w:val="17"/>
                <w:szCs w:val="17"/>
                <w:color w:val="auto"/>
              </w:rPr>
            </w:pPr>
          </w:p>
        </w:tc>
        <w:tc>
          <w:tcPr>
            <w:tcW w:w="1900" w:type="dxa"/>
            <w:vAlign w:val="bottom"/>
            <w:gridSpan w:val="9"/>
          </w:tcPr>
          <w:p>
            <w:pPr>
              <w:jc w:val="center"/>
              <w:ind w:right="73"/>
              <w:spacing w:after="0" w:line="202" w:lineRule="exact"/>
              <w:rPr>
                <w:sz w:val="20"/>
                <w:szCs w:val="20"/>
                <w:color w:val="auto"/>
              </w:rPr>
            </w:pP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Revenue</w:t>
            </w: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Operations</w:t>
            </w:r>
            <w:r>
              <w:rPr>
                <w:rFonts w:ascii="Arial" w:cs="Arial" w:eastAsia="Arial" w:hAnsi="Arial"/>
                <w:sz w:val="23"/>
                <w:szCs w:val="23"/>
                <w:b w:val="1"/>
                <w:bCs w:val="1"/>
                <w:color w:val="457157"/>
                <w:vertAlign w:val="subscript"/>
              </w:rPr>
              <w:t>​</w:t>
            </w:r>
          </w:p>
        </w:tc>
        <w:tc>
          <w:tcPr>
            <w:tcW w:w="200" w:type="dxa"/>
            <w:vAlign w:val="bottom"/>
          </w:tcPr>
          <w:p>
            <w:pPr>
              <w:spacing w:after="0"/>
              <w:rPr>
                <w:sz w:val="17"/>
                <w:szCs w:val="17"/>
                <w:color w:val="auto"/>
              </w:rPr>
            </w:pPr>
          </w:p>
        </w:tc>
        <w:tc>
          <w:tcPr>
            <w:tcW w:w="1140" w:type="dxa"/>
            <w:vAlign w:val="bottom"/>
            <w:gridSpan w:val="4"/>
          </w:tcPr>
          <w:p>
            <w:pPr>
              <w:spacing w:after="0" w:line="202" w:lineRule="exact"/>
              <w:rPr>
                <w:sz w:val="20"/>
                <w:szCs w:val="20"/>
                <w:color w:val="auto"/>
              </w:rPr>
            </w:pPr>
            <w:r>
              <w:rPr>
                <w:rFonts w:ascii="Arial" w:cs="Arial" w:eastAsia="Arial" w:hAnsi="Arial"/>
                <w:sz w:val="13"/>
                <w:szCs w:val="13"/>
                <w:b w:val="1"/>
                <w:bCs w:val="1"/>
                <w:color w:val="457157"/>
              </w:rPr>
              <w:t>amortization</w:t>
            </w:r>
            <w:r>
              <w:rPr>
                <w:rFonts w:ascii="Arial" w:cs="Arial" w:eastAsia="Arial" w:hAnsi="Arial"/>
                <w:sz w:val="23"/>
                <w:szCs w:val="23"/>
                <w:b w:val="1"/>
                <w:bCs w:val="1"/>
                <w:color w:val="457157"/>
                <w:vertAlign w:val="subscript"/>
              </w:rPr>
              <w:t>​</w:t>
            </w:r>
          </w:p>
        </w:tc>
        <w:tc>
          <w:tcPr>
            <w:tcW w:w="680" w:type="dxa"/>
            <w:vAlign w:val="bottom"/>
            <w:gridSpan w:val="4"/>
          </w:tcPr>
          <w:p>
            <w:pPr>
              <w:jc w:val="right"/>
              <w:spacing w:after="0" w:line="202" w:lineRule="exact"/>
              <w:rPr>
                <w:sz w:val="20"/>
                <w:szCs w:val="20"/>
                <w:color w:val="auto"/>
              </w:rPr>
            </w:pPr>
            <w:r>
              <w:rPr>
                <w:rFonts w:ascii="Arial" w:cs="Arial" w:eastAsia="Arial" w:hAnsi="Arial"/>
                <w:sz w:val="13"/>
                <w:szCs w:val="13"/>
                <w:b w:val="1"/>
                <w:bCs w:val="1"/>
                <w:color w:val="457157"/>
              </w:rPr>
              <w:t>EBITDA</w:t>
            </w:r>
            <w:r>
              <w:rPr>
                <w:rFonts w:ascii="Arial" w:cs="Arial" w:eastAsia="Arial" w:hAnsi="Arial"/>
                <w:sz w:val="23"/>
                <w:szCs w:val="23"/>
                <w:b w:val="1"/>
                <w:bCs w:val="1"/>
                <w:color w:val="457157"/>
                <w:vertAlign w:val="subscript"/>
              </w:rPr>
              <w:t>​</w:t>
            </w:r>
          </w:p>
        </w:tc>
        <w:tc>
          <w:tcPr>
            <w:tcW w:w="0" w:type="dxa"/>
            <w:vAlign w:val="bottom"/>
          </w:tcPr>
          <w:p>
            <w:pPr>
              <w:spacing w:after="0"/>
              <w:rPr>
                <w:sz w:val="1"/>
                <w:szCs w:val="1"/>
                <w:color w:val="auto"/>
              </w:rPr>
            </w:pPr>
          </w:p>
        </w:tc>
      </w:tr>
      <w:tr>
        <w:trPr>
          <w:trHeight w:val="196"/>
        </w:trPr>
        <w:tc>
          <w:tcPr>
            <w:tcW w:w="5820" w:type="dxa"/>
            <w:vAlign w:val="bottom"/>
            <w:tcBorders>
              <w:top w:val="single" w:sz="8" w:color="457157"/>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 reported amounts</w:t>
            </w:r>
          </w:p>
        </w:tc>
        <w:tc>
          <w:tcPr>
            <w:tcW w:w="68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$22,063</w:t>
            </w:r>
          </w:p>
        </w:tc>
        <w:tc>
          <w:tcPr>
            <w:tcW w:w="120" w:type="dxa"/>
            <w:vAlign w:val="bottom"/>
            <w:tcBorders>
              <w:top w:val="single" w:sz="8" w:color="457157"/>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57157"/>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$ 4,063</w:t>
            </w:r>
          </w:p>
        </w:tc>
        <w:tc>
          <w:tcPr>
            <w:tcW w:w="280" w:type="dxa"/>
            <w:vAlign w:val="bottom"/>
            <w:tcBorders>
              <w:top w:val="single" w:sz="8" w:color="457157"/>
            </w:tcBorders>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$ 2,267</w:t>
            </w:r>
          </w:p>
        </w:tc>
        <w:tc>
          <w:tcPr>
            <w:tcW w:w="200" w:type="dxa"/>
            <w:vAlign w:val="bottom"/>
            <w:tcBorders>
              <w:top w:val="single" w:sz="8" w:color="457157"/>
            </w:tcBorders>
            <w:shd w:val="clear" w:color="auto" w:fill="CCEEFF"/>
          </w:tcPr>
          <w:p>
            <w:pPr>
              <w:spacing w:after="0"/>
              <w:rPr>
                <w:sz w:val="17"/>
                <w:szCs w:val="17"/>
                <w:color w:val="auto"/>
              </w:rPr>
            </w:pPr>
          </w:p>
        </w:tc>
        <w:tc>
          <w:tcPr>
            <w:tcW w:w="340" w:type="dxa"/>
            <w:vAlign w:val="bottom"/>
            <w:tcBorders>
              <w:top w:val="single" w:sz="8" w:color="457157"/>
            </w:tcBorders>
            <w:shd w:val="clear" w:color="auto" w:fill="CCEEFF"/>
          </w:tcPr>
          <w:p>
            <w:pPr>
              <w:ind w:left="240"/>
              <w:spacing w:after="0" w:line="196"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457157"/>
            </w:tcBorders>
            <w:shd w:val="clear" w:color="auto" w:fill="CCEEFF"/>
          </w:tcPr>
          <w:p>
            <w:pPr>
              <w:spacing w:after="0"/>
              <w:rPr>
                <w:sz w:val="17"/>
                <w:szCs w:val="17"/>
                <w:color w:val="auto"/>
              </w:rPr>
            </w:pPr>
          </w:p>
        </w:tc>
        <w:tc>
          <w:tcPr>
            <w:tcW w:w="460" w:type="dxa"/>
            <w:vAlign w:val="bottom"/>
            <w:tcBorders>
              <w:top w:val="single" w:sz="8" w:color="457157"/>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6,330</w:t>
            </w:r>
          </w:p>
        </w:tc>
        <w:tc>
          <w:tcPr>
            <w:tcW w:w="80" w:type="dxa"/>
            <w:vAlign w:val="bottom"/>
            <w:tcBorders>
              <w:top w:val="single" w:sz="8" w:color="457157"/>
              <w:right w:val="single" w:sz="8" w:color="CCEEFF"/>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
        </w:trPr>
        <w:tc>
          <w:tcPr>
            <w:tcW w:w="12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Borders>
              <w:bottom w:val="single" w:sz="8" w:color="457157"/>
            </w:tcBorders>
            <w:shd w:val="clear" w:color="auto" w:fill="CCEEFF"/>
          </w:tcPr>
          <w:p>
            <w:pPr>
              <w:spacing w:after="0"/>
              <w:rPr>
                <w:sz w:val="5"/>
                <w:szCs w:val="5"/>
                <w:color w:val="auto"/>
              </w:rPr>
            </w:pPr>
          </w:p>
        </w:tc>
        <w:tc>
          <w:tcPr>
            <w:tcW w:w="10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180" w:type="dxa"/>
            <w:vAlign w:val="bottom"/>
            <w:tcBorders>
              <w:bottom w:val="single" w:sz="8" w:color="457157"/>
            </w:tcBorders>
            <w:shd w:val="clear" w:color="auto" w:fill="CCEEFF"/>
          </w:tcPr>
          <w:p>
            <w:pPr>
              <w:spacing w:after="0"/>
              <w:rPr>
                <w:sz w:val="5"/>
                <w:szCs w:val="5"/>
                <w:color w:val="auto"/>
              </w:rPr>
            </w:pPr>
          </w:p>
        </w:tc>
        <w:tc>
          <w:tcPr>
            <w:tcW w:w="400" w:type="dxa"/>
            <w:vAlign w:val="bottom"/>
            <w:tcBorders>
              <w:bottom w:val="single" w:sz="8" w:color="457157"/>
            </w:tcBorders>
            <w:shd w:val="clear" w:color="auto" w:fill="CCEEFF"/>
          </w:tcPr>
          <w:p>
            <w:pPr>
              <w:spacing w:after="0"/>
              <w:rPr>
                <w:sz w:val="5"/>
                <w:szCs w:val="5"/>
                <w:color w:val="auto"/>
              </w:rPr>
            </w:pPr>
          </w:p>
        </w:tc>
        <w:tc>
          <w:tcPr>
            <w:tcW w:w="120" w:type="dxa"/>
            <w:vAlign w:val="bottom"/>
            <w:tcBorders>
              <w:bottom w:val="single" w:sz="8" w:color="457157"/>
            </w:tcBorders>
            <w:vMerge w:val="continue"/>
            <w:shd w:val="clear" w:color="auto" w:fill="CCEEFF"/>
          </w:tcPr>
          <w:p>
            <w:pPr>
              <w:spacing w:after="0"/>
              <w:rPr>
                <w:sz w:val="5"/>
                <w:szCs w:val="5"/>
                <w:color w:val="auto"/>
              </w:rPr>
            </w:pPr>
          </w:p>
        </w:tc>
        <w:tc>
          <w:tcPr>
            <w:tcW w:w="80" w:type="dxa"/>
            <w:vAlign w:val="bottom"/>
            <w:tcBorders>
              <w:bottom w:val="single" w:sz="8" w:color="457157"/>
            </w:tcBorders>
            <w:vMerge w:val="continue"/>
            <w:shd w:val="clear" w:color="auto" w:fill="CCEEFF"/>
          </w:tcPr>
          <w:p>
            <w:pPr>
              <w:spacing w:after="0"/>
              <w:rPr>
                <w:sz w:val="5"/>
                <w:szCs w:val="5"/>
                <w:color w:val="auto"/>
              </w:rPr>
            </w:pPr>
          </w:p>
        </w:tc>
        <w:tc>
          <w:tcPr>
            <w:tcW w:w="80" w:type="dxa"/>
            <w:vAlign w:val="bottom"/>
            <w:tcBorders>
              <w:bottom w:val="single" w:sz="8" w:color="457157"/>
            </w:tcBorders>
            <w:shd w:val="clear" w:color="auto" w:fill="CCEEFF"/>
          </w:tcPr>
          <w:p>
            <w:pPr>
              <w:spacing w:after="0"/>
              <w:rPr>
                <w:sz w:val="5"/>
                <w:szCs w:val="5"/>
                <w:color w:val="auto"/>
              </w:rPr>
            </w:pPr>
          </w:p>
        </w:tc>
        <w:tc>
          <w:tcPr>
            <w:tcW w:w="160" w:type="dxa"/>
            <w:vAlign w:val="bottom"/>
            <w:tcBorders>
              <w:bottom w:val="single" w:sz="8" w:color="457157"/>
            </w:tcBorders>
            <w:shd w:val="clear" w:color="auto" w:fill="CCEEFF"/>
          </w:tcPr>
          <w:p>
            <w:pPr>
              <w:spacing w:after="0"/>
              <w:rPr>
                <w:sz w:val="5"/>
                <w:szCs w:val="5"/>
                <w:color w:val="auto"/>
              </w:rPr>
            </w:pPr>
          </w:p>
        </w:tc>
        <w:tc>
          <w:tcPr>
            <w:tcW w:w="500" w:type="dxa"/>
            <w:vAlign w:val="bottom"/>
            <w:tcBorders>
              <w:bottom w:val="single" w:sz="8" w:color="457157"/>
            </w:tcBorders>
            <w:shd w:val="clear" w:color="auto" w:fill="CCEEFF"/>
          </w:tcPr>
          <w:p>
            <w:pPr>
              <w:spacing w:after="0"/>
              <w:rPr>
                <w:sz w:val="5"/>
                <w:szCs w:val="5"/>
                <w:color w:val="auto"/>
              </w:rPr>
            </w:pPr>
          </w:p>
        </w:tc>
        <w:tc>
          <w:tcPr>
            <w:tcW w:w="280" w:type="dxa"/>
            <w:vAlign w:val="bottom"/>
            <w:tcBorders>
              <w:bottom w:val="single" w:sz="8" w:color="457157"/>
            </w:tcBorders>
            <w:vMerge w:val="continue"/>
            <w:shd w:val="clear" w:color="auto" w:fill="CCEEFF"/>
          </w:tcPr>
          <w:p>
            <w:pPr>
              <w:spacing w:after="0"/>
              <w:rPr>
                <w:sz w:val="5"/>
                <w:szCs w:val="5"/>
                <w:color w:val="auto"/>
              </w:rPr>
            </w:pPr>
          </w:p>
        </w:tc>
        <w:tc>
          <w:tcPr>
            <w:tcW w:w="200" w:type="dxa"/>
            <w:vAlign w:val="bottom"/>
            <w:tcBorders>
              <w:bottom w:val="single" w:sz="8" w:color="457157"/>
            </w:tcBorders>
            <w:shd w:val="clear" w:color="auto" w:fill="CCEEFF"/>
          </w:tcPr>
          <w:p>
            <w:pPr>
              <w:ind w:left="120"/>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457157"/>
            </w:tcBorders>
            <w:shd w:val="clear" w:color="auto" w:fill="CCEEFF"/>
          </w:tcPr>
          <w:p>
            <w:pPr>
              <w:spacing w:after="0"/>
              <w:rPr>
                <w:sz w:val="5"/>
                <w:szCs w:val="5"/>
                <w:color w:val="auto"/>
              </w:rPr>
            </w:pPr>
          </w:p>
        </w:tc>
        <w:tc>
          <w:tcPr>
            <w:tcW w:w="460" w:type="dxa"/>
            <w:vAlign w:val="bottom"/>
            <w:tcBorders>
              <w:bottom w:val="single" w:sz="8" w:color="457157"/>
            </w:tcBorders>
            <w:shd w:val="clear" w:color="auto" w:fill="CCEEFF"/>
          </w:tcPr>
          <w:p>
            <w:pPr>
              <w:spacing w:after="0"/>
              <w:rPr>
                <w:sz w:val="5"/>
                <w:szCs w:val="5"/>
                <w:color w:val="auto"/>
              </w:rPr>
            </w:pPr>
          </w:p>
        </w:tc>
        <w:tc>
          <w:tcPr>
            <w:tcW w:w="200" w:type="dxa"/>
            <w:vAlign w:val="bottom"/>
            <w:tcBorders>
              <w:bottom w:val="single" w:sz="8" w:color="457157"/>
            </w:tcBorders>
            <w:shd w:val="clear" w:color="auto" w:fill="CCEEFF"/>
          </w:tcPr>
          <w:p>
            <w:pPr>
              <w:spacing w:after="0"/>
              <w:rPr>
                <w:sz w:val="5"/>
                <w:szCs w:val="5"/>
                <w:color w:val="auto"/>
              </w:rPr>
            </w:pPr>
          </w:p>
        </w:tc>
        <w:tc>
          <w:tcPr>
            <w:tcW w:w="340" w:type="dxa"/>
            <w:vAlign w:val="bottom"/>
            <w:tcBorders>
              <w:bottom w:val="single" w:sz="8" w:color="457157"/>
            </w:tcBorders>
            <w:shd w:val="clear" w:color="auto" w:fill="CCEEFF"/>
          </w:tcPr>
          <w:p>
            <w:pPr>
              <w:ind w:left="120"/>
              <w:spacing w:after="0" w:line="68" w:lineRule="exact"/>
              <w:rPr>
                <w:sz w:val="20"/>
                <w:szCs w:val="20"/>
                <w:color w:val="auto"/>
              </w:rPr>
            </w:pPr>
            <w:r>
              <w:rPr>
                <w:rFonts w:ascii="Arial" w:cs="Arial" w:eastAsia="Arial" w:hAnsi="Arial"/>
                <w:sz w:val="7"/>
                <w:szCs w:val="7"/>
                <w:color w:val="auto"/>
              </w:rPr>
              <w:t>​​​</w:t>
            </w:r>
          </w:p>
        </w:tc>
        <w:tc>
          <w:tcPr>
            <w:tcW w:w="80" w:type="dxa"/>
            <w:vAlign w:val="bottom"/>
            <w:tcBorders>
              <w:bottom w:val="single" w:sz="8" w:color="457157"/>
            </w:tcBorders>
            <w:shd w:val="clear" w:color="auto" w:fill="CCEEFF"/>
          </w:tcPr>
          <w:p>
            <w:pPr>
              <w:spacing w:after="0"/>
              <w:rPr>
                <w:sz w:val="5"/>
                <w:szCs w:val="5"/>
                <w:color w:val="auto"/>
              </w:rPr>
            </w:pPr>
          </w:p>
        </w:tc>
        <w:tc>
          <w:tcPr>
            <w:tcW w:w="460" w:type="dxa"/>
            <w:vAlign w:val="bottom"/>
            <w:tcBorders>
              <w:bottom w:val="single" w:sz="8" w:color="457157"/>
            </w:tcBorders>
            <w:shd w:val="clear" w:color="auto" w:fill="CCEEFF"/>
          </w:tcPr>
          <w:p>
            <w:pPr>
              <w:spacing w:after="0"/>
              <w:rPr>
                <w:sz w:val="5"/>
                <w:szCs w:val="5"/>
                <w:color w:val="auto"/>
              </w:rPr>
            </w:pPr>
          </w:p>
        </w:tc>
        <w:tc>
          <w:tcPr>
            <w:tcW w:w="80" w:type="dxa"/>
            <w:vAlign w:val="bottom"/>
            <w:tcBorders>
              <w:bottom w:val="single" w:sz="8" w:color="457157"/>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820" w:type="dxa"/>
            <w:vAlign w:val="bottom"/>
            <w:gridSpan w:val="2"/>
          </w:tcPr>
          <w:p>
            <w:pPr>
              <w:spacing w:after="0" w:line="196" w:lineRule="exact"/>
              <w:rPr>
                <w:sz w:val="20"/>
                <w:szCs w:val="20"/>
                <w:color w:val="auto"/>
              </w:rPr>
            </w:pPr>
            <w:r>
              <w:rPr>
                <w:rFonts w:ascii="Arial" w:cs="Arial" w:eastAsia="Arial" w:hAnsi="Arial"/>
                <w:sz w:val="18"/>
                <w:szCs w:val="18"/>
                <w:color w:val="auto"/>
              </w:rPr>
              <w:t>Adjustments:</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2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w:t>
            </w:r>
          </w:p>
        </w:tc>
        <w:tc>
          <w:tcPr>
            <w:tcW w:w="570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LESS: Net impacts of recycling brokerage business</w:t>
            </w:r>
          </w:p>
        </w:tc>
        <w:tc>
          <w:tcPr>
            <w:tcW w:w="280" w:type="dxa"/>
            <w:vAlign w:val="bottom"/>
            <w:tcBorders>
              <w:top w:val="single" w:sz="8" w:color="457157"/>
              <w:bottom w:val="single" w:sz="8" w:color="457157"/>
            </w:tcBorders>
            <w:gridSpan w:val="2"/>
            <w:shd w:val="clear" w:color="auto" w:fill="CCEEFF"/>
          </w:tcPr>
          <w:p>
            <w:pPr>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40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00" w:type="dxa"/>
            <w:vAlign w:val="bottom"/>
            <w:tcBorders>
              <w:top w:val="single" w:sz="8" w:color="457157"/>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top w:val="single" w:sz="8" w:color="457157"/>
              <w:bottom w:val="single" w:sz="8" w:color="457157"/>
            </w:tcBorders>
            <w:shd w:val="clear" w:color="auto" w:fill="CCEEFF"/>
          </w:tcPr>
          <w:p>
            <w:pPr>
              <w:spacing w:after="0"/>
              <w:rPr>
                <w:sz w:val="22"/>
                <w:szCs w:val="22"/>
                <w:color w:val="auto"/>
              </w:rPr>
            </w:pPr>
          </w:p>
        </w:tc>
        <w:tc>
          <w:tcPr>
            <w:tcW w:w="160" w:type="dxa"/>
            <w:vAlign w:val="bottom"/>
            <w:tcBorders>
              <w:top w:val="single" w:sz="8" w:color="457157"/>
              <w:bottom w:val="single" w:sz="8" w:color="457157"/>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top w:val="single" w:sz="8" w:color="457157"/>
              <w:bottom w:val="single" w:sz="8" w:color="457157"/>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457157"/>
              <w:bottom w:val="single" w:sz="8" w:color="457157"/>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457157"/>
              <w:bottom w:val="single" w:sz="8" w:color="457157"/>
            </w:tcBorders>
            <w:shd w:val="clear" w:color="auto" w:fill="CCEEFF"/>
          </w:tcPr>
          <w:p>
            <w:pPr>
              <w:spacing w:after="0"/>
              <w:rPr>
                <w:sz w:val="22"/>
                <w:szCs w:val="22"/>
                <w:color w:val="auto"/>
              </w:rPr>
            </w:pPr>
          </w:p>
        </w:tc>
        <w:tc>
          <w:tcPr>
            <w:tcW w:w="420" w:type="dxa"/>
            <w:vAlign w:val="bottom"/>
            <w:tcBorders>
              <w:top w:val="single" w:sz="8" w:color="457157"/>
              <w:bottom w:val="single" w:sz="8" w:color="457157"/>
            </w:tcBorders>
            <w:gridSpan w:val="2"/>
            <w:shd w:val="clear" w:color="auto" w:fill="CCEEFF"/>
          </w:tcPr>
          <w:p>
            <w:pPr>
              <w:ind w:left="12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46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top w:val="single" w:sz="8" w:color="457157"/>
              <w:bottom w:val="single" w:sz="8" w:color="457157"/>
              <w:right w:val="single" w:sz="8" w:color="CCEEFF"/>
            </w:tcBorders>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700" w:type="dxa"/>
            <w:vAlign w:val="bottom"/>
          </w:tcPr>
          <w:p>
            <w:pPr>
              <w:ind w:left="60"/>
              <w:spacing w:after="0"/>
              <w:rPr>
                <w:sz w:val="20"/>
                <w:szCs w:val="20"/>
                <w:color w:val="auto"/>
              </w:rPr>
            </w:pPr>
            <w:r>
              <w:rPr>
                <w:rFonts w:ascii="Arial" w:cs="Arial" w:eastAsia="Arial" w:hAnsi="Arial"/>
                <w:sz w:val="18"/>
                <w:szCs w:val="18"/>
                <w:color w:val="auto"/>
              </w:rPr>
              <w:t>LESS: Post-closing contributions from Stericycle acquisition</w:t>
            </w:r>
          </w:p>
        </w:tc>
        <w:tc>
          <w:tcPr>
            <w:tcW w:w="280" w:type="dxa"/>
            <w:vAlign w:val="bottom"/>
            <w:gridSpan w:val="2"/>
          </w:tcPr>
          <w:p>
            <w:pPr>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403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22"/>
                <w:szCs w:val="22"/>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53"/>
              <w:spacing w:after="0" w:line="264" w:lineRule="exact"/>
              <w:rPr>
                <w:sz w:val="20"/>
                <w:szCs w:val="20"/>
                <w:color w:val="auto"/>
              </w:rPr>
            </w:pPr>
            <w:r>
              <w:rPr>
                <w:rFonts w:ascii="Arial" w:cs="Arial" w:eastAsia="Arial" w:hAnsi="Arial"/>
                <w:sz w:val="16"/>
                <w:szCs w:val="16"/>
                <w:color w:val="auto"/>
              </w:rPr>
              <w:t xml:space="preserve">(69) </w:t>
            </w:r>
            <w:r>
              <w:rPr>
                <w:rFonts w:ascii="Arial" w:cs="Arial" w:eastAsia="Arial" w:hAnsi="Arial"/>
                <w:sz w:val="30"/>
                <w:szCs w:val="30"/>
                <w:color w:val="auto"/>
                <w:vertAlign w:val="subscript"/>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22"/>
                <w:szCs w:val="22"/>
                <w:color w:val="auto"/>
              </w:rPr>
            </w:pPr>
          </w:p>
        </w:tc>
        <w:tc>
          <w:tcPr>
            <w:tcW w:w="420" w:type="dxa"/>
            <w:vAlign w:val="bottom"/>
            <w:gridSpan w:val="2"/>
          </w:tcPr>
          <w:p>
            <w:pPr>
              <w:ind w:left="12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8"/>
        </w:trPr>
        <w:tc>
          <w:tcPr>
            <w:tcW w:w="120" w:type="dxa"/>
            <w:vAlign w:val="bottom"/>
            <w:tcBorders>
              <w:top w:val="single" w:sz="8" w:color="457157"/>
            </w:tcBorders>
            <w:shd w:val="clear" w:color="auto" w:fill="CCEEFF"/>
          </w:tcPr>
          <w:p>
            <w:pPr>
              <w:spacing w:after="0"/>
              <w:rPr>
                <w:sz w:val="18"/>
                <w:szCs w:val="18"/>
                <w:color w:val="auto"/>
              </w:rPr>
            </w:pPr>
          </w:p>
        </w:tc>
        <w:tc>
          <w:tcPr>
            <w:tcW w:w="5700" w:type="dxa"/>
            <w:vAlign w:val="bottom"/>
            <w:tcBorders>
              <w:top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ADD: “Restructuring” and “(Gain) Loss from Divestitures, Asset</w:t>
            </w:r>
          </w:p>
        </w:tc>
        <w:tc>
          <w:tcPr>
            <w:tcW w:w="100" w:type="dxa"/>
            <w:vAlign w:val="bottom"/>
            <w:tcBorders>
              <w:top w:val="single" w:sz="8" w:color="457157"/>
            </w:tcBorders>
            <w:shd w:val="clear" w:color="auto" w:fill="CCEEFF"/>
          </w:tcPr>
          <w:p>
            <w:pPr>
              <w:spacing w:after="0"/>
              <w:rPr>
                <w:sz w:val="18"/>
                <w:szCs w:val="18"/>
                <w:color w:val="auto"/>
              </w:rPr>
            </w:pPr>
          </w:p>
        </w:tc>
        <w:tc>
          <w:tcPr>
            <w:tcW w:w="180" w:type="dxa"/>
            <w:vAlign w:val="bottom"/>
            <w:tcBorders>
              <w:top w:val="single" w:sz="8" w:color="457157"/>
            </w:tcBorders>
            <w:shd w:val="clear" w:color="auto" w:fill="CCEEFF"/>
          </w:tcPr>
          <w:p>
            <w:pPr>
              <w:spacing w:after="0"/>
              <w:rPr>
                <w:sz w:val="18"/>
                <w:szCs w:val="18"/>
                <w:color w:val="auto"/>
              </w:rPr>
            </w:pPr>
          </w:p>
        </w:tc>
        <w:tc>
          <w:tcPr>
            <w:tcW w:w="400" w:type="dxa"/>
            <w:vAlign w:val="bottom"/>
            <w:tcBorders>
              <w:top w:val="single" w:sz="8" w:color="457157"/>
            </w:tcBorders>
            <w:shd w:val="clear" w:color="auto" w:fill="CCEEFF"/>
          </w:tcPr>
          <w:p>
            <w:pPr>
              <w:spacing w:after="0"/>
              <w:rPr>
                <w:sz w:val="18"/>
                <w:szCs w:val="18"/>
                <w:color w:val="auto"/>
              </w:rPr>
            </w:pPr>
          </w:p>
        </w:tc>
        <w:tc>
          <w:tcPr>
            <w:tcW w:w="120" w:type="dxa"/>
            <w:vAlign w:val="bottom"/>
            <w:tcBorders>
              <w:top w:val="single" w:sz="8" w:color="457157"/>
            </w:tcBorders>
            <w:shd w:val="clear" w:color="auto" w:fill="CCEEFF"/>
          </w:tcPr>
          <w:p>
            <w:pPr>
              <w:spacing w:after="0"/>
              <w:rPr>
                <w:sz w:val="18"/>
                <w:szCs w:val="18"/>
                <w:color w:val="auto"/>
              </w:rPr>
            </w:pPr>
          </w:p>
        </w:tc>
        <w:tc>
          <w:tcPr>
            <w:tcW w:w="80" w:type="dxa"/>
            <w:vAlign w:val="bottom"/>
            <w:tcBorders>
              <w:top w:val="single" w:sz="8" w:color="457157"/>
            </w:tcBorders>
            <w:shd w:val="clear" w:color="auto" w:fill="CCEEFF"/>
          </w:tcPr>
          <w:p>
            <w:pPr>
              <w:spacing w:after="0"/>
              <w:rPr>
                <w:sz w:val="18"/>
                <w:szCs w:val="18"/>
                <w:color w:val="auto"/>
              </w:rPr>
            </w:pPr>
          </w:p>
        </w:tc>
        <w:tc>
          <w:tcPr>
            <w:tcW w:w="80" w:type="dxa"/>
            <w:vAlign w:val="bottom"/>
            <w:tcBorders>
              <w:top w:val="single" w:sz="8" w:color="457157"/>
            </w:tcBorders>
            <w:shd w:val="clear" w:color="auto" w:fill="CCEEFF"/>
          </w:tcPr>
          <w:p>
            <w:pPr>
              <w:spacing w:after="0"/>
              <w:rPr>
                <w:sz w:val="18"/>
                <w:szCs w:val="18"/>
                <w:color w:val="auto"/>
              </w:rPr>
            </w:pPr>
          </w:p>
        </w:tc>
        <w:tc>
          <w:tcPr>
            <w:tcW w:w="160" w:type="dxa"/>
            <w:vAlign w:val="bottom"/>
            <w:tcBorders>
              <w:top w:val="single" w:sz="8" w:color="457157"/>
            </w:tcBorders>
            <w:shd w:val="clear" w:color="auto" w:fill="CCEEFF"/>
          </w:tcPr>
          <w:p>
            <w:pPr>
              <w:spacing w:after="0"/>
              <w:rPr>
                <w:sz w:val="18"/>
                <w:szCs w:val="18"/>
                <w:color w:val="auto"/>
              </w:rPr>
            </w:pPr>
          </w:p>
        </w:tc>
        <w:tc>
          <w:tcPr>
            <w:tcW w:w="500" w:type="dxa"/>
            <w:vAlign w:val="bottom"/>
            <w:tcBorders>
              <w:top w:val="single" w:sz="8" w:color="457157"/>
            </w:tcBorders>
            <w:shd w:val="clear" w:color="auto" w:fill="CCEEFF"/>
          </w:tcPr>
          <w:p>
            <w:pPr>
              <w:spacing w:after="0"/>
              <w:rPr>
                <w:sz w:val="18"/>
                <w:szCs w:val="18"/>
                <w:color w:val="auto"/>
              </w:rPr>
            </w:pPr>
          </w:p>
        </w:tc>
        <w:tc>
          <w:tcPr>
            <w:tcW w:w="280" w:type="dxa"/>
            <w:vAlign w:val="bottom"/>
            <w:tcBorders>
              <w:top w:val="single" w:sz="8" w:color="457157"/>
            </w:tcBorders>
            <w:shd w:val="clear" w:color="auto" w:fill="CCEEFF"/>
          </w:tcPr>
          <w:p>
            <w:pPr>
              <w:spacing w:after="0"/>
              <w:rPr>
                <w:sz w:val="18"/>
                <w:szCs w:val="18"/>
                <w:color w:val="auto"/>
              </w:rPr>
            </w:pPr>
          </w:p>
        </w:tc>
        <w:tc>
          <w:tcPr>
            <w:tcW w:w="200" w:type="dxa"/>
            <w:vAlign w:val="bottom"/>
            <w:tcBorders>
              <w:top w:val="single" w:sz="8" w:color="457157"/>
            </w:tcBorders>
            <w:shd w:val="clear" w:color="auto" w:fill="CCEEFF"/>
          </w:tcPr>
          <w:p>
            <w:pPr>
              <w:spacing w:after="0"/>
              <w:rPr>
                <w:sz w:val="18"/>
                <w:szCs w:val="18"/>
                <w:color w:val="auto"/>
              </w:rPr>
            </w:pPr>
          </w:p>
        </w:tc>
        <w:tc>
          <w:tcPr>
            <w:tcW w:w="140" w:type="dxa"/>
            <w:vAlign w:val="bottom"/>
            <w:tcBorders>
              <w:top w:val="single" w:sz="8" w:color="457157"/>
            </w:tcBorders>
            <w:shd w:val="clear" w:color="auto" w:fill="CCEEFF"/>
          </w:tcPr>
          <w:p>
            <w:pPr>
              <w:spacing w:after="0"/>
              <w:rPr>
                <w:sz w:val="18"/>
                <w:szCs w:val="18"/>
                <w:color w:val="auto"/>
              </w:rPr>
            </w:pPr>
          </w:p>
        </w:tc>
        <w:tc>
          <w:tcPr>
            <w:tcW w:w="460" w:type="dxa"/>
            <w:vAlign w:val="bottom"/>
            <w:tcBorders>
              <w:top w:val="single" w:sz="8" w:color="457157"/>
            </w:tcBorders>
            <w:shd w:val="clear" w:color="auto" w:fill="CCEEFF"/>
          </w:tcPr>
          <w:p>
            <w:pPr>
              <w:spacing w:after="0"/>
              <w:rPr>
                <w:sz w:val="18"/>
                <w:szCs w:val="18"/>
                <w:color w:val="auto"/>
              </w:rPr>
            </w:pPr>
          </w:p>
        </w:tc>
        <w:tc>
          <w:tcPr>
            <w:tcW w:w="200" w:type="dxa"/>
            <w:vAlign w:val="bottom"/>
            <w:tcBorders>
              <w:top w:val="single" w:sz="8" w:color="457157"/>
            </w:tcBorders>
            <w:shd w:val="clear" w:color="auto" w:fill="CCEEFF"/>
          </w:tcPr>
          <w:p>
            <w:pPr>
              <w:spacing w:after="0"/>
              <w:rPr>
                <w:sz w:val="18"/>
                <w:szCs w:val="18"/>
                <w:color w:val="auto"/>
              </w:rPr>
            </w:pPr>
          </w:p>
        </w:tc>
        <w:tc>
          <w:tcPr>
            <w:tcW w:w="340" w:type="dxa"/>
            <w:vAlign w:val="bottom"/>
            <w:tcBorders>
              <w:top w:val="single" w:sz="8" w:color="457157"/>
            </w:tcBorders>
            <w:shd w:val="clear" w:color="auto" w:fill="CCEEFF"/>
          </w:tcPr>
          <w:p>
            <w:pPr>
              <w:spacing w:after="0"/>
              <w:rPr>
                <w:sz w:val="18"/>
                <w:szCs w:val="18"/>
                <w:color w:val="auto"/>
              </w:rPr>
            </w:pPr>
          </w:p>
        </w:tc>
        <w:tc>
          <w:tcPr>
            <w:tcW w:w="80" w:type="dxa"/>
            <w:vAlign w:val="bottom"/>
            <w:tcBorders>
              <w:top w:val="single" w:sz="8" w:color="457157"/>
            </w:tcBorders>
            <w:shd w:val="clear" w:color="auto" w:fill="CCEEFF"/>
          </w:tcPr>
          <w:p>
            <w:pPr>
              <w:spacing w:after="0"/>
              <w:rPr>
                <w:sz w:val="18"/>
                <w:szCs w:val="18"/>
                <w:color w:val="auto"/>
              </w:rPr>
            </w:pPr>
          </w:p>
        </w:tc>
        <w:tc>
          <w:tcPr>
            <w:tcW w:w="460" w:type="dxa"/>
            <w:vAlign w:val="bottom"/>
            <w:tcBorders>
              <w:top w:val="single" w:sz="8" w:color="457157"/>
            </w:tcBorders>
            <w:shd w:val="clear" w:color="auto" w:fill="CCEEFF"/>
          </w:tcPr>
          <w:p>
            <w:pPr>
              <w:spacing w:after="0"/>
              <w:rPr>
                <w:sz w:val="18"/>
                <w:szCs w:val="18"/>
                <w:color w:val="auto"/>
              </w:rPr>
            </w:pPr>
          </w:p>
        </w:tc>
        <w:tc>
          <w:tcPr>
            <w:tcW w:w="80" w:type="dxa"/>
            <w:vAlign w:val="bottom"/>
            <w:tcBorders>
              <w:top w:val="single" w:sz="8" w:color="457157"/>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w:t>
            </w:r>
          </w:p>
        </w:tc>
        <w:tc>
          <w:tcPr>
            <w:tcW w:w="5700" w:type="dxa"/>
            <w:vAlign w:val="bottom"/>
            <w:tcBorders>
              <w:bottom w:val="single" w:sz="8" w:color="457157"/>
            </w:tcBorders>
            <w:shd w:val="clear" w:color="auto" w:fill="CCEEFF"/>
          </w:tcPr>
          <w:p>
            <w:pPr>
              <w:ind w:left="240"/>
              <w:spacing w:after="0"/>
              <w:rPr>
                <w:sz w:val="20"/>
                <w:szCs w:val="20"/>
                <w:color w:val="auto"/>
              </w:rPr>
            </w:pPr>
            <w:r>
              <w:rPr>
                <w:rFonts w:ascii="Arial" w:cs="Arial" w:eastAsia="Arial" w:hAnsi="Arial"/>
                <w:sz w:val="18"/>
                <w:szCs w:val="18"/>
                <w:color w:val="auto"/>
              </w:rPr>
              <w:t>Impairments and Unusual Items, Net”</w:t>
            </w:r>
          </w:p>
        </w:tc>
        <w:tc>
          <w:tcPr>
            <w:tcW w:w="280" w:type="dxa"/>
            <w:vAlign w:val="bottom"/>
            <w:tcBorders>
              <w:bottom w:val="single" w:sz="8" w:color="457157"/>
            </w:tcBorders>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600" w:type="dxa"/>
            <w:vAlign w:val="bottom"/>
            <w:tcBorders>
              <w:bottom w:val="single" w:sz="8" w:color="457157"/>
            </w:tcBorders>
            <w:gridSpan w:val="3"/>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80" w:type="dxa"/>
            <w:vAlign w:val="bottom"/>
            <w:tcBorders>
              <w:bottom w:val="single" w:sz="8" w:color="457157"/>
            </w:tcBorders>
            <w:shd w:val="clear" w:color="auto" w:fill="CCEEFF"/>
          </w:tcPr>
          <w:p>
            <w:pPr>
              <w:spacing w:after="0"/>
              <w:rPr>
                <w:sz w:val="22"/>
                <w:szCs w:val="22"/>
                <w:color w:val="auto"/>
              </w:rPr>
            </w:pPr>
          </w:p>
        </w:tc>
        <w:tc>
          <w:tcPr>
            <w:tcW w:w="160" w:type="dxa"/>
            <w:vAlign w:val="bottom"/>
            <w:tcBorders>
              <w:bottom w:val="single" w:sz="8" w:color="457157"/>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80" w:type="dxa"/>
            <w:vAlign w:val="bottom"/>
            <w:tcBorders>
              <w:bottom w:val="single" w:sz="8" w:color="457157"/>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57157"/>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57157"/>
            </w:tcBorders>
            <w:shd w:val="clear" w:color="auto" w:fill="CCEEFF"/>
          </w:tcPr>
          <w:p>
            <w:pPr>
              <w:spacing w:after="0"/>
              <w:rPr>
                <w:sz w:val="22"/>
                <w:szCs w:val="22"/>
                <w:color w:val="auto"/>
              </w:rPr>
            </w:pPr>
          </w:p>
        </w:tc>
        <w:tc>
          <w:tcPr>
            <w:tcW w:w="420" w:type="dxa"/>
            <w:vAlign w:val="bottom"/>
            <w:tcBorders>
              <w:bottom w:val="single" w:sz="8" w:color="457157"/>
            </w:tcBorders>
            <w:gridSpan w:val="2"/>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46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tcBorders>
              <w:bottom w:val="single" w:sz="8" w:color="457157"/>
              <w:right w:val="single" w:sz="8" w:color="CCEEFF"/>
            </w:tcBorders>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700" w:type="dxa"/>
            <w:vAlign w:val="bottom"/>
          </w:tcPr>
          <w:p>
            <w:pPr>
              <w:ind w:left="60"/>
              <w:spacing w:after="0"/>
              <w:rPr>
                <w:sz w:val="20"/>
                <w:szCs w:val="20"/>
                <w:color w:val="auto"/>
              </w:rPr>
            </w:pPr>
            <w:r>
              <w:rPr>
                <w:rFonts w:ascii="Arial" w:cs="Arial" w:eastAsia="Arial" w:hAnsi="Arial"/>
                <w:sz w:val="18"/>
                <w:szCs w:val="18"/>
                <w:color w:val="auto"/>
              </w:rPr>
              <w:t>ADD: Stericycle transaction and integration costs</w:t>
            </w:r>
          </w:p>
        </w:tc>
        <w:tc>
          <w:tcPr>
            <w:tcW w:w="280" w:type="dxa"/>
            <w:vAlign w:val="bottom"/>
            <w:gridSpan w:val="2"/>
          </w:tcPr>
          <w:p>
            <w:pPr>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600" w:type="dxa"/>
            <w:vAlign w:val="bottom"/>
            <w:gridSpan w:val="3"/>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 ​</w:t>
            </w:r>
          </w:p>
        </w:tc>
        <w:tc>
          <w:tcPr>
            <w:tcW w:w="80" w:type="dxa"/>
            <w:vAlign w:val="bottom"/>
          </w:tcPr>
          <w:p>
            <w:pPr>
              <w:spacing w:after="0"/>
              <w:rPr>
                <w:sz w:val="22"/>
                <w:szCs w:val="22"/>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420" w:type="dxa"/>
            <w:vAlign w:val="bottom"/>
            <w:gridSpan w:val="2"/>
          </w:tcPr>
          <w:p>
            <w:pPr>
              <w:ind w:left="12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5820" w:type="dxa"/>
            <w:vAlign w:val="bottom"/>
            <w:tcBorders>
              <w:top w:val="single" w:sz="8" w:color="457157"/>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Calculated Performance Amounts</w:t>
            </w:r>
          </w:p>
        </w:tc>
        <w:tc>
          <w:tcPr>
            <w:tcW w:w="68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$20,865</w:t>
            </w:r>
          </w:p>
        </w:tc>
        <w:tc>
          <w:tcPr>
            <w:tcW w:w="120" w:type="dxa"/>
            <w:vAlign w:val="bottom"/>
            <w:tcBorders>
              <w:top w:val="single" w:sz="8" w:color="457157"/>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57157"/>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$ 4,278</w:t>
            </w:r>
          </w:p>
        </w:tc>
        <w:tc>
          <w:tcPr>
            <w:tcW w:w="280" w:type="dxa"/>
            <w:vAlign w:val="bottom"/>
            <w:tcBorders>
              <w:top w:val="single" w:sz="8" w:color="457157"/>
            </w:tcBorders>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$ 2,194</w:t>
            </w:r>
          </w:p>
        </w:tc>
        <w:tc>
          <w:tcPr>
            <w:tcW w:w="200" w:type="dxa"/>
            <w:vAlign w:val="bottom"/>
            <w:tcBorders>
              <w:top w:val="single" w:sz="8" w:color="457157"/>
            </w:tcBorders>
            <w:shd w:val="clear" w:color="auto" w:fill="CCEEFF"/>
          </w:tcPr>
          <w:p>
            <w:pPr>
              <w:spacing w:after="0"/>
              <w:rPr>
                <w:sz w:val="17"/>
                <w:szCs w:val="17"/>
                <w:color w:val="auto"/>
              </w:rPr>
            </w:pPr>
          </w:p>
        </w:tc>
        <w:tc>
          <w:tcPr>
            <w:tcW w:w="340" w:type="dxa"/>
            <w:vAlign w:val="bottom"/>
            <w:tcBorders>
              <w:top w:val="single" w:sz="8" w:color="457157"/>
            </w:tcBorders>
            <w:shd w:val="clear" w:color="auto" w:fill="CCEEFF"/>
          </w:tcPr>
          <w:p>
            <w:pPr>
              <w:ind w:left="240"/>
              <w:spacing w:after="0" w:line="196"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457157"/>
            </w:tcBorders>
            <w:shd w:val="clear" w:color="auto" w:fill="CCEEFF"/>
          </w:tcPr>
          <w:p>
            <w:pPr>
              <w:spacing w:after="0"/>
              <w:rPr>
                <w:sz w:val="17"/>
                <w:szCs w:val="17"/>
                <w:color w:val="auto"/>
              </w:rPr>
            </w:pPr>
          </w:p>
        </w:tc>
        <w:tc>
          <w:tcPr>
            <w:tcW w:w="460" w:type="dxa"/>
            <w:vAlign w:val="bottom"/>
            <w:tcBorders>
              <w:top w:val="single" w:sz="8" w:color="457157"/>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6,472</w:t>
            </w:r>
          </w:p>
        </w:tc>
        <w:tc>
          <w:tcPr>
            <w:tcW w:w="80" w:type="dxa"/>
            <w:vAlign w:val="bottom"/>
            <w:tcBorders>
              <w:top w:val="single" w:sz="8" w:color="457157"/>
              <w:right w:val="single" w:sz="8" w:color="CCEEFF"/>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
        </w:trPr>
        <w:tc>
          <w:tcPr>
            <w:tcW w:w="12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Borders>
              <w:bottom w:val="single" w:sz="8" w:color="457157"/>
            </w:tcBorders>
            <w:shd w:val="clear" w:color="auto" w:fill="CCEEFF"/>
          </w:tcPr>
          <w:p>
            <w:pPr>
              <w:spacing w:after="0"/>
              <w:rPr>
                <w:sz w:val="5"/>
                <w:szCs w:val="5"/>
                <w:color w:val="auto"/>
              </w:rPr>
            </w:pPr>
          </w:p>
        </w:tc>
        <w:tc>
          <w:tcPr>
            <w:tcW w:w="10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180" w:type="dxa"/>
            <w:vAlign w:val="bottom"/>
            <w:tcBorders>
              <w:bottom w:val="single" w:sz="8" w:color="457157"/>
            </w:tcBorders>
            <w:shd w:val="clear" w:color="auto" w:fill="CCEEFF"/>
          </w:tcPr>
          <w:p>
            <w:pPr>
              <w:spacing w:after="0"/>
              <w:rPr>
                <w:sz w:val="5"/>
                <w:szCs w:val="5"/>
                <w:color w:val="auto"/>
              </w:rPr>
            </w:pPr>
          </w:p>
        </w:tc>
        <w:tc>
          <w:tcPr>
            <w:tcW w:w="400" w:type="dxa"/>
            <w:vAlign w:val="bottom"/>
            <w:tcBorders>
              <w:bottom w:val="single" w:sz="8" w:color="457157"/>
            </w:tcBorders>
            <w:shd w:val="clear" w:color="auto" w:fill="CCEEFF"/>
          </w:tcPr>
          <w:p>
            <w:pPr>
              <w:spacing w:after="0"/>
              <w:rPr>
                <w:sz w:val="5"/>
                <w:szCs w:val="5"/>
                <w:color w:val="auto"/>
              </w:rPr>
            </w:pPr>
          </w:p>
        </w:tc>
        <w:tc>
          <w:tcPr>
            <w:tcW w:w="120" w:type="dxa"/>
            <w:vAlign w:val="bottom"/>
            <w:tcBorders>
              <w:bottom w:val="single" w:sz="8" w:color="457157"/>
            </w:tcBorders>
            <w:vMerge w:val="continue"/>
            <w:shd w:val="clear" w:color="auto" w:fill="CCEEFF"/>
          </w:tcPr>
          <w:p>
            <w:pPr>
              <w:spacing w:after="0"/>
              <w:rPr>
                <w:sz w:val="5"/>
                <w:szCs w:val="5"/>
                <w:color w:val="auto"/>
              </w:rPr>
            </w:pPr>
          </w:p>
        </w:tc>
        <w:tc>
          <w:tcPr>
            <w:tcW w:w="80" w:type="dxa"/>
            <w:vAlign w:val="bottom"/>
            <w:tcBorders>
              <w:bottom w:val="single" w:sz="8" w:color="457157"/>
            </w:tcBorders>
            <w:vMerge w:val="continue"/>
            <w:shd w:val="clear" w:color="auto" w:fill="CCEEFF"/>
          </w:tcPr>
          <w:p>
            <w:pPr>
              <w:spacing w:after="0"/>
              <w:rPr>
                <w:sz w:val="5"/>
                <w:szCs w:val="5"/>
                <w:color w:val="auto"/>
              </w:rPr>
            </w:pPr>
          </w:p>
        </w:tc>
        <w:tc>
          <w:tcPr>
            <w:tcW w:w="80" w:type="dxa"/>
            <w:vAlign w:val="bottom"/>
            <w:tcBorders>
              <w:bottom w:val="single" w:sz="8" w:color="457157"/>
            </w:tcBorders>
            <w:shd w:val="clear" w:color="auto" w:fill="CCEEFF"/>
          </w:tcPr>
          <w:p>
            <w:pPr>
              <w:spacing w:after="0"/>
              <w:rPr>
                <w:sz w:val="5"/>
                <w:szCs w:val="5"/>
                <w:color w:val="auto"/>
              </w:rPr>
            </w:pPr>
          </w:p>
        </w:tc>
        <w:tc>
          <w:tcPr>
            <w:tcW w:w="160" w:type="dxa"/>
            <w:vAlign w:val="bottom"/>
            <w:tcBorders>
              <w:bottom w:val="single" w:sz="8" w:color="457157"/>
            </w:tcBorders>
            <w:shd w:val="clear" w:color="auto" w:fill="CCEEFF"/>
          </w:tcPr>
          <w:p>
            <w:pPr>
              <w:spacing w:after="0"/>
              <w:rPr>
                <w:sz w:val="5"/>
                <w:szCs w:val="5"/>
                <w:color w:val="auto"/>
              </w:rPr>
            </w:pPr>
          </w:p>
        </w:tc>
        <w:tc>
          <w:tcPr>
            <w:tcW w:w="500" w:type="dxa"/>
            <w:vAlign w:val="bottom"/>
            <w:tcBorders>
              <w:bottom w:val="single" w:sz="8" w:color="457157"/>
            </w:tcBorders>
            <w:shd w:val="clear" w:color="auto" w:fill="CCEEFF"/>
          </w:tcPr>
          <w:p>
            <w:pPr>
              <w:spacing w:after="0"/>
              <w:rPr>
                <w:sz w:val="5"/>
                <w:szCs w:val="5"/>
                <w:color w:val="auto"/>
              </w:rPr>
            </w:pPr>
          </w:p>
        </w:tc>
        <w:tc>
          <w:tcPr>
            <w:tcW w:w="280" w:type="dxa"/>
            <w:vAlign w:val="bottom"/>
            <w:tcBorders>
              <w:bottom w:val="single" w:sz="8" w:color="457157"/>
            </w:tcBorders>
            <w:vMerge w:val="continue"/>
            <w:shd w:val="clear" w:color="auto" w:fill="CCEEFF"/>
          </w:tcPr>
          <w:p>
            <w:pPr>
              <w:spacing w:after="0"/>
              <w:rPr>
                <w:sz w:val="5"/>
                <w:szCs w:val="5"/>
                <w:color w:val="auto"/>
              </w:rPr>
            </w:pPr>
          </w:p>
        </w:tc>
        <w:tc>
          <w:tcPr>
            <w:tcW w:w="200" w:type="dxa"/>
            <w:vAlign w:val="bottom"/>
            <w:tcBorders>
              <w:bottom w:val="single" w:sz="8" w:color="457157"/>
            </w:tcBorders>
            <w:shd w:val="clear" w:color="auto" w:fill="CCEEFF"/>
          </w:tcPr>
          <w:p>
            <w:pPr>
              <w:ind w:left="120"/>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457157"/>
            </w:tcBorders>
            <w:shd w:val="clear" w:color="auto" w:fill="CCEEFF"/>
          </w:tcPr>
          <w:p>
            <w:pPr>
              <w:spacing w:after="0"/>
              <w:rPr>
                <w:sz w:val="5"/>
                <w:szCs w:val="5"/>
                <w:color w:val="auto"/>
              </w:rPr>
            </w:pPr>
          </w:p>
        </w:tc>
        <w:tc>
          <w:tcPr>
            <w:tcW w:w="460" w:type="dxa"/>
            <w:vAlign w:val="bottom"/>
            <w:tcBorders>
              <w:bottom w:val="single" w:sz="8" w:color="457157"/>
            </w:tcBorders>
            <w:shd w:val="clear" w:color="auto" w:fill="CCEEFF"/>
          </w:tcPr>
          <w:p>
            <w:pPr>
              <w:spacing w:after="0"/>
              <w:rPr>
                <w:sz w:val="5"/>
                <w:szCs w:val="5"/>
                <w:color w:val="auto"/>
              </w:rPr>
            </w:pPr>
          </w:p>
        </w:tc>
        <w:tc>
          <w:tcPr>
            <w:tcW w:w="200" w:type="dxa"/>
            <w:vAlign w:val="bottom"/>
            <w:tcBorders>
              <w:bottom w:val="single" w:sz="8" w:color="457157"/>
            </w:tcBorders>
            <w:shd w:val="clear" w:color="auto" w:fill="CCEEFF"/>
          </w:tcPr>
          <w:p>
            <w:pPr>
              <w:spacing w:after="0"/>
              <w:rPr>
                <w:sz w:val="5"/>
                <w:szCs w:val="5"/>
                <w:color w:val="auto"/>
              </w:rPr>
            </w:pPr>
          </w:p>
        </w:tc>
        <w:tc>
          <w:tcPr>
            <w:tcW w:w="340" w:type="dxa"/>
            <w:vAlign w:val="bottom"/>
            <w:tcBorders>
              <w:bottom w:val="single" w:sz="8" w:color="457157"/>
            </w:tcBorders>
            <w:shd w:val="clear" w:color="auto" w:fill="CCEEFF"/>
          </w:tcPr>
          <w:p>
            <w:pPr>
              <w:ind w:left="120"/>
              <w:spacing w:after="0" w:line="68" w:lineRule="exact"/>
              <w:rPr>
                <w:sz w:val="20"/>
                <w:szCs w:val="20"/>
                <w:color w:val="auto"/>
              </w:rPr>
            </w:pPr>
            <w:r>
              <w:rPr>
                <w:rFonts w:ascii="Arial" w:cs="Arial" w:eastAsia="Arial" w:hAnsi="Arial"/>
                <w:sz w:val="7"/>
                <w:szCs w:val="7"/>
                <w:color w:val="auto"/>
              </w:rPr>
              <w:t>​​​</w:t>
            </w:r>
          </w:p>
        </w:tc>
        <w:tc>
          <w:tcPr>
            <w:tcW w:w="80" w:type="dxa"/>
            <w:vAlign w:val="bottom"/>
            <w:tcBorders>
              <w:bottom w:val="single" w:sz="8" w:color="457157"/>
            </w:tcBorders>
            <w:shd w:val="clear" w:color="auto" w:fill="CCEEFF"/>
          </w:tcPr>
          <w:p>
            <w:pPr>
              <w:spacing w:after="0"/>
              <w:rPr>
                <w:sz w:val="5"/>
                <w:szCs w:val="5"/>
                <w:color w:val="auto"/>
              </w:rPr>
            </w:pPr>
          </w:p>
        </w:tc>
        <w:tc>
          <w:tcPr>
            <w:tcW w:w="460" w:type="dxa"/>
            <w:vAlign w:val="bottom"/>
            <w:tcBorders>
              <w:bottom w:val="single" w:sz="8" w:color="457157"/>
            </w:tcBorders>
            <w:shd w:val="clear" w:color="auto" w:fill="CCEEFF"/>
          </w:tcPr>
          <w:p>
            <w:pPr>
              <w:spacing w:after="0"/>
              <w:rPr>
                <w:sz w:val="5"/>
                <w:szCs w:val="5"/>
                <w:color w:val="auto"/>
              </w:rPr>
            </w:pPr>
          </w:p>
        </w:tc>
        <w:tc>
          <w:tcPr>
            <w:tcW w:w="80" w:type="dxa"/>
            <w:vAlign w:val="bottom"/>
            <w:tcBorders>
              <w:bottom w:val="single" w:sz="8" w:color="457157"/>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820" w:type="dxa"/>
            <w:vAlign w:val="bottom"/>
            <w:gridSpan w:val="2"/>
          </w:tcPr>
          <w:p>
            <w:pPr>
              <w:spacing w:after="0" w:line="195" w:lineRule="exact"/>
              <w:rPr>
                <w:sz w:val="20"/>
                <w:szCs w:val="20"/>
                <w:color w:val="auto"/>
              </w:rPr>
            </w:pPr>
            <w:r>
              <w:rPr>
                <w:rFonts w:ascii="Arial" w:cs="Arial" w:eastAsia="Arial" w:hAnsi="Arial"/>
                <w:sz w:val="17"/>
                <w:szCs w:val="17"/>
                <w:b w:val="1"/>
                <w:bCs w:val="1"/>
                <w:color w:val="auto"/>
              </w:rPr>
              <w:t>Income from Operations Margin Performance Measure</w:t>
            </w:r>
            <w:r>
              <w:rPr>
                <w:rFonts w:ascii="Arial" w:cs="Arial" w:eastAsia="Arial" w:hAnsi="Arial"/>
                <w:sz w:val="22"/>
                <w:szCs w:val="22"/>
                <w:b w:val="1"/>
                <w:bCs w:val="1"/>
                <w:color w:val="auto"/>
                <w:vertAlign w:val="superscript"/>
              </w:rPr>
              <w:t>(a)</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20"/>
              <w:spacing w:after="0" w:line="196" w:lineRule="exact"/>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Pr>
          <w:p>
            <w:pPr>
              <w:ind w:left="40"/>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13"/>
              <w:spacing w:after="0" w:line="196" w:lineRule="exact"/>
              <w:rPr>
                <w:sz w:val="20"/>
                <w:szCs w:val="20"/>
                <w:color w:val="auto"/>
              </w:rPr>
            </w:pPr>
            <w:r>
              <w:rPr>
                <w:rFonts w:ascii="Arial" w:cs="Arial" w:eastAsia="Arial" w:hAnsi="Arial"/>
                <w:sz w:val="18"/>
                <w:szCs w:val="18"/>
                <w:color w:val="auto"/>
              </w:rPr>
              <w:t>20.5%</w:t>
            </w:r>
          </w:p>
        </w:tc>
        <w:tc>
          <w:tcPr>
            <w:tcW w:w="200" w:type="dxa"/>
            <w:vAlign w:val="bottom"/>
          </w:tcPr>
          <w:p>
            <w:pPr>
              <w:spacing w:after="0"/>
              <w:rPr>
                <w:sz w:val="17"/>
                <w:szCs w:val="17"/>
                <w:color w:val="auto"/>
              </w:rPr>
            </w:pPr>
          </w:p>
        </w:tc>
        <w:tc>
          <w:tcPr>
            <w:tcW w:w="140" w:type="dxa"/>
            <w:vAlign w:val="bottom"/>
          </w:tcPr>
          <w:p>
            <w:pPr>
              <w:ind w:left="60"/>
              <w:spacing w:after="0" w:line="19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20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34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8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jc w:val="right"/>
              <w:spacing w:after="0" w:line="68" w:lineRule="exact"/>
              <w:rPr>
                <w:sz w:val="20"/>
                <w:szCs w:val="20"/>
                <w:color w:val="auto"/>
              </w:rPr>
            </w:pPr>
            <w:r>
              <w:rPr>
                <w:rFonts w:ascii="Arial" w:cs="Arial" w:eastAsia="Arial" w:hAnsi="Arial"/>
                <w:sz w:val="7"/>
                <w:szCs w:val="7"/>
                <w:color w:val="auto"/>
              </w:rPr>
              <w:t>​</w:t>
            </w:r>
          </w:p>
        </w:tc>
        <w:tc>
          <w:tcPr>
            <w:tcW w:w="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jc w:val="right"/>
              <w:ind w:right="53"/>
              <w:spacing w:after="0" w:line="68" w:lineRule="exact"/>
              <w:rPr>
                <w:sz w:val="20"/>
                <w:szCs w:val="20"/>
                <w:color w:val="auto"/>
              </w:rPr>
            </w:pPr>
            <w:r>
              <w:rPr>
                <w:rFonts w:ascii="Arial" w:cs="Arial" w:eastAsia="Arial" w:hAnsi="Arial"/>
                <w:sz w:val="7"/>
                <w:szCs w:val="7"/>
                <w:color w:val="auto"/>
              </w:rPr>
              <w:t>​​</w:t>
            </w: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3"/>
        </w:trPr>
        <w:tc>
          <w:tcPr>
            <w:tcW w:w="120" w:type="dxa"/>
            <w:vAlign w:val="bottom"/>
            <w:tcBorders>
              <w:top w:val="single" w:sz="8" w:color="457157"/>
            </w:tcBorders>
          </w:tcPr>
          <w:p>
            <w:pPr>
              <w:spacing w:after="0"/>
              <w:rPr>
                <w:sz w:val="20"/>
                <w:szCs w:val="20"/>
                <w:color w:val="auto"/>
              </w:rPr>
            </w:pPr>
            <w:r>
              <w:rPr>
                <w:rFonts w:ascii="Arial" w:cs="Arial" w:eastAsia="Arial" w:hAnsi="Arial"/>
                <w:sz w:val="14"/>
                <w:szCs w:val="14"/>
                <w:b w:val="1"/>
                <w:bCs w:val="1"/>
                <w:color w:val="457157"/>
              </w:rPr>
              <w:t>​</w:t>
            </w:r>
          </w:p>
        </w:tc>
        <w:tc>
          <w:tcPr>
            <w:tcW w:w="5700" w:type="dxa"/>
            <w:vAlign w:val="bottom"/>
            <w:tcBorders>
              <w:top w:val="single" w:sz="8" w:color="457157"/>
            </w:tcBorders>
          </w:tcPr>
          <w:p>
            <w:pPr>
              <w:spacing w:after="0"/>
              <w:rPr>
                <w:sz w:val="24"/>
                <w:szCs w:val="24"/>
                <w:color w:val="auto"/>
              </w:rPr>
            </w:pPr>
          </w:p>
        </w:tc>
        <w:tc>
          <w:tcPr>
            <w:tcW w:w="100" w:type="dxa"/>
            <w:vAlign w:val="bottom"/>
            <w:tcBorders>
              <w:top w:val="single" w:sz="8" w:color="457157"/>
              <w:bottom w:val="single" w:sz="8" w:color="457157"/>
            </w:tcBorders>
          </w:tcPr>
          <w:p>
            <w:pPr>
              <w:spacing w:after="0"/>
              <w:rPr>
                <w:sz w:val="20"/>
                <w:szCs w:val="20"/>
                <w:color w:val="auto"/>
              </w:rPr>
            </w:pPr>
            <w:r>
              <w:rPr>
                <w:rFonts w:ascii="Arial" w:cs="Arial" w:eastAsia="Arial" w:hAnsi="Arial"/>
                <w:sz w:val="14"/>
                <w:szCs w:val="14"/>
                <w:b w:val="1"/>
                <w:bCs w:val="1"/>
                <w:color w:val="457157"/>
              </w:rPr>
              <w:t>​</w:t>
            </w:r>
          </w:p>
        </w:tc>
        <w:tc>
          <w:tcPr>
            <w:tcW w:w="180" w:type="dxa"/>
            <w:vAlign w:val="bottom"/>
            <w:tcBorders>
              <w:top w:val="single" w:sz="8" w:color="457157"/>
              <w:bottom w:val="single" w:sz="8" w:color="457157"/>
            </w:tcBorders>
          </w:tcPr>
          <w:p>
            <w:pPr>
              <w:spacing w:after="0"/>
              <w:rPr>
                <w:sz w:val="24"/>
                <w:szCs w:val="24"/>
                <w:color w:val="auto"/>
              </w:rPr>
            </w:pPr>
          </w:p>
        </w:tc>
        <w:tc>
          <w:tcPr>
            <w:tcW w:w="3500" w:type="dxa"/>
            <w:vAlign w:val="bottom"/>
            <w:tcBorders>
              <w:top w:val="single" w:sz="8" w:color="457157"/>
              <w:bottom w:val="single" w:sz="8" w:color="457157"/>
            </w:tcBorders>
            <w:gridSpan w:val="14"/>
          </w:tcPr>
          <w:p>
            <w:pPr>
              <w:jc w:val="right"/>
              <w:ind w:right="211"/>
              <w:spacing w:after="0"/>
              <w:rPr>
                <w:sz w:val="20"/>
                <w:szCs w:val="20"/>
                <w:color w:val="auto"/>
              </w:rPr>
            </w:pPr>
            <w:r>
              <w:rPr>
                <w:rFonts w:ascii="Arial" w:cs="Arial" w:eastAsia="Arial" w:hAnsi="Arial"/>
                <w:sz w:val="14"/>
                <w:szCs w:val="14"/>
                <w:b w:val="1"/>
                <w:bCs w:val="1"/>
                <w:color w:val="457157"/>
              </w:rPr>
              <w:t>Twelve Months Ended December 31, 2023</w:t>
            </w:r>
          </w:p>
        </w:tc>
        <w:tc>
          <w:tcPr>
            <w:tcW w:w="80" w:type="dxa"/>
            <w:vAlign w:val="bottom"/>
            <w:tcBorders>
              <w:top w:val="single" w:sz="8" w:color="457157"/>
              <w:bottom w:val="single" w:sz="8" w:color="457157"/>
            </w:tcBorders>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80" w:type="dxa"/>
            <w:vAlign w:val="bottom"/>
            <w:gridSpan w:val="14"/>
          </w:tcPr>
          <w:p>
            <w:pPr>
              <w:ind w:left="40"/>
              <w:spacing w:after="0"/>
              <w:rPr>
                <w:sz w:val="20"/>
                <w:szCs w:val="20"/>
                <w:color w:val="auto"/>
              </w:rPr>
            </w:pPr>
            <w:r>
              <w:rPr>
                <w:rFonts w:ascii="Arial" w:cs="Arial" w:eastAsia="Arial" w:hAnsi="Arial"/>
                <w:sz w:val="14"/>
                <w:szCs w:val="14"/>
                <w:b w:val="1"/>
                <w:bCs w:val="1"/>
                <w:color w:val="457157"/>
              </w:rPr>
              <w:t>Income from Depreciation and Operating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5700" w:type="dxa"/>
            <w:vAlign w:val="bottom"/>
          </w:tcPr>
          <w:p>
            <w:pPr>
              <w:spacing w:after="0"/>
              <w:rPr>
                <w:sz w:val="17"/>
                <w:szCs w:val="17"/>
                <w:color w:val="auto"/>
              </w:rPr>
            </w:pPr>
          </w:p>
        </w:tc>
        <w:tc>
          <w:tcPr>
            <w:tcW w:w="1900" w:type="dxa"/>
            <w:vAlign w:val="bottom"/>
            <w:gridSpan w:val="9"/>
          </w:tcPr>
          <w:p>
            <w:pPr>
              <w:jc w:val="center"/>
              <w:ind w:right="73"/>
              <w:spacing w:after="0" w:line="202" w:lineRule="exact"/>
              <w:rPr>
                <w:sz w:val="20"/>
                <w:szCs w:val="20"/>
                <w:color w:val="auto"/>
              </w:rPr>
            </w:pP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Revenue</w:t>
            </w: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Operations</w:t>
            </w:r>
            <w:r>
              <w:rPr>
                <w:rFonts w:ascii="Arial" w:cs="Arial" w:eastAsia="Arial" w:hAnsi="Arial"/>
                <w:sz w:val="23"/>
                <w:szCs w:val="23"/>
                <w:b w:val="1"/>
                <w:bCs w:val="1"/>
                <w:color w:val="457157"/>
                <w:vertAlign w:val="subscript"/>
              </w:rPr>
              <w:t>​</w:t>
            </w:r>
          </w:p>
        </w:tc>
        <w:tc>
          <w:tcPr>
            <w:tcW w:w="200" w:type="dxa"/>
            <w:vAlign w:val="bottom"/>
          </w:tcPr>
          <w:p>
            <w:pPr>
              <w:spacing w:after="0"/>
              <w:rPr>
                <w:sz w:val="17"/>
                <w:szCs w:val="17"/>
                <w:color w:val="auto"/>
              </w:rPr>
            </w:pPr>
          </w:p>
        </w:tc>
        <w:tc>
          <w:tcPr>
            <w:tcW w:w="1140" w:type="dxa"/>
            <w:vAlign w:val="bottom"/>
            <w:gridSpan w:val="4"/>
          </w:tcPr>
          <w:p>
            <w:pPr>
              <w:spacing w:after="0" w:line="202" w:lineRule="exact"/>
              <w:rPr>
                <w:sz w:val="20"/>
                <w:szCs w:val="20"/>
                <w:color w:val="auto"/>
              </w:rPr>
            </w:pPr>
            <w:r>
              <w:rPr>
                <w:rFonts w:ascii="Arial" w:cs="Arial" w:eastAsia="Arial" w:hAnsi="Arial"/>
                <w:sz w:val="13"/>
                <w:szCs w:val="13"/>
                <w:b w:val="1"/>
                <w:bCs w:val="1"/>
                <w:color w:val="457157"/>
              </w:rPr>
              <w:t>amortization</w:t>
            </w:r>
            <w:r>
              <w:rPr>
                <w:rFonts w:ascii="Arial" w:cs="Arial" w:eastAsia="Arial" w:hAnsi="Arial"/>
                <w:sz w:val="23"/>
                <w:szCs w:val="23"/>
                <w:b w:val="1"/>
                <w:bCs w:val="1"/>
                <w:color w:val="457157"/>
                <w:vertAlign w:val="subscript"/>
              </w:rPr>
              <w:t>​</w:t>
            </w:r>
          </w:p>
        </w:tc>
        <w:tc>
          <w:tcPr>
            <w:tcW w:w="680" w:type="dxa"/>
            <w:vAlign w:val="bottom"/>
            <w:gridSpan w:val="4"/>
          </w:tcPr>
          <w:p>
            <w:pPr>
              <w:jc w:val="right"/>
              <w:spacing w:after="0" w:line="202" w:lineRule="exact"/>
              <w:rPr>
                <w:sz w:val="20"/>
                <w:szCs w:val="20"/>
                <w:color w:val="auto"/>
              </w:rPr>
            </w:pPr>
            <w:r>
              <w:rPr>
                <w:rFonts w:ascii="Arial" w:cs="Arial" w:eastAsia="Arial" w:hAnsi="Arial"/>
                <w:sz w:val="13"/>
                <w:szCs w:val="13"/>
                <w:b w:val="1"/>
                <w:bCs w:val="1"/>
                <w:color w:val="457157"/>
              </w:rPr>
              <w:t>EBITDA</w:t>
            </w:r>
            <w:r>
              <w:rPr>
                <w:rFonts w:ascii="Arial" w:cs="Arial" w:eastAsia="Arial" w:hAnsi="Arial"/>
                <w:sz w:val="23"/>
                <w:szCs w:val="23"/>
                <w:b w:val="1"/>
                <w:bCs w:val="1"/>
                <w:color w:val="457157"/>
                <w:vertAlign w:val="subscript"/>
              </w:rPr>
              <w:t>​</w:t>
            </w:r>
          </w:p>
        </w:tc>
        <w:tc>
          <w:tcPr>
            <w:tcW w:w="0" w:type="dxa"/>
            <w:vAlign w:val="bottom"/>
          </w:tcPr>
          <w:p>
            <w:pPr>
              <w:spacing w:after="0"/>
              <w:rPr>
                <w:sz w:val="1"/>
                <w:szCs w:val="1"/>
                <w:color w:val="auto"/>
              </w:rPr>
            </w:pPr>
          </w:p>
        </w:tc>
      </w:tr>
      <w:tr>
        <w:trPr>
          <w:trHeight w:val="196"/>
        </w:trPr>
        <w:tc>
          <w:tcPr>
            <w:tcW w:w="5820" w:type="dxa"/>
            <w:vAlign w:val="bottom"/>
            <w:tcBorders>
              <w:top w:val="single" w:sz="8" w:color="457157"/>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 reported amounts</w:t>
            </w:r>
          </w:p>
        </w:tc>
        <w:tc>
          <w:tcPr>
            <w:tcW w:w="68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$20,426</w:t>
            </w:r>
          </w:p>
        </w:tc>
        <w:tc>
          <w:tcPr>
            <w:tcW w:w="120" w:type="dxa"/>
            <w:vAlign w:val="bottom"/>
            <w:tcBorders>
              <w:top w:val="single" w:sz="8" w:color="457157"/>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57157"/>
            </w:tcBorders>
            <w:shd w:val="clear" w:color="auto" w:fill="CCEEFF"/>
          </w:tcPr>
          <w:p>
            <w:pPr>
              <w:spacing w:after="0"/>
              <w:rPr>
                <w:sz w:val="17"/>
                <w:szCs w:val="17"/>
                <w:color w:val="auto"/>
              </w:rPr>
            </w:pPr>
          </w:p>
        </w:tc>
        <w:tc>
          <w:tcPr>
            <w:tcW w:w="740" w:type="dxa"/>
            <w:vAlign w:val="bottom"/>
            <w:tcBorders>
              <w:top w:val="single" w:sz="8" w:color="457157"/>
            </w:tcBorders>
            <w:gridSpan w:val="3"/>
            <w:shd w:val="clear" w:color="auto" w:fill="CCEEFF"/>
          </w:tcPr>
          <w:p>
            <w:pPr>
              <w:jc w:val="right"/>
              <w:ind w:right="11"/>
              <w:spacing w:after="0" w:line="196" w:lineRule="exact"/>
              <w:rPr>
                <w:sz w:val="20"/>
                <w:szCs w:val="20"/>
                <w:color w:val="auto"/>
              </w:rPr>
            </w:pPr>
            <w:r>
              <w:rPr>
                <w:rFonts w:ascii="Arial" w:cs="Arial" w:eastAsia="Arial" w:hAnsi="Arial"/>
                <w:sz w:val="18"/>
                <w:szCs w:val="18"/>
                <w:color w:val="auto"/>
              </w:rPr>
              <w:t>$ 3,575</w:t>
            </w:r>
          </w:p>
        </w:tc>
        <w:tc>
          <w:tcPr>
            <w:tcW w:w="280" w:type="dxa"/>
            <w:vAlign w:val="bottom"/>
            <w:tcBorders>
              <w:top w:val="single" w:sz="8" w:color="457157"/>
            </w:tcBorders>
            <w:vMerge w:val="restart"/>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$ 2,071</w:t>
            </w:r>
          </w:p>
        </w:tc>
        <w:tc>
          <w:tcPr>
            <w:tcW w:w="200" w:type="dxa"/>
            <w:vAlign w:val="bottom"/>
            <w:tcBorders>
              <w:top w:val="single" w:sz="8" w:color="457157"/>
            </w:tcBorders>
            <w:shd w:val="clear" w:color="auto" w:fill="CCEEFF"/>
          </w:tcPr>
          <w:p>
            <w:pPr>
              <w:spacing w:after="0"/>
              <w:rPr>
                <w:sz w:val="17"/>
                <w:szCs w:val="17"/>
                <w:color w:val="auto"/>
              </w:rPr>
            </w:pPr>
          </w:p>
        </w:tc>
        <w:tc>
          <w:tcPr>
            <w:tcW w:w="340" w:type="dxa"/>
            <w:vAlign w:val="bottom"/>
            <w:tcBorders>
              <w:top w:val="single" w:sz="8" w:color="457157"/>
            </w:tcBorders>
            <w:shd w:val="clear" w:color="auto" w:fill="CCEEFF"/>
          </w:tcPr>
          <w:p>
            <w:pPr>
              <w:ind w:left="240"/>
              <w:spacing w:after="0" w:line="196" w:lineRule="exact"/>
              <w:rPr>
                <w:sz w:val="20"/>
                <w:szCs w:val="20"/>
                <w:color w:val="auto"/>
              </w:rPr>
            </w:pPr>
            <w:r>
              <w:rPr>
                <w:rFonts w:ascii="Arial" w:cs="Arial" w:eastAsia="Arial" w:hAnsi="Arial"/>
                <w:sz w:val="18"/>
                <w:szCs w:val="18"/>
                <w:color w:val="auto"/>
                <w:w w:val="79"/>
              </w:rPr>
              <w:t>$</w:t>
            </w:r>
          </w:p>
        </w:tc>
        <w:tc>
          <w:tcPr>
            <w:tcW w:w="80" w:type="dxa"/>
            <w:vAlign w:val="bottom"/>
            <w:tcBorders>
              <w:top w:val="single" w:sz="8" w:color="457157"/>
            </w:tcBorders>
            <w:shd w:val="clear" w:color="auto" w:fill="CCEEFF"/>
          </w:tcPr>
          <w:p>
            <w:pPr>
              <w:spacing w:after="0"/>
              <w:rPr>
                <w:sz w:val="17"/>
                <w:szCs w:val="17"/>
                <w:color w:val="auto"/>
              </w:rPr>
            </w:pPr>
          </w:p>
        </w:tc>
        <w:tc>
          <w:tcPr>
            <w:tcW w:w="460" w:type="dxa"/>
            <w:vAlign w:val="bottom"/>
            <w:tcBorders>
              <w:top w:val="single" w:sz="8" w:color="457157"/>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5,646</w:t>
            </w:r>
          </w:p>
        </w:tc>
        <w:tc>
          <w:tcPr>
            <w:tcW w:w="80" w:type="dxa"/>
            <w:vAlign w:val="bottom"/>
            <w:tcBorders>
              <w:top w:val="single" w:sz="8" w:color="457157"/>
              <w:right w:val="single" w:sz="8" w:color="CCEEFF"/>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
        </w:trPr>
        <w:tc>
          <w:tcPr>
            <w:tcW w:w="12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Borders>
              <w:bottom w:val="single" w:sz="8" w:color="457157"/>
            </w:tcBorders>
            <w:shd w:val="clear" w:color="auto" w:fill="CCEEFF"/>
          </w:tcPr>
          <w:p>
            <w:pPr>
              <w:spacing w:after="0"/>
              <w:rPr>
                <w:sz w:val="5"/>
                <w:szCs w:val="5"/>
                <w:color w:val="auto"/>
              </w:rPr>
            </w:pPr>
          </w:p>
        </w:tc>
        <w:tc>
          <w:tcPr>
            <w:tcW w:w="10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180" w:type="dxa"/>
            <w:vAlign w:val="bottom"/>
            <w:tcBorders>
              <w:bottom w:val="single" w:sz="8" w:color="457157"/>
            </w:tcBorders>
            <w:shd w:val="clear" w:color="auto" w:fill="CCEEFF"/>
          </w:tcPr>
          <w:p>
            <w:pPr>
              <w:spacing w:after="0"/>
              <w:rPr>
                <w:sz w:val="5"/>
                <w:szCs w:val="5"/>
                <w:color w:val="auto"/>
              </w:rPr>
            </w:pPr>
          </w:p>
        </w:tc>
        <w:tc>
          <w:tcPr>
            <w:tcW w:w="400" w:type="dxa"/>
            <w:vAlign w:val="bottom"/>
            <w:tcBorders>
              <w:bottom w:val="single" w:sz="8" w:color="457157"/>
            </w:tcBorders>
            <w:shd w:val="clear" w:color="auto" w:fill="CCEEFF"/>
          </w:tcPr>
          <w:p>
            <w:pPr>
              <w:spacing w:after="0"/>
              <w:rPr>
                <w:sz w:val="5"/>
                <w:szCs w:val="5"/>
                <w:color w:val="auto"/>
              </w:rPr>
            </w:pPr>
          </w:p>
        </w:tc>
        <w:tc>
          <w:tcPr>
            <w:tcW w:w="120" w:type="dxa"/>
            <w:vAlign w:val="bottom"/>
            <w:tcBorders>
              <w:bottom w:val="single" w:sz="8" w:color="457157"/>
            </w:tcBorders>
            <w:vMerge w:val="continue"/>
            <w:shd w:val="clear" w:color="auto" w:fill="CCEEFF"/>
          </w:tcPr>
          <w:p>
            <w:pPr>
              <w:spacing w:after="0"/>
              <w:rPr>
                <w:sz w:val="5"/>
                <w:szCs w:val="5"/>
                <w:color w:val="auto"/>
              </w:rPr>
            </w:pPr>
          </w:p>
        </w:tc>
        <w:tc>
          <w:tcPr>
            <w:tcW w:w="160" w:type="dxa"/>
            <w:vAlign w:val="bottom"/>
            <w:tcBorders>
              <w:bottom w:val="single" w:sz="8" w:color="457157"/>
            </w:tcBorders>
            <w:gridSpan w:val="2"/>
            <w:shd w:val="clear" w:color="auto" w:fill="CCEEFF"/>
          </w:tcPr>
          <w:p>
            <w:pPr>
              <w:ind w:left="80"/>
              <w:spacing w:after="0" w:line="68" w:lineRule="exact"/>
              <w:rPr>
                <w:sz w:val="20"/>
                <w:szCs w:val="20"/>
                <w:color w:val="auto"/>
              </w:rPr>
            </w:pPr>
            <w:r>
              <w:rPr>
                <w:rFonts w:ascii="Arial" w:cs="Arial" w:eastAsia="Arial" w:hAnsi="Arial"/>
                <w:sz w:val="7"/>
                <w:szCs w:val="7"/>
                <w:color w:val="auto"/>
              </w:rPr>
              <w:t>​</w:t>
            </w:r>
          </w:p>
        </w:tc>
        <w:tc>
          <w:tcPr>
            <w:tcW w:w="160" w:type="dxa"/>
            <w:vAlign w:val="bottom"/>
            <w:tcBorders>
              <w:bottom w:val="single" w:sz="8" w:color="457157"/>
            </w:tcBorders>
            <w:shd w:val="clear" w:color="auto" w:fill="CCEEFF"/>
          </w:tcPr>
          <w:p>
            <w:pPr>
              <w:spacing w:after="0"/>
              <w:rPr>
                <w:sz w:val="5"/>
                <w:szCs w:val="5"/>
                <w:color w:val="auto"/>
              </w:rPr>
            </w:pPr>
          </w:p>
        </w:tc>
        <w:tc>
          <w:tcPr>
            <w:tcW w:w="500" w:type="dxa"/>
            <w:vAlign w:val="bottom"/>
            <w:tcBorders>
              <w:bottom w:val="single" w:sz="8" w:color="457157"/>
            </w:tcBorders>
            <w:shd w:val="clear" w:color="auto" w:fill="CCEEFF"/>
          </w:tcPr>
          <w:p>
            <w:pPr>
              <w:spacing w:after="0"/>
              <w:rPr>
                <w:sz w:val="5"/>
                <w:szCs w:val="5"/>
                <w:color w:val="auto"/>
              </w:rPr>
            </w:pPr>
          </w:p>
        </w:tc>
        <w:tc>
          <w:tcPr>
            <w:tcW w:w="280" w:type="dxa"/>
            <w:vAlign w:val="bottom"/>
            <w:tcBorders>
              <w:bottom w:val="single" w:sz="8" w:color="457157"/>
            </w:tcBorders>
            <w:vMerge w:val="continue"/>
            <w:shd w:val="clear" w:color="auto" w:fill="CCEEFF"/>
          </w:tcPr>
          <w:p>
            <w:pPr>
              <w:spacing w:after="0"/>
              <w:rPr>
                <w:sz w:val="5"/>
                <w:szCs w:val="5"/>
                <w:color w:val="auto"/>
              </w:rPr>
            </w:pPr>
          </w:p>
        </w:tc>
        <w:tc>
          <w:tcPr>
            <w:tcW w:w="200" w:type="dxa"/>
            <w:vAlign w:val="bottom"/>
            <w:tcBorders>
              <w:bottom w:val="single" w:sz="8" w:color="457157"/>
            </w:tcBorders>
            <w:shd w:val="clear" w:color="auto" w:fill="CCEEFF"/>
          </w:tcPr>
          <w:p>
            <w:pPr>
              <w:ind w:left="120"/>
              <w:spacing w:after="0" w:line="68"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457157"/>
            </w:tcBorders>
            <w:shd w:val="clear" w:color="auto" w:fill="CCEEFF"/>
          </w:tcPr>
          <w:p>
            <w:pPr>
              <w:spacing w:after="0"/>
              <w:rPr>
                <w:sz w:val="5"/>
                <w:szCs w:val="5"/>
                <w:color w:val="auto"/>
              </w:rPr>
            </w:pPr>
          </w:p>
        </w:tc>
        <w:tc>
          <w:tcPr>
            <w:tcW w:w="460" w:type="dxa"/>
            <w:vAlign w:val="bottom"/>
            <w:tcBorders>
              <w:bottom w:val="single" w:sz="8" w:color="457157"/>
            </w:tcBorders>
            <w:shd w:val="clear" w:color="auto" w:fill="CCEEFF"/>
          </w:tcPr>
          <w:p>
            <w:pPr>
              <w:spacing w:after="0"/>
              <w:rPr>
                <w:sz w:val="5"/>
                <w:szCs w:val="5"/>
                <w:color w:val="auto"/>
              </w:rPr>
            </w:pPr>
          </w:p>
        </w:tc>
        <w:tc>
          <w:tcPr>
            <w:tcW w:w="200" w:type="dxa"/>
            <w:vAlign w:val="bottom"/>
            <w:tcBorders>
              <w:bottom w:val="single" w:sz="8" w:color="457157"/>
            </w:tcBorders>
            <w:shd w:val="clear" w:color="auto" w:fill="CCEEFF"/>
          </w:tcPr>
          <w:p>
            <w:pPr>
              <w:spacing w:after="0"/>
              <w:rPr>
                <w:sz w:val="5"/>
                <w:szCs w:val="5"/>
                <w:color w:val="auto"/>
              </w:rPr>
            </w:pPr>
          </w:p>
        </w:tc>
        <w:tc>
          <w:tcPr>
            <w:tcW w:w="340" w:type="dxa"/>
            <w:vAlign w:val="bottom"/>
            <w:tcBorders>
              <w:bottom w:val="single" w:sz="8" w:color="457157"/>
            </w:tcBorders>
            <w:shd w:val="clear" w:color="auto" w:fill="CCEEFF"/>
          </w:tcPr>
          <w:p>
            <w:pPr>
              <w:ind w:left="120"/>
              <w:spacing w:after="0" w:line="68" w:lineRule="exact"/>
              <w:rPr>
                <w:sz w:val="20"/>
                <w:szCs w:val="20"/>
                <w:color w:val="auto"/>
              </w:rPr>
            </w:pPr>
            <w:r>
              <w:rPr>
                <w:rFonts w:ascii="Arial" w:cs="Arial" w:eastAsia="Arial" w:hAnsi="Arial"/>
                <w:sz w:val="7"/>
                <w:szCs w:val="7"/>
                <w:color w:val="auto"/>
              </w:rPr>
              <w:t>​​​</w:t>
            </w:r>
          </w:p>
        </w:tc>
        <w:tc>
          <w:tcPr>
            <w:tcW w:w="80" w:type="dxa"/>
            <w:vAlign w:val="bottom"/>
            <w:tcBorders>
              <w:bottom w:val="single" w:sz="8" w:color="457157"/>
            </w:tcBorders>
            <w:shd w:val="clear" w:color="auto" w:fill="CCEEFF"/>
          </w:tcPr>
          <w:p>
            <w:pPr>
              <w:spacing w:after="0"/>
              <w:rPr>
                <w:sz w:val="5"/>
                <w:szCs w:val="5"/>
                <w:color w:val="auto"/>
              </w:rPr>
            </w:pPr>
          </w:p>
        </w:tc>
        <w:tc>
          <w:tcPr>
            <w:tcW w:w="460" w:type="dxa"/>
            <w:vAlign w:val="bottom"/>
            <w:tcBorders>
              <w:bottom w:val="single" w:sz="8" w:color="457157"/>
            </w:tcBorders>
            <w:shd w:val="clear" w:color="auto" w:fill="CCEEFF"/>
          </w:tcPr>
          <w:p>
            <w:pPr>
              <w:spacing w:after="0"/>
              <w:rPr>
                <w:sz w:val="5"/>
                <w:szCs w:val="5"/>
                <w:color w:val="auto"/>
              </w:rPr>
            </w:pPr>
          </w:p>
        </w:tc>
        <w:tc>
          <w:tcPr>
            <w:tcW w:w="80" w:type="dxa"/>
            <w:vAlign w:val="bottom"/>
            <w:tcBorders>
              <w:bottom w:val="single" w:sz="8" w:color="457157"/>
              <w:right w:val="single" w:sz="8" w:color="CCEEFF"/>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5820" w:type="dxa"/>
            <w:vAlign w:val="bottom"/>
            <w:gridSpan w:val="2"/>
          </w:tcPr>
          <w:p>
            <w:pPr>
              <w:spacing w:after="0" w:line="196" w:lineRule="exact"/>
              <w:rPr>
                <w:sz w:val="20"/>
                <w:szCs w:val="20"/>
                <w:color w:val="auto"/>
              </w:rPr>
            </w:pPr>
            <w:r>
              <w:rPr>
                <w:rFonts w:ascii="Arial" w:cs="Arial" w:eastAsia="Arial" w:hAnsi="Arial"/>
                <w:sz w:val="18"/>
                <w:szCs w:val="18"/>
                <w:color w:val="auto"/>
              </w:rPr>
              <w:t>Adjustments:</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2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w:t>
            </w:r>
          </w:p>
        </w:tc>
        <w:tc>
          <w:tcPr>
            <w:tcW w:w="570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LESS: Net impacts of recycling brokerage business</w:t>
            </w:r>
          </w:p>
        </w:tc>
        <w:tc>
          <w:tcPr>
            <w:tcW w:w="280" w:type="dxa"/>
            <w:vAlign w:val="bottom"/>
            <w:tcBorders>
              <w:top w:val="single" w:sz="8" w:color="457157"/>
              <w:bottom w:val="single" w:sz="8" w:color="457157"/>
            </w:tcBorders>
            <w:gridSpan w:val="2"/>
            <w:shd w:val="clear" w:color="auto" w:fill="CCEEFF"/>
          </w:tcPr>
          <w:p>
            <w:pPr>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40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457157"/>
              <w:bottom w:val="single" w:sz="8" w:color="457157"/>
            </w:tcBorders>
            <w:gridSpan w:val="3"/>
            <w:shd w:val="clear" w:color="auto" w:fill="CCEEFF"/>
          </w:tcPr>
          <w:p>
            <w:pPr>
              <w:ind w:left="8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500" w:type="dxa"/>
            <w:vAlign w:val="bottom"/>
            <w:tcBorders>
              <w:top w:val="single" w:sz="8" w:color="457157"/>
              <w:bottom w:val="single" w:sz="8" w:color="457157"/>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457157"/>
              <w:bottom w:val="single" w:sz="8" w:color="457157"/>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457157"/>
              <w:bottom w:val="single" w:sz="8" w:color="457157"/>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457157"/>
              <w:bottom w:val="single" w:sz="8" w:color="457157"/>
            </w:tcBorders>
            <w:shd w:val="clear" w:color="auto" w:fill="CCEEFF"/>
          </w:tcPr>
          <w:p>
            <w:pPr>
              <w:spacing w:after="0"/>
              <w:rPr>
                <w:sz w:val="22"/>
                <w:szCs w:val="22"/>
                <w:color w:val="auto"/>
              </w:rPr>
            </w:pPr>
          </w:p>
        </w:tc>
        <w:tc>
          <w:tcPr>
            <w:tcW w:w="420" w:type="dxa"/>
            <w:vAlign w:val="bottom"/>
            <w:tcBorders>
              <w:top w:val="single" w:sz="8" w:color="457157"/>
              <w:bottom w:val="single" w:sz="8" w:color="457157"/>
            </w:tcBorders>
            <w:gridSpan w:val="2"/>
            <w:shd w:val="clear" w:color="auto" w:fill="CCEEFF"/>
          </w:tcPr>
          <w:p>
            <w:pPr>
              <w:ind w:left="120"/>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46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457157"/>
              <w:bottom w:val="single" w:sz="8" w:color="457157"/>
              <w:right w:val="single" w:sz="8" w:color="CCEEFF"/>
            </w:tcBorders>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5700" w:type="dxa"/>
            <w:vAlign w:val="bottom"/>
          </w:tcPr>
          <w:p>
            <w:pPr>
              <w:ind w:left="60"/>
              <w:spacing w:after="0"/>
              <w:rPr>
                <w:sz w:val="20"/>
                <w:szCs w:val="20"/>
                <w:color w:val="auto"/>
              </w:rPr>
            </w:pPr>
            <w:r>
              <w:rPr>
                <w:rFonts w:ascii="Arial" w:cs="Arial" w:eastAsia="Arial" w:hAnsi="Arial"/>
                <w:sz w:val="18"/>
                <w:szCs w:val="18"/>
                <w:color w:val="auto"/>
              </w:rPr>
              <w:t>ADD: “Restructuring” and “(Gain) Loss from Divestitures, Asset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700" w:type="dxa"/>
            <w:vAlign w:val="bottom"/>
          </w:tcPr>
          <w:p>
            <w:pPr>
              <w:ind w:left="240"/>
              <w:spacing w:after="0"/>
              <w:rPr>
                <w:sz w:val="20"/>
                <w:szCs w:val="20"/>
                <w:color w:val="auto"/>
              </w:rPr>
            </w:pPr>
            <w:r>
              <w:rPr>
                <w:rFonts w:ascii="Arial" w:cs="Arial" w:eastAsia="Arial" w:hAnsi="Arial"/>
                <w:sz w:val="18"/>
                <w:szCs w:val="18"/>
                <w:color w:val="auto"/>
              </w:rPr>
              <w:t>Impairments and Unusual Items, Net”</w:t>
            </w:r>
          </w:p>
        </w:tc>
        <w:tc>
          <w:tcPr>
            <w:tcW w:w="280" w:type="dxa"/>
            <w:vAlign w:val="bottom"/>
            <w:gridSpan w:val="2"/>
          </w:tcPr>
          <w:p>
            <w:pPr>
              <w:spacing w:after="0"/>
              <w:rPr>
                <w:sz w:val="20"/>
                <w:szCs w:val="20"/>
                <w:color w:val="auto"/>
              </w:rPr>
            </w:pPr>
            <w:r>
              <w:rPr>
                <w:rFonts w:ascii="Arial" w:cs="Arial" w:eastAsia="Arial" w:hAnsi="Arial"/>
                <w:sz w:val="18"/>
                <w:szCs w:val="18"/>
                <w:color w:val="auto"/>
              </w:rPr>
              <w:t>​​ ​</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20" w:type="dxa"/>
            <w:vAlign w:val="bottom"/>
            <w:gridSpan w:val="3"/>
          </w:tcPr>
          <w:p>
            <w:pPr>
              <w:ind w:left="80"/>
              <w:spacing w:after="0"/>
              <w:rPr>
                <w:sz w:val="20"/>
                <w:szCs w:val="20"/>
                <w:color w:val="auto"/>
              </w:rPr>
            </w:pPr>
            <w:r>
              <w:rPr>
                <w:rFonts w:ascii="Arial" w:cs="Arial" w:eastAsia="Arial" w:hAnsi="Arial"/>
                <w:sz w:val="18"/>
                <w:szCs w:val="18"/>
                <w:color w:val="auto"/>
              </w:rPr>
              <w:t>​ ​</w:t>
            </w:r>
          </w:p>
        </w:tc>
        <w:tc>
          <w:tcPr>
            <w:tcW w:w="500" w:type="dxa"/>
            <w:vAlign w:val="bottom"/>
          </w:tcPr>
          <w:p>
            <w:pPr>
              <w:jc w:val="right"/>
              <w:ind w:right="11"/>
              <w:spacing w:after="0"/>
              <w:rPr>
                <w:sz w:val="20"/>
                <w:szCs w:val="20"/>
                <w:color w:val="auto"/>
              </w:rPr>
            </w:pPr>
            <w:r>
              <w:rPr>
                <w:rFonts w:ascii="Arial" w:cs="Arial" w:eastAsia="Arial" w:hAnsi="Arial"/>
                <w:sz w:val="18"/>
                <w:szCs w:val="18"/>
                <w:color w:val="auto"/>
              </w:rPr>
              <w:t>247</w:t>
            </w:r>
          </w:p>
        </w:tc>
        <w:tc>
          <w:tcPr>
            <w:tcW w:w="2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460" w:type="dxa"/>
            <w:vAlign w:val="bottom"/>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0"/>
        </w:trPr>
        <w:tc>
          <w:tcPr>
            <w:tcW w:w="5820" w:type="dxa"/>
            <w:vAlign w:val="bottom"/>
            <w:tcBorders>
              <w:top w:val="single" w:sz="8" w:color="457157"/>
              <w:bottom w:val="single" w:sz="8" w:color="457157"/>
            </w:tcBorders>
            <w:gridSpan w:val="2"/>
            <w:shd w:val="clear" w:color="auto" w:fill="CCEEFF"/>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Calculated Performance Amounts</w:t>
            </w:r>
          </w:p>
        </w:tc>
        <w:tc>
          <w:tcPr>
            <w:tcW w:w="680" w:type="dxa"/>
            <w:vAlign w:val="bottom"/>
            <w:tcBorders>
              <w:top w:val="single" w:sz="8" w:color="457157"/>
              <w:bottom w:val="single" w:sz="8" w:color="457157"/>
            </w:tcBorders>
            <w:gridSpan w:val="3"/>
            <w:shd w:val="clear" w:color="auto" w:fill="CCEEFF"/>
          </w:tcPr>
          <w:p>
            <w:pPr>
              <w:spacing w:after="0"/>
              <w:rPr>
                <w:sz w:val="20"/>
                <w:szCs w:val="20"/>
                <w:color w:val="auto"/>
              </w:rPr>
            </w:pPr>
            <w:r>
              <w:rPr>
                <w:rFonts w:ascii="Arial" w:cs="Arial" w:eastAsia="Arial" w:hAnsi="Arial"/>
                <w:sz w:val="18"/>
                <w:szCs w:val="18"/>
                <w:color w:val="auto"/>
              </w:rPr>
              <w:t>​​$19,804</w:t>
            </w:r>
          </w:p>
        </w:tc>
        <w:tc>
          <w:tcPr>
            <w:tcW w:w="12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457157"/>
              <w:bottom w:val="single" w:sz="8" w:color="457157"/>
            </w:tcBorders>
            <w:gridSpan w:val="4"/>
            <w:shd w:val="clear" w:color="auto" w:fill="CCEEFF"/>
          </w:tcPr>
          <w:p>
            <w:pPr>
              <w:ind w:left="80"/>
              <w:spacing w:after="0"/>
              <w:rPr>
                <w:sz w:val="20"/>
                <w:szCs w:val="20"/>
                <w:color w:val="auto"/>
              </w:rPr>
            </w:pPr>
            <w:r>
              <w:rPr>
                <w:rFonts w:ascii="Arial" w:cs="Arial" w:eastAsia="Arial" w:hAnsi="Arial"/>
                <w:sz w:val="18"/>
                <w:szCs w:val="18"/>
                <w:color w:val="auto"/>
              </w:rPr>
              <w:t>​$ 3,822</w:t>
            </w:r>
          </w:p>
        </w:tc>
        <w:tc>
          <w:tcPr>
            <w:tcW w:w="280" w:type="dxa"/>
            <w:vAlign w:val="bottom"/>
            <w:tcBorders>
              <w:top w:val="single" w:sz="8" w:color="457157"/>
              <w:bottom w:val="single" w:sz="8" w:color="457157"/>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457157"/>
              <w:bottom w:val="single" w:sz="8" w:color="457157"/>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w w:val="97"/>
              </w:rPr>
              <w:t>2,070</w:t>
            </w:r>
          </w:p>
        </w:tc>
        <w:tc>
          <w:tcPr>
            <w:tcW w:w="200" w:type="dxa"/>
            <w:vAlign w:val="bottom"/>
            <w:tcBorders>
              <w:top w:val="single" w:sz="8" w:color="457157"/>
              <w:bottom w:val="single" w:sz="8" w:color="457157"/>
            </w:tcBorders>
            <w:shd w:val="clear" w:color="auto" w:fill="CCEEFF"/>
          </w:tcPr>
          <w:p>
            <w:pPr>
              <w:spacing w:after="0"/>
              <w:rPr>
                <w:sz w:val="21"/>
                <w:szCs w:val="21"/>
                <w:color w:val="auto"/>
              </w:rPr>
            </w:pPr>
          </w:p>
        </w:tc>
        <w:tc>
          <w:tcPr>
            <w:tcW w:w="340" w:type="dxa"/>
            <w:vAlign w:val="bottom"/>
            <w:tcBorders>
              <w:top w:val="single" w:sz="8" w:color="457157"/>
              <w:bottom w:val="single" w:sz="8" w:color="457157"/>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457157"/>
              <w:bottom w:val="single" w:sz="8" w:color="457157"/>
            </w:tcBorders>
            <w:shd w:val="clear" w:color="auto" w:fill="CCEEFF"/>
          </w:tcPr>
          <w:p>
            <w:pPr>
              <w:spacing w:after="0"/>
              <w:rPr>
                <w:sz w:val="21"/>
                <w:szCs w:val="21"/>
                <w:color w:val="auto"/>
              </w:rPr>
            </w:pPr>
          </w:p>
        </w:tc>
        <w:tc>
          <w:tcPr>
            <w:tcW w:w="46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w w:val="97"/>
              </w:rPr>
              <w:t>5,892</w:t>
            </w:r>
          </w:p>
        </w:tc>
        <w:tc>
          <w:tcPr>
            <w:tcW w:w="80" w:type="dxa"/>
            <w:vAlign w:val="bottom"/>
            <w:tcBorders>
              <w:top w:val="single" w:sz="8" w:color="457157"/>
              <w:bottom w:val="single" w:sz="8" w:color="457157"/>
              <w:right w:val="single" w:sz="8" w:color="CCEEFF"/>
            </w:tcBorders>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93"/>
        </w:trPr>
        <w:tc>
          <w:tcPr>
            <w:tcW w:w="1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5700" w:type="dxa"/>
            <w:vAlign w:val="bottom"/>
          </w:tcPr>
          <w:p>
            <w:pPr>
              <w:spacing w:after="0"/>
              <w:rPr>
                <w:sz w:val="24"/>
                <w:szCs w:val="24"/>
                <w:color w:val="auto"/>
              </w:rPr>
            </w:pPr>
          </w:p>
        </w:tc>
        <w:tc>
          <w:tcPr>
            <w:tcW w:w="100" w:type="dxa"/>
            <w:vAlign w:val="bottom"/>
            <w:tcBorders>
              <w:bottom w:val="single" w:sz="8" w:color="457157"/>
            </w:tcBorders>
          </w:tcPr>
          <w:p>
            <w:pPr>
              <w:spacing w:after="0"/>
              <w:rPr>
                <w:sz w:val="20"/>
                <w:szCs w:val="20"/>
                <w:color w:val="auto"/>
              </w:rPr>
            </w:pPr>
            <w:r>
              <w:rPr>
                <w:rFonts w:ascii="Arial" w:cs="Arial" w:eastAsia="Arial" w:hAnsi="Arial"/>
                <w:sz w:val="14"/>
                <w:szCs w:val="14"/>
                <w:b w:val="1"/>
                <w:bCs w:val="1"/>
                <w:color w:val="457157"/>
              </w:rPr>
              <w:t>​</w:t>
            </w:r>
          </w:p>
        </w:tc>
        <w:tc>
          <w:tcPr>
            <w:tcW w:w="180" w:type="dxa"/>
            <w:vAlign w:val="bottom"/>
            <w:tcBorders>
              <w:bottom w:val="single" w:sz="8" w:color="457157"/>
            </w:tcBorders>
          </w:tcPr>
          <w:p>
            <w:pPr>
              <w:spacing w:after="0"/>
              <w:rPr>
                <w:sz w:val="24"/>
                <w:szCs w:val="24"/>
                <w:color w:val="auto"/>
              </w:rPr>
            </w:pPr>
          </w:p>
        </w:tc>
        <w:tc>
          <w:tcPr>
            <w:tcW w:w="3500" w:type="dxa"/>
            <w:vAlign w:val="bottom"/>
            <w:tcBorders>
              <w:bottom w:val="single" w:sz="8" w:color="457157"/>
            </w:tcBorders>
            <w:gridSpan w:val="14"/>
          </w:tcPr>
          <w:p>
            <w:pPr>
              <w:jc w:val="right"/>
              <w:ind w:right="211"/>
              <w:spacing w:after="0"/>
              <w:rPr>
                <w:sz w:val="20"/>
                <w:szCs w:val="20"/>
                <w:color w:val="auto"/>
              </w:rPr>
            </w:pPr>
            <w:r>
              <w:rPr>
                <w:rFonts w:ascii="Arial" w:cs="Arial" w:eastAsia="Arial" w:hAnsi="Arial"/>
                <w:sz w:val="14"/>
                <w:szCs w:val="14"/>
                <w:b w:val="1"/>
                <w:bCs w:val="1"/>
                <w:color w:val="457157"/>
              </w:rPr>
              <w:t>Twelve Months Ended December 31, 2022</w:t>
            </w:r>
          </w:p>
        </w:tc>
        <w:tc>
          <w:tcPr>
            <w:tcW w:w="80" w:type="dxa"/>
            <w:vAlign w:val="bottom"/>
            <w:tcBorders>
              <w:bottom w:val="single" w:sz="8" w:color="457157"/>
            </w:tcBorders>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80" w:type="dxa"/>
            <w:vAlign w:val="bottom"/>
            <w:gridSpan w:val="14"/>
          </w:tcPr>
          <w:p>
            <w:pPr>
              <w:ind w:left="40"/>
              <w:spacing w:after="0"/>
              <w:rPr>
                <w:sz w:val="20"/>
                <w:szCs w:val="20"/>
                <w:color w:val="auto"/>
              </w:rPr>
            </w:pPr>
            <w:r>
              <w:rPr>
                <w:rFonts w:ascii="Arial" w:cs="Arial" w:eastAsia="Arial" w:hAnsi="Arial"/>
                <w:sz w:val="14"/>
                <w:szCs w:val="14"/>
                <w:b w:val="1"/>
                <w:bCs w:val="1"/>
                <w:color w:val="457157"/>
              </w:rPr>
              <w:t>Income from Depreciation and Operating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5700" w:type="dxa"/>
            <w:vAlign w:val="bottom"/>
          </w:tcPr>
          <w:p>
            <w:pPr>
              <w:spacing w:after="0"/>
              <w:rPr>
                <w:sz w:val="17"/>
                <w:szCs w:val="17"/>
                <w:color w:val="auto"/>
              </w:rPr>
            </w:pPr>
          </w:p>
        </w:tc>
        <w:tc>
          <w:tcPr>
            <w:tcW w:w="1900" w:type="dxa"/>
            <w:vAlign w:val="bottom"/>
            <w:gridSpan w:val="9"/>
          </w:tcPr>
          <w:p>
            <w:pPr>
              <w:jc w:val="center"/>
              <w:ind w:right="73"/>
              <w:spacing w:after="0" w:line="202" w:lineRule="exact"/>
              <w:rPr>
                <w:sz w:val="20"/>
                <w:szCs w:val="20"/>
                <w:color w:val="auto"/>
              </w:rPr>
            </w:pP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Revenue</w:t>
            </w: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Operations</w:t>
            </w:r>
            <w:r>
              <w:rPr>
                <w:rFonts w:ascii="Arial" w:cs="Arial" w:eastAsia="Arial" w:hAnsi="Arial"/>
                <w:sz w:val="23"/>
                <w:szCs w:val="23"/>
                <w:b w:val="1"/>
                <w:bCs w:val="1"/>
                <w:color w:val="457157"/>
                <w:vertAlign w:val="subscript"/>
              </w:rPr>
              <w:t>​</w:t>
            </w:r>
          </w:p>
        </w:tc>
        <w:tc>
          <w:tcPr>
            <w:tcW w:w="200" w:type="dxa"/>
            <w:vAlign w:val="bottom"/>
          </w:tcPr>
          <w:p>
            <w:pPr>
              <w:spacing w:after="0"/>
              <w:rPr>
                <w:sz w:val="17"/>
                <w:szCs w:val="17"/>
                <w:color w:val="auto"/>
              </w:rPr>
            </w:pPr>
          </w:p>
        </w:tc>
        <w:tc>
          <w:tcPr>
            <w:tcW w:w="1140" w:type="dxa"/>
            <w:vAlign w:val="bottom"/>
            <w:gridSpan w:val="4"/>
          </w:tcPr>
          <w:p>
            <w:pPr>
              <w:spacing w:after="0" w:line="202" w:lineRule="exact"/>
              <w:rPr>
                <w:sz w:val="20"/>
                <w:szCs w:val="20"/>
                <w:color w:val="auto"/>
              </w:rPr>
            </w:pPr>
            <w:r>
              <w:rPr>
                <w:rFonts w:ascii="Arial" w:cs="Arial" w:eastAsia="Arial" w:hAnsi="Arial"/>
                <w:sz w:val="13"/>
                <w:szCs w:val="13"/>
                <w:b w:val="1"/>
                <w:bCs w:val="1"/>
                <w:color w:val="457157"/>
              </w:rPr>
              <w:t>amortization</w:t>
            </w:r>
            <w:r>
              <w:rPr>
                <w:rFonts w:ascii="Arial" w:cs="Arial" w:eastAsia="Arial" w:hAnsi="Arial"/>
                <w:sz w:val="23"/>
                <w:szCs w:val="23"/>
                <w:b w:val="1"/>
                <w:bCs w:val="1"/>
                <w:color w:val="457157"/>
                <w:vertAlign w:val="subscript"/>
              </w:rPr>
              <w:t>​</w:t>
            </w:r>
          </w:p>
        </w:tc>
        <w:tc>
          <w:tcPr>
            <w:tcW w:w="680" w:type="dxa"/>
            <w:vAlign w:val="bottom"/>
            <w:gridSpan w:val="4"/>
          </w:tcPr>
          <w:p>
            <w:pPr>
              <w:jc w:val="right"/>
              <w:spacing w:after="0" w:line="202" w:lineRule="exact"/>
              <w:rPr>
                <w:sz w:val="20"/>
                <w:szCs w:val="20"/>
                <w:color w:val="auto"/>
              </w:rPr>
            </w:pPr>
            <w:r>
              <w:rPr>
                <w:rFonts w:ascii="Arial" w:cs="Arial" w:eastAsia="Arial" w:hAnsi="Arial"/>
                <w:sz w:val="13"/>
                <w:szCs w:val="13"/>
                <w:b w:val="1"/>
                <w:bCs w:val="1"/>
                <w:color w:val="457157"/>
              </w:rPr>
              <w:t>EBITDA</w:t>
            </w:r>
            <w:r>
              <w:rPr>
                <w:rFonts w:ascii="Arial" w:cs="Arial" w:eastAsia="Arial" w:hAnsi="Arial"/>
                <w:sz w:val="23"/>
                <w:szCs w:val="23"/>
                <w:b w:val="1"/>
                <w:bCs w:val="1"/>
                <w:color w:val="457157"/>
                <w:vertAlign w:val="subscript"/>
              </w:rPr>
              <w:t>​</w:t>
            </w:r>
          </w:p>
        </w:tc>
        <w:tc>
          <w:tcPr>
            <w:tcW w:w="0" w:type="dxa"/>
            <w:vAlign w:val="bottom"/>
          </w:tcPr>
          <w:p>
            <w:pPr>
              <w:spacing w:after="0"/>
              <w:rPr>
                <w:sz w:val="1"/>
                <w:szCs w:val="1"/>
                <w:color w:val="auto"/>
              </w:rPr>
            </w:pPr>
          </w:p>
        </w:tc>
      </w:tr>
      <w:tr>
        <w:trPr>
          <w:trHeight w:val="20"/>
        </w:trPr>
        <w:tc>
          <w:tcPr>
            <w:tcW w:w="5820" w:type="dxa"/>
            <w:vAlign w:val="bottom"/>
            <w:gridSpan w:val="2"/>
            <w:shd w:val="clear" w:color="auto" w:fill="457157"/>
          </w:tcPr>
          <w:p>
            <w:pPr>
              <w:spacing w:after="0" w:line="20" w:lineRule="exact"/>
              <w:rPr>
                <w:sz w:val="1"/>
                <w:szCs w:val="1"/>
                <w:color w:val="auto"/>
              </w:rPr>
            </w:pPr>
          </w:p>
        </w:tc>
        <w:tc>
          <w:tcPr>
            <w:tcW w:w="680" w:type="dxa"/>
            <w:vAlign w:val="bottom"/>
            <w:gridSpan w:val="3"/>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740" w:type="dxa"/>
            <w:vAlign w:val="bottom"/>
            <w:gridSpan w:val="3"/>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00" w:type="dxa"/>
            <w:vAlign w:val="bottom"/>
            <w:gridSpan w:val="3"/>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gridSpan w:val="2"/>
          </w:tcPr>
          <w:p>
            <w:pPr>
              <w:spacing w:after="0" w:line="196" w:lineRule="exact"/>
              <w:rPr>
                <w:sz w:val="20"/>
                <w:szCs w:val="20"/>
                <w:color w:val="auto"/>
              </w:rPr>
            </w:pPr>
            <w:r>
              <w:rPr>
                <w:rFonts w:ascii="Arial" w:cs="Arial" w:eastAsia="Arial" w:hAnsi="Arial"/>
                <w:sz w:val="18"/>
                <w:szCs w:val="18"/>
                <w:color w:val="auto"/>
              </w:rPr>
              <w:t>As reported amounts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$19,698</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$ 3,365</w:t>
            </w:r>
          </w:p>
        </w:tc>
        <w:tc>
          <w:tcPr>
            <w:tcW w:w="280" w:type="dxa"/>
            <w:vAlign w:val="bottom"/>
            <w:vMerge w:val="restart"/>
          </w:tcPr>
          <w:p>
            <w:pPr>
              <w:jc w:val="right"/>
              <w:ind w:right="53"/>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$ 2,038</w:t>
            </w:r>
          </w:p>
        </w:tc>
        <w:tc>
          <w:tcPr>
            <w:tcW w:w="200" w:type="dxa"/>
            <w:vAlign w:val="bottom"/>
          </w:tcPr>
          <w:p>
            <w:pPr>
              <w:spacing w:after="0"/>
              <w:rPr>
                <w:sz w:val="17"/>
                <w:szCs w:val="17"/>
                <w:color w:val="auto"/>
              </w:rPr>
            </w:pPr>
          </w:p>
        </w:tc>
        <w:tc>
          <w:tcPr>
            <w:tcW w:w="340" w:type="dxa"/>
            <w:vAlign w:val="bottom"/>
          </w:tcPr>
          <w:p>
            <w:pPr>
              <w:ind w:left="240"/>
              <w:spacing w:after="0" w:line="196" w:lineRule="exact"/>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7"/>
              </w:rPr>
              <w:t>5,403</w:t>
            </w:r>
          </w:p>
        </w:tc>
        <w:tc>
          <w:tcPr>
            <w:tcW w:w="80" w:type="dxa"/>
            <w:vAlign w:val="bottom"/>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Arial" w:cs="Arial" w:eastAsia="Arial" w:hAnsi="Arial"/>
                <w:sz w:val="7"/>
                <w:szCs w:val="7"/>
                <w:color w:val="auto"/>
              </w:rPr>
              <w:t>​​</w:t>
            </w: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gridSpan w:val="2"/>
          </w:tcPr>
          <w:p>
            <w:pPr>
              <w:jc w:val="center"/>
              <w:spacing w:after="0" w:line="68" w:lineRule="exact"/>
              <w:rPr>
                <w:sz w:val="20"/>
                <w:szCs w:val="20"/>
                <w:color w:val="auto"/>
              </w:rPr>
            </w:pPr>
            <w:r>
              <w:rPr>
                <w:rFonts w:ascii="Arial" w:cs="Arial" w:eastAsia="Arial" w:hAnsi="Arial"/>
                <w:sz w:val="7"/>
                <w:szCs w:val="7"/>
                <w:color w:val="auto"/>
              </w:rPr>
              <w:t>​</w:t>
            </w: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ind w:left="120"/>
              <w:spacing w:after="0" w:line="68" w:lineRule="exact"/>
              <w:rPr>
                <w:sz w:val="20"/>
                <w:szCs w:val="20"/>
                <w:color w:val="auto"/>
              </w:rPr>
            </w:pPr>
            <w:r>
              <w:rPr>
                <w:rFonts w:ascii="Arial" w:cs="Arial" w:eastAsia="Arial" w:hAnsi="Arial"/>
                <w:sz w:val="7"/>
                <w:szCs w:val="7"/>
                <w:color w:val="auto"/>
              </w:rPr>
              <w:t>​</w:t>
            </w: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ind w:left="120"/>
              <w:spacing w:after="0" w:line="68" w:lineRule="exact"/>
              <w:rPr>
                <w:sz w:val="20"/>
                <w:szCs w:val="20"/>
                <w:color w:val="auto"/>
              </w:rPr>
            </w:pPr>
            <w:r>
              <w:rPr>
                <w:rFonts w:ascii="Arial" w:cs="Arial" w:eastAsia="Arial" w:hAnsi="Arial"/>
                <w:sz w:val="7"/>
                <w:szCs w:val="7"/>
                <w:color w:val="auto"/>
              </w:rPr>
              <w:t>​​​</w:t>
            </w: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820" w:type="dxa"/>
            <w:vAlign w:val="bottom"/>
            <w:gridSpan w:val="2"/>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4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gridSpan w:val="2"/>
          </w:tcPr>
          <w:p>
            <w:pPr>
              <w:spacing w:after="0" w:line="196" w:lineRule="exact"/>
              <w:rPr>
                <w:sz w:val="20"/>
                <w:szCs w:val="20"/>
                <w:color w:val="auto"/>
              </w:rPr>
            </w:pPr>
            <w:r>
              <w:rPr>
                <w:rFonts w:ascii="Arial" w:cs="Arial" w:eastAsia="Arial" w:hAnsi="Arial"/>
                <w:sz w:val="18"/>
                <w:szCs w:val="18"/>
                <w:color w:val="auto"/>
              </w:rPr>
              <w:t>Adjustments:</w:t>
            </w: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200" w:type="dxa"/>
            <w:vAlign w:val="bottom"/>
            <w:vMerge w:val="restart"/>
          </w:tcPr>
          <w:p>
            <w:pPr>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ind w:left="12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7"/>
                <w:szCs w:val="17"/>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457157"/>
          </w:tcPr>
          <w:p>
            <w:pPr>
              <w:spacing w:after="0" w:line="20" w:lineRule="exact"/>
              <w:rPr>
                <w:sz w:val="1"/>
                <w:szCs w:val="1"/>
                <w:color w:val="auto"/>
              </w:rPr>
            </w:pPr>
          </w:p>
        </w:tc>
        <w:tc>
          <w:tcPr>
            <w:tcW w:w="570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4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160" w:type="dxa"/>
            <w:vAlign w:val="bottom"/>
            <w:gridSpan w:val="2"/>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540" w:type="dxa"/>
            <w:vAlign w:val="bottom"/>
            <w:tcBorders>
              <w:right w:val="single" w:sz="8" w:color="457157"/>
            </w:tcBorders>
            <w:gridSpan w:val="2"/>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700" w:type="dxa"/>
            <w:vAlign w:val="bottom"/>
          </w:tcPr>
          <w:p>
            <w:pPr>
              <w:ind w:left="60"/>
              <w:spacing w:after="0"/>
              <w:rPr>
                <w:sz w:val="20"/>
                <w:szCs w:val="20"/>
                <w:color w:val="auto"/>
              </w:rPr>
            </w:pPr>
            <w:r>
              <w:rPr>
                <w:rFonts w:ascii="Arial" w:cs="Arial" w:eastAsia="Arial" w:hAnsi="Arial"/>
                <w:sz w:val="18"/>
                <w:szCs w:val="18"/>
                <w:color w:val="auto"/>
              </w:rPr>
              <w:t>LESS: Net impacts of recycling brokerage business</w:t>
            </w:r>
          </w:p>
        </w:tc>
        <w:tc>
          <w:tcPr>
            <w:tcW w:w="280" w:type="dxa"/>
            <w:vAlign w:val="bottom"/>
            <w:gridSpan w:val="2"/>
          </w:tcPr>
          <w:p>
            <w:pPr>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779</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2"/>
                <w:szCs w:val="22"/>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line="264" w:lineRule="exact"/>
              <w:rPr>
                <w:sz w:val="20"/>
                <w:szCs w:val="20"/>
                <w:color w:val="auto"/>
              </w:rPr>
            </w:pPr>
            <w:r>
              <w:rPr>
                <w:rFonts w:ascii="Arial" w:cs="Arial" w:eastAsia="Arial" w:hAnsi="Arial"/>
                <w:sz w:val="16"/>
                <w:szCs w:val="16"/>
                <w:color w:val="auto"/>
              </w:rPr>
              <w:t>(7)</w:t>
            </w:r>
            <w:r>
              <w:rPr>
                <w:rFonts w:ascii="Arial" w:cs="Arial" w:eastAsia="Arial" w:hAnsi="Arial"/>
                <w:sz w:val="30"/>
                <w:szCs w:val="30"/>
                <w:color w:val="auto"/>
                <w:vertAlign w:val="subscript"/>
              </w:rPr>
              <w:t>​​</w:t>
            </w:r>
          </w:p>
        </w:tc>
        <w:tc>
          <w:tcPr>
            <w:tcW w:w="0" w:type="dxa"/>
            <w:vAlign w:val="bottom"/>
          </w:tcPr>
          <w:p>
            <w:pPr>
              <w:spacing w:after="0"/>
              <w:rPr>
                <w:sz w:val="1"/>
                <w:szCs w:val="1"/>
                <w:color w:val="auto"/>
              </w:rPr>
            </w:pPr>
          </w:p>
        </w:tc>
      </w:tr>
      <w:tr>
        <w:trPr>
          <w:trHeight w:val="218"/>
        </w:trPr>
        <w:tc>
          <w:tcPr>
            <w:tcW w:w="120" w:type="dxa"/>
            <w:vAlign w:val="bottom"/>
            <w:tcBorders>
              <w:top w:val="single" w:sz="8" w:color="457157"/>
            </w:tcBorders>
          </w:tcPr>
          <w:p>
            <w:pPr>
              <w:spacing w:after="0"/>
              <w:rPr>
                <w:sz w:val="18"/>
                <w:szCs w:val="18"/>
                <w:color w:val="auto"/>
              </w:rPr>
            </w:pPr>
          </w:p>
        </w:tc>
        <w:tc>
          <w:tcPr>
            <w:tcW w:w="570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ADD: “Restructuring” and “(Gain) Loss from Divestitures, Asset</w:t>
            </w:r>
          </w:p>
        </w:tc>
        <w:tc>
          <w:tcPr>
            <w:tcW w:w="100" w:type="dxa"/>
            <w:vAlign w:val="bottom"/>
            <w:tcBorders>
              <w:top w:val="single" w:sz="8" w:color="457157"/>
            </w:tcBorders>
          </w:tcPr>
          <w:p>
            <w:pPr>
              <w:spacing w:after="0"/>
              <w:rPr>
                <w:sz w:val="18"/>
                <w:szCs w:val="18"/>
                <w:color w:val="auto"/>
              </w:rPr>
            </w:pPr>
          </w:p>
        </w:tc>
        <w:tc>
          <w:tcPr>
            <w:tcW w:w="180" w:type="dxa"/>
            <w:vAlign w:val="bottom"/>
            <w:tcBorders>
              <w:top w:val="single" w:sz="8" w:color="457157"/>
            </w:tcBorders>
          </w:tcPr>
          <w:p>
            <w:pPr>
              <w:spacing w:after="0"/>
              <w:rPr>
                <w:sz w:val="18"/>
                <w:szCs w:val="18"/>
                <w:color w:val="auto"/>
              </w:rPr>
            </w:pPr>
          </w:p>
        </w:tc>
        <w:tc>
          <w:tcPr>
            <w:tcW w:w="40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80" w:type="dxa"/>
            <w:vAlign w:val="bottom"/>
            <w:tcBorders>
              <w:top w:val="single" w:sz="8" w:color="457157"/>
            </w:tcBorders>
          </w:tcPr>
          <w:p>
            <w:pPr>
              <w:spacing w:after="0"/>
              <w:rPr>
                <w:sz w:val="18"/>
                <w:szCs w:val="18"/>
                <w:color w:val="auto"/>
              </w:rPr>
            </w:pPr>
          </w:p>
        </w:tc>
        <w:tc>
          <w:tcPr>
            <w:tcW w:w="80" w:type="dxa"/>
            <w:vAlign w:val="bottom"/>
            <w:tcBorders>
              <w:top w:val="single" w:sz="8" w:color="457157"/>
            </w:tcBorders>
          </w:tcPr>
          <w:p>
            <w:pPr>
              <w:spacing w:after="0"/>
              <w:rPr>
                <w:sz w:val="18"/>
                <w:szCs w:val="18"/>
                <w:color w:val="auto"/>
              </w:rPr>
            </w:pPr>
          </w:p>
        </w:tc>
        <w:tc>
          <w:tcPr>
            <w:tcW w:w="160" w:type="dxa"/>
            <w:vAlign w:val="bottom"/>
            <w:tcBorders>
              <w:top w:val="single" w:sz="8" w:color="457157"/>
            </w:tcBorders>
          </w:tcPr>
          <w:p>
            <w:pPr>
              <w:spacing w:after="0"/>
              <w:rPr>
                <w:sz w:val="18"/>
                <w:szCs w:val="18"/>
                <w:color w:val="auto"/>
              </w:rPr>
            </w:pPr>
          </w:p>
        </w:tc>
        <w:tc>
          <w:tcPr>
            <w:tcW w:w="500" w:type="dxa"/>
            <w:vAlign w:val="bottom"/>
            <w:tcBorders>
              <w:top w:val="single" w:sz="8" w:color="457157"/>
            </w:tcBorders>
          </w:tcPr>
          <w:p>
            <w:pPr>
              <w:spacing w:after="0"/>
              <w:rPr>
                <w:sz w:val="18"/>
                <w:szCs w:val="18"/>
                <w:color w:val="auto"/>
              </w:rPr>
            </w:pPr>
          </w:p>
        </w:tc>
        <w:tc>
          <w:tcPr>
            <w:tcW w:w="28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140" w:type="dxa"/>
            <w:vAlign w:val="bottom"/>
            <w:tcBorders>
              <w:top w:val="single" w:sz="8" w:color="457157"/>
            </w:tcBorders>
          </w:tcPr>
          <w:p>
            <w:pPr>
              <w:spacing w:after="0"/>
              <w:rPr>
                <w:sz w:val="18"/>
                <w:szCs w:val="18"/>
                <w:color w:val="auto"/>
              </w:rPr>
            </w:pPr>
          </w:p>
        </w:tc>
        <w:tc>
          <w:tcPr>
            <w:tcW w:w="46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340" w:type="dxa"/>
            <w:vAlign w:val="bottom"/>
            <w:tcBorders>
              <w:top w:val="single" w:sz="8" w:color="457157"/>
            </w:tcBorders>
          </w:tcPr>
          <w:p>
            <w:pPr>
              <w:spacing w:after="0"/>
              <w:rPr>
                <w:sz w:val="18"/>
                <w:szCs w:val="18"/>
                <w:color w:val="auto"/>
              </w:rPr>
            </w:pPr>
          </w:p>
        </w:tc>
        <w:tc>
          <w:tcPr>
            <w:tcW w:w="80" w:type="dxa"/>
            <w:vAlign w:val="bottom"/>
            <w:tcBorders>
              <w:top w:val="single" w:sz="8" w:color="457157"/>
            </w:tcBorders>
          </w:tcPr>
          <w:p>
            <w:pPr>
              <w:spacing w:after="0"/>
              <w:rPr>
                <w:sz w:val="18"/>
                <w:szCs w:val="18"/>
                <w:color w:val="auto"/>
              </w:rPr>
            </w:pPr>
          </w:p>
        </w:tc>
        <w:tc>
          <w:tcPr>
            <w:tcW w:w="460" w:type="dxa"/>
            <w:vAlign w:val="bottom"/>
            <w:tcBorders>
              <w:top w:val="single" w:sz="8" w:color="457157"/>
            </w:tcBorders>
          </w:tcPr>
          <w:p>
            <w:pPr>
              <w:spacing w:after="0"/>
              <w:rPr>
                <w:sz w:val="18"/>
                <w:szCs w:val="18"/>
                <w:color w:val="auto"/>
              </w:rPr>
            </w:pPr>
          </w:p>
        </w:tc>
        <w:tc>
          <w:tcPr>
            <w:tcW w:w="80" w:type="dxa"/>
            <w:vAlign w:val="bottom"/>
            <w:tcBorders>
              <w:top w:val="single" w:sz="8" w:color="457157"/>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700" w:type="dxa"/>
            <w:vAlign w:val="bottom"/>
          </w:tcPr>
          <w:p>
            <w:pPr>
              <w:ind w:left="240"/>
              <w:spacing w:after="0"/>
              <w:rPr>
                <w:sz w:val="20"/>
                <w:szCs w:val="20"/>
                <w:color w:val="auto"/>
              </w:rPr>
            </w:pPr>
            <w:r>
              <w:rPr>
                <w:rFonts w:ascii="Arial" w:cs="Arial" w:eastAsia="Arial" w:hAnsi="Arial"/>
                <w:sz w:val="18"/>
                <w:szCs w:val="18"/>
                <w:color w:val="auto"/>
              </w:rPr>
              <w:t>Impairments and Unusual Items, Net”</w:t>
            </w:r>
          </w:p>
        </w:tc>
        <w:tc>
          <w:tcPr>
            <w:tcW w:w="280" w:type="dxa"/>
            <w:vAlign w:val="bottom"/>
            <w:gridSpan w:val="2"/>
          </w:tcPr>
          <w:p>
            <w:pPr>
              <w:spacing w:after="0"/>
              <w:rPr>
                <w:sz w:val="20"/>
                <w:szCs w:val="20"/>
                <w:color w:val="auto"/>
              </w:rPr>
            </w:pPr>
            <w:r>
              <w:rPr>
                <w:rFonts w:ascii="Arial" w:cs="Arial" w:eastAsia="Arial" w:hAnsi="Arial"/>
                <w:sz w:val="18"/>
                <w:szCs w:val="18"/>
                <w:color w:val="auto"/>
              </w:rPr>
              <w:t>​​ ​</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 ​</w:t>
            </w: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457157"/>
          </w:tcPr>
          <w:p>
            <w:pPr>
              <w:spacing w:after="0" w:line="20" w:lineRule="exact"/>
              <w:rPr>
                <w:sz w:val="1"/>
                <w:szCs w:val="1"/>
                <w:color w:val="auto"/>
              </w:rPr>
            </w:pPr>
          </w:p>
        </w:tc>
        <w:tc>
          <w:tcPr>
            <w:tcW w:w="570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520" w:type="dxa"/>
            <w:vAlign w:val="bottom"/>
            <w:gridSpan w:val="2"/>
            <w:shd w:val="clear" w:color="auto" w:fill="457157"/>
          </w:tcPr>
          <w:p>
            <w:pPr>
              <w:spacing w:after="0" w:line="20" w:lineRule="exact"/>
              <w:rPr>
                <w:sz w:val="1"/>
                <w:szCs w:val="1"/>
                <w:color w:val="auto"/>
              </w:rPr>
            </w:pPr>
          </w:p>
        </w:tc>
        <w:tc>
          <w:tcPr>
            <w:tcW w:w="160" w:type="dxa"/>
            <w:vAlign w:val="bottom"/>
            <w:gridSpan w:val="2"/>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700" w:type="dxa"/>
            <w:vAlign w:val="bottom"/>
          </w:tcPr>
          <w:p>
            <w:pPr>
              <w:ind w:left="60"/>
              <w:spacing w:after="0"/>
              <w:rPr>
                <w:sz w:val="20"/>
                <w:szCs w:val="20"/>
                <w:color w:val="auto"/>
              </w:rPr>
            </w:pPr>
            <w:r>
              <w:rPr>
                <w:rFonts w:ascii="Arial" w:cs="Arial" w:eastAsia="Arial" w:hAnsi="Arial"/>
                <w:sz w:val="18"/>
                <w:szCs w:val="18"/>
                <w:color w:val="auto"/>
              </w:rPr>
              <w:t>ADD: Accrual adjustment</w:t>
            </w:r>
            <w:r>
              <w:rPr>
                <w:rFonts w:ascii="Arial" w:cs="Arial" w:eastAsia="Arial" w:hAnsi="Arial"/>
                <w:sz w:val="23"/>
                <w:szCs w:val="23"/>
                <w:color w:val="auto"/>
                <w:vertAlign w:val="superscript"/>
              </w:rPr>
              <w:t>(b)</w:t>
            </w:r>
          </w:p>
        </w:tc>
        <w:tc>
          <w:tcPr>
            <w:tcW w:w="280" w:type="dxa"/>
            <w:vAlign w:val="bottom"/>
            <w:gridSpan w:val="2"/>
          </w:tcPr>
          <w:p>
            <w:pPr>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520" w:type="dxa"/>
            <w:vAlign w:val="bottom"/>
            <w:gridSpan w:val="2"/>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w:t>
            </w:r>
          </w:p>
        </w:tc>
        <w:tc>
          <w:tcPr>
            <w:tcW w:w="16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gridSpan w:val="2"/>
            <w:shd w:val="clear" w:color="auto" w:fill="457157"/>
          </w:tcPr>
          <w:p>
            <w:pPr>
              <w:spacing w:after="0" w:line="20" w:lineRule="exact"/>
              <w:rPr>
                <w:sz w:val="1"/>
                <w:szCs w:val="1"/>
                <w:color w:val="auto"/>
              </w:rPr>
            </w:pPr>
          </w:p>
        </w:tc>
        <w:tc>
          <w:tcPr>
            <w:tcW w:w="680" w:type="dxa"/>
            <w:vAlign w:val="bottom"/>
            <w:gridSpan w:val="3"/>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740" w:type="dxa"/>
            <w:vAlign w:val="bottom"/>
            <w:gridSpan w:val="3"/>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00" w:type="dxa"/>
            <w:vAlign w:val="bottom"/>
            <w:gridSpan w:val="3"/>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Calculated Performance Amounts</w:t>
            </w: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$18,919</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$ 3,439</w:t>
            </w:r>
          </w:p>
        </w:tc>
        <w:tc>
          <w:tcPr>
            <w:tcW w:w="280" w:type="dxa"/>
            <w:vAlign w:val="bottom"/>
            <w:vMerge w:val="restart"/>
          </w:tcPr>
          <w:p>
            <w:pPr>
              <w:jc w:val="right"/>
              <w:ind w:right="53"/>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$ 2,036</w:t>
            </w:r>
          </w:p>
        </w:tc>
        <w:tc>
          <w:tcPr>
            <w:tcW w:w="200" w:type="dxa"/>
            <w:vAlign w:val="bottom"/>
          </w:tcPr>
          <w:p>
            <w:pPr>
              <w:spacing w:after="0"/>
              <w:rPr>
                <w:sz w:val="17"/>
                <w:szCs w:val="17"/>
                <w:color w:val="auto"/>
              </w:rPr>
            </w:pPr>
          </w:p>
        </w:tc>
        <w:tc>
          <w:tcPr>
            <w:tcW w:w="340" w:type="dxa"/>
            <w:vAlign w:val="bottom"/>
          </w:tcPr>
          <w:p>
            <w:pPr>
              <w:ind w:left="240"/>
              <w:spacing w:after="0" w:line="196" w:lineRule="exact"/>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7"/>
              </w:rPr>
              <w:t>5,475</w:t>
            </w:r>
          </w:p>
        </w:tc>
        <w:tc>
          <w:tcPr>
            <w:tcW w:w="80" w:type="dxa"/>
            <w:vAlign w:val="bottom"/>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5700" w:type="dxa"/>
            <w:vAlign w:val="bottom"/>
          </w:tcPr>
          <w:p>
            <w:pPr>
              <w:spacing w:after="0"/>
              <w:rPr>
                <w:sz w:val="5"/>
                <w:szCs w:val="5"/>
                <w:color w:val="auto"/>
              </w:rPr>
            </w:pPr>
          </w:p>
        </w:tc>
        <w:tc>
          <w:tcPr>
            <w:tcW w:w="100" w:type="dxa"/>
            <w:vAlign w:val="bottom"/>
          </w:tcPr>
          <w:p>
            <w:pPr>
              <w:spacing w:after="0" w:line="68" w:lineRule="exact"/>
              <w:rPr>
                <w:sz w:val="20"/>
                <w:szCs w:val="20"/>
                <w:color w:val="auto"/>
              </w:rPr>
            </w:pPr>
            <w:r>
              <w:rPr>
                <w:rFonts w:ascii="Arial" w:cs="Arial" w:eastAsia="Arial" w:hAnsi="Arial"/>
                <w:sz w:val="7"/>
                <w:szCs w:val="7"/>
                <w:color w:val="auto"/>
              </w:rPr>
              <w:t>​​</w:t>
            </w: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gridSpan w:val="2"/>
          </w:tcPr>
          <w:p>
            <w:pPr>
              <w:jc w:val="center"/>
              <w:spacing w:after="0" w:line="68" w:lineRule="exact"/>
              <w:rPr>
                <w:sz w:val="20"/>
                <w:szCs w:val="20"/>
                <w:color w:val="auto"/>
              </w:rPr>
            </w:pPr>
            <w:r>
              <w:rPr>
                <w:rFonts w:ascii="Arial" w:cs="Arial" w:eastAsia="Arial" w:hAnsi="Arial"/>
                <w:sz w:val="7"/>
                <w:szCs w:val="7"/>
                <w:color w:val="auto"/>
              </w:rPr>
              <w:t>​</w:t>
            </w: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200" w:type="dxa"/>
            <w:vAlign w:val="bottom"/>
          </w:tcPr>
          <w:p>
            <w:pPr>
              <w:ind w:left="120"/>
              <w:spacing w:after="0" w:line="68" w:lineRule="exact"/>
              <w:rPr>
                <w:sz w:val="20"/>
                <w:szCs w:val="20"/>
                <w:color w:val="auto"/>
              </w:rPr>
            </w:pPr>
            <w:r>
              <w:rPr>
                <w:rFonts w:ascii="Arial" w:cs="Arial" w:eastAsia="Arial" w:hAnsi="Arial"/>
                <w:sz w:val="7"/>
                <w:szCs w:val="7"/>
                <w:color w:val="auto"/>
              </w:rPr>
              <w:t>​</w:t>
            </w: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ind w:left="120"/>
              <w:spacing w:after="0" w:line="68" w:lineRule="exact"/>
              <w:rPr>
                <w:sz w:val="20"/>
                <w:szCs w:val="20"/>
                <w:color w:val="auto"/>
              </w:rPr>
            </w:pPr>
            <w:r>
              <w:rPr>
                <w:rFonts w:ascii="Arial" w:cs="Arial" w:eastAsia="Arial" w:hAnsi="Arial"/>
                <w:sz w:val="7"/>
                <w:szCs w:val="7"/>
                <w:color w:val="auto"/>
              </w:rPr>
              <w:t>​​​</w:t>
            </w: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457157"/>
          </w:tcPr>
          <w:p>
            <w:pPr>
              <w:spacing w:after="0" w:line="20" w:lineRule="exact"/>
              <w:rPr>
                <w:sz w:val="1"/>
                <w:szCs w:val="1"/>
                <w:color w:val="auto"/>
              </w:rPr>
            </w:pPr>
          </w:p>
        </w:tc>
        <w:tc>
          <w:tcPr>
            <w:tcW w:w="570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4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5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460" w:type="dxa"/>
            <w:vAlign w:val="bottom"/>
            <w:shd w:val="clear" w:color="auto" w:fill="457157"/>
          </w:tcPr>
          <w:p>
            <w:pPr>
              <w:spacing w:after="0" w:line="20" w:lineRule="exact"/>
              <w:rPr>
                <w:sz w:val="1"/>
                <w:szCs w:val="1"/>
                <w:color w:val="auto"/>
              </w:rPr>
            </w:pPr>
          </w:p>
        </w:tc>
        <w:tc>
          <w:tcPr>
            <w:tcW w:w="80" w:type="dxa"/>
            <w:vAlign w:val="bottom"/>
            <w:tcBorders>
              <w:right w:val="single" w:sz="8" w:color="457157"/>
            </w:tcBorders>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-1224915</wp:posOffset>
            </wp:positionV>
            <wp:extent cx="6155055" cy="1797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155055"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-865505</wp:posOffset>
            </wp:positionV>
            <wp:extent cx="6155055" cy="1803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155055" cy="18034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-368300</wp:posOffset>
            </wp:positionV>
            <wp:extent cx="6155055" cy="1803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155055" cy="180340"/>
                    </a:xfrm>
                    <a:prstGeom prst="rect">
                      <a:avLst/>
                    </a:prstGeom>
                    <a:noFill/>
                  </pic:spPr>
                </pic:pic>
              </a:graphicData>
            </a:graphic>
          </wp:anchor>
        </w:drawing>
      </w:r>
    </w:p>
    <w:p>
      <w:pPr>
        <w:spacing w:after="0" w:line="393" w:lineRule="exact"/>
        <w:rPr>
          <w:sz w:val="20"/>
          <w:szCs w:val="20"/>
          <w:color w:val="auto"/>
        </w:rPr>
      </w:pPr>
    </w:p>
    <w:p>
      <w:pPr>
        <w:ind w:left="1180" w:hanging="364"/>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As reported, income from operations, divided by revenue, is equal to 18.4%.</w:t>
      </w:r>
    </w:p>
    <w:p>
      <w:pPr>
        <w:spacing w:after="0" w:line="144" w:lineRule="exact"/>
        <w:rPr>
          <w:rFonts w:ascii="Arial" w:cs="Arial" w:eastAsia="Arial" w:hAnsi="Arial"/>
          <w:sz w:val="18"/>
          <w:szCs w:val="18"/>
          <w:color w:val="auto"/>
        </w:rPr>
      </w:pPr>
    </w:p>
    <w:p>
      <w:pPr>
        <w:ind w:left="1180" w:hanging="364"/>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Accrual adjustment to true-up recorded accrual amounts against reported financial results.</w:t>
      </w:r>
    </w:p>
    <w:p>
      <w:pPr>
        <w:spacing w:after="0" w:line="376" w:lineRule="exact"/>
        <w:rPr>
          <w:sz w:val="20"/>
          <w:szCs w:val="20"/>
          <w:color w:val="auto"/>
        </w:rPr>
      </w:pPr>
    </w:p>
    <w:p>
      <w:pPr>
        <w:ind w:left="7180"/>
        <w:spacing w:after="0"/>
        <w:tabs>
          <w:tab w:leader="none" w:pos="9280" w:val="left"/>
        </w:tabs>
        <w:rPr>
          <w:sz w:val="20"/>
          <w:szCs w:val="20"/>
          <w:color w:val="auto"/>
        </w:rPr>
      </w:pPr>
      <w:r>
        <w:rPr>
          <w:rFonts w:ascii="Arial" w:cs="Arial" w:eastAsia="Arial" w:hAnsi="Arial"/>
          <w:sz w:val="18"/>
          <w:szCs w:val="18"/>
          <w:color w:val="auto"/>
        </w:rPr>
        <w:t>2025 Proxy Statement</w:t>
      </w:r>
      <w:r>
        <w:rPr>
          <w:sz w:val="20"/>
          <w:szCs w:val="20"/>
          <w:color w:val="auto"/>
        </w:rPr>
        <w:tab/>
      </w:r>
      <w:r>
        <w:rPr>
          <w:rFonts w:ascii="Arial" w:cs="Arial" w:eastAsia="Arial" w:hAnsi="Arial"/>
          <w:sz w:val="32"/>
          <w:szCs w:val="32"/>
          <w:b w:val="1"/>
          <w:bCs w:val="1"/>
          <w:color w:val="457157"/>
        </w:rPr>
        <w:t xml:space="preserve">| </w:t>
      </w:r>
      <w:r>
        <w:rPr>
          <w:rFonts w:ascii="Arial" w:cs="Arial" w:eastAsia="Arial" w:hAnsi="Arial"/>
          <w:sz w:val="17"/>
          <w:szCs w:val="17"/>
          <w:color w:val="000000"/>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3971925</wp:posOffset>
            </wp:positionH>
            <wp:positionV relativeFrom="paragraph">
              <wp:posOffset>-153670</wp:posOffset>
            </wp:positionV>
            <wp:extent cx="471805" cy="1200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71805" cy="120015"/>
                    </a:xfrm>
                    <a:prstGeom prst="rect">
                      <a:avLst/>
                    </a:prstGeom>
                    <a:noFill/>
                  </pic:spPr>
                </pic:pic>
              </a:graphicData>
            </a:graphic>
          </wp:anchor>
        </w:drawing>
      </w:r>
    </w:p>
    <w:p>
      <w:pPr>
        <w:sectPr>
          <w:pgSz w:w="11900" w:h="16838" w:orient="portrait"/>
          <w:cols w:equalWidth="0" w:num="1">
            <w:col w:w="10560"/>
          </w:cols>
          <w:pgMar w:left="580" w:top="97" w:right="759" w:bottom="1440" w:gutter="0" w:footer="0" w:header="0"/>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97" w:lineRule="exact"/>
        <w:rPr>
          <w:sz w:val="20"/>
          <w:szCs w:val="20"/>
          <w:color w:val="auto"/>
        </w:rPr>
      </w:pPr>
    </w:p>
    <w:tbl>
      <w:tblPr>
        <w:tblLayout w:type="fixed"/>
        <w:tblInd w:w="820" w:type="dxa"/>
        <w:tblCellMar>
          <w:top w:w="0" w:type="dxa"/>
          <w:left w:w="0" w:type="dxa"/>
          <w:bottom w:w="0" w:type="dxa"/>
          <w:right w:w="0" w:type="dxa"/>
        </w:tblCellMar>
      </w:tblPr>
      <w:tr>
        <w:trPr>
          <w:trHeight w:val="162"/>
        </w:trPr>
        <w:tc>
          <w:tcPr>
            <w:tcW w:w="120" w:type="dxa"/>
            <w:vAlign w:val="bottom"/>
            <w:tcBorders>
              <w:top w:val="single" w:sz="8" w:color="457157"/>
            </w:tcBorders>
          </w:tcPr>
          <w:p>
            <w:pPr>
              <w:spacing w:after="0" w:line="162" w:lineRule="exact"/>
              <w:rPr>
                <w:sz w:val="20"/>
                <w:szCs w:val="20"/>
                <w:color w:val="auto"/>
              </w:rPr>
            </w:pPr>
            <w:r>
              <w:rPr>
                <w:rFonts w:ascii="Arial" w:cs="Arial" w:eastAsia="Arial" w:hAnsi="Arial"/>
                <w:sz w:val="16"/>
                <w:szCs w:val="16"/>
                <w:b w:val="1"/>
                <w:bCs w:val="1"/>
                <w:color w:val="auto"/>
              </w:rPr>
              <w:t>​</w:t>
            </w:r>
          </w:p>
        </w:tc>
        <w:tc>
          <w:tcPr>
            <w:tcW w:w="4060" w:type="dxa"/>
            <w:vAlign w:val="bottom"/>
            <w:tcBorders>
              <w:top w:val="single" w:sz="8" w:color="457157"/>
            </w:tcBorders>
          </w:tcPr>
          <w:p>
            <w:pPr>
              <w:spacing w:after="0"/>
              <w:rPr>
                <w:sz w:val="14"/>
                <w:szCs w:val="14"/>
                <w:color w:val="auto"/>
              </w:rPr>
            </w:pPr>
          </w:p>
        </w:tc>
        <w:tc>
          <w:tcPr>
            <w:tcW w:w="160" w:type="dxa"/>
            <w:vAlign w:val="bottom"/>
            <w:tcBorders>
              <w:top w:val="single" w:sz="8" w:color="457157"/>
            </w:tcBorders>
          </w:tcPr>
          <w:p>
            <w:pPr>
              <w:spacing w:after="0"/>
              <w:rPr>
                <w:sz w:val="14"/>
                <w:szCs w:val="14"/>
                <w:color w:val="auto"/>
              </w:rPr>
            </w:pPr>
          </w:p>
        </w:tc>
        <w:tc>
          <w:tcPr>
            <w:tcW w:w="340" w:type="dxa"/>
            <w:vAlign w:val="bottom"/>
            <w:tcBorders>
              <w:top w:val="single" w:sz="8" w:color="457157"/>
            </w:tcBorders>
          </w:tcPr>
          <w:p>
            <w:pPr>
              <w:spacing w:after="0"/>
              <w:rPr>
                <w:sz w:val="14"/>
                <w:szCs w:val="14"/>
                <w:color w:val="auto"/>
              </w:rPr>
            </w:pPr>
          </w:p>
        </w:tc>
        <w:tc>
          <w:tcPr>
            <w:tcW w:w="280" w:type="dxa"/>
            <w:vAlign w:val="bottom"/>
            <w:tcBorders>
              <w:top w:val="single" w:sz="8" w:color="457157"/>
            </w:tcBorders>
          </w:tcPr>
          <w:p>
            <w:pPr>
              <w:spacing w:after="0"/>
              <w:rPr>
                <w:sz w:val="14"/>
                <w:szCs w:val="14"/>
                <w:color w:val="auto"/>
              </w:rPr>
            </w:pPr>
          </w:p>
        </w:tc>
        <w:tc>
          <w:tcPr>
            <w:tcW w:w="860" w:type="dxa"/>
            <w:vAlign w:val="bottom"/>
            <w:tcBorders>
              <w:top w:val="single" w:sz="8" w:color="457157"/>
            </w:tcBorders>
          </w:tcPr>
          <w:p>
            <w:pPr>
              <w:spacing w:after="0"/>
              <w:rPr>
                <w:sz w:val="14"/>
                <w:szCs w:val="14"/>
                <w:color w:val="auto"/>
              </w:rPr>
            </w:pPr>
          </w:p>
        </w:tc>
        <w:tc>
          <w:tcPr>
            <w:tcW w:w="220" w:type="dxa"/>
            <w:vAlign w:val="bottom"/>
            <w:tcBorders>
              <w:top w:val="single" w:sz="8" w:color="457157"/>
            </w:tcBorders>
          </w:tcPr>
          <w:p>
            <w:pPr>
              <w:spacing w:after="0"/>
              <w:rPr>
                <w:sz w:val="14"/>
                <w:szCs w:val="14"/>
                <w:color w:val="auto"/>
              </w:rPr>
            </w:pPr>
          </w:p>
        </w:tc>
        <w:tc>
          <w:tcPr>
            <w:tcW w:w="120" w:type="dxa"/>
            <w:vAlign w:val="bottom"/>
            <w:tcBorders>
              <w:top w:val="single" w:sz="8" w:color="457157"/>
            </w:tcBorders>
          </w:tcPr>
          <w:p>
            <w:pPr>
              <w:spacing w:after="0"/>
              <w:rPr>
                <w:sz w:val="14"/>
                <w:szCs w:val="14"/>
                <w:color w:val="auto"/>
              </w:rPr>
            </w:pPr>
          </w:p>
        </w:tc>
        <w:tc>
          <w:tcPr>
            <w:tcW w:w="140" w:type="dxa"/>
            <w:vAlign w:val="bottom"/>
            <w:tcBorders>
              <w:top w:val="single" w:sz="8" w:color="457157"/>
            </w:tcBorders>
          </w:tcPr>
          <w:p>
            <w:pPr>
              <w:spacing w:after="0"/>
              <w:rPr>
                <w:sz w:val="14"/>
                <w:szCs w:val="14"/>
                <w:color w:val="auto"/>
              </w:rPr>
            </w:pPr>
          </w:p>
        </w:tc>
        <w:tc>
          <w:tcPr>
            <w:tcW w:w="220" w:type="dxa"/>
            <w:vAlign w:val="bottom"/>
            <w:tcBorders>
              <w:top w:val="single" w:sz="8" w:color="457157"/>
            </w:tcBorders>
          </w:tcPr>
          <w:p>
            <w:pPr>
              <w:spacing w:after="0"/>
              <w:rPr>
                <w:sz w:val="14"/>
                <w:szCs w:val="14"/>
                <w:color w:val="auto"/>
              </w:rPr>
            </w:pPr>
          </w:p>
        </w:tc>
        <w:tc>
          <w:tcPr>
            <w:tcW w:w="100" w:type="dxa"/>
            <w:vAlign w:val="bottom"/>
            <w:tcBorders>
              <w:top w:val="single" w:sz="8" w:color="457157"/>
            </w:tcBorders>
          </w:tcPr>
          <w:p>
            <w:pPr>
              <w:spacing w:after="0"/>
              <w:rPr>
                <w:sz w:val="14"/>
                <w:szCs w:val="14"/>
                <w:color w:val="auto"/>
              </w:rPr>
            </w:pPr>
          </w:p>
        </w:tc>
        <w:tc>
          <w:tcPr>
            <w:tcW w:w="180" w:type="dxa"/>
            <w:vAlign w:val="bottom"/>
            <w:tcBorders>
              <w:top w:val="single" w:sz="8" w:color="457157"/>
            </w:tcBorders>
          </w:tcPr>
          <w:p>
            <w:pPr>
              <w:spacing w:after="0"/>
              <w:rPr>
                <w:sz w:val="14"/>
                <w:szCs w:val="14"/>
                <w:color w:val="auto"/>
              </w:rPr>
            </w:pPr>
          </w:p>
        </w:tc>
        <w:tc>
          <w:tcPr>
            <w:tcW w:w="100" w:type="dxa"/>
            <w:vAlign w:val="bottom"/>
            <w:tcBorders>
              <w:top w:val="single" w:sz="8" w:color="457157"/>
            </w:tcBorders>
          </w:tcPr>
          <w:p>
            <w:pPr>
              <w:spacing w:after="0"/>
              <w:rPr>
                <w:sz w:val="14"/>
                <w:szCs w:val="14"/>
                <w:color w:val="auto"/>
              </w:rPr>
            </w:pPr>
          </w:p>
        </w:tc>
        <w:tc>
          <w:tcPr>
            <w:tcW w:w="560" w:type="dxa"/>
            <w:vAlign w:val="bottom"/>
            <w:tcBorders>
              <w:top w:val="single" w:sz="8" w:color="457157"/>
            </w:tcBorders>
          </w:tcPr>
          <w:p>
            <w:pPr>
              <w:spacing w:after="0"/>
              <w:rPr>
                <w:sz w:val="14"/>
                <w:szCs w:val="14"/>
                <w:color w:val="auto"/>
              </w:rPr>
            </w:pPr>
          </w:p>
        </w:tc>
        <w:tc>
          <w:tcPr>
            <w:tcW w:w="120" w:type="dxa"/>
            <w:vAlign w:val="bottom"/>
            <w:tcBorders>
              <w:top w:val="single" w:sz="8" w:color="457157"/>
            </w:tcBorders>
          </w:tcPr>
          <w:p>
            <w:pPr>
              <w:spacing w:after="0"/>
              <w:rPr>
                <w:sz w:val="14"/>
                <w:szCs w:val="14"/>
                <w:color w:val="auto"/>
              </w:rPr>
            </w:pPr>
          </w:p>
        </w:tc>
        <w:tc>
          <w:tcPr>
            <w:tcW w:w="200" w:type="dxa"/>
            <w:vAlign w:val="bottom"/>
            <w:tcBorders>
              <w:top w:val="single" w:sz="8" w:color="457157"/>
            </w:tcBorders>
          </w:tcPr>
          <w:p>
            <w:pPr>
              <w:spacing w:after="0"/>
              <w:rPr>
                <w:sz w:val="14"/>
                <w:szCs w:val="14"/>
                <w:color w:val="auto"/>
              </w:rPr>
            </w:pPr>
          </w:p>
        </w:tc>
        <w:tc>
          <w:tcPr>
            <w:tcW w:w="140" w:type="dxa"/>
            <w:vAlign w:val="bottom"/>
            <w:tcBorders>
              <w:top w:val="single" w:sz="8" w:color="457157"/>
            </w:tcBorders>
          </w:tcPr>
          <w:p>
            <w:pPr>
              <w:spacing w:after="0"/>
              <w:rPr>
                <w:sz w:val="14"/>
                <w:szCs w:val="14"/>
                <w:color w:val="auto"/>
              </w:rPr>
            </w:pPr>
          </w:p>
        </w:tc>
        <w:tc>
          <w:tcPr>
            <w:tcW w:w="400" w:type="dxa"/>
            <w:vAlign w:val="bottom"/>
            <w:tcBorders>
              <w:top w:val="single" w:sz="8" w:color="457157"/>
            </w:tcBorders>
          </w:tcPr>
          <w:p>
            <w:pPr>
              <w:spacing w:after="0"/>
              <w:rPr>
                <w:sz w:val="14"/>
                <w:szCs w:val="14"/>
                <w:color w:val="auto"/>
              </w:rPr>
            </w:pPr>
          </w:p>
        </w:tc>
        <w:tc>
          <w:tcPr>
            <w:tcW w:w="280" w:type="dxa"/>
            <w:vAlign w:val="bottom"/>
            <w:tcBorders>
              <w:top w:val="single" w:sz="8" w:color="457157"/>
            </w:tcBorders>
          </w:tcPr>
          <w:p>
            <w:pPr>
              <w:spacing w:after="0"/>
              <w:rPr>
                <w:sz w:val="14"/>
                <w:szCs w:val="14"/>
                <w:color w:val="auto"/>
              </w:rPr>
            </w:pPr>
          </w:p>
        </w:tc>
        <w:tc>
          <w:tcPr>
            <w:tcW w:w="240" w:type="dxa"/>
            <w:vAlign w:val="bottom"/>
            <w:tcBorders>
              <w:top w:val="single" w:sz="8" w:color="457157"/>
            </w:tcBorders>
          </w:tcPr>
          <w:p>
            <w:pPr>
              <w:spacing w:after="0"/>
              <w:rPr>
                <w:sz w:val="14"/>
                <w:szCs w:val="14"/>
                <w:color w:val="auto"/>
              </w:rPr>
            </w:pPr>
          </w:p>
        </w:tc>
        <w:tc>
          <w:tcPr>
            <w:tcW w:w="180" w:type="dxa"/>
            <w:vAlign w:val="bottom"/>
            <w:tcBorders>
              <w:top w:val="single" w:sz="8" w:color="457157"/>
            </w:tcBorders>
          </w:tcPr>
          <w:p>
            <w:pPr>
              <w:spacing w:after="0"/>
              <w:rPr>
                <w:sz w:val="14"/>
                <w:szCs w:val="14"/>
                <w:color w:val="auto"/>
              </w:rPr>
            </w:pPr>
          </w:p>
        </w:tc>
        <w:tc>
          <w:tcPr>
            <w:tcW w:w="40" w:type="dxa"/>
            <w:vAlign w:val="bottom"/>
            <w:tcBorders>
              <w:top w:val="single" w:sz="8" w:color="457157"/>
            </w:tcBorders>
          </w:tcPr>
          <w:p>
            <w:pPr>
              <w:spacing w:after="0"/>
              <w:rPr>
                <w:sz w:val="14"/>
                <w:szCs w:val="14"/>
                <w:color w:val="auto"/>
              </w:rPr>
            </w:pPr>
          </w:p>
        </w:tc>
        <w:tc>
          <w:tcPr>
            <w:tcW w:w="60" w:type="dxa"/>
            <w:vAlign w:val="bottom"/>
          </w:tcPr>
          <w:p>
            <w:pPr>
              <w:spacing w:after="0" w:line="162" w:lineRule="exact"/>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20" w:type="dxa"/>
            <w:vAlign w:val="bottom"/>
          </w:tcPr>
          <w:p>
            <w:pPr>
              <w:spacing w:after="0"/>
              <w:rPr>
                <w:sz w:val="20"/>
                <w:szCs w:val="20"/>
                <w:color w:val="auto"/>
              </w:rPr>
            </w:pPr>
            <w:r>
              <w:rPr>
                <w:rFonts w:ascii="Arial" w:cs="Arial" w:eastAsia="Arial" w:hAnsi="Arial"/>
                <w:sz w:val="20"/>
                <w:szCs w:val="20"/>
                <w:b w:val="1"/>
                <w:bCs w:val="1"/>
                <w:color w:val="auto"/>
              </w:rPr>
              <w:t> </w:t>
            </w:r>
          </w:p>
        </w:tc>
        <w:tc>
          <w:tcPr>
            <w:tcW w:w="4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1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4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Borders>
              <w:bottom w:val="single" w:sz="8" w:color="457157"/>
            </w:tcBorders>
          </w:tcPr>
          <w:p>
            <w:pPr>
              <w:spacing w:after="0"/>
              <w:rPr>
                <w:sz w:val="20"/>
                <w:szCs w:val="20"/>
                <w:color w:val="auto"/>
              </w:rPr>
            </w:pPr>
            <w:r>
              <w:rPr>
                <w:rFonts w:ascii="Arial" w:cs="Arial" w:eastAsia="Arial" w:hAnsi="Arial"/>
                <w:sz w:val="14"/>
                <w:szCs w:val="14"/>
                <w:b w:val="1"/>
                <w:bCs w:val="1"/>
                <w:color w:val="457157"/>
              </w:rPr>
              <w:t>​</w:t>
            </w:r>
          </w:p>
        </w:tc>
        <w:tc>
          <w:tcPr>
            <w:tcW w:w="120" w:type="dxa"/>
            <w:vAlign w:val="bottom"/>
            <w:tcBorders>
              <w:bottom w:val="single" w:sz="8" w:color="457157"/>
            </w:tcBorders>
          </w:tcPr>
          <w:p>
            <w:pPr>
              <w:spacing w:after="0"/>
              <w:rPr>
                <w:sz w:val="24"/>
                <w:szCs w:val="24"/>
                <w:color w:val="auto"/>
              </w:rPr>
            </w:pPr>
          </w:p>
        </w:tc>
        <w:tc>
          <w:tcPr>
            <w:tcW w:w="3260" w:type="dxa"/>
            <w:vAlign w:val="bottom"/>
            <w:tcBorders>
              <w:bottom w:val="single" w:sz="8" w:color="457157"/>
            </w:tcBorders>
            <w:gridSpan w:val="16"/>
          </w:tcPr>
          <w:p>
            <w:pPr>
              <w:jc w:val="right"/>
              <w:ind w:right="32"/>
              <w:spacing w:after="0"/>
              <w:rPr>
                <w:sz w:val="20"/>
                <w:szCs w:val="20"/>
                <w:color w:val="auto"/>
              </w:rPr>
            </w:pPr>
            <w:r>
              <w:rPr>
                <w:rFonts w:ascii="Arial" w:cs="Arial" w:eastAsia="Arial" w:hAnsi="Arial"/>
                <w:sz w:val="14"/>
                <w:szCs w:val="14"/>
                <w:b w:val="1"/>
                <w:bCs w:val="1"/>
                <w:color w:val="457157"/>
              </w:rPr>
              <w:t>Twelve Months Ended December 31, 2021</w:t>
            </w:r>
          </w:p>
        </w:tc>
        <w:tc>
          <w:tcPr>
            <w:tcW w:w="120" w:type="dxa"/>
            <w:vAlign w:val="bottom"/>
            <w:tcBorders>
              <w:bottom w:val="single" w:sz="8" w:color="457157"/>
            </w:tcBorders>
          </w:tcPr>
          <w:p>
            <w:pPr>
              <w:spacing w:after="0"/>
              <w:rPr>
                <w:sz w:val="24"/>
                <w:szCs w:val="24"/>
                <w:color w:val="auto"/>
              </w:rPr>
            </w:pPr>
          </w:p>
        </w:tc>
        <w:tc>
          <w:tcPr>
            <w:tcW w:w="60" w:type="dxa"/>
            <w:vAlign w:val="bottom"/>
            <w:tcBorders>
              <w:bottom w:val="single" w:sz="8" w:color="457157"/>
            </w:tcBorders>
          </w:tcPr>
          <w:p>
            <w:pPr>
              <w:spacing w:after="0"/>
              <w:rPr>
                <w:sz w:val="24"/>
                <w:szCs w:val="24"/>
                <w:color w:val="auto"/>
              </w:rPr>
            </w:pPr>
          </w:p>
        </w:tc>
        <w:tc>
          <w:tcPr>
            <w:tcW w:w="80" w:type="dxa"/>
            <w:vAlign w:val="bottom"/>
            <w:tcBorders>
              <w:bottom w:val="single" w:sz="8" w:color="457157"/>
            </w:tcBorders>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gridSpan w:val="18"/>
          </w:tcPr>
          <w:p>
            <w:pPr>
              <w:jc w:val="center"/>
              <w:ind w:right="16"/>
              <w:spacing w:after="0"/>
              <w:rPr>
                <w:sz w:val="20"/>
                <w:szCs w:val="20"/>
                <w:color w:val="auto"/>
              </w:rPr>
            </w:pPr>
            <w:r>
              <w:rPr>
                <w:rFonts w:ascii="Arial" w:cs="Arial" w:eastAsia="Arial" w:hAnsi="Arial"/>
                <w:sz w:val="14"/>
                <w:szCs w:val="14"/>
                <w:b w:val="1"/>
                <w:bCs w:val="1"/>
                <w:color w:val="457157"/>
              </w:rPr>
              <w:t>Income from Depreciation and Operating</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gridSpan w:val="9"/>
          </w:tcPr>
          <w:p>
            <w:pPr>
              <w:jc w:val="center"/>
              <w:spacing w:after="0" w:line="202" w:lineRule="exact"/>
              <w:rPr>
                <w:sz w:val="20"/>
                <w:szCs w:val="20"/>
                <w:color w:val="auto"/>
              </w:rPr>
            </w:pP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Revenue</w:t>
            </w: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Operations</w:t>
            </w:r>
            <w:r>
              <w:rPr>
                <w:rFonts w:ascii="Arial" w:cs="Arial" w:eastAsia="Arial" w:hAnsi="Arial"/>
                <w:sz w:val="23"/>
                <w:szCs w:val="23"/>
                <w:b w:val="1"/>
                <w:bCs w:val="1"/>
                <w:color w:val="457157"/>
                <w:vertAlign w:val="subscript"/>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4"/>
          </w:tcPr>
          <w:p>
            <w:pPr>
              <w:spacing w:after="0" w:line="202" w:lineRule="exact"/>
              <w:rPr>
                <w:sz w:val="20"/>
                <w:szCs w:val="20"/>
                <w:color w:val="auto"/>
              </w:rPr>
            </w:pPr>
            <w:r>
              <w:rPr>
                <w:rFonts w:ascii="Arial" w:cs="Arial" w:eastAsia="Arial" w:hAnsi="Arial"/>
                <w:sz w:val="13"/>
                <w:szCs w:val="13"/>
                <w:b w:val="1"/>
                <w:bCs w:val="1"/>
                <w:color w:val="457157"/>
              </w:rPr>
              <w:t>amortization</w:t>
            </w:r>
            <w:r>
              <w:rPr>
                <w:rFonts w:ascii="Arial" w:cs="Arial" w:eastAsia="Arial" w:hAnsi="Arial"/>
                <w:sz w:val="23"/>
                <w:szCs w:val="23"/>
                <w:b w:val="1"/>
                <w:bCs w:val="1"/>
                <w:color w:val="457157"/>
                <w:vertAlign w:val="subscript"/>
              </w:rPr>
              <w:t>​</w:t>
            </w:r>
          </w:p>
        </w:tc>
        <w:tc>
          <w:tcPr>
            <w:tcW w:w="40" w:type="dxa"/>
            <w:vAlign w:val="bottom"/>
          </w:tcPr>
          <w:p>
            <w:pPr>
              <w:spacing w:after="0"/>
              <w:rPr>
                <w:sz w:val="17"/>
                <w:szCs w:val="17"/>
                <w:color w:val="auto"/>
              </w:rPr>
            </w:pPr>
          </w:p>
        </w:tc>
        <w:tc>
          <w:tcPr>
            <w:tcW w:w="680" w:type="dxa"/>
            <w:vAlign w:val="bottom"/>
            <w:gridSpan w:val="6"/>
          </w:tcPr>
          <w:p>
            <w:pPr>
              <w:jc w:val="right"/>
              <w:spacing w:after="0" w:line="202" w:lineRule="exact"/>
              <w:rPr>
                <w:sz w:val="20"/>
                <w:szCs w:val="20"/>
                <w:color w:val="auto"/>
              </w:rPr>
            </w:pPr>
            <w:r>
              <w:rPr>
                <w:rFonts w:ascii="Arial" w:cs="Arial" w:eastAsia="Arial" w:hAnsi="Arial"/>
                <w:sz w:val="13"/>
                <w:szCs w:val="13"/>
                <w:b w:val="1"/>
                <w:bCs w:val="1"/>
                <w:color w:val="457157"/>
              </w:rPr>
              <w:t>EBITDA</w:t>
            </w:r>
            <w:r>
              <w:rPr>
                <w:rFonts w:ascii="Arial" w:cs="Arial" w:eastAsia="Arial" w:hAnsi="Arial"/>
                <w:sz w:val="23"/>
                <w:szCs w:val="23"/>
                <w:b w:val="1"/>
                <w:bCs w:val="1"/>
                <w:color w:val="457157"/>
                <w:vertAlign w:val="subscript"/>
              </w:rPr>
              <w:t>​</w:t>
            </w:r>
          </w:p>
        </w:tc>
        <w:tc>
          <w:tcPr>
            <w:tcW w:w="0" w:type="dxa"/>
            <w:vAlign w:val="bottom"/>
          </w:tcPr>
          <w:p>
            <w:pPr>
              <w:spacing w:after="0"/>
              <w:rPr>
                <w:sz w:val="1"/>
                <w:szCs w:val="1"/>
                <w:color w:val="auto"/>
              </w:rPr>
            </w:pPr>
          </w:p>
        </w:tc>
      </w:tr>
      <w:tr>
        <w:trPr>
          <w:trHeight w:val="20"/>
        </w:trPr>
        <w:tc>
          <w:tcPr>
            <w:tcW w:w="4180" w:type="dxa"/>
            <w:vAlign w:val="bottom"/>
            <w:gridSpan w:val="2"/>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700" w:type="dxa"/>
            <w:vAlign w:val="bottom"/>
            <w:gridSpan w:val="4"/>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840" w:type="dxa"/>
            <w:vAlign w:val="bottom"/>
            <w:gridSpan w:val="3"/>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gridSpan w:val="3"/>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00" w:type="dxa"/>
            <w:vAlign w:val="bottom"/>
            <w:gridSpan w:val="5"/>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gridSpan w:val="2"/>
          </w:tcPr>
          <w:p>
            <w:pPr>
              <w:spacing w:after="0" w:line="196" w:lineRule="exact"/>
              <w:rPr>
                <w:sz w:val="20"/>
                <w:szCs w:val="20"/>
                <w:color w:val="auto"/>
              </w:rPr>
            </w:pPr>
            <w:r>
              <w:rPr>
                <w:rFonts w:ascii="Arial" w:cs="Arial" w:eastAsia="Arial" w:hAnsi="Arial"/>
                <w:sz w:val="18"/>
                <w:szCs w:val="18"/>
                <w:color w:val="auto"/>
              </w:rPr>
              <w:t>As reported amounts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gridSpan w:val="4"/>
          </w:tcPr>
          <w:p>
            <w:pPr>
              <w:ind w:left="20"/>
              <w:spacing w:after="0" w:line="196" w:lineRule="exact"/>
              <w:rPr>
                <w:sz w:val="20"/>
                <w:szCs w:val="20"/>
                <w:color w:val="auto"/>
              </w:rPr>
            </w:pPr>
            <w:r>
              <w:rPr>
                <w:rFonts w:ascii="Arial" w:cs="Arial" w:eastAsia="Arial" w:hAnsi="Arial"/>
                <w:sz w:val="18"/>
                <w:szCs w:val="18"/>
                <w:color w:val="auto"/>
              </w:rPr>
              <w:t>$17,931</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
              <w:spacing w:after="0" w:line="196" w:lineRule="exact"/>
              <w:rPr>
                <w:sz w:val="20"/>
                <w:szCs w:val="20"/>
                <w:color w:val="auto"/>
              </w:rPr>
            </w:pPr>
            <w:r>
              <w:rPr>
                <w:rFonts w:ascii="Arial" w:cs="Arial" w:eastAsia="Arial" w:hAnsi="Arial"/>
                <w:sz w:val="18"/>
                <w:szCs w:val="18"/>
                <w:color w:val="auto"/>
              </w:rPr>
              <w:t>$ 2,965</w:t>
            </w:r>
          </w:p>
        </w:tc>
        <w:tc>
          <w:tcPr>
            <w:tcW w:w="12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$ 1,999</w:t>
            </w:r>
          </w:p>
        </w:tc>
        <w:tc>
          <w:tcPr>
            <w:tcW w:w="240" w:type="dxa"/>
            <w:vAlign w:val="bottom"/>
          </w:tcPr>
          <w:p>
            <w:pPr>
              <w:spacing w:after="0"/>
              <w:rPr>
                <w:sz w:val="17"/>
                <w:szCs w:val="17"/>
                <w:color w:val="auto"/>
              </w:rPr>
            </w:pPr>
          </w:p>
        </w:tc>
        <w:tc>
          <w:tcPr>
            <w:tcW w:w="76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$ 4,964</w:t>
            </w: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4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line="68"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80" w:type="dxa"/>
            <w:vAlign w:val="bottom"/>
          </w:tcPr>
          <w:p>
            <w:pPr>
              <w:jc w:val="center"/>
              <w:spacing w:after="0" w:line="68"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ind w:left="60"/>
              <w:spacing w:after="0" w:line="68" w:lineRule="exact"/>
              <w:rPr>
                <w:sz w:val="20"/>
                <w:szCs w:val="20"/>
                <w:color w:val="auto"/>
              </w:rPr>
            </w:pPr>
            <w:r>
              <w:rPr>
                <w:rFonts w:ascii="Arial" w:cs="Arial" w:eastAsia="Arial" w:hAnsi="Arial"/>
                <w:sz w:val="7"/>
                <w:szCs w:val="7"/>
                <w:color w:val="auto"/>
              </w:rPr>
              <w:t>​</w:t>
            </w: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line="68" w:lineRule="exact"/>
              <w:rPr>
                <w:sz w:val="20"/>
                <w:szCs w:val="20"/>
                <w:color w:val="auto"/>
              </w:rPr>
            </w:pPr>
            <w:r>
              <w:rPr>
                <w:rFonts w:ascii="Arial" w:cs="Arial" w:eastAsia="Arial" w:hAnsi="Arial"/>
                <w:sz w:val="7"/>
                <w:szCs w:val="7"/>
                <w:color w:val="auto"/>
              </w:rPr>
              <w:t>​​​</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180" w:type="dxa"/>
            <w:vAlign w:val="bottom"/>
            <w:gridSpan w:val="2"/>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4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gridSpan w:val="2"/>
          </w:tcPr>
          <w:p>
            <w:pPr>
              <w:spacing w:after="0" w:line="196" w:lineRule="exact"/>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vMerge w:val="restart"/>
          </w:tcPr>
          <w:p>
            <w:pPr>
              <w:jc w:val="right"/>
              <w:ind w:right="195"/>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4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120" w:type="dxa"/>
            <w:vAlign w:val="bottom"/>
            <w:tcBorders>
              <w:top w:val="single" w:sz="8" w:color="457157"/>
            </w:tcBorders>
          </w:tcPr>
          <w:p>
            <w:pPr>
              <w:spacing w:after="0"/>
              <w:rPr>
                <w:sz w:val="18"/>
                <w:szCs w:val="18"/>
                <w:color w:val="auto"/>
              </w:rPr>
            </w:pPr>
          </w:p>
        </w:tc>
        <w:tc>
          <w:tcPr>
            <w:tcW w:w="5700" w:type="dxa"/>
            <w:vAlign w:val="bottom"/>
            <w:tcBorders>
              <w:top w:val="single" w:sz="8" w:color="457157"/>
            </w:tcBorders>
            <w:gridSpan w:val="5"/>
          </w:tcPr>
          <w:p>
            <w:pPr>
              <w:ind w:left="60"/>
              <w:spacing w:after="0"/>
              <w:rPr>
                <w:sz w:val="20"/>
                <w:szCs w:val="20"/>
                <w:color w:val="auto"/>
              </w:rPr>
            </w:pPr>
            <w:r>
              <w:rPr>
                <w:rFonts w:ascii="Arial" w:cs="Arial" w:eastAsia="Arial" w:hAnsi="Arial"/>
                <w:sz w:val="18"/>
                <w:szCs w:val="18"/>
                <w:color w:val="auto"/>
              </w:rPr>
              <w:t>ADD: “Restructuring” and “(Gain) Loss from Divestitures, Asset</w:t>
            </w:r>
          </w:p>
        </w:tc>
        <w:tc>
          <w:tcPr>
            <w:tcW w:w="22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140" w:type="dxa"/>
            <w:vAlign w:val="bottom"/>
            <w:tcBorders>
              <w:top w:val="single" w:sz="8" w:color="457157"/>
            </w:tcBorders>
          </w:tcPr>
          <w:p>
            <w:pPr>
              <w:spacing w:after="0"/>
              <w:rPr>
                <w:sz w:val="18"/>
                <w:szCs w:val="18"/>
                <w:color w:val="auto"/>
              </w:rPr>
            </w:pPr>
          </w:p>
        </w:tc>
        <w:tc>
          <w:tcPr>
            <w:tcW w:w="220" w:type="dxa"/>
            <w:vAlign w:val="bottom"/>
            <w:tcBorders>
              <w:top w:val="single" w:sz="8" w:color="457157"/>
            </w:tcBorders>
          </w:tcPr>
          <w:p>
            <w:pPr>
              <w:spacing w:after="0"/>
              <w:rPr>
                <w:sz w:val="18"/>
                <w:szCs w:val="18"/>
                <w:color w:val="auto"/>
              </w:rPr>
            </w:pPr>
          </w:p>
        </w:tc>
        <w:tc>
          <w:tcPr>
            <w:tcW w:w="100" w:type="dxa"/>
            <w:vAlign w:val="bottom"/>
            <w:tcBorders>
              <w:top w:val="single" w:sz="8" w:color="457157"/>
            </w:tcBorders>
          </w:tcPr>
          <w:p>
            <w:pPr>
              <w:spacing w:after="0"/>
              <w:rPr>
                <w:sz w:val="18"/>
                <w:szCs w:val="18"/>
                <w:color w:val="auto"/>
              </w:rPr>
            </w:pPr>
          </w:p>
        </w:tc>
        <w:tc>
          <w:tcPr>
            <w:tcW w:w="180" w:type="dxa"/>
            <w:vAlign w:val="bottom"/>
            <w:tcBorders>
              <w:top w:val="single" w:sz="8" w:color="457157"/>
            </w:tcBorders>
          </w:tcPr>
          <w:p>
            <w:pPr>
              <w:spacing w:after="0"/>
              <w:rPr>
                <w:sz w:val="18"/>
                <w:szCs w:val="18"/>
                <w:color w:val="auto"/>
              </w:rPr>
            </w:pPr>
          </w:p>
        </w:tc>
        <w:tc>
          <w:tcPr>
            <w:tcW w:w="100" w:type="dxa"/>
            <w:vAlign w:val="bottom"/>
            <w:tcBorders>
              <w:top w:val="single" w:sz="8" w:color="457157"/>
            </w:tcBorders>
          </w:tcPr>
          <w:p>
            <w:pPr>
              <w:spacing w:after="0"/>
              <w:rPr>
                <w:sz w:val="18"/>
                <w:szCs w:val="18"/>
                <w:color w:val="auto"/>
              </w:rPr>
            </w:pPr>
          </w:p>
        </w:tc>
        <w:tc>
          <w:tcPr>
            <w:tcW w:w="56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140" w:type="dxa"/>
            <w:vAlign w:val="bottom"/>
            <w:tcBorders>
              <w:top w:val="single" w:sz="8" w:color="457157"/>
            </w:tcBorders>
          </w:tcPr>
          <w:p>
            <w:pPr>
              <w:spacing w:after="0"/>
              <w:rPr>
                <w:sz w:val="18"/>
                <w:szCs w:val="18"/>
                <w:color w:val="auto"/>
              </w:rPr>
            </w:pPr>
          </w:p>
        </w:tc>
        <w:tc>
          <w:tcPr>
            <w:tcW w:w="400" w:type="dxa"/>
            <w:vAlign w:val="bottom"/>
            <w:tcBorders>
              <w:top w:val="single" w:sz="8" w:color="457157"/>
            </w:tcBorders>
          </w:tcPr>
          <w:p>
            <w:pPr>
              <w:spacing w:after="0"/>
              <w:rPr>
                <w:sz w:val="18"/>
                <w:szCs w:val="18"/>
                <w:color w:val="auto"/>
              </w:rPr>
            </w:pPr>
          </w:p>
        </w:tc>
        <w:tc>
          <w:tcPr>
            <w:tcW w:w="280" w:type="dxa"/>
            <w:vAlign w:val="bottom"/>
            <w:tcBorders>
              <w:top w:val="single" w:sz="8" w:color="457157"/>
            </w:tcBorders>
          </w:tcPr>
          <w:p>
            <w:pPr>
              <w:spacing w:after="0"/>
              <w:rPr>
                <w:sz w:val="18"/>
                <w:szCs w:val="18"/>
                <w:color w:val="auto"/>
              </w:rPr>
            </w:pPr>
          </w:p>
        </w:tc>
        <w:tc>
          <w:tcPr>
            <w:tcW w:w="240" w:type="dxa"/>
            <w:vAlign w:val="bottom"/>
            <w:tcBorders>
              <w:top w:val="single" w:sz="8" w:color="457157"/>
            </w:tcBorders>
          </w:tcPr>
          <w:p>
            <w:pPr>
              <w:spacing w:after="0"/>
              <w:rPr>
                <w:sz w:val="18"/>
                <w:szCs w:val="18"/>
                <w:color w:val="auto"/>
              </w:rPr>
            </w:pPr>
          </w:p>
        </w:tc>
        <w:tc>
          <w:tcPr>
            <w:tcW w:w="180" w:type="dxa"/>
            <w:vAlign w:val="bottom"/>
            <w:tcBorders>
              <w:top w:val="single" w:sz="8" w:color="457157"/>
            </w:tcBorders>
          </w:tcPr>
          <w:p>
            <w:pPr>
              <w:spacing w:after="0"/>
              <w:rPr>
                <w:sz w:val="18"/>
                <w:szCs w:val="18"/>
                <w:color w:val="auto"/>
              </w:rPr>
            </w:pPr>
          </w:p>
        </w:tc>
        <w:tc>
          <w:tcPr>
            <w:tcW w:w="40" w:type="dxa"/>
            <w:vAlign w:val="bottom"/>
            <w:tcBorders>
              <w:top w:val="single" w:sz="8" w:color="457157"/>
            </w:tcBorders>
          </w:tcPr>
          <w:p>
            <w:pPr>
              <w:spacing w:after="0"/>
              <w:rPr>
                <w:sz w:val="18"/>
                <w:szCs w:val="18"/>
                <w:color w:val="auto"/>
              </w:rPr>
            </w:pPr>
          </w:p>
        </w:tc>
        <w:tc>
          <w:tcPr>
            <w:tcW w:w="60" w:type="dxa"/>
            <w:vAlign w:val="bottom"/>
            <w:tcBorders>
              <w:top w:val="single" w:sz="8" w:color="457157"/>
            </w:tcBorders>
          </w:tcPr>
          <w:p>
            <w:pPr>
              <w:spacing w:after="0"/>
              <w:rPr>
                <w:sz w:val="18"/>
                <w:szCs w:val="18"/>
                <w:color w:val="auto"/>
              </w:rPr>
            </w:pPr>
          </w:p>
        </w:tc>
        <w:tc>
          <w:tcPr>
            <w:tcW w:w="30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60" w:type="dxa"/>
            <w:vAlign w:val="bottom"/>
            <w:tcBorders>
              <w:top w:val="single" w:sz="8" w:color="457157"/>
            </w:tcBorders>
          </w:tcPr>
          <w:p>
            <w:pPr>
              <w:spacing w:after="0"/>
              <w:rPr>
                <w:sz w:val="18"/>
                <w:szCs w:val="18"/>
                <w:color w:val="auto"/>
              </w:rPr>
            </w:pPr>
          </w:p>
        </w:tc>
        <w:tc>
          <w:tcPr>
            <w:tcW w:w="80" w:type="dxa"/>
            <w:vAlign w:val="bottom"/>
            <w:tcBorders>
              <w:top w:val="single" w:sz="8" w:color="457157"/>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240"/>
              <w:spacing w:after="0"/>
              <w:rPr>
                <w:sz w:val="20"/>
                <w:szCs w:val="20"/>
                <w:color w:val="auto"/>
              </w:rPr>
            </w:pPr>
            <w:r>
              <w:rPr>
                <w:rFonts w:ascii="Arial" w:cs="Arial" w:eastAsia="Arial" w:hAnsi="Arial"/>
                <w:sz w:val="18"/>
                <w:szCs w:val="18"/>
                <w:color w:val="auto"/>
              </w:rPr>
              <w:t>Impairments and Unusual Items, Net”</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120" w:type="dxa"/>
            <w:vAlign w:val="bottom"/>
            <w:shd w:val="clear" w:color="auto" w:fill="457157"/>
          </w:tcPr>
          <w:p>
            <w:pPr>
              <w:spacing w:after="0" w:line="20" w:lineRule="exact"/>
              <w:rPr>
                <w:sz w:val="1"/>
                <w:szCs w:val="1"/>
                <w:color w:val="auto"/>
              </w:rPr>
            </w:pPr>
          </w:p>
        </w:tc>
        <w:tc>
          <w:tcPr>
            <w:tcW w:w="40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320" w:type="dxa"/>
            <w:vAlign w:val="bottom"/>
            <w:gridSpan w:val="2"/>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4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140" w:type="dxa"/>
            <w:vAlign w:val="bottom"/>
            <w:gridSpan w:val="2"/>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60"/>
              <w:spacing w:after="0"/>
              <w:rPr>
                <w:sz w:val="20"/>
                <w:szCs w:val="20"/>
                <w:color w:val="auto"/>
              </w:rPr>
            </w:pPr>
            <w:r>
              <w:rPr>
                <w:rFonts w:ascii="Arial" w:cs="Arial" w:eastAsia="Arial" w:hAnsi="Arial"/>
                <w:sz w:val="18"/>
                <w:szCs w:val="18"/>
                <w:color w:val="auto"/>
              </w:rPr>
              <w:t>ADD: Accrual adjustment</w:t>
            </w:r>
            <w:r>
              <w:rPr>
                <w:rFonts w:ascii="Arial" w:cs="Arial" w:eastAsia="Arial" w:hAnsi="Arial"/>
                <w:sz w:val="23"/>
                <w:szCs w:val="23"/>
                <w:color w:val="auto"/>
                <w:vertAlign w:val="superscript"/>
              </w:rPr>
              <w:t>(b)</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gridSpan w:val="2"/>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w:t>
            </w:r>
          </w:p>
        </w:tc>
        <w:tc>
          <w:tcPr>
            <w:tcW w:w="18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320" w:type="dxa"/>
            <w:vAlign w:val="bottom"/>
            <w:gridSpan w:val="4"/>
          </w:tcPr>
          <w:p>
            <w:pPr>
              <w:jc w:val="right"/>
              <w:spacing w:after="0" w:line="264" w:lineRule="exact"/>
              <w:rPr>
                <w:sz w:val="20"/>
                <w:szCs w:val="20"/>
                <w:color w:val="auto"/>
              </w:rPr>
            </w:pPr>
            <w:r>
              <w:rPr>
                <w:rFonts w:ascii="Arial" w:cs="Arial" w:eastAsia="Arial" w:hAnsi="Arial"/>
                <w:sz w:val="30"/>
                <w:szCs w:val="30"/>
                <w:color w:val="auto"/>
                <w:vertAlign w:val="superscript"/>
              </w:rPr>
              <w:t>5</w:t>
            </w: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20"/>
        </w:trPr>
        <w:tc>
          <w:tcPr>
            <w:tcW w:w="4180" w:type="dxa"/>
            <w:vAlign w:val="bottom"/>
            <w:gridSpan w:val="2"/>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700" w:type="dxa"/>
            <w:vAlign w:val="bottom"/>
            <w:gridSpan w:val="4"/>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840" w:type="dxa"/>
            <w:vAlign w:val="bottom"/>
            <w:gridSpan w:val="3"/>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820" w:type="dxa"/>
            <w:vAlign w:val="bottom"/>
            <w:gridSpan w:val="3"/>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700" w:type="dxa"/>
            <w:vAlign w:val="bottom"/>
            <w:gridSpan w:val="5"/>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80" w:type="dxa"/>
            <w:vAlign w:val="bottom"/>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Calculated Performance Amounts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00" w:type="dxa"/>
            <w:vAlign w:val="bottom"/>
            <w:gridSpan w:val="4"/>
          </w:tcPr>
          <w:p>
            <w:pPr>
              <w:ind w:left="20"/>
              <w:spacing w:after="0" w:line="196" w:lineRule="exact"/>
              <w:rPr>
                <w:sz w:val="20"/>
                <w:szCs w:val="20"/>
                <w:color w:val="auto"/>
              </w:rPr>
            </w:pPr>
            <w:r>
              <w:rPr>
                <w:rFonts w:ascii="Arial" w:cs="Arial" w:eastAsia="Arial" w:hAnsi="Arial"/>
                <w:sz w:val="18"/>
                <w:szCs w:val="18"/>
                <w:color w:val="auto"/>
              </w:rPr>
              <w:t>$17,931</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0"/>
              <w:spacing w:after="0" w:line="196" w:lineRule="exact"/>
              <w:rPr>
                <w:sz w:val="20"/>
                <w:szCs w:val="20"/>
                <w:color w:val="auto"/>
              </w:rPr>
            </w:pPr>
            <w:r>
              <w:rPr>
                <w:rFonts w:ascii="Arial" w:cs="Arial" w:eastAsia="Arial" w:hAnsi="Arial"/>
                <w:sz w:val="18"/>
                <w:szCs w:val="18"/>
                <w:color w:val="auto"/>
              </w:rPr>
              <w:t>$ 2,962</w:t>
            </w:r>
          </w:p>
        </w:tc>
        <w:tc>
          <w:tcPr>
            <w:tcW w:w="12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8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$ 1,999</w:t>
            </w:r>
          </w:p>
        </w:tc>
        <w:tc>
          <w:tcPr>
            <w:tcW w:w="240" w:type="dxa"/>
            <w:vAlign w:val="bottom"/>
          </w:tcPr>
          <w:p>
            <w:pPr>
              <w:spacing w:after="0"/>
              <w:rPr>
                <w:sz w:val="17"/>
                <w:szCs w:val="17"/>
                <w:color w:val="auto"/>
              </w:rPr>
            </w:pPr>
          </w:p>
        </w:tc>
        <w:tc>
          <w:tcPr>
            <w:tcW w:w="760" w:type="dxa"/>
            <w:vAlign w:val="bottom"/>
            <w:gridSpan w:val="6"/>
          </w:tcPr>
          <w:p>
            <w:pPr>
              <w:jc w:val="right"/>
              <w:spacing w:after="0" w:line="196" w:lineRule="exact"/>
              <w:rPr>
                <w:sz w:val="20"/>
                <w:szCs w:val="20"/>
                <w:color w:val="auto"/>
              </w:rPr>
            </w:pPr>
            <w:r>
              <w:rPr>
                <w:rFonts w:ascii="Arial" w:cs="Arial" w:eastAsia="Arial" w:hAnsi="Arial"/>
                <w:sz w:val="18"/>
                <w:szCs w:val="18"/>
                <w:color w:val="auto"/>
              </w:rPr>
              <w:t>$ 4,961</w:t>
            </w: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4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line="68" w:lineRule="exact"/>
              <w:rPr>
                <w:sz w:val="20"/>
                <w:szCs w:val="20"/>
                <w:color w:val="auto"/>
              </w:rPr>
            </w:pPr>
            <w:r>
              <w:rPr>
                <w:rFonts w:ascii="Arial" w:cs="Arial" w:eastAsia="Arial" w:hAnsi="Arial"/>
                <w:sz w:val="7"/>
                <w:szCs w:val="7"/>
                <w:color w:val="auto"/>
              </w:rPr>
              <w:t>​​</w:t>
            </w: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80" w:type="dxa"/>
            <w:vAlign w:val="bottom"/>
          </w:tcPr>
          <w:p>
            <w:pPr>
              <w:jc w:val="center"/>
              <w:spacing w:after="0" w:line="68" w:lineRule="exact"/>
              <w:rPr>
                <w:sz w:val="20"/>
                <w:szCs w:val="20"/>
                <w:color w:val="auto"/>
              </w:rPr>
            </w:pPr>
            <w:r>
              <w:rPr>
                <w:rFonts w:ascii="Arial" w:cs="Arial" w:eastAsia="Arial" w:hAnsi="Arial"/>
                <w:sz w:val="7"/>
                <w:szCs w:val="7"/>
                <w:color w:val="auto"/>
              </w:rPr>
              <w:t>​</w:t>
            </w: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ind w:left="60"/>
              <w:spacing w:after="0" w:line="68" w:lineRule="exact"/>
              <w:rPr>
                <w:sz w:val="20"/>
                <w:szCs w:val="20"/>
                <w:color w:val="auto"/>
              </w:rPr>
            </w:pPr>
            <w:r>
              <w:rPr>
                <w:rFonts w:ascii="Arial" w:cs="Arial" w:eastAsia="Arial" w:hAnsi="Arial"/>
                <w:sz w:val="7"/>
                <w:szCs w:val="7"/>
                <w:color w:val="auto"/>
              </w:rPr>
              <w:t>​</w:t>
            </w: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line="68" w:lineRule="exact"/>
              <w:rPr>
                <w:sz w:val="20"/>
                <w:szCs w:val="20"/>
                <w:color w:val="auto"/>
              </w:rPr>
            </w:pPr>
            <w:r>
              <w:rPr>
                <w:rFonts w:ascii="Arial" w:cs="Arial" w:eastAsia="Arial" w:hAnsi="Arial"/>
                <w:sz w:val="7"/>
                <w:szCs w:val="7"/>
                <w:color w:val="auto"/>
              </w:rPr>
              <w:t>​​​</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3"/>
        </w:trPr>
        <w:tc>
          <w:tcPr>
            <w:tcW w:w="120" w:type="dxa"/>
            <w:vAlign w:val="bottom"/>
            <w:tcBorders>
              <w:top w:val="single" w:sz="8" w:color="457157"/>
            </w:tcBorders>
          </w:tcPr>
          <w:p>
            <w:pPr>
              <w:spacing w:after="0"/>
              <w:rPr>
                <w:sz w:val="20"/>
                <w:szCs w:val="20"/>
                <w:color w:val="auto"/>
              </w:rPr>
            </w:pPr>
            <w:r>
              <w:rPr>
                <w:rFonts w:ascii="Arial" w:cs="Arial" w:eastAsia="Arial" w:hAnsi="Arial"/>
                <w:sz w:val="14"/>
                <w:szCs w:val="14"/>
                <w:b w:val="1"/>
                <w:bCs w:val="1"/>
                <w:color w:val="457157"/>
              </w:rPr>
              <w:t>​</w:t>
            </w:r>
          </w:p>
        </w:tc>
        <w:tc>
          <w:tcPr>
            <w:tcW w:w="4060" w:type="dxa"/>
            <w:vAlign w:val="bottom"/>
            <w:tcBorders>
              <w:top w:val="single" w:sz="8" w:color="457157"/>
            </w:tcBorders>
          </w:tcPr>
          <w:p>
            <w:pPr>
              <w:spacing w:after="0"/>
              <w:rPr>
                <w:sz w:val="24"/>
                <w:szCs w:val="24"/>
                <w:color w:val="auto"/>
              </w:rPr>
            </w:pPr>
          </w:p>
        </w:tc>
        <w:tc>
          <w:tcPr>
            <w:tcW w:w="160" w:type="dxa"/>
            <w:vAlign w:val="bottom"/>
            <w:tcBorders>
              <w:top w:val="single" w:sz="8" w:color="457157"/>
            </w:tcBorders>
          </w:tcPr>
          <w:p>
            <w:pPr>
              <w:spacing w:after="0"/>
              <w:rPr>
                <w:sz w:val="24"/>
                <w:szCs w:val="24"/>
                <w:color w:val="auto"/>
              </w:rPr>
            </w:pPr>
          </w:p>
        </w:tc>
        <w:tc>
          <w:tcPr>
            <w:tcW w:w="340" w:type="dxa"/>
            <w:vAlign w:val="bottom"/>
            <w:tcBorders>
              <w:top w:val="single" w:sz="8" w:color="457157"/>
            </w:tcBorders>
          </w:tcPr>
          <w:p>
            <w:pPr>
              <w:spacing w:after="0"/>
              <w:rPr>
                <w:sz w:val="24"/>
                <w:szCs w:val="24"/>
                <w:color w:val="auto"/>
              </w:rPr>
            </w:pPr>
          </w:p>
        </w:tc>
        <w:tc>
          <w:tcPr>
            <w:tcW w:w="280" w:type="dxa"/>
            <w:vAlign w:val="bottom"/>
            <w:tcBorders>
              <w:top w:val="single" w:sz="8" w:color="457157"/>
            </w:tcBorders>
          </w:tcPr>
          <w:p>
            <w:pPr>
              <w:spacing w:after="0"/>
              <w:rPr>
                <w:sz w:val="24"/>
                <w:szCs w:val="24"/>
                <w:color w:val="auto"/>
              </w:rPr>
            </w:pPr>
          </w:p>
        </w:tc>
        <w:tc>
          <w:tcPr>
            <w:tcW w:w="860" w:type="dxa"/>
            <w:vAlign w:val="bottom"/>
            <w:tcBorders>
              <w:top w:val="single" w:sz="8" w:color="457157"/>
            </w:tcBorders>
          </w:tcPr>
          <w:p>
            <w:pPr>
              <w:spacing w:after="0"/>
              <w:rPr>
                <w:sz w:val="24"/>
                <w:szCs w:val="24"/>
                <w:color w:val="auto"/>
              </w:rPr>
            </w:pPr>
          </w:p>
        </w:tc>
        <w:tc>
          <w:tcPr>
            <w:tcW w:w="220" w:type="dxa"/>
            <w:vAlign w:val="bottom"/>
            <w:tcBorders>
              <w:top w:val="single" w:sz="8" w:color="457157"/>
              <w:bottom w:val="single" w:sz="8" w:color="457157"/>
            </w:tcBorders>
          </w:tcPr>
          <w:p>
            <w:pPr>
              <w:spacing w:after="0"/>
              <w:rPr>
                <w:sz w:val="20"/>
                <w:szCs w:val="20"/>
                <w:color w:val="auto"/>
              </w:rPr>
            </w:pPr>
            <w:r>
              <w:rPr>
                <w:rFonts w:ascii="Arial" w:cs="Arial" w:eastAsia="Arial" w:hAnsi="Arial"/>
                <w:sz w:val="14"/>
                <w:szCs w:val="14"/>
                <w:b w:val="1"/>
                <w:bCs w:val="1"/>
                <w:color w:val="457157"/>
              </w:rPr>
              <w:t>​</w:t>
            </w:r>
          </w:p>
        </w:tc>
        <w:tc>
          <w:tcPr>
            <w:tcW w:w="120" w:type="dxa"/>
            <w:vAlign w:val="bottom"/>
            <w:tcBorders>
              <w:top w:val="single" w:sz="8" w:color="457157"/>
              <w:bottom w:val="single" w:sz="8" w:color="457157"/>
            </w:tcBorders>
          </w:tcPr>
          <w:p>
            <w:pPr>
              <w:spacing w:after="0"/>
              <w:rPr>
                <w:sz w:val="24"/>
                <w:szCs w:val="24"/>
                <w:color w:val="auto"/>
              </w:rPr>
            </w:pPr>
          </w:p>
        </w:tc>
        <w:tc>
          <w:tcPr>
            <w:tcW w:w="3260" w:type="dxa"/>
            <w:vAlign w:val="bottom"/>
            <w:tcBorders>
              <w:top w:val="single" w:sz="8" w:color="457157"/>
              <w:bottom w:val="single" w:sz="8" w:color="457157"/>
            </w:tcBorders>
            <w:gridSpan w:val="16"/>
          </w:tcPr>
          <w:p>
            <w:pPr>
              <w:jc w:val="right"/>
              <w:ind w:right="32"/>
              <w:spacing w:after="0"/>
              <w:rPr>
                <w:sz w:val="20"/>
                <w:szCs w:val="20"/>
                <w:color w:val="auto"/>
              </w:rPr>
            </w:pPr>
            <w:r>
              <w:rPr>
                <w:rFonts w:ascii="Arial" w:cs="Arial" w:eastAsia="Arial" w:hAnsi="Arial"/>
                <w:sz w:val="14"/>
                <w:szCs w:val="14"/>
                <w:b w:val="1"/>
                <w:bCs w:val="1"/>
                <w:color w:val="457157"/>
              </w:rPr>
              <w:t>Twelve Months Ended December 31, 2020</w:t>
            </w:r>
          </w:p>
        </w:tc>
        <w:tc>
          <w:tcPr>
            <w:tcW w:w="120" w:type="dxa"/>
            <w:vAlign w:val="bottom"/>
            <w:tcBorders>
              <w:top w:val="single" w:sz="8" w:color="457157"/>
              <w:bottom w:val="single" w:sz="8" w:color="457157"/>
            </w:tcBorders>
          </w:tcPr>
          <w:p>
            <w:pPr>
              <w:spacing w:after="0"/>
              <w:rPr>
                <w:sz w:val="24"/>
                <w:szCs w:val="24"/>
                <w:color w:val="auto"/>
              </w:rPr>
            </w:pPr>
          </w:p>
        </w:tc>
        <w:tc>
          <w:tcPr>
            <w:tcW w:w="60" w:type="dxa"/>
            <w:vAlign w:val="bottom"/>
            <w:tcBorders>
              <w:top w:val="single" w:sz="8" w:color="457157"/>
              <w:bottom w:val="single" w:sz="8" w:color="457157"/>
            </w:tcBorders>
          </w:tcPr>
          <w:p>
            <w:pPr>
              <w:spacing w:after="0"/>
              <w:rPr>
                <w:sz w:val="24"/>
                <w:szCs w:val="24"/>
                <w:color w:val="auto"/>
              </w:rPr>
            </w:pPr>
          </w:p>
        </w:tc>
        <w:tc>
          <w:tcPr>
            <w:tcW w:w="80" w:type="dxa"/>
            <w:vAlign w:val="bottom"/>
            <w:tcBorders>
              <w:top w:val="single" w:sz="8" w:color="457157"/>
              <w:bottom w:val="single" w:sz="8" w:color="457157"/>
            </w:tcBorders>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20" w:type="dxa"/>
            <w:vAlign w:val="bottom"/>
            <w:gridSpan w:val="18"/>
          </w:tcPr>
          <w:p>
            <w:pPr>
              <w:jc w:val="center"/>
              <w:ind w:right="16"/>
              <w:spacing w:after="0"/>
              <w:rPr>
                <w:sz w:val="20"/>
                <w:szCs w:val="20"/>
                <w:color w:val="auto"/>
              </w:rPr>
            </w:pPr>
            <w:r>
              <w:rPr>
                <w:rFonts w:ascii="Arial" w:cs="Arial" w:eastAsia="Arial" w:hAnsi="Arial"/>
                <w:sz w:val="14"/>
                <w:szCs w:val="14"/>
                <w:b w:val="1"/>
                <w:bCs w:val="1"/>
                <w:color w:val="457157"/>
              </w:rPr>
              <w:t>Income from Depreciation and Operating</w:t>
            </w:r>
          </w:p>
        </w:tc>
        <w:tc>
          <w:tcPr>
            <w:tcW w:w="0" w:type="dxa"/>
            <w:vAlign w:val="bottom"/>
          </w:tcPr>
          <w:p>
            <w:pPr>
              <w:spacing w:after="0"/>
              <w:rPr>
                <w:sz w:val="1"/>
                <w:szCs w:val="1"/>
                <w:color w:val="auto"/>
              </w:rPr>
            </w:pPr>
          </w:p>
        </w:tc>
      </w:tr>
      <w:tr>
        <w:trPr>
          <w:trHeight w:val="203"/>
        </w:trPr>
        <w:tc>
          <w:tcPr>
            <w:tcW w:w="1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4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gridSpan w:val="9"/>
          </w:tcPr>
          <w:p>
            <w:pPr>
              <w:jc w:val="center"/>
              <w:spacing w:after="0" w:line="202" w:lineRule="exact"/>
              <w:rPr>
                <w:sz w:val="20"/>
                <w:szCs w:val="20"/>
                <w:color w:val="auto"/>
              </w:rPr>
            </w:pP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Revenue</w:t>
            </w: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Operations</w:t>
            </w:r>
            <w:r>
              <w:rPr>
                <w:rFonts w:ascii="Arial" w:cs="Arial" w:eastAsia="Arial" w:hAnsi="Arial"/>
                <w:sz w:val="23"/>
                <w:szCs w:val="23"/>
                <w:b w:val="1"/>
                <w:bCs w:val="1"/>
                <w:color w:val="457157"/>
                <w:vertAlign w:val="subscript"/>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4"/>
          </w:tcPr>
          <w:p>
            <w:pPr>
              <w:spacing w:after="0" w:line="202" w:lineRule="exact"/>
              <w:rPr>
                <w:sz w:val="20"/>
                <w:szCs w:val="20"/>
                <w:color w:val="auto"/>
              </w:rPr>
            </w:pPr>
            <w:r>
              <w:rPr>
                <w:rFonts w:ascii="Arial" w:cs="Arial" w:eastAsia="Arial" w:hAnsi="Arial"/>
                <w:sz w:val="13"/>
                <w:szCs w:val="13"/>
                <w:b w:val="1"/>
                <w:bCs w:val="1"/>
                <w:color w:val="457157"/>
              </w:rPr>
              <w:t>amortization</w:t>
            </w:r>
            <w:r>
              <w:rPr>
                <w:rFonts w:ascii="Arial" w:cs="Arial" w:eastAsia="Arial" w:hAnsi="Arial"/>
                <w:sz w:val="23"/>
                <w:szCs w:val="23"/>
                <w:b w:val="1"/>
                <w:bCs w:val="1"/>
                <w:color w:val="457157"/>
                <w:vertAlign w:val="subscript"/>
              </w:rPr>
              <w:t>​</w:t>
            </w:r>
          </w:p>
        </w:tc>
        <w:tc>
          <w:tcPr>
            <w:tcW w:w="40" w:type="dxa"/>
            <w:vAlign w:val="bottom"/>
          </w:tcPr>
          <w:p>
            <w:pPr>
              <w:spacing w:after="0"/>
              <w:rPr>
                <w:sz w:val="17"/>
                <w:szCs w:val="17"/>
                <w:color w:val="auto"/>
              </w:rPr>
            </w:pPr>
          </w:p>
        </w:tc>
        <w:tc>
          <w:tcPr>
            <w:tcW w:w="680" w:type="dxa"/>
            <w:vAlign w:val="bottom"/>
            <w:gridSpan w:val="6"/>
          </w:tcPr>
          <w:p>
            <w:pPr>
              <w:jc w:val="right"/>
              <w:spacing w:after="0" w:line="202" w:lineRule="exact"/>
              <w:rPr>
                <w:sz w:val="20"/>
                <w:szCs w:val="20"/>
                <w:color w:val="auto"/>
              </w:rPr>
            </w:pPr>
            <w:r>
              <w:rPr>
                <w:rFonts w:ascii="Arial" w:cs="Arial" w:eastAsia="Arial" w:hAnsi="Arial"/>
                <w:sz w:val="13"/>
                <w:szCs w:val="13"/>
                <w:b w:val="1"/>
                <w:bCs w:val="1"/>
                <w:color w:val="457157"/>
              </w:rPr>
              <w:t>EBITDA</w:t>
            </w:r>
            <w:r>
              <w:rPr>
                <w:rFonts w:ascii="Arial" w:cs="Arial" w:eastAsia="Arial" w:hAnsi="Arial"/>
                <w:sz w:val="23"/>
                <w:szCs w:val="23"/>
                <w:b w:val="1"/>
                <w:bCs w:val="1"/>
                <w:color w:val="457157"/>
                <w:vertAlign w:val="subscript"/>
              </w:rPr>
              <w:t>​</w:t>
            </w:r>
          </w:p>
        </w:tc>
        <w:tc>
          <w:tcPr>
            <w:tcW w:w="0" w:type="dxa"/>
            <w:vAlign w:val="bottom"/>
          </w:tcPr>
          <w:p>
            <w:pPr>
              <w:spacing w:after="0"/>
              <w:rPr>
                <w:sz w:val="1"/>
                <w:szCs w:val="1"/>
                <w:color w:val="auto"/>
              </w:rPr>
            </w:pPr>
          </w:p>
        </w:tc>
      </w:tr>
      <w:tr>
        <w:trPr>
          <w:trHeight w:val="196"/>
        </w:trPr>
        <w:tc>
          <w:tcPr>
            <w:tcW w:w="4180" w:type="dxa"/>
            <w:vAlign w:val="bottom"/>
            <w:tcBorders>
              <w:top w:val="single" w:sz="8" w:color="457157"/>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As reported amounts</w:t>
            </w:r>
          </w:p>
        </w:tc>
        <w:tc>
          <w:tcPr>
            <w:tcW w:w="160" w:type="dxa"/>
            <w:vAlign w:val="bottom"/>
            <w:tcBorders>
              <w:top w:val="single" w:sz="8" w:color="457157"/>
            </w:tcBorders>
            <w:shd w:val="clear" w:color="auto" w:fill="CCEEFF"/>
          </w:tcPr>
          <w:p>
            <w:pPr>
              <w:spacing w:after="0"/>
              <w:rPr>
                <w:sz w:val="17"/>
                <w:szCs w:val="17"/>
                <w:color w:val="auto"/>
              </w:rPr>
            </w:pPr>
          </w:p>
        </w:tc>
        <w:tc>
          <w:tcPr>
            <w:tcW w:w="340" w:type="dxa"/>
            <w:vAlign w:val="bottom"/>
            <w:tcBorders>
              <w:top w:val="single" w:sz="8" w:color="457157"/>
            </w:tcBorders>
            <w:shd w:val="clear" w:color="auto" w:fill="CCEEFF"/>
          </w:tcPr>
          <w:p>
            <w:pPr>
              <w:spacing w:after="0"/>
              <w:rPr>
                <w:sz w:val="17"/>
                <w:szCs w:val="17"/>
                <w:color w:val="auto"/>
              </w:rPr>
            </w:pPr>
          </w:p>
        </w:tc>
        <w:tc>
          <w:tcPr>
            <w:tcW w:w="280" w:type="dxa"/>
            <w:vAlign w:val="bottom"/>
            <w:tcBorders>
              <w:top w:val="single" w:sz="8" w:color="457157"/>
            </w:tcBorders>
            <w:shd w:val="clear" w:color="auto" w:fill="CCEEFF"/>
          </w:tcPr>
          <w:p>
            <w:pPr>
              <w:spacing w:after="0"/>
              <w:rPr>
                <w:sz w:val="17"/>
                <w:szCs w:val="17"/>
                <w:color w:val="auto"/>
              </w:rPr>
            </w:pPr>
          </w:p>
        </w:tc>
        <w:tc>
          <w:tcPr>
            <w:tcW w:w="860" w:type="dxa"/>
            <w:vAlign w:val="bottom"/>
            <w:tcBorders>
              <w:top w:val="single" w:sz="8" w:color="457157"/>
            </w:tcBorders>
            <w:shd w:val="clear" w:color="auto" w:fill="CCEEFF"/>
          </w:tcPr>
          <w:p>
            <w:pPr>
              <w:spacing w:after="0"/>
              <w:rPr>
                <w:sz w:val="17"/>
                <w:szCs w:val="17"/>
                <w:color w:val="auto"/>
              </w:rPr>
            </w:pPr>
          </w:p>
        </w:tc>
        <w:tc>
          <w:tcPr>
            <w:tcW w:w="700" w:type="dxa"/>
            <w:vAlign w:val="bottom"/>
            <w:tcBorders>
              <w:top w:val="single" w:sz="8" w:color="457157"/>
            </w:tcBorders>
            <w:gridSpan w:val="4"/>
            <w:shd w:val="clear" w:color="auto" w:fill="CCEEFF"/>
          </w:tcPr>
          <w:p>
            <w:pPr>
              <w:ind w:left="20"/>
              <w:spacing w:after="0" w:line="196" w:lineRule="exact"/>
              <w:rPr>
                <w:sz w:val="20"/>
                <w:szCs w:val="20"/>
                <w:color w:val="auto"/>
              </w:rPr>
            </w:pPr>
            <w:r>
              <w:rPr>
                <w:rFonts w:ascii="Arial" w:cs="Arial" w:eastAsia="Arial" w:hAnsi="Arial"/>
                <w:sz w:val="18"/>
                <w:szCs w:val="18"/>
                <w:color w:val="auto"/>
              </w:rPr>
              <w:t>$15,218</w:t>
            </w:r>
          </w:p>
        </w:tc>
        <w:tc>
          <w:tcPr>
            <w:tcW w:w="100" w:type="dxa"/>
            <w:vAlign w:val="bottom"/>
            <w:tcBorders>
              <w:top w:val="single" w:sz="8" w:color="457157"/>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457157"/>
            </w:tcBorders>
            <w:gridSpan w:val="3"/>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$ 2,434</w:t>
            </w:r>
          </w:p>
        </w:tc>
        <w:tc>
          <w:tcPr>
            <w:tcW w:w="120" w:type="dxa"/>
            <w:vAlign w:val="bottom"/>
            <w:tcBorders>
              <w:top w:val="single" w:sz="8" w:color="457157"/>
            </w:tcBorders>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457157"/>
            </w:tcBorders>
            <w:shd w:val="clear" w:color="auto" w:fill="CCEEFF"/>
          </w:tcPr>
          <w:p>
            <w:pPr>
              <w:spacing w:after="0"/>
              <w:rPr>
                <w:sz w:val="17"/>
                <w:szCs w:val="17"/>
                <w:color w:val="auto"/>
              </w:rPr>
            </w:pPr>
          </w:p>
        </w:tc>
        <w:tc>
          <w:tcPr>
            <w:tcW w:w="82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$ 1,671</w:t>
            </w:r>
          </w:p>
        </w:tc>
        <w:tc>
          <w:tcPr>
            <w:tcW w:w="240" w:type="dxa"/>
            <w:vAlign w:val="bottom"/>
            <w:tcBorders>
              <w:top w:val="single" w:sz="8" w:color="457157"/>
            </w:tcBorders>
            <w:shd w:val="clear" w:color="auto" w:fill="CCEEFF"/>
          </w:tcPr>
          <w:p>
            <w:pPr>
              <w:spacing w:after="0"/>
              <w:rPr>
                <w:sz w:val="17"/>
                <w:szCs w:val="17"/>
                <w:color w:val="auto"/>
              </w:rPr>
            </w:pPr>
          </w:p>
        </w:tc>
        <w:tc>
          <w:tcPr>
            <w:tcW w:w="760" w:type="dxa"/>
            <w:vAlign w:val="bottom"/>
            <w:tcBorders>
              <w:top w:val="single" w:sz="8" w:color="457157"/>
            </w:tcBorders>
            <w:gridSpan w:val="6"/>
            <w:shd w:val="clear" w:color="auto" w:fill="CCEEFF"/>
          </w:tcPr>
          <w:p>
            <w:pPr>
              <w:jc w:val="right"/>
              <w:spacing w:after="0" w:line="196" w:lineRule="exact"/>
              <w:rPr>
                <w:sz w:val="20"/>
                <w:szCs w:val="20"/>
                <w:color w:val="auto"/>
              </w:rPr>
            </w:pPr>
            <w:r>
              <w:rPr>
                <w:rFonts w:ascii="Arial" w:cs="Arial" w:eastAsia="Arial" w:hAnsi="Arial"/>
                <w:sz w:val="18"/>
                <w:szCs w:val="18"/>
                <w:color w:val="auto"/>
              </w:rPr>
              <w:t>$ 4,105</w:t>
            </w:r>
          </w:p>
        </w:tc>
        <w:tc>
          <w:tcPr>
            <w:tcW w:w="80" w:type="dxa"/>
            <w:vAlign w:val="bottom"/>
            <w:tcBorders>
              <w:top w:val="single" w:sz="8" w:color="457157"/>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
        </w:trPr>
        <w:tc>
          <w:tcPr>
            <w:tcW w:w="12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4060" w:type="dxa"/>
            <w:vAlign w:val="bottom"/>
            <w:tcBorders>
              <w:bottom w:val="single" w:sz="8" w:color="457157"/>
            </w:tcBorders>
            <w:shd w:val="clear" w:color="auto" w:fill="CCEEFF"/>
          </w:tcPr>
          <w:p>
            <w:pPr>
              <w:spacing w:after="0"/>
              <w:rPr>
                <w:sz w:val="5"/>
                <w:szCs w:val="5"/>
                <w:color w:val="auto"/>
              </w:rPr>
            </w:pPr>
          </w:p>
        </w:tc>
        <w:tc>
          <w:tcPr>
            <w:tcW w:w="160" w:type="dxa"/>
            <w:vAlign w:val="bottom"/>
            <w:tcBorders>
              <w:bottom w:val="single" w:sz="8" w:color="457157"/>
            </w:tcBorders>
            <w:shd w:val="clear" w:color="auto" w:fill="CCEEFF"/>
          </w:tcPr>
          <w:p>
            <w:pPr>
              <w:spacing w:after="0"/>
              <w:rPr>
                <w:sz w:val="5"/>
                <w:szCs w:val="5"/>
                <w:color w:val="auto"/>
              </w:rPr>
            </w:pPr>
          </w:p>
        </w:tc>
        <w:tc>
          <w:tcPr>
            <w:tcW w:w="340" w:type="dxa"/>
            <w:vAlign w:val="bottom"/>
            <w:tcBorders>
              <w:bottom w:val="single" w:sz="8" w:color="457157"/>
            </w:tcBorders>
            <w:shd w:val="clear" w:color="auto" w:fill="CCEEFF"/>
          </w:tcPr>
          <w:p>
            <w:pPr>
              <w:spacing w:after="0"/>
              <w:rPr>
                <w:sz w:val="5"/>
                <w:szCs w:val="5"/>
                <w:color w:val="auto"/>
              </w:rPr>
            </w:pPr>
          </w:p>
        </w:tc>
        <w:tc>
          <w:tcPr>
            <w:tcW w:w="280" w:type="dxa"/>
            <w:vAlign w:val="bottom"/>
            <w:tcBorders>
              <w:bottom w:val="single" w:sz="8" w:color="457157"/>
            </w:tcBorders>
            <w:shd w:val="clear" w:color="auto" w:fill="CCEEFF"/>
          </w:tcPr>
          <w:p>
            <w:pPr>
              <w:spacing w:after="0"/>
              <w:rPr>
                <w:sz w:val="5"/>
                <w:szCs w:val="5"/>
                <w:color w:val="auto"/>
              </w:rPr>
            </w:pPr>
          </w:p>
        </w:tc>
        <w:tc>
          <w:tcPr>
            <w:tcW w:w="860" w:type="dxa"/>
            <w:vAlign w:val="bottom"/>
            <w:tcBorders>
              <w:bottom w:val="single" w:sz="8" w:color="457157"/>
            </w:tcBorders>
            <w:shd w:val="clear" w:color="auto" w:fill="CCEEFF"/>
          </w:tcPr>
          <w:p>
            <w:pPr>
              <w:spacing w:after="0"/>
              <w:rPr>
                <w:sz w:val="5"/>
                <w:szCs w:val="5"/>
                <w:color w:val="auto"/>
              </w:rPr>
            </w:pPr>
          </w:p>
        </w:tc>
        <w:tc>
          <w:tcPr>
            <w:tcW w:w="22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120" w:type="dxa"/>
            <w:vAlign w:val="bottom"/>
            <w:tcBorders>
              <w:bottom w:val="single" w:sz="8" w:color="457157"/>
            </w:tcBorders>
            <w:shd w:val="clear" w:color="auto" w:fill="CCEEFF"/>
          </w:tcPr>
          <w:p>
            <w:pPr>
              <w:spacing w:after="0"/>
              <w:rPr>
                <w:sz w:val="5"/>
                <w:szCs w:val="5"/>
                <w:color w:val="auto"/>
              </w:rPr>
            </w:pPr>
          </w:p>
        </w:tc>
        <w:tc>
          <w:tcPr>
            <w:tcW w:w="140" w:type="dxa"/>
            <w:vAlign w:val="bottom"/>
            <w:tcBorders>
              <w:bottom w:val="single" w:sz="8" w:color="457157"/>
            </w:tcBorders>
            <w:shd w:val="clear" w:color="auto" w:fill="CCEEFF"/>
          </w:tcPr>
          <w:p>
            <w:pPr>
              <w:spacing w:after="0"/>
              <w:rPr>
                <w:sz w:val="5"/>
                <w:szCs w:val="5"/>
                <w:color w:val="auto"/>
              </w:rPr>
            </w:pPr>
          </w:p>
        </w:tc>
        <w:tc>
          <w:tcPr>
            <w:tcW w:w="220" w:type="dxa"/>
            <w:vAlign w:val="bottom"/>
            <w:tcBorders>
              <w:bottom w:val="single" w:sz="8" w:color="457157"/>
            </w:tcBorders>
            <w:shd w:val="clear" w:color="auto" w:fill="CCEEFF"/>
          </w:tcPr>
          <w:p>
            <w:pPr>
              <w:spacing w:after="0"/>
              <w:rPr>
                <w:sz w:val="5"/>
                <w:szCs w:val="5"/>
                <w:color w:val="auto"/>
              </w:rPr>
            </w:pPr>
          </w:p>
        </w:tc>
        <w:tc>
          <w:tcPr>
            <w:tcW w:w="100" w:type="dxa"/>
            <w:vAlign w:val="bottom"/>
            <w:tcBorders>
              <w:bottom w:val="single" w:sz="8" w:color="457157"/>
            </w:tcBorders>
            <w:vMerge w:val="continue"/>
            <w:shd w:val="clear" w:color="auto" w:fill="CCEEFF"/>
          </w:tcPr>
          <w:p>
            <w:pPr>
              <w:spacing w:after="0"/>
              <w:rPr>
                <w:sz w:val="5"/>
                <w:szCs w:val="5"/>
                <w:color w:val="auto"/>
              </w:rPr>
            </w:pPr>
          </w:p>
        </w:tc>
        <w:tc>
          <w:tcPr>
            <w:tcW w:w="180" w:type="dxa"/>
            <w:vAlign w:val="bottom"/>
            <w:tcBorders>
              <w:bottom w:val="single" w:sz="8" w:color="457157"/>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100" w:type="dxa"/>
            <w:vAlign w:val="bottom"/>
            <w:tcBorders>
              <w:bottom w:val="single" w:sz="8" w:color="457157"/>
            </w:tcBorders>
            <w:shd w:val="clear" w:color="auto" w:fill="CCEEFF"/>
          </w:tcPr>
          <w:p>
            <w:pPr>
              <w:spacing w:after="0"/>
              <w:rPr>
                <w:sz w:val="5"/>
                <w:szCs w:val="5"/>
                <w:color w:val="auto"/>
              </w:rPr>
            </w:pPr>
          </w:p>
        </w:tc>
        <w:tc>
          <w:tcPr>
            <w:tcW w:w="560" w:type="dxa"/>
            <w:vAlign w:val="bottom"/>
            <w:tcBorders>
              <w:bottom w:val="single" w:sz="8" w:color="457157"/>
            </w:tcBorders>
            <w:shd w:val="clear" w:color="auto" w:fill="CCEEFF"/>
          </w:tcPr>
          <w:p>
            <w:pPr>
              <w:spacing w:after="0"/>
              <w:rPr>
                <w:sz w:val="5"/>
                <w:szCs w:val="5"/>
                <w:color w:val="auto"/>
              </w:rPr>
            </w:pPr>
          </w:p>
        </w:tc>
        <w:tc>
          <w:tcPr>
            <w:tcW w:w="120" w:type="dxa"/>
            <w:vAlign w:val="bottom"/>
            <w:tcBorders>
              <w:bottom w:val="single" w:sz="8" w:color="457157"/>
            </w:tcBorders>
            <w:vMerge w:val="continue"/>
            <w:shd w:val="clear" w:color="auto" w:fill="CCEEFF"/>
          </w:tcPr>
          <w:p>
            <w:pPr>
              <w:spacing w:after="0"/>
              <w:rPr>
                <w:sz w:val="5"/>
                <w:szCs w:val="5"/>
                <w:color w:val="auto"/>
              </w:rPr>
            </w:pPr>
          </w:p>
        </w:tc>
        <w:tc>
          <w:tcPr>
            <w:tcW w:w="200" w:type="dxa"/>
            <w:vAlign w:val="bottom"/>
            <w:tcBorders>
              <w:bottom w:val="single" w:sz="8" w:color="457157"/>
            </w:tcBorders>
            <w:shd w:val="clear" w:color="auto" w:fill="CCEEFF"/>
          </w:tcPr>
          <w:p>
            <w:pPr>
              <w:spacing w:after="0"/>
              <w:rPr>
                <w:sz w:val="5"/>
                <w:szCs w:val="5"/>
                <w:color w:val="auto"/>
              </w:rPr>
            </w:pPr>
          </w:p>
        </w:tc>
        <w:tc>
          <w:tcPr>
            <w:tcW w:w="140" w:type="dxa"/>
            <w:vAlign w:val="bottom"/>
            <w:tcBorders>
              <w:bottom w:val="single" w:sz="8" w:color="457157"/>
            </w:tcBorders>
            <w:shd w:val="clear" w:color="auto" w:fill="CCEEFF"/>
          </w:tcPr>
          <w:p>
            <w:pPr>
              <w:ind w:left="60"/>
              <w:spacing w:after="0" w:line="68" w:lineRule="exact"/>
              <w:rPr>
                <w:sz w:val="20"/>
                <w:szCs w:val="20"/>
                <w:color w:val="auto"/>
              </w:rPr>
            </w:pPr>
            <w:r>
              <w:rPr>
                <w:rFonts w:ascii="Arial" w:cs="Arial" w:eastAsia="Arial" w:hAnsi="Arial"/>
                <w:sz w:val="7"/>
                <w:szCs w:val="7"/>
                <w:color w:val="auto"/>
              </w:rPr>
              <w:t>​</w:t>
            </w:r>
          </w:p>
        </w:tc>
        <w:tc>
          <w:tcPr>
            <w:tcW w:w="400" w:type="dxa"/>
            <w:vAlign w:val="bottom"/>
            <w:tcBorders>
              <w:bottom w:val="single" w:sz="8" w:color="457157"/>
            </w:tcBorders>
            <w:shd w:val="clear" w:color="auto" w:fill="CCEEFF"/>
          </w:tcPr>
          <w:p>
            <w:pPr>
              <w:spacing w:after="0"/>
              <w:rPr>
                <w:sz w:val="5"/>
                <w:szCs w:val="5"/>
                <w:color w:val="auto"/>
              </w:rPr>
            </w:pPr>
          </w:p>
        </w:tc>
        <w:tc>
          <w:tcPr>
            <w:tcW w:w="280" w:type="dxa"/>
            <w:vAlign w:val="bottom"/>
            <w:tcBorders>
              <w:bottom w:val="single" w:sz="8" w:color="457157"/>
            </w:tcBorders>
            <w:shd w:val="clear" w:color="auto" w:fill="CCEEFF"/>
          </w:tcPr>
          <w:p>
            <w:pPr>
              <w:spacing w:after="0"/>
              <w:rPr>
                <w:sz w:val="5"/>
                <w:szCs w:val="5"/>
                <w:color w:val="auto"/>
              </w:rPr>
            </w:pPr>
          </w:p>
        </w:tc>
        <w:tc>
          <w:tcPr>
            <w:tcW w:w="240" w:type="dxa"/>
            <w:vAlign w:val="bottom"/>
            <w:tcBorders>
              <w:bottom w:val="single" w:sz="8" w:color="457157"/>
            </w:tcBorders>
            <w:shd w:val="clear" w:color="auto" w:fill="CCEEFF"/>
          </w:tcPr>
          <w:p>
            <w:pPr>
              <w:spacing w:after="0"/>
              <w:rPr>
                <w:sz w:val="5"/>
                <w:szCs w:val="5"/>
                <w:color w:val="auto"/>
              </w:rPr>
            </w:pPr>
          </w:p>
        </w:tc>
        <w:tc>
          <w:tcPr>
            <w:tcW w:w="18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40" w:type="dxa"/>
            <w:vAlign w:val="bottom"/>
            <w:tcBorders>
              <w:bottom w:val="single" w:sz="8" w:color="457157"/>
            </w:tcBorders>
            <w:shd w:val="clear" w:color="auto" w:fill="CCEEFF"/>
          </w:tcPr>
          <w:p>
            <w:pPr>
              <w:spacing w:after="0"/>
              <w:rPr>
                <w:sz w:val="5"/>
                <w:szCs w:val="5"/>
                <w:color w:val="auto"/>
              </w:rPr>
            </w:pPr>
          </w:p>
        </w:tc>
        <w:tc>
          <w:tcPr>
            <w:tcW w:w="60" w:type="dxa"/>
            <w:vAlign w:val="bottom"/>
            <w:tcBorders>
              <w:bottom w:val="single" w:sz="8" w:color="457157"/>
            </w:tcBorders>
            <w:shd w:val="clear" w:color="auto" w:fill="CCEEFF"/>
          </w:tcPr>
          <w:p>
            <w:pPr>
              <w:spacing w:after="0"/>
              <w:rPr>
                <w:sz w:val="5"/>
                <w:szCs w:val="5"/>
                <w:color w:val="auto"/>
              </w:rPr>
            </w:pPr>
          </w:p>
        </w:tc>
        <w:tc>
          <w:tcPr>
            <w:tcW w:w="300" w:type="dxa"/>
            <w:vAlign w:val="bottom"/>
            <w:tcBorders>
              <w:bottom w:val="single" w:sz="8" w:color="457157"/>
            </w:tcBorders>
            <w:shd w:val="clear" w:color="auto" w:fill="CCEEFF"/>
          </w:tcPr>
          <w:p>
            <w:pPr>
              <w:spacing w:after="0"/>
              <w:rPr>
                <w:sz w:val="5"/>
                <w:szCs w:val="5"/>
                <w:color w:val="auto"/>
              </w:rPr>
            </w:pPr>
          </w:p>
        </w:tc>
        <w:tc>
          <w:tcPr>
            <w:tcW w:w="120" w:type="dxa"/>
            <w:vAlign w:val="bottom"/>
            <w:tcBorders>
              <w:bottom w:val="single" w:sz="8" w:color="457157"/>
            </w:tcBorders>
            <w:shd w:val="clear" w:color="auto" w:fill="CCEEFF"/>
          </w:tcPr>
          <w:p>
            <w:pPr>
              <w:spacing w:after="0"/>
              <w:rPr>
                <w:sz w:val="5"/>
                <w:szCs w:val="5"/>
                <w:color w:val="auto"/>
              </w:rPr>
            </w:pPr>
          </w:p>
        </w:tc>
        <w:tc>
          <w:tcPr>
            <w:tcW w:w="60" w:type="dxa"/>
            <w:vAlign w:val="bottom"/>
            <w:tcBorders>
              <w:bottom w:val="single" w:sz="8" w:color="457157"/>
            </w:tcBorders>
            <w:shd w:val="clear" w:color="auto" w:fill="CCEEFF"/>
          </w:tcPr>
          <w:p>
            <w:pPr>
              <w:spacing w:after="0"/>
              <w:rPr>
                <w:sz w:val="5"/>
                <w:szCs w:val="5"/>
                <w:color w:val="auto"/>
              </w:rPr>
            </w:pPr>
          </w:p>
        </w:tc>
        <w:tc>
          <w:tcPr>
            <w:tcW w:w="80" w:type="dxa"/>
            <w:vAlign w:val="bottom"/>
            <w:tcBorders>
              <w:bottom w:val="single" w:sz="8" w:color="457157"/>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4180" w:type="dxa"/>
            <w:vAlign w:val="bottom"/>
            <w:gridSpan w:val="2"/>
          </w:tcPr>
          <w:p>
            <w:pPr>
              <w:spacing w:after="0" w:line="196" w:lineRule="exact"/>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ind w:left="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vMerge w:val="restart"/>
          </w:tcPr>
          <w:p>
            <w:pPr>
              <w:jc w:val="right"/>
              <w:ind w:right="195"/>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4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120" w:type="dxa"/>
            <w:vAlign w:val="bottom"/>
            <w:tcBorders>
              <w:top w:val="single" w:sz="8" w:color="457157"/>
            </w:tcBorders>
            <w:shd w:val="clear" w:color="auto" w:fill="CCEEFF"/>
          </w:tcPr>
          <w:p>
            <w:pPr>
              <w:spacing w:after="0"/>
              <w:rPr>
                <w:sz w:val="18"/>
                <w:szCs w:val="18"/>
                <w:color w:val="auto"/>
              </w:rPr>
            </w:pPr>
          </w:p>
        </w:tc>
        <w:tc>
          <w:tcPr>
            <w:tcW w:w="5700" w:type="dxa"/>
            <w:vAlign w:val="bottom"/>
            <w:tcBorders>
              <w:top w:val="single" w:sz="8" w:color="457157"/>
            </w:tcBorders>
            <w:gridSpan w:val="5"/>
            <w:shd w:val="clear" w:color="auto" w:fill="CCEEFF"/>
          </w:tcPr>
          <w:p>
            <w:pPr>
              <w:ind w:left="60"/>
              <w:spacing w:after="0"/>
              <w:rPr>
                <w:sz w:val="20"/>
                <w:szCs w:val="20"/>
                <w:color w:val="auto"/>
              </w:rPr>
            </w:pPr>
            <w:r>
              <w:rPr>
                <w:rFonts w:ascii="Arial" w:cs="Arial" w:eastAsia="Arial" w:hAnsi="Arial"/>
                <w:sz w:val="18"/>
                <w:szCs w:val="18"/>
                <w:color w:val="auto"/>
              </w:rPr>
              <w:t>ADD: “Restructuring” and “(Gain) Loss from Divestitures, Asset</w:t>
            </w:r>
          </w:p>
        </w:tc>
        <w:tc>
          <w:tcPr>
            <w:tcW w:w="220" w:type="dxa"/>
            <w:vAlign w:val="bottom"/>
            <w:tcBorders>
              <w:top w:val="single" w:sz="8" w:color="457157"/>
            </w:tcBorders>
            <w:shd w:val="clear" w:color="auto" w:fill="CCEEFF"/>
          </w:tcPr>
          <w:p>
            <w:pPr>
              <w:spacing w:after="0"/>
              <w:rPr>
                <w:sz w:val="18"/>
                <w:szCs w:val="18"/>
                <w:color w:val="auto"/>
              </w:rPr>
            </w:pPr>
          </w:p>
        </w:tc>
        <w:tc>
          <w:tcPr>
            <w:tcW w:w="120" w:type="dxa"/>
            <w:vAlign w:val="bottom"/>
            <w:tcBorders>
              <w:top w:val="single" w:sz="8" w:color="457157"/>
            </w:tcBorders>
            <w:shd w:val="clear" w:color="auto" w:fill="CCEEFF"/>
          </w:tcPr>
          <w:p>
            <w:pPr>
              <w:spacing w:after="0"/>
              <w:rPr>
                <w:sz w:val="18"/>
                <w:szCs w:val="18"/>
                <w:color w:val="auto"/>
              </w:rPr>
            </w:pPr>
          </w:p>
        </w:tc>
        <w:tc>
          <w:tcPr>
            <w:tcW w:w="140" w:type="dxa"/>
            <w:vAlign w:val="bottom"/>
            <w:tcBorders>
              <w:top w:val="single" w:sz="8" w:color="457157"/>
            </w:tcBorders>
            <w:shd w:val="clear" w:color="auto" w:fill="CCEEFF"/>
          </w:tcPr>
          <w:p>
            <w:pPr>
              <w:spacing w:after="0"/>
              <w:rPr>
                <w:sz w:val="18"/>
                <w:szCs w:val="18"/>
                <w:color w:val="auto"/>
              </w:rPr>
            </w:pPr>
          </w:p>
        </w:tc>
        <w:tc>
          <w:tcPr>
            <w:tcW w:w="220" w:type="dxa"/>
            <w:vAlign w:val="bottom"/>
            <w:tcBorders>
              <w:top w:val="single" w:sz="8" w:color="457157"/>
            </w:tcBorders>
            <w:shd w:val="clear" w:color="auto" w:fill="CCEEFF"/>
          </w:tcPr>
          <w:p>
            <w:pPr>
              <w:spacing w:after="0"/>
              <w:rPr>
                <w:sz w:val="18"/>
                <w:szCs w:val="18"/>
                <w:color w:val="auto"/>
              </w:rPr>
            </w:pPr>
          </w:p>
        </w:tc>
        <w:tc>
          <w:tcPr>
            <w:tcW w:w="100" w:type="dxa"/>
            <w:vAlign w:val="bottom"/>
            <w:tcBorders>
              <w:top w:val="single" w:sz="8" w:color="457157"/>
            </w:tcBorders>
            <w:shd w:val="clear" w:color="auto" w:fill="CCEEFF"/>
          </w:tcPr>
          <w:p>
            <w:pPr>
              <w:spacing w:after="0"/>
              <w:rPr>
                <w:sz w:val="18"/>
                <w:szCs w:val="18"/>
                <w:color w:val="auto"/>
              </w:rPr>
            </w:pPr>
          </w:p>
        </w:tc>
        <w:tc>
          <w:tcPr>
            <w:tcW w:w="180" w:type="dxa"/>
            <w:vAlign w:val="bottom"/>
            <w:tcBorders>
              <w:top w:val="single" w:sz="8" w:color="457157"/>
            </w:tcBorders>
            <w:shd w:val="clear" w:color="auto" w:fill="CCEEFF"/>
          </w:tcPr>
          <w:p>
            <w:pPr>
              <w:spacing w:after="0"/>
              <w:rPr>
                <w:sz w:val="18"/>
                <w:szCs w:val="18"/>
                <w:color w:val="auto"/>
              </w:rPr>
            </w:pPr>
          </w:p>
        </w:tc>
        <w:tc>
          <w:tcPr>
            <w:tcW w:w="100" w:type="dxa"/>
            <w:vAlign w:val="bottom"/>
            <w:tcBorders>
              <w:top w:val="single" w:sz="8" w:color="457157"/>
            </w:tcBorders>
            <w:shd w:val="clear" w:color="auto" w:fill="CCEEFF"/>
          </w:tcPr>
          <w:p>
            <w:pPr>
              <w:spacing w:after="0"/>
              <w:rPr>
                <w:sz w:val="18"/>
                <w:szCs w:val="18"/>
                <w:color w:val="auto"/>
              </w:rPr>
            </w:pPr>
          </w:p>
        </w:tc>
        <w:tc>
          <w:tcPr>
            <w:tcW w:w="560" w:type="dxa"/>
            <w:vAlign w:val="bottom"/>
            <w:tcBorders>
              <w:top w:val="single" w:sz="8" w:color="457157"/>
            </w:tcBorders>
            <w:shd w:val="clear" w:color="auto" w:fill="CCEEFF"/>
          </w:tcPr>
          <w:p>
            <w:pPr>
              <w:spacing w:after="0"/>
              <w:rPr>
                <w:sz w:val="18"/>
                <w:szCs w:val="18"/>
                <w:color w:val="auto"/>
              </w:rPr>
            </w:pPr>
          </w:p>
        </w:tc>
        <w:tc>
          <w:tcPr>
            <w:tcW w:w="120" w:type="dxa"/>
            <w:vAlign w:val="bottom"/>
            <w:tcBorders>
              <w:top w:val="single" w:sz="8" w:color="457157"/>
            </w:tcBorders>
            <w:shd w:val="clear" w:color="auto" w:fill="CCEEFF"/>
          </w:tcPr>
          <w:p>
            <w:pPr>
              <w:spacing w:after="0"/>
              <w:rPr>
                <w:sz w:val="18"/>
                <w:szCs w:val="18"/>
                <w:color w:val="auto"/>
              </w:rPr>
            </w:pPr>
          </w:p>
        </w:tc>
        <w:tc>
          <w:tcPr>
            <w:tcW w:w="200" w:type="dxa"/>
            <w:vAlign w:val="bottom"/>
            <w:tcBorders>
              <w:top w:val="single" w:sz="8" w:color="457157"/>
            </w:tcBorders>
            <w:shd w:val="clear" w:color="auto" w:fill="CCEEFF"/>
          </w:tcPr>
          <w:p>
            <w:pPr>
              <w:spacing w:after="0"/>
              <w:rPr>
                <w:sz w:val="18"/>
                <w:szCs w:val="18"/>
                <w:color w:val="auto"/>
              </w:rPr>
            </w:pPr>
          </w:p>
        </w:tc>
        <w:tc>
          <w:tcPr>
            <w:tcW w:w="140" w:type="dxa"/>
            <w:vAlign w:val="bottom"/>
            <w:tcBorders>
              <w:top w:val="single" w:sz="8" w:color="457157"/>
            </w:tcBorders>
            <w:shd w:val="clear" w:color="auto" w:fill="CCEEFF"/>
          </w:tcPr>
          <w:p>
            <w:pPr>
              <w:spacing w:after="0"/>
              <w:rPr>
                <w:sz w:val="18"/>
                <w:szCs w:val="18"/>
                <w:color w:val="auto"/>
              </w:rPr>
            </w:pPr>
          </w:p>
        </w:tc>
        <w:tc>
          <w:tcPr>
            <w:tcW w:w="400" w:type="dxa"/>
            <w:vAlign w:val="bottom"/>
            <w:tcBorders>
              <w:top w:val="single" w:sz="8" w:color="457157"/>
            </w:tcBorders>
            <w:shd w:val="clear" w:color="auto" w:fill="CCEEFF"/>
          </w:tcPr>
          <w:p>
            <w:pPr>
              <w:spacing w:after="0"/>
              <w:rPr>
                <w:sz w:val="18"/>
                <w:szCs w:val="18"/>
                <w:color w:val="auto"/>
              </w:rPr>
            </w:pPr>
          </w:p>
        </w:tc>
        <w:tc>
          <w:tcPr>
            <w:tcW w:w="280" w:type="dxa"/>
            <w:vAlign w:val="bottom"/>
            <w:tcBorders>
              <w:top w:val="single" w:sz="8" w:color="457157"/>
            </w:tcBorders>
            <w:shd w:val="clear" w:color="auto" w:fill="CCEEFF"/>
          </w:tcPr>
          <w:p>
            <w:pPr>
              <w:spacing w:after="0"/>
              <w:rPr>
                <w:sz w:val="18"/>
                <w:szCs w:val="18"/>
                <w:color w:val="auto"/>
              </w:rPr>
            </w:pPr>
          </w:p>
        </w:tc>
        <w:tc>
          <w:tcPr>
            <w:tcW w:w="240" w:type="dxa"/>
            <w:vAlign w:val="bottom"/>
            <w:tcBorders>
              <w:top w:val="single" w:sz="8" w:color="457157"/>
            </w:tcBorders>
            <w:shd w:val="clear" w:color="auto" w:fill="CCEEFF"/>
          </w:tcPr>
          <w:p>
            <w:pPr>
              <w:spacing w:after="0"/>
              <w:rPr>
                <w:sz w:val="18"/>
                <w:szCs w:val="18"/>
                <w:color w:val="auto"/>
              </w:rPr>
            </w:pPr>
          </w:p>
        </w:tc>
        <w:tc>
          <w:tcPr>
            <w:tcW w:w="180" w:type="dxa"/>
            <w:vAlign w:val="bottom"/>
            <w:tcBorders>
              <w:top w:val="single" w:sz="8" w:color="457157"/>
            </w:tcBorders>
            <w:shd w:val="clear" w:color="auto" w:fill="CCEEFF"/>
          </w:tcPr>
          <w:p>
            <w:pPr>
              <w:spacing w:after="0"/>
              <w:rPr>
                <w:sz w:val="18"/>
                <w:szCs w:val="18"/>
                <w:color w:val="auto"/>
              </w:rPr>
            </w:pPr>
          </w:p>
        </w:tc>
        <w:tc>
          <w:tcPr>
            <w:tcW w:w="40" w:type="dxa"/>
            <w:vAlign w:val="bottom"/>
            <w:tcBorders>
              <w:top w:val="single" w:sz="8" w:color="457157"/>
            </w:tcBorders>
            <w:shd w:val="clear" w:color="auto" w:fill="CCEEFF"/>
          </w:tcPr>
          <w:p>
            <w:pPr>
              <w:spacing w:after="0"/>
              <w:rPr>
                <w:sz w:val="18"/>
                <w:szCs w:val="18"/>
                <w:color w:val="auto"/>
              </w:rPr>
            </w:pPr>
          </w:p>
        </w:tc>
        <w:tc>
          <w:tcPr>
            <w:tcW w:w="60" w:type="dxa"/>
            <w:vAlign w:val="bottom"/>
            <w:tcBorders>
              <w:top w:val="single" w:sz="8" w:color="457157"/>
            </w:tcBorders>
            <w:shd w:val="clear" w:color="auto" w:fill="CCEEFF"/>
          </w:tcPr>
          <w:p>
            <w:pPr>
              <w:spacing w:after="0"/>
              <w:rPr>
                <w:sz w:val="18"/>
                <w:szCs w:val="18"/>
                <w:color w:val="auto"/>
              </w:rPr>
            </w:pPr>
          </w:p>
        </w:tc>
        <w:tc>
          <w:tcPr>
            <w:tcW w:w="300" w:type="dxa"/>
            <w:vAlign w:val="bottom"/>
            <w:tcBorders>
              <w:top w:val="single" w:sz="8" w:color="457157"/>
            </w:tcBorders>
            <w:shd w:val="clear" w:color="auto" w:fill="CCEEFF"/>
          </w:tcPr>
          <w:p>
            <w:pPr>
              <w:spacing w:after="0"/>
              <w:rPr>
                <w:sz w:val="18"/>
                <w:szCs w:val="18"/>
                <w:color w:val="auto"/>
              </w:rPr>
            </w:pPr>
          </w:p>
        </w:tc>
        <w:tc>
          <w:tcPr>
            <w:tcW w:w="120" w:type="dxa"/>
            <w:vAlign w:val="bottom"/>
            <w:tcBorders>
              <w:top w:val="single" w:sz="8" w:color="457157"/>
            </w:tcBorders>
            <w:shd w:val="clear" w:color="auto" w:fill="CCEEFF"/>
          </w:tcPr>
          <w:p>
            <w:pPr>
              <w:spacing w:after="0"/>
              <w:rPr>
                <w:sz w:val="18"/>
                <w:szCs w:val="18"/>
                <w:color w:val="auto"/>
              </w:rPr>
            </w:pPr>
          </w:p>
        </w:tc>
        <w:tc>
          <w:tcPr>
            <w:tcW w:w="60" w:type="dxa"/>
            <w:vAlign w:val="bottom"/>
            <w:tcBorders>
              <w:top w:val="single" w:sz="8" w:color="457157"/>
            </w:tcBorders>
            <w:shd w:val="clear" w:color="auto" w:fill="CCEEFF"/>
          </w:tcPr>
          <w:p>
            <w:pPr>
              <w:spacing w:after="0"/>
              <w:rPr>
                <w:sz w:val="18"/>
                <w:szCs w:val="18"/>
                <w:color w:val="auto"/>
              </w:rPr>
            </w:pPr>
          </w:p>
        </w:tc>
        <w:tc>
          <w:tcPr>
            <w:tcW w:w="80" w:type="dxa"/>
            <w:vAlign w:val="bottom"/>
            <w:tcBorders>
              <w:top w:val="single" w:sz="8" w:color="457157"/>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w:t>
            </w:r>
          </w:p>
        </w:tc>
        <w:tc>
          <w:tcPr>
            <w:tcW w:w="4060" w:type="dxa"/>
            <w:vAlign w:val="bottom"/>
            <w:tcBorders>
              <w:bottom w:val="single" w:sz="8" w:color="457157"/>
            </w:tcBorders>
            <w:shd w:val="clear" w:color="auto" w:fill="CCEEFF"/>
          </w:tcPr>
          <w:p>
            <w:pPr>
              <w:ind w:left="240"/>
              <w:spacing w:after="0"/>
              <w:rPr>
                <w:sz w:val="20"/>
                <w:szCs w:val="20"/>
                <w:color w:val="auto"/>
              </w:rPr>
            </w:pPr>
            <w:r>
              <w:rPr>
                <w:rFonts w:ascii="Arial" w:cs="Arial" w:eastAsia="Arial" w:hAnsi="Arial"/>
                <w:sz w:val="18"/>
                <w:szCs w:val="18"/>
                <w:color w:val="auto"/>
              </w:rPr>
              <w:t>Impairments and Unusual Items, Net”</w:t>
            </w:r>
          </w:p>
        </w:tc>
        <w:tc>
          <w:tcPr>
            <w:tcW w:w="160" w:type="dxa"/>
            <w:vAlign w:val="bottom"/>
            <w:tcBorders>
              <w:bottom w:val="single" w:sz="8" w:color="457157"/>
            </w:tcBorders>
            <w:shd w:val="clear" w:color="auto" w:fill="CCEEFF"/>
          </w:tcPr>
          <w:p>
            <w:pPr>
              <w:spacing w:after="0"/>
              <w:rPr>
                <w:sz w:val="22"/>
                <w:szCs w:val="22"/>
                <w:color w:val="auto"/>
              </w:rPr>
            </w:pPr>
          </w:p>
        </w:tc>
        <w:tc>
          <w:tcPr>
            <w:tcW w:w="340" w:type="dxa"/>
            <w:vAlign w:val="bottom"/>
            <w:tcBorders>
              <w:bottom w:val="single" w:sz="8" w:color="457157"/>
            </w:tcBorders>
            <w:shd w:val="clear" w:color="auto" w:fill="CCEEFF"/>
          </w:tcPr>
          <w:p>
            <w:pPr>
              <w:spacing w:after="0"/>
              <w:rPr>
                <w:sz w:val="22"/>
                <w:szCs w:val="22"/>
                <w:color w:val="auto"/>
              </w:rPr>
            </w:pPr>
          </w:p>
        </w:tc>
        <w:tc>
          <w:tcPr>
            <w:tcW w:w="280" w:type="dxa"/>
            <w:vAlign w:val="bottom"/>
            <w:tcBorders>
              <w:bottom w:val="single" w:sz="8" w:color="457157"/>
            </w:tcBorders>
            <w:shd w:val="clear" w:color="auto" w:fill="CCEEFF"/>
          </w:tcPr>
          <w:p>
            <w:pPr>
              <w:spacing w:after="0"/>
              <w:rPr>
                <w:sz w:val="22"/>
                <w:szCs w:val="22"/>
                <w:color w:val="auto"/>
              </w:rPr>
            </w:pPr>
          </w:p>
        </w:tc>
        <w:tc>
          <w:tcPr>
            <w:tcW w:w="860" w:type="dxa"/>
            <w:vAlign w:val="bottom"/>
            <w:tcBorders>
              <w:bottom w:val="single" w:sz="8" w:color="457157"/>
            </w:tcBorders>
            <w:shd w:val="clear" w:color="auto" w:fill="CCEEFF"/>
          </w:tcPr>
          <w:p>
            <w:pPr>
              <w:spacing w:after="0"/>
              <w:rPr>
                <w:sz w:val="22"/>
                <w:szCs w:val="22"/>
                <w:color w:val="auto"/>
              </w:rPr>
            </w:pPr>
          </w:p>
        </w:tc>
        <w:tc>
          <w:tcPr>
            <w:tcW w:w="220" w:type="dxa"/>
            <w:vAlign w:val="bottom"/>
            <w:tcBorders>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457157"/>
            </w:tcBorders>
            <w:shd w:val="clear" w:color="auto" w:fill="CCEEFF"/>
          </w:tcPr>
          <w:p>
            <w:pPr>
              <w:spacing w:after="0"/>
              <w:rPr>
                <w:sz w:val="22"/>
                <w:szCs w:val="22"/>
                <w:color w:val="auto"/>
              </w:rPr>
            </w:pPr>
          </w:p>
        </w:tc>
        <w:tc>
          <w:tcPr>
            <w:tcW w:w="140" w:type="dxa"/>
            <w:vAlign w:val="bottom"/>
            <w:tcBorders>
              <w:bottom w:val="single" w:sz="8" w:color="457157"/>
            </w:tcBorders>
            <w:shd w:val="clear" w:color="auto" w:fill="CCEEFF"/>
          </w:tcPr>
          <w:p>
            <w:pPr>
              <w:spacing w:after="0"/>
              <w:rPr>
                <w:sz w:val="22"/>
                <w:szCs w:val="22"/>
                <w:color w:val="auto"/>
              </w:rPr>
            </w:pPr>
          </w:p>
        </w:tc>
        <w:tc>
          <w:tcPr>
            <w:tcW w:w="32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80" w:type="dxa"/>
            <w:vAlign w:val="bottom"/>
            <w:tcBorders>
              <w:bottom w:val="single" w:sz="8" w:color="457157"/>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560" w:type="dxa"/>
            <w:vAlign w:val="bottom"/>
            <w:tcBorders>
              <w:bottom w:val="single" w:sz="8" w:color="457157"/>
            </w:tcBorders>
            <w:shd w:val="clear" w:color="auto" w:fill="CCEEFF"/>
          </w:tcPr>
          <w:p>
            <w:pPr>
              <w:jc w:val="right"/>
              <w:ind w:right="3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457157"/>
            </w:tcBorders>
            <w:shd w:val="clear" w:color="auto" w:fill="CCEEFF"/>
          </w:tcPr>
          <w:p>
            <w:pPr>
              <w:spacing w:after="0"/>
              <w:rPr>
                <w:sz w:val="22"/>
                <w:szCs w:val="22"/>
                <w:color w:val="auto"/>
              </w:rPr>
            </w:pPr>
          </w:p>
        </w:tc>
        <w:tc>
          <w:tcPr>
            <w:tcW w:w="140" w:type="dxa"/>
            <w:vAlign w:val="bottom"/>
            <w:tcBorders>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457157"/>
            </w:tcBorders>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457157"/>
            </w:tcBorders>
            <w:shd w:val="clear" w:color="auto" w:fill="CCEEFF"/>
          </w:tcPr>
          <w:p>
            <w:pPr>
              <w:spacing w:after="0"/>
              <w:rPr>
                <w:sz w:val="22"/>
                <w:szCs w:val="22"/>
                <w:color w:val="auto"/>
              </w:rPr>
            </w:pPr>
          </w:p>
        </w:tc>
        <w:tc>
          <w:tcPr>
            <w:tcW w:w="280" w:type="dxa"/>
            <w:vAlign w:val="bottom"/>
            <w:tcBorders>
              <w:bottom w:val="single" w:sz="8" w:color="457157"/>
            </w:tcBorders>
            <w:gridSpan w:val="3"/>
            <w:shd w:val="clear" w:color="auto" w:fill="CCEEFF"/>
          </w:tcPr>
          <w:p>
            <w:pPr>
              <w:spacing w:after="0"/>
              <w:rPr>
                <w:sz w:val="20"/>
                <w:szCs w:val="20"/>
                <w:color w:val="auto"/>
              </w:rPr>
            </w:pPr>
            <w:r>
              <w:rPr>
                <w:rFonts w:ascii="Arial" w:cs="Arial" w:eastAsia="Arial" w:hAnsi="Arial"/>
                <w:sz w:val="18"/>
                <w:szCs w:val="18"/>
                <w:color w:val="auto"/>
              </w:rPr>
              <w:t>​​​ ​</w:t>
            </w:r>
          </w:p>
        </w:tc>
        <w:tc>
          <w:tcPr>
            <w:tcW w:w="560" w:type="dxa"/>
            <w:vAlign w:val="bottom"/>
            <w:tcBorders>
              <w:bottom w:val="single" w:sz="8" w:color="457157"/>
            </w:tcBorders>
            <w:gridSpan w:val="4"/>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5700" w:type="dxa"/>
            <w:vAlign w:val="bottom"/>
            <w:gridSpan w:val="5"/>
          </w:tcPr>
          <w:p>
            <w:pPr>
              <w:ind w:left="60"/>
              <w:spacing w:after="0"/>
              <w:rPr>
                <w:sz w:val="20"/>
                <w:szCs w:val="20"/>
                <w:color w:val="auto"/>
              </w:rPr>
            </w:pPr>
            <w:r>
              <w:rPr>
                <w:rFonts w:ascii="Arial" w:cs="Arial" w:eastAsia="Arial" w:hAnsi="Arial"/>
                <w:sz w:val="18"/>
                <w:szCs w:val="18"/>
                <w:color w:val="auto"/>
              </w:rPr>
              <w:t>ADD: Advanced Disposal transaction and integration costs</w:t>
            </w:r>
          </w:p>
        </w:tc>
        <w:tc>
          <w:tcPr>
            <w:tcW w:w="220" w:type="dxa"/>
            <w:vAlign w:val="bottom"/>
          </w:tcPr>
          <w:p>
            <w:pPr>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gridSpan w:val="2"/>
          </w:tcPr>
          <w:p>
            <w:pPr>
              <w:jc w:val="right"/>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bscript"/>
              </w:rPr>
              <w:t>​</w:t>
            </w:r>
          </w:p>
        </w:tc>
        <w:tc>
          <w:tcPr>
            <w:tcW w:w="280" w:type="dxa"/>
            <w:vAlign w:val="bottom"/>
            <w:gridSpan w:val="2"/>
          </w:tcPr>
          <w:p>
            <w:pPr>
              <w:jc w:val="right"/>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149</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540" w:type="dxa"/>
            <w:vAlign w:val="bottom"/>
            <w:gridSpan w:val="2"/>
          </w:tcPr>
          <w:p>
            <w:pPr>
              <w:jc w:val="right"/>
              <w:ind w:right="195"/>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2"/>
                <w:szCs w:val="22"/>
                <w:color w:val="auto"/>
              </w:rPr>
            </w:pPr>
          </w:p>
        </w:tc>
        <w:tc>
          <w:tcPr>
            <w:tcW w:w="280" w:type="dxa"/>
            <w:vAlign w:val="bottom"/>
            <w:gridSpan w:val="3"/>
          </w:tcPr>
          <w:p>
            <w:pPr>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620" w:type="dxa"/>
            <w:vAlign w:val="bottom"/>
            <w:gridSpan w:val="5"/>
          </w:tcPr>
          <w:p>
            <w:pPr>
              <w:jc w:val="right"/>
              <w:spacing w:after="0" w:line="264" w:lineRule="exact"/>
              <w:rPr>
                <w:sz w:val="20"/>
                <w:szCs w:val="20"/>
                <w:color w:val="auto"/>
              </w:rPr>
            </w:pPr>
            <w:r>
              <w:rPr>
                <w:rFonts w:ascii="Arial" w:cs="Arial" w:eastAsia="Arial" w:hAnsi="Arial"/>
                <w:sz w:val="16"/>
                <w:szCs w:val="16"/>
                <w:color w:val="auto"/>
              </w:rPr>
              <w:t xml:space="preserve">149 </w:t>
            </w:r>
            <w:r>
              <w:rPr>
                <w:rFonts w:ascii="Arial" w:cs="Arial" w:eastAsia="Arial" w:hAnsi="Arial"/>
                <w:sz w:val="30"/>
                <w:szCs w:val="30"/>
                <w:b w:val="1"/>
                <w:bCs w:val="1"/>
                <w:color w:val="auto"/>
                <w:vertAlign w:val="subscript"/>
              </w:rPr>
              <w:t>​</w:t>
            </w:r>
          </w:p>
        </w:tc>
        <w:tc>
          <w:tcPr>
            <w:tcW w:w="0" w:type="dxa"/>
            <w:vAlign w:val="bottom"/>
          </w:tcPr>
          <w:p>
            <w:pPr>
              <w:spacing w:after="0"/>
              <w:rPr>
                <w:sz w:val="1"/>
                <w:szCs w:val="1"/>
                <w:color w:val="auto"/>
              </w:rPr>
            </w:pPr>
          </w:p>
        </w:tc>
      </w:tr>
      <w:tr>
        <w:trPr>
          <w:trHeight w:val="263"/>
        </w:trPr>
        <w:tc>
          <w:tcPr>
            <w:tcW w:w="120" w:type="dxa"/>
            <w:vAlign w:val="bottom"/>
            <w:tcBorders>
              <w:top w:val="single" w:sz="8" w:color="457157"/>
              <w:bottom w:val="single" w:sz="8" w:color="457157"/>
            </w:tcBorders>
            <w:shd w:val="clear" w:color="auto" w:fill="CCEEFF"/>
          </w:tcPr>
          <w:p>
            <w:pPr>
              <w:spacing w:after="0"/>
              <w:rPr>
                <w:sz w:val="20"/>
                <w:szCs w:val="20"/>
                <w:color w:val="auto"/>
              </w:rPr>
            </w:pPr>
            <w:r>
              <w:rPr>
                <w:rFonts w:ascii="Arial" w:cs="Arial" w:eastAsia="Arial" w:hAnsi="Arial"/>
                <w:sz w:val="18"/>
                <w:szCs w:val="18"/>
                <w:color w:val="auto"/>
              </w:rPr>
              <w:t>​</w:t>
            </w:r>
          </w:p>
        </w:tc>
        <w:tc>
          <w:tcPr>
            <w:tcW w:w="406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ADD: COVID-19 related costs</w:t>
            </w:r>
          </w:p>
        </w:tc>
        <w:tc>
          <w:tcPr>
            <w:tcW w:w="160" w:type="dxa"/>
            <w:vAlign w:val="bottom"/>
            <w:tcBorders>
              <w:top w:val="single" w:sz="8" w:color="457157"/>
              <w:bottom w:val="single" w:sz="8" w:color="457157"/>
            </w:tcBorders>
            <w:shd w:val="clear" w:color="auto" w:fill="CCEEFF"/>
          </w:tcPr>
          <w:p>
            <w:pPr>
              <w:spacing w:after="0"/>
              <w:rPr>
                <w:sz w:val="22"/>
                <w:szCs w:val="22"/>
                <w:color w:val="auto"/>
              </w:rPr>
            </w:pPr>
          </w:p>
        </w:tc>
        <w:tc>
          <w:tcPr>
            <w:tcW w:w="340" w:type="dxa"/>
            <w:vAlign w:val="bottom"/>
            <w:tcBorders>
              <w:top w:val="single" w:sz="8" w:color="457157"/>
              <w:bottom w:val="single" w:sz="8" w:color="457157"/>
            </w:tcBorders>
            <w:shd w:val="clear" w:color="auto" w:fill="CCEEFF"/>
          </w:tcPr>
          <w:p>
            <w:pPr>
              <w:spacing w:after="0"/>
              <w:rPr>
                <w:sz w:val="22"/>
                <w:szCs w:val="22"/>
                <w:color w:val="auto"/>
              </w:rPr>
            </w:pPr>
          </w:p>
        </w:tc>
        <w:tc>
          <w:tcPr>
            <w:tcW w:w="280" w:type="dxa"/>
            <w:vAlign w:val="bottom"/>
            <w:tcBorders>
              <w:top w:val="single" w:sz="8" w:color="457157"/>
              <w:bottom w:val="single" w:sz="8" w:color="457157"/>
            </w:tcBorders>
            <w:shd w:val="clear" w:color="auto" w:fill="CCEEFF"/>
          </w:tcPr>
          <w:p>
            <w:pPr>
              <w:spacing w:after="0"/>
              <w:rPr>
                <w:sz w:val="22"/>
                <w:szCs w:val="22"/>
                <w:color w:val="auto"/>
              </w:rPr>
            </w:pPr>
          </w:p>
        </w:tc>
        <w:tc>
          <w:tcPr>
            <w:tcW w:w="860" w:type="dxa"/>
            <w:vAlign w:val="bottom"/>
            <w:tcBorders>
              <w:top w:val="single" w:sz="8" w:color="457157"/>
              <w:bottom w:val="single" w:sz="8" w:color="457157"/>
            </w:tcBorders>
            <w:shd w:val="clear" w:color="auto" w:fill="CCEEFF"/>
          </w:tcPr>
          <w:p>
            <w:pPr>
              <w:spacing w:after="0"/>
              <w:rPr>
                <w:sz w:val="22"/>
                <w:szCs w:val="22"/>
                <w:color w:val="auto"/>
              </w:rPr>
            </w:pPr>
          </w:p>
        </w:tc>
        <w:tc>
          <w:tcPr>
            <w:tcW w:w="220" w:type="dxa"/>
            <w:vAlign w:val="bottom"/>
            <w:tcBorders>
              <w:top w:val="single" w:sz="8" w:color="457157"/>
              <w:bottom w:val="single" w:sz="8" w:color="457157"/>
            </w:tcBorders>
            <w:shd w:val="clear" w:color="auto" w:fill="CCEEFF"/>
          </w:tcPr>
          <w:p>
            <w:pPr>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120" w:type="dxa"/>
            <w:vAlign w:val="bottom"/>
            <w:tcBorders>
              <w:top w:val="single" w:sz="8" w:color="457157"/>
              <w:bottom w:val="single" w:sz="8" w:color="457157"/>
            </w:tcBorders>
            <w:shd w:val="clear" w:color="auto" w:fill="CCEEFF"/>
          </w:tcPr>
          <w:p>
            <w:pPr>
              <w:spacing w:after="0"/>
              <w:rPr>
                <w:sz w:val="22"/>
                <w:szCs w:val="22"/>
                <w:color w:val="auto"/>
              </w:rPr>
            </w:pPr>
          </w:p>
        </w:tc>
        <w:tc>
          <w:tcPr>
            <w:tcW w:w="140" w:type="dxa"/>
            <w:vAlign w:val="bottom"/>
            <w:tcBorders>
              <w:top w:val="single" w:sz="8" w:color="457157"/>
              <w:bottom w:val="single" w:sz="8" w:color="457157"/>
            </w:tcBorders>
            <w:shd w:val="clear" w:color="auto" w:fill="CCEEFF"/>
          </w:tcPr>
          <w:p>
            <w:pPr>
              <w:spacing w:after="0"/>
              <w:rPr>
                <w:sz w:val="22"/>
                <w:szCs w:val="22"/>
                <w:color w:val="auto"/>
              </w:rPr>
            </w:pPr>
          </w:p>
        </w:tc>
        <w:tc>
          <w:tcPr>
            <w:tcW w:w="320" w:type="dxa"/>
            <w:vAlign w:val="bottom"/>
            <w:tcBorders>
              <w:top w:val="single" w:sz="8" w:color="457157"/>
              <w:bottom w:val="single" w:sz="8" w:color="457157"/>
            </w:tcBorders>
            <w:gridSpan w:val="2"/>
            <w:shd w:val="clear" w:color="auto" w:fill="CCEEFF"/>
          </w:tcPr>
          <w:p>
            <w:pPr>
              <w:jc w:val="right"/>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bscript"/>
              </w:rPr>
              <w:t>​</w:t>
            </w:r>
          </w:p>
        </w:tc>
        <w:tc>
          <w:tcPr>
            <w:tcW w:w="280" w:type="dxa"/>
            <w:vAlign w:val="bottom"/>
            <w:tcBorders>
              <w:top w:val="single" w:sz="8" w:color="457157"/>
              <w:bottom w:val="single" w:sz="8" w:color="457157"/>
            </w:tcBorders>
            <w:gridSpan w:val="2"/>
            <w:shd w:val="clear" w:color="auto" w:fill="CCEEFF"/>
          </w:tcPr>
          <w:p>
            <w:pPr>
              <w:jc w:val="right"/>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560" w:type="dxa"/>
            <w:vAlign w:val="bottom"/>
            <w:tcBorders>
              <w:top w:val="single" w:sz="8" w:color="457157"/>
              <w:bottom w:val="single" w:sz="8" w:color="457157"/>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457157"/>
              <w:bottom w:val="single" w:sz="8" w:color="457157"/>
            </w:tcBorders>
            <w:shd w:val="clear" w:color="auto" w:fill="CCEEFF"/>
          </w:tcPr>
          <w:p>
            <w:pPr>
              <w:spacing w:after="0"/>
              <w:rPr>
                <w:sz w:val="22"/>
                <w:szCs w:val="22"/>
                <w:color w:val="auto"/>
              </w:rPr>
            </w:pPr>
          </w:p>
        </w:tc>
        <w:tc>
          <w:tcPr>
            <w:tcW w:w="140" w:type="dxa"/>
            <w:vAlign w:val="bottom"/>
            <w:tcBorders>
              <w:top w:val="single" w:sz="8" w:color="457157"/>
              <w:bottom w:val="single" w:sz="8" w:color="457157"/>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457157"/>
              <w:bottom w:val="single" w:sz="8" w:color="457157"/>
            </w:tcBorders>
            <w:shd w:val="clear" w:color="auto" w:fill="CCEEFF"/>
          </w:tcPr>
          <w:p>
            <w:pPr>
              <w:jc w:val="right"/>
              <w:ind w:right="195"/>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457157"/>
              <w:bottom w:val="single" w:sz="8" w:color="457157"/>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457157"/>
              <w:bottom w:val="single" w:sz="8" w:color="457157"/>
            </w:tcBorders>
            <w:shd w:val="clear" w:color="auto" w:fill="CCEEFF"/>
          </w:tcPr>
          <w:p>
            <w:pPr>
              <w:spacing w:after="0"/>
              <w:rPr>
                <w:sz w:val="22"/>
                <w:szCs w:val="22"/>
                <w:color w:val="auto"/>
              </w:rPr>
            </w:pPr>
          </w:p>
        </w:tc>
        <w:tc>
          <w:tcPr>
            <w:tcW w:w="280" w:type="dxa"/>
            <w:vAlign w:val="bottom"/>
            <w:tcBorders>
              <w:top w:val="single" w:sz="8" w:color="457157"/>
              <w:bottom w:val="single" w:sz="8" w:color="457157"/>
            </w:tcBorders>
            <w:gridSpan w:val="3"/>
            <w:shd w:val="clear" w:color="auto" w:fill="CCEEFF"/>
          </w:tcPr>
          <w:p>
            <w:pPr>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560" w:type="dxa"/>
            <w:vAlign w:val="bottom"/>
            <w:tcBorders>
              <w:top w:val="single" w:sz="8" w:color="457157"/>
              <w:bottom w:val="single" w:sz="8" w:color="457157"/>
            </w:tcBorders>
            <w:gridSpan w:val="4"/>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60"/>
              <w:spacing w:after="0"/>
              <w:rPr>
                <w:sz w:val="20"/>
                <w:szCs w:val="20"/>
                <w:color w:val="auto"/>
              </w:rPr>
            </w:pPr>
            <w:r>
              <w:rPr>
                <w:rFonts w:ascii="Arial" w:cs="Arial" w:eastAsia="Arial" w:hAnsi="Arial"/>
                <w:sz w:val="18"/>
                <w:szCs w:val="18"/>
                <w:color w:val="auto"/>
              </w:rPr>
              <w:t>ADD: Strategic initiative costs</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gridSpan w:val="2"/>
          </w:tcPr>
          <w:p>
            <w:pPr>
              <w:jc w:val="right"/>
              <w:spacing w:after="0" w:line="264"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w:t>
            </w:r>
          </w:p>
        </w:tc>
        <w:tc>
          <w:tcPr>
            <w:tcW w:w="280" w:type="dxa"/>
            <w:vAlign w:val="bottom"/>
            <w:gridSpan w:val="2"/>
          </w:tcPr>
          <w:p>
            <w:pPr>
              <w:jc w:val="right"/>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40" w:type="dxa"/>
            <w:vAlign w:val="bottom"/>
          </w:tcPr>
          <w:p>
            <w:pPr>
              <w:ind w:left="6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2"/>
                <w:szCs w:val="22"/>
                <w:color w:val="auto"/>
              </w:rPr>
            </w:pPr>
          </w:p>
        </w:tc>
        <w:tc>
          <w:tcPr>
            <w:tcW w:w="280" w:type="dxa"/>
            <w:vAlign w:val="bottom"/>
            <w:gridSpan w:val="3"/>
          </w:tcPr>
          <w:p>
            <w:pPr>
              <w:spacing w:after="0" w:line="264"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620" w:type="dxa"/>
            <w:vAlign w:val="bottom"/>
            <w:gridSpan w:val="5"/>
          </w:tcPr>
          <w:p>
            <w:pPr>
              <w:jc w:val="right"/>
              <w:spacing w:after="0" w:line="264" w:lineRule="exact"/>
              <w:rPr>
                <w:sz w:val="20"/>
                <w:szCs w:val="20"/>
                <w:color w:val="auto"/>
              </w:rPr>
            </w:pPr>
            <w:r>
              <w:rPr>
                <w:rFonts w:ascii="Arial" w:cs="Arial" w:eastAsia="Arial" w:hAnsi="Arial"/>
                <w:sz w:val="16"/>
                <w:szCs w:val="16"/>
                <w:color w:val="auto"/>
              </w:rPr>
              <w:t xml:space="preserve">27 </w:t>
            </w:r>
            <w:r>
              <w:rPr>
                <w:rFonts w:ascii="Arial" w:cs="Arial" w:eastAsia="Arial" w:hAnsi="Arial"/>
                <w:sz w:val="30"/>
                <w:szCs w:val="30"/>
                <w:b w:val="1"/>
                <w:bCs w:val="1"/>
                <w:color w:val="auto"/>
                <w:vertAlign w:val="subscript"/>
              </w:rPr>
              <w:t>​</w:t>
            </w:r>
          </w:p>
        </w:tc>
        <w:tc>
          <w:tcPr>
            <w:tcW w:w="0" w:type="dxa"/>
            <w:vAlign w:val="bottom"/>
          </w:tcPr>
          <w:p>
            <w:pPr>
              <w:spacing w:after="0"/>
              <w:rPr>
                <w:sz w:val="1"/>
                <w:szCs w:val="1"/>
                <w:color w:val="auto"/>
              </w:rPr>
            </w:pPr>
          </w:p>
        </w:tc>
      </w:tr>
      <w:tr>
        <w:trPr>
          <w:trHeight w:val="196"/>
        </w:trPr>
        <w:tc>
          <w:tcPr>
            <w:tcW w:w="4180" w:type="dxa"/>
            <w:vAlign w:val="bottom"/>
            <w:tcBorders>
              <w:top w:val="single" w:sz="8" w:color="457157"/>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Calculated Performance Amounts</w:t>
            </w:r>
          </w:p>
        </w:tc>
        <w:tc>
          <w:tcPr>
            <w:tcW w:w="160" w:type="dxa"/>
            <w:vAlign w:val="bottom"/>
            <w:tcBorders>
              <w:top w:val="single" w:sz="8" w:color="457157"/>
            </w:tcBorders>
            <w:shd w:val="clear" w:color="auto" w:fill="CCEEFF"/>
          </w:tcPr>
          <w:p>
            <w:pPr>
              <w:spacing w:after="0"/>
              <w:rPr>
                <w:sz w:val="17"/>
                <w:szCs w:val="17"/>
                <w:color w:val="auto"/>
              </w:rPr>
            </w:pPr>
          </w:p>
        </w:tc>
        <w:tc>
          <w:tcPr>
            <w:tcW w:w="340" w:type="dxa"/>
            <w:vAlign w:val="bottom"/>
            <w:tcBorders>
              <w:top w:val="single" w:sz="8" w:color="457157"/>
            </w:tcBorders>
            <w:shd w:val="clear" w:color="auto" w:fill="CCEEFF"/>
          </w:tcPr>
          <w:p>
            <w:pPr>
              <w:spacing w:after="0"/>
              <w:rPr>
                <w:sz w:val="17"/>
                <w:szCs w:val="17"/>
                <w:color w:val="auto"/>
              </w:rPr>
            </w:pPr>
          </w:p>
        </w:tc>
        <w:tc>
          <w:tcPr>
            <w:tcW w:w="280" w:type="dxa"/>
            <w:vAlign w:val="bottom"/>
            <w:tcBorders>
              <w:top w:val="single" w:sz="8" w:color="457157"/>
            </w:tcBorders>
            <w:shd w:val="clear" w:color="auto" w:fill="CCEEFF"/>
          </w:tcPr>
          <w:p>
            <w:pPr>
              <w:spacing w:after="0"/>
              <w:rPr>
                <w:sz w:val="17"/>
                <w:szCs w:val="17"/>
                <w:color w:val="auto"/>
              </w:rPr>
            </w:pPr>
          </w:p>
        </w:tc>
        <w:tc>
          <w:tcPr>
            <w:tcW w:w="860" w:type="dxa"/>
            <w:vAlign w:val="bottom"/>
            <w:tcBorders>
              <w:top w:val="single" w:sz="8" w:color="457157"/>
            </w:tcBorders>
            <w:shd w:val="clear" w:color="auto" w:fill="CCEEFF"/>
          </w:tcPr>
          <w:p>
            <w:pPr>
              <w:spacing w:after="0"/>
              <w:rPr>
                <w:sz w:val="17"/>
                <w:szCs w:val="17"/>
                <w:color w:val="auto"/>
              </w:rPr>
            </w:pPr>
          </w:p>
        </w:tc>
        <w:tc>
          <w:tcPr>
            <w:tcW w:w="700" w:type="dxa"/>
            <w:vAlign w:val="bottom"/>
            <w:tcBorders>
              <w:top w:val="single" w:sz="8" w:color="457157"/>
            </w:tcBorders>
            <w:gridSpan w:val="4"/>
            <w:shd w:val="clear" w:color="auto" w:fill="CCEEFF"/>
          </w:tcPr>
          <w:p>
            <w:pPr>
              <w:ind w:left="20"/>
              <w:spacing w:after="0" w:line="196" w:lineRule="exact"/>
              <w:rPr>
                <w:sz w:val="20"/>
                <w:szCs w:val="20"/>
                <w:color w:val="auto"/>
              </w:rPr>
            </w:pPr>
            <w:r>
              <w:rPr>
                <w:rFonts w:ascii="Arial" w:cs="Arial" w:eastAsia="Arial" w:hAnsi="Arial"/>
                <w:sz w:val="18"/>
                <w:szCs w:val="18"/>
                <w:color w:val="auto"/>
              </w:rPr>
              <w:t>$15,218</w:t>
            </w:r>
          </w:p>
        </w:tc>
        <w:tc>
          <w:tcPr>
            <w:tcW w:w="100" w:type="dxa"/>
            <w:vAlign w:val="bottom"/>
            <w:tcBorders>
              <w:top w:val="single" w:sz="8" w:color="457157"/>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457157"/>
            </w:tcBorders>
            <w:gridSpan w:val="3"/>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$ 2,700</w:t>
            </w:r>
          </w:p>
        </w:tc>
        <w:tc>
          <w:tcPr>
            <w:tcW w:w="120" w:type="dxa"/>
            <w:vAlign w:val="bottom"/>
            <w:tcBorders>
              <w:top w:val="single" w:sz="8" w:color="457157"/>
            </w:tcBorders>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457157"/>
            </w:tcBorders>
            <w:shd w:val="clear" w:color="auto" w:fill="CCEEFF"/>
          </w:tcPr>
          <w:p>
            <w:pPr>
              <w:spacing w:after="0"/>
              <w:rPr>
                <w:sz w:val="17"/>
                <w:szCs w:val="17"/>
                <w:color w:val="auto"/>
              </w:rPr>
            </w:pPr>
          </w:p>
        </w:tc>
        <w:tc>
          <w:tcPr>
            <w:tcW w:w="820" w:type="dxa"/>
            <w:vAlign w:val="bottom"/>
            <w:tcBorders>
              <w:top w:val="single" w:sz="8" w:color="457157"/>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$ 1,671</w:t>
            </w:r>
          </w:p>
        </w:tc>
        <w:tc>
          <w:tcPr>
            <w:tcW w:w="240" w:type="dxa"/>
            <w:vAlign w:val="bottom"/>
            <w:tcBorders>
              <w:top w:val="single" w:sz="8" w:color="457157"/>
            </w:tcBorders>
            <w:shd w:val="clear" w:color="auto" w:fill="CCEEFF"/>
          </w:tcPr>
          <w:p>
            <w:pPr>
              <w:spacing w:after="0"/>
              <w:rPr>
                <w:sz w:val="17"/>
                <w:szCs w:val="17"/>
                <w:color w:val="auto"/>
              </w:rPr>
            </w:pPr>
          </w:p>
        </w:tc>
        <w:tc>
          <w:tcPr>
            <w:tcW w:w="760" w:type="dxa"/>
            <w:vAlign w:val="bottom"/>
            <w:tcBorders>
              <w:top w:val="single" w:sz="8" w:color="457157"/>
            </w:tcBorders>
            <w:gridSpan w:val="6"/>
            <w:shd w:val="clear" w:color="auto" w:fill="CCEEFF"/>
          </w:tcPr>
          <w:p>
            <w:pPr>
              <w:jc w:val="right"/>
              <w:spacing w:after="0" w:line="196" w:lineRule="exact"/>
              <w:rPr>
                <w:sz w:val="20"/>
                <w:szCs w:val="20"/>
                <w:color w:val="auto"/>
              </w:rPr>
            </w:pPr>
            <w:r>
              <w:rPr>
                <w:rFonts w:ascii="Arial" w:cs="Arial" w:eastAsia="Arial" w:hAnsi="Arial"/>
                <w:sz w:val="18"/>
                <w:szCs w:val="18"/>
                <w:color w:val="auto"/>
              </w:rPr>
              <w:t>$ 4,371</w:t>
            </w:r>
          </w:p>
        </w:tc>
        <w:tc>
          <w:tcPr>
            <w:tcW w:w="80" w:type="dxa"/>
            <w:vAlign w:val="bottom"/>
            <w:tcBorders>
              <w:top w:val="single" w:sz="8" w:color="457157"/>
            </w:tcBorders>
            <w:shd w:val="clear" w:color="auto" w:fill="CCEEFF"/>
          </w:tcPr>
          <w:p>
            <w:pPr>
              <w:spacing w:after="0"/>
              <w:rPr>
                <w:sz w:val="17"/>
                <w:szCs w:val="17"/>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
        </w:trPr>
        <w:tc>
          <w:tcPr>
            <w:tcW w:w="12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4060" w:type="dxa"/>
            <w:vAlign w:val="bottom"/>
            <w:tcBorders>
              <w:bottom w:val="single" w:sz="8" w:color="457157"/>
            </w:tcBorders>
            <w:shd w:val="clear" w:color="auto" w:fill="CCEEFF"/>
          </w:tcPr>
          <w:p>
            <w:pPr>
              <w:spacing w:after="0"/>
              <w:rPr>
                <w:sz w:val="5"/>
                <w:szCs w:val="5"/>
                <w:color w:val="auto"/>
              </w:rPr>
            </w:pPr>
          </w:p>
        </w:tc>
        <w:tc>
          <w:tcPr>
            <w:tcW w:w="160" w:type="dxa"/>
            <w:vAlign w:val="bottom"/>
            <w:tcBorders>
              <w:bottom w:val="single" w:sz="8" w:color="457157"/>
            </w:tcBorders>
            <w:shd w:val="clear" w:color="auto" w:fill="CCEEFF"/>
          </w:tcPr>
          <w:p>
            <w:pPr>
              <w:spacing w:after="0"/>
              <w:rPr>
                <w:sz w:val="5"/>
                <w:szCs w:val="5"/>
                <w:color w:val="auto"/>
              </w:rPr>
            </w:pPr>
          </w:p>
        </w:tc>
        <w:tc>
          <w:tcPr>
            <w:tcW w:w="340" w:type="dxa"/>
            <w:vAlign w:val="bottom"/>
            <w:tcBorders>
              <w:bottom w:val="single" w:sz="8" w:color="457157"/>
            </w:tcBorders>
            <w:shd w:val="clear" w:color="auto" w:fill="CCEEFF"/>
          </w:tcPr>
          <w:p>
            <w:pPr>
              <w:spacing w:after="0"/>
              <w:rPr>
                <w:sz w:val="5"/>
                <w:szCs w:val="5"/>
                <w:color w:val="auto"/>
              </w:rPr>
            </w:pPr>
          </w:p>
        </w:tc>
        <w:tc>
          <w:tcPr>
            <w:tcW w:w="280" w:type="dxa"/>
            <w:vAlign w:val="bottom"/>
            <w:tcBorders>
              <w:bottom w:val="single" w:sz="8" w:color="457157"/>
            </w:tcBorders>
            <w:shd w:val="clear" w:color="auto" w:fill="CCEEFF"/>
          </w:tcPr>
          <w:p>
            <w:pPr>
              <w:spacing w:after="0"/>
              <w:rPr>
                <w:sz w:val="5"/>
                <w:szCs w:val="5"/>
                <w:color w:val="auto"/>
              </w:rPr>
            </w:pPr>
          </w:p>
        </w:tc>
        <w:tc>
          <w:tcPr>
            <w:tcW w:w="860" w:type="dxa"/>
            <w:vAlign w:val="bottom"/>
            <w:tcBorders>
              <w:bottom w:val="single" w:sz="8" w:color="457157"/>
            </w:tcBorders>
            <w:shd w:val="clear" w:color="auto" w:fill="CCEEFF"/>
          </w:tcPr>
          <w:p>
            <w:pPr>
              <w:spacing w:after="0"/>
              <w:rPr>
                <w:sz w:val="5"/>
                <w:szCs w:val="5"/>
                <w:color w:val="auto"/>
              </w:rPr>
            </w:pPr>
          </w:p>
        </w:tc>
        <w:tc>
          <w:tcPr>
            <w:tcW w:w="22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120" w:type="dxa"/>
            <w:vAlign w:val="bottom"/>
            <w:tcBorders>
              <w:bottom w:val="single" w:sz="8" w:color="457157"/>
            </w:tcBorders>
            <w:shd w:val="clear" w:color="auto" w:fill="CCEEFF"/>
          </w:tcPr>
          <w:p>
            <w:pPr>
              <w:spacing w:after="0"/>
              <w:rPr>
                <w:sz w:val="5"/>
                <w:szCs w:val="5"/>
                <w:color w:val="auto"/>
              </w:rPr>
            </w:pPr>
          </w:p>
        </w:tc>
        <w:tc>
          <w:tcPr>
            <w:tcW w:w="140" w:type="dxa"/>
            <w:vAlign w:val="bottom"/>
            <w:tcBorders>
              <w:bottom w:val="single" w:sz="8" w:color="457157"/>
            </w:tcBorders>
            <w:shd w:val="clear" w:color="auto" w:fill="CCEEFF"/>
          </w:tcPr>
          <w:p>
            <w:pPr>
              <w:spacing w:after="0"/>
              <w:rPr>
                <w:sz w:val="5"/>
                <w:szCs w:val="5"/>
                <w:color w:val="auto"/>
              </w:rPr>
            </w:pPr>
          </w:p>
        </w:tc>
        <w:tc>
          <w:tcPr>
            <w:tcW w:w="220" w:type="dxa"/>
            <w:vAlign w:val="bottom"/>
            <w:tcBorders>
              <w:bottom w:val="single" w:sz="8" w:color="457157"/>
            </w:tcBorders>
            <w:shd w:val="clear" w:color="auto" w:fill="CCEEFF"/>
          </w:tcPr>
          <w:p>
            <w:pPr>
              <w:spacing w:after="0"/>
              <w:rPr>
                <w:sz w:val="5"/>
                <w:szCs w:val="5"/>
                <w:color w:val="auto"/>
              </w:rPr>
            </w:pPr>
          </w:p>
        </w:tc>
        <w:tc>
          <w:tcPr>
            <w:tcW w:w="100" w:type="dxa"/>
            <w:vAlign w:val="bottom"/>
            <w:tcBorders>
              <w:bottom w:val="single" w:sz="8" w:color="457157"/>
            </w:tcBorders>
            <w:vMerge w:val="continue"/>
            <w:shd w:val="clear" w:color="auto" w:fill="CCEEFF"/>
          </w:tcPr>
          <w:p>
            <w:pPr>
              <w:spacing w:after="0"/>
              <w:rPr>
                <w:sz w:val="5"/>
                <w:szCs w:val="5"/>
                <w:color w:val="auto"/>
              </w:rPr>
            </w:pPr>
          </w:p>
        </w:tc>
        <w:tc>
          <w:tcPr>
            <w:tcW w:w="180" w:type="dxa"/>
            <w:vAlign w:val="bottom"/>
            <w:tcBorders>
              <w:bottom w:val="single" w:sz="8" w:color="457157"/>
            </w:tcBorders>
            <w:shd w:val="clear" w:color="auto" w:fill="CCEEFF"/>
          </w:tcPr>
          <w:p>
            <w:pPr>
              <w:jc w:val="right"/>
              <w:spacing w:after="0" w:line="68" w:lineRule="exact"/>
              <w:rPr>
                <w:sz w:val="20"/>
                <w:szCs w:val="20"/>
                <w:color w:val="auto"/>
              </w:rPr>
            </w:pPr>
            <w:r>
              <w:rPr>
                <w:rFonts w:ascii="Arial" w:cs="Arial" w:eastAsia="Arial" w:hAnsi="Arial"/>
                <w:sz w:val="7"/>
                <w:szCs w:val="7"/>
                <w:color w:val="auto"/>
              </w:rPr>
              <w:t>​</w:t>
            </w:r>
          </w:p>
        </w:tc>
        <w:tc>
          <w:tcPr>
            <w:tcW w:w="100" w:type="dxa"/>
            <w:vAlign w:val="bottom"/>
            <w:tcBorders>
              <w:bottom w:val="single" w:sz="8" w:color="457157"/>
            </w:tcBorders>
            <w:shd w:val="clear" w:color="auto" w:fill="CCEEFF"/>
          </w:tcPr>
          <w:p>
            <w:pPr>
              <w:spacing w:after="0"/>
              <w:rPr>
                <w:sz w:val="5"/>
                <w:szCs w:val="5"/>
                <w:color w:val="auto"/>
              </w:rPr>
            </w:pPr>
          </w:p>
        </w:tc>
        <w:tc>
          <w:tcPr>
            <w:tcW w:w="560" w:type="dxa"/>
            <w:vAlign w:val="bottom"/>
            <w:tcBorders>
              <w:bottom w:val="single" w:sz="8" w:color="457157"/>
            </w:tcBorders>
            <w:shd w:val="clear" w:color="auto" w:fill="CCEEFF"/>
          </w:tcPr>
          <w:p>
            <w:pPr>
              <w:spacing w:after="0"/>
              <w:rPr>
                <w:sz w:val="5"/>
                <w:szCs w:val="5"/>
                <w:color w:val="auto"/>
              </w:rPr>
            </w:pPr>
          </w:p>
        </w:tc>
        <w:tc>
          <w:tcPr>
            <w:tcW w:w="120" w:type="dxa"/>
            <w:vAlign w:val="bottom"/>
            <w:tcBorders>
              <w:bottom w:val="single" w:sz="8" w:color="457157"/>
            </w:tcBorders>
            <w:vMerge w:val="continue"/>
            <w:shd w:val="clear" w:color="auto" w:fill="CCEEFF"/>
          </w:tcPr>
          <w:p>
            <w:pPr>
              <w:spacing w:after="0"/>
              <w:rPr>
                <w:sz w:val="5"/>
                <w:szCs w:val="5"/>
                <w:color w:val="auto"/>
              </w:rPr>
            </w:pPr>
          </w:p>
        </w:tc>
        <w:tc>
          <w:tcPr>
            <w:tcW w:w="200" w:type="dxa"/>
            <w:vAlign w:val="bottom"/>
            <w:tcBorders>
              <w:bottom w:val="single" w:sz="8" w:color="457157"/>
            </w:tcBorders>
            <w:shd w:val="clear" w:color="auto" w:fill="CCEEFF"/>
          </w:tcPr>
          <w:p>
            <w:pPr>
              <w:spacing w:after="0"/>
              <w:rPr>
                <w:sz w:val="5"/>
                <w:szCs w:val="5"/>
                <w:color w:val="auto"/>
              </w:rPr>
            </w:pPr>
          </w:p>
        </w:tc>
        <w:tc>
          <w:tcPr>
            <w:tcW w:w="140" w:type="dxa"/>
            <w:vAlign w:val="bottom"/>
            <w:tcBorders>
              <w:bottom w:val="single" w:sz="8" w:color="457157"/>
            </w:tcBorders>
            <w:shd w:val="clear" w:color="auto" w:fill="CCEEFF"/>
          </w:tcPr>
          <w:p>
            <w:pPr>
              <w:ind w:left="60"/>
              <w:spacing w:after="0" w:line="68" w:lineRule="exact"/>
              <w:rPr>
                <w:sz w:val="20"/>
                <w:szCs w:val="20"/>
                <w:color w:val="auto"/>
              </w:rPr>
            </w:pPr>
            <w:r>
              <w:rPr>
                <w:rFonts w:ascii="Arial" w:cs="Arial" w:eastAsia="Arial" w:hAnsi="Arial"/>
                <w:sz w:val="7"/>
                <w:szCs w:val="7"/>
                <w:color w:val="auto"/>
              </w:rPr>
              <w:t>​</w:t>
            </w:r>
          </w:p>
        </w:tc>
        <w:tc>
          <w:tcPr>
            <w:tcW w:w="400" w:type="dxa"/>
            <w:vAlign w:val="bottom"/>
            <w:tcBorders>
              <w:bottom w:val="single" w:sz="8" w:color="457157"/>
            </w:tcBorders>
            <w:shd w:val="clear" w:color="auto" w:fill="CCEEFF"/>
          </w:tcPr>
          <w:p>
            <w:pPr>
              <w:spacing w:after="0"/>
              <w:rPr>
                <w:sz w:val="5"/>
                <w:szCs w:val="5"/>
                <w:color w:val="auto"/>
              </w:rPr>
            </w:pPr>
          </w:p>
        </w:tc>
        <w:tc>
          <w:tcPr>
            <w:tcW w:w="280" w:type="dxa"/>
            <w:vAlign w:val="bottom"/>
            <w:tcBorders>
              <w:bottom w:val="single" w:sz="8" w:color="457157"/>
            </w:tcBorders>
            <w:shd w:val="clear" w:color="auto" w:fill="CCEEFF"/>
          </w:tcPr>
          <w:p>
            <w:pPr>
              <w:spacing w:after="0"/>
              <w:rPr>
                <w:sz w:val="5"/>
                <w:szCs w:val="5"/>
                <w:color w:val="auto"/>
              </w:rPr>
            </w:pPr>
          </w:p>
        </w:tc>
        <w:tc>
          <w:tcPr>
            <w:tcW w:w="240" w:type="dxa"/>
            <w:vAlign w:val="bottom"/>
            <w:tcBorders>
              <w:bottom w:val="single" w:sz="8" w:color="457157"/>
            </w:tcBorders>
            <w:shd w:val="clear" w:color="auto" w:fill="CCEEFF"/>
          </w:tcPr>
          <w:p>
            <w:pPr>
              <w:spacing w:after="0"/>
              <w:rPr>
                <w:sz w:val="5"/>
                <w:szCs w:val="5"/>
                <w:color w:val="auto"/>
              </w:rPr>
            </w:pPr>
          </w:p>
        </w:tc>
        <w:tc>
          <w:tcPr>
            <w:tcW w:w="180" w:type="dxa"/>
            <w:vAlign w:val="bottom"/>
            <w:tcBorders>
              <w:bottom w:val="single" w:sz="8" w:color="457157"/>
            </w:tcBorders>
            <w:shd w:val="clear" w:color="auto" w:fill="CCEEFF"/>
          </w:tcPr>
          <w:p>
            <w:pPr>
              <w:spacing w:after="0" w:line="68" w:lineRule="exact"/>
              <w:rPr>
                <w:sz w:val="20"/>
                <w:szCs w:val="20"/>
                <w:color w:val="auto"/>
              </w:rPr>
            </w:pPr>
            <w:r>
              <w:rPr>
                <w:rFonts w:ascii="Arial" w:cs="Arial" w:eastAsia="Arial" w:hAnsi="Arial"/>
                <w:sz w:val="7"/>
                <w:szCs w:val="7"/>
                <w:color w:val="auto"/>
              </w:rPr>
              <w:t>​​​</w:t>
            </w:r>
          </w:p>
        </w:tc>
        <w:tc>
          <w:tcPr>
            <w:tcW w:w="40" w:type="dxa"/>
            <w:vAlign w:val="bottom"/>
            <w:tcBorders>
              <w:bottom w:val="single" w:sz="8" w:color="457157"/>
            </w:tcBorders>
            <w:shd w:val="clear" w:color="auto" w:fill="CCEEFF"/>
          </w:tcPr>
          <w:p>
            <w:pPr>
              <w:spacing w:after="0"/>
              <w:rPr>
                <w:sz w:val="5"/>
                <w:szCs w:val="5"/>
                <w:color w:val="auto"/>
              </w:rPr>
            </w:pPr>
          </w:p>
        </w:tc>
        <w:tc>
          <w:tcPr>
            <w:tcW w:w="60" w:type="dxa"/>
            <w:vAlign w:val="bottom"/>
            <w:tcBorders>
              <w:bottom w:val="single" w:sz="8" w:color="457157"/>
            </w:tcBorders>
            <w:shd w:val="clear" w:color="auto" w:fill="CCEEFF"/>
          </w:tcPr>
          <w:p>
            <w:pPr>
              <w:spacing w:after="0"/>
              <w:rPr>
                <w:sz w:val="5"/>
                <w:szCs w:val="5"/>
                <w:color w:val="auto"/>
              </w:rPr>
            </w:pPr>
          </w:p>
        </w:tc>
        <w:tc>
          <w:tcPr>
            <w:tcW w:w="300" w:type="dxa"/>
            <w:vAlign w:val="bottom"/>
            <w:tcBorders>
              <w:bottom w:val="single" w:sz="8" w:color="457157"/>
            </w:tcBorders>
            <w:shd w:val="clear" w:color="auto" w:fill="CCEEFF"/>
          </w:tcPr>
          <w:p>
            <w:pPr>
              <w:spacing w:after="0"/>
              <w:rPr>
                <w:sz w:val="5"/>
                <w:szCs w:val="5"/>
                <w:color w:val="auto"/>
              </w:rPr>
            </w:pPr>
          </w:p>
        </w:tc>
        <w:tc>
          <w:tcPr>
            <w:tcW w:w="120" w:type="dxa"/>
            <w:vAlign w:val="bottom"/>
            <w:tcBorders>
              <w:bottom w:val="single" w:sz="8" w:color="457157"/>
            </w:tcBorders>
            <w:shd w:val="clear" w:color="auto" w:fill="CCEEFF"/>
          </w:tcPr>
          <w:p>
            <w:pPr>
              <w:spacing w:after="0"/>
              <w:rPr>
                <w:sz w:val="5"/>
                <w:szCs w:val="5"/>
                <w:color w:val="auto"/>
              </w:rPr>
            </w:pPr>
          </w:p>
        </w:tc>
        <w:tc>
          <w:tcPr>
            <w:tcW w:w="60" w:type="dxa"/>
            <w:vAlign w:val="bottom"/>
            <w:tcBorders>
              <w:bottom w:val="single" w:sz="8" w:color="457157"/>
            </w:tcBorders>
            <w:shd w:val="clear" w:color="auto" w:fill="CCEEFF"/>
          </w:tcPr>
          <w:p>
            <w:pPr>
              <w:spacing w:after="0"/>
              <w:rPr>
                <w:sz w:val="5"/>
                <w:szCs w:val="5"/>
                <w:color w:val="auto"/>
              </w:rPr>
            </w:pPr>
          </w:p>
        </w:tc>
        <w:tc>
          <w:tcPr>
            <w:tcW w:w="80" w:type="dxa"/>
            <w:vAlign w:val="bottom"/>
            <w:tcBorders>
              <w:bottom w:val="single" w:sz="8" w:color="457157"/>
            </w:tcBorders>
            <w:shd w:val="clear" w:color="auto" w:fill="CCEEFF"/>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3"/>
        </w:trPr>
        <w:tc>
          <w:tcPr>
            <w:tcW w:w="1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4060" w:type="dxa"/>
            <w:vAlign w:val="bottom"/>
          </w:tcPr>
          <w:p>
            <w:pPr>
              <w:spacing w:after="0"/>
              <w:rPr>
                <w:sz w:val="24"/>
                <w:szCs w:val="24"/>
                <w:color w:val="auto"/>
              </w:rPr>
            </w:pPr>
          </w:p>
        </w:tc>
        <w:tc>
          <w:tcPr>
            <w:tcW w:w="160" w:type="dxa"/>
            <w:vAlign w:val="bottom"/>
            <w:tcBorders>
              <w:bottom w:val="single" w:sz="8" w:color="457157"/>
            </w:tcBorders>
          </w:tcPr>
          <w:p>
            <w:pPr>
              <w:spacing w:after="0"/>
              <w:rPr>
                <w:sz w:val="20"/>
                <w:szCs w:val="20"/>
                <w:color w:val="auto"/>
              </w:rPr>
            </w:pPr>
            <w:r>
              <w:rPr>
                <w:rFonts w:ascii="Arial" w:cs="Arial" w:eastAsia="Arial" w:hAnsi="Arial"/>
                <w:sz w:val="14"/>
                <w:szCs w:val="14"/>
                <w:b w:val="1"/>
                <w:bCs w:val="1"/>
                <w:color w:val="457157"/>
              </w:rPr>
              <w:t>​</w:t>
            </w:r>
          </w:p>
        </w:tc>
        <w:tc>
          <w:tcPr>
            <w:tcW w:w="340" w:type="dxa"/>
            <w:vAlign w:val="bottom"/>
            <w:tcBorders>
              <w:bottom w:val="single" w:sz="8" w:color="457157"/>
            </w:tcBorders>
          </w:tcPr>
          <w:p>
            <w:pPr>
              <w:spacing w:after="0"/>
              <w:rPr>
                <w:sz w:val="24"/>
                <w:szCs w:val="24"/>
                <w:color w:val="auto"/>
              </w:rPr>
            </w:pPr>
          </w:p>
        </w:tc>
        <w:tc>
          <w:tcPr>
            <w:tcW w:w="280" w:type="dxa"/>
            <w:vAlign w:val="bottom"/>
            <w:tcBorders>
              <w:bottom w:val="single" w:sz="8" w:color="457157"/>
            </w:tcBorders>
          </w:tcPr>
          <w:p>
            <w:pPr>
              <w:spacing w:after="0"/>
              <w:rPr>
                <w:sz w:val="24"/>
                <w:szCs w:val="24"/>
                <w:color w:val="auto"/>
              </w:rPr>
            </w:pPr>
          </w:p>
        </w:tc>
        <w:tc>
          <w:tcPr>
            <w:tcW w:w="3360" w:type="dxa"/>
            <w:vAlign w:val="bottom"/>
            <w:tcBorders>
              <w:bottom w:val="single" w:sz="8" w:color="457157"/>
            </w:tcBorders>
            <w:gridSpan w:val="13"/>
          </w:tcPr>
          <w:p>
            <w:pPr>
              <w:jc w:val="right"/>
              <w:spacing w:after="0"/>
              <w:rPr>
                <w:sz w:val="20"/>
                <w:szCs w:val="20"/>
                <w:color w:val="auto"/>
              </w:rPr>
            </w:pPr>
            <w:r>
              <w:rPr>
                <w:rFonts w:ascii="Arial" w:cs="Arial" w:eastAsia="Arial" w:hAnsi="Arial"/>
                <w:sz w:val="14"/>
                <w:szCs w:val="14"/>
                <w:b w:val="1"/>
                <w:bCs w:val="1"/>
                <w:color w:val="457157"/>
              </w:rPr>
              <w:t>Three Years Ended December 31, 2024</w:t>
            </w:r>
          </w:p>
        </w:tc>
        <w:tc>
          <w:tcPr>
            <w:tcW w:w="280" w:type="dxa"/>
            <w:vAlign w:val="bottom"/>
            <w:tcBorders>
              <w:bottom w:val="single" w:sz="8" w:color="457157"/>
            </w:tcBorders>
          </w:tcPr>
          <w:p>
            <w:pPr>
              <w:spacing w:after="0"/>
              <w:rPr>
                <w:sz w:val="24"/>
                <w:szCs w:val="24"/>
                <w:color w:val="auto"/>
              </w:rPr>
            </w:pPr>
          </w:p>
        </w:tc>
        <w:tc>
          <w:tcPr>
            <w:tcW w:w="240" w:type="dxa"/>
            <w:vAlign w:val="bottom"/>
            <w:tcBorders>
              <w:bottom w:val="single" w:sz="8" w:color="457157"/>
            </w:tcBorders>
          </w:tcPr>
          <w:p>
            <w:pPr>
              <w:spacing w:after="0"/>
              <w:rPr>
                <w:sz w:val="24"/>
                <w:szCs w:val="24"/>
                <w:color w:val="auto"/>
              </w:rPr>
            </w:pPr>
          </w:p>
        </w:tc>
        <w:tc>
          <w:tcPr>
            <w:tcW w:w="180" w:type="dxa"/>
            <w:vAlign w:val="bottom"/>
            <w:tcBorders>
              <w:bottom w:val="single" w:sz="8" w:color="457157"/>
            </w:tcBorders>
          </w:tcPr>
          <w:p>
            <w:pPr>
              <w:spacing w:after="0"/>
              <w:rPr>
                <w:sz w:val="24"/>
                <w:szCs w:val="24"/>
                <w:color w:val="auto"/>
              </w:rPr>
            </w:pPr>
          </w:p>
        </w:tc>
        <w:tc>
          <w:tcPr>
            <w:tcW w:w="40" w:type="dxa"/>
            <w:vAlign w:val="bottom"/>
            <w:tcBorders>
              <w:bottom w:val="single" w:sz="8" w:color="457157"/>
            </w:tcBorders>
          </w:tcPr>
          <w:p>
            <w:pPr>
              <w:spacing w:after="0"/>
              <w:rPr>
                <w:sz w:val="24"/>
                <w:szCs w:val="24"/>
                <w:color w:val="auto"/>
              </w:rPr>
            </w:pPr>
          </w:p>
        </w:tc>
        <w:tc>
          <w:tcPr>
            <w:tcW w:w="60" w:type="dxa"/>
            <w:vAlign w:val="bottom"/>
            <w:tcBorders>
              <w:bottom w:val="single" w:sz="8" w:color="457157"/>
            </w:tcBorders>
          </w:tcPr>
          <w:p>
            <w:pPr>
              <w:spacing w:after="0"/>
              <w:rPr>
                <w:sz w:val="24"/>
                <w:szCs w:val="24"/>
                <w:color w:val="auto"/>
              </w:rPr>
            </w:pPr>
          </w:p>
        </w:tc>
        <w:tc>
          <w:tcPr>
            <w:tcW w:w="300" w:type="dxa"/>
            <w:vAlign w:val="bottom"/>
            <w:tcBorders>
              <w:bottom w:val="single" w:sz="8" w:color="457157"/>
            </w:tcBorders>
          </w:tcPr>
          <w:p>
            <w:pPr>
              <w:spacing w:after="0"/>
              <w:rPr>
                <w:sz w:val="24"/>
                <w:szCs w:val="24"/>
                <w:color w:val="auto"/>
              </w:rPr>
            </w:pPr>
          </w:p>
        </w:tc>
        <w:tc>
          <w:tcPr>
            <w:tcW w:w="120" w:type="dxa"/>
            <w:vAlign w:val="bottom"/>
            <w:tcBorders>
              <w:bottom w:val="single" w:sz="8" w:color="457157"/>
            </w:tcBorders>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457157"/>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4"/>
          </w:tcPr>
          <w:p>
            <w:pPr>
              <w:ind w:left="120"/>
              <w:spacing w:after="0"/>
              <w:rPr>
                <w:sz w:val="20"/>
                <w:szCs w:val="20"/>
                <w:color w:val="auto"/>
              </w:rPr>
            </w:pPr>
            <w:r>
              <w:rPr>
                <w:rFonts w:ascii="Arial" w:cs="Arial" w:eastAsia="Arial" w:hAnsi="Arial"/>
                <w:sz w:val="14"/>
                <w:szCs w:val="14"/>
                <w:b w:val="1"/>
                <w:bCs w:val="1"/>
                <w:color w:val="457157"/>
              </w:rPr>
              <w:t>Net Cash Provided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300" w:type="dxa"/>
            <w:vAlign w:val="bottom"/>
            <w:gridSpan w:val="17"/>
          </w:tcPr>
          <w:p>
            <w:pPr>
              <w:jc w:val="right"/>
              <w:ind w:right="48"/>
              <w:spacing w:after="0"/>
              <w:rPr>
                <w:sz w:val="20"/>
                <w:szCs w:val="20"/>
                <w:color w:val="auto"/>
              </w:rPr>
            </w:pPr>
            <w:r>
              <w:rPr>
                <w:rFonts w:ascii="Arial" w:cs="Arial" w:eastAsia="Arial" w:hAnsi="Arial"/>
                <w:sz w:val="14"/>
                <w:szCs w:val="14"/>
                <w:b w:val="1"/>
                <w:bCs w:val="1"/>
                <w:color w:val="457157"/>
              </w:rPr>
              <w:t>Capital Proceeds from Normal Cash Flow</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20" w:type="dxa"/>
            <w:vAlign w:val="bottom"/>
          </w:tcPr>
          <w:p>
            <w:pPr>
              <w:spacing w:after="0"/>
              <w:rPr>
                <w:sz w:val="20"/>
                <w:szCs w:val="20"/>
                <w:color w:val="auto"/>
              </w:rPr>
            </w:pPr>
            <w:r>
              <w:rPr>
                <w:rFonts w:ascii="Arial" w:cs="Arial" w:eastAsia="Arial" w:hAnsi="Arial"/>
                <w:sz w:val="14"/>
                <w:szCs w:val="14"/>
                <w:b w:val="1"/>
                <w:bCs w:val="1"/>
                <w:color w:val="457157"/>
              </w:rPr>
              <w:t>​</w:t>
            </w:r>
          </w:p>
        </w:tc>
        <w:tc>
          <w:tcPr>
            <w:tcW w:w="4060" w:type="dxa"/>
            <w:vAlign w:val="bottom"/>
          </w:tcPr>
          <w:p>
            <w:pPr>
              <w:spacing w:after="0"/>
              <w:rPr>
                <w:sz w:val="17"/>
                <w:szCs w:val="17"/>
                <w:color w:val="auto"/>
              </w:rPr>
            </w:pPr>
          </w:p>
        </w:tc>
        <w:tc>
          <w:tcPr>
            <w:tcW w:w="5420" w:type="dxa"/>
            <w:vAlign w:val="bottom"/>
            <w:gridSpan w:val="24"/>
          </w:tcPr>
          <w:p>
            <w:pPr>
              <w:jc w:val="right"/>
              <w:spacing w:after="0" w:line="202" w:lineRule="exact"/>
              <w:rPr>
                <w:sz w:val="20"/>
                <w:szCs w:val="20"/>
                <w:color w:val="auto"/>
              </w:rPr>
            </w:pP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by Operating Activities</w:t>
            </w: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Expenditures</w:t>
            </w: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 xml:space="preserve">   Course Divestitures</w:t>
            </w:r>
            <w:r>
              <w:rPr>
                <w:rFonts w:ascii="Arial" w:cs="Arial" w:eastAsia="Arial" w:hAnsi="Arial"/>
                <w:sz w:val="23"/>
                <w:szCs w:val="23"/>
                <w:b w:val="1"/>
                <w:bCs w:val="1"/>
                <w:color w:val="457157"/>
                <w:vertAlign w:val="subscript"/>
              </w:rPr>
              <w:t>​</w:t>
            </w:r>
            <w:r>
              <w:rPr>
                <w:rFonts w:ascii="Arial" w:cs="Arial" w:eastAsia="Arial" w:hAnsi="Arial"/>
                <w:sz w:val="13"/>
                <w:szCs w:val="13"/>
                <w:b w:val="1"/>
                <w:bCs w:val="1"/>
                <w:color w:val="457157"/>
              </w:rPr>
              <w:t>Generation</w:t>
            </w:r>
            <w:r>
              <w:rPr>
                <w:rFonts w:ascii="Arial" w:cs="Arial" w:eastAsia="Arial" w:hAnsi="Arial"/>
                <w:sz w:val="23"/>
                <w:szCs w:val="23"/>
                <w:b w:val="1"/>
                <w:bCs w:val="1"/>
                <w:color w:val="457157"/>
                <w:vertAlign w:val="subscript"/>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gridSpan w:val="2"/>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114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gridSpan w:val="5"/>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740" w:type="dxa"/>
            <w:vAlign w:val="bottom"/>
            <w:gridSpan w:val="3"/>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20" w:type="dxa"/>
            <w:vAlign w:val="bottom"/>
            <w:gridSpan w:val="5"/>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gridSpan w:val="2"/>
          </w:tcPr>
          <w:p>
            <w:pPr>
              <w:spacing w:after="0" w:line="196" w:lineRule="exact"/>
              <w:rPr>
                <w:sz w:val="20"/>
                <w:szCs w:val="20"/>
                <w:color w:val="auto"/>
              </w:rPr>
            </w:pPr>
            <w:r>
              <w:rPr>
                <w:rFonts w:ascii="Arial" w:cs="Arial" w:eastAsia="Arial" w:hAnsi="Arial"/>
                <w:sz w:val="18"/>
                <w:szCs w:val="18"/>
                <w:color w:val="auto"/>
              </w:rPr>
              <w:t>As reported amounts</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12"/>
              <w:spacing w:after="0" w:line="196" w:lineRule="exact"/>
              <w:rPr>
                <w:sz w:val="20"/>
                <w:szCs w:val="20"/>
                <w:color w:val="auto"/>
              </w:rPr>
            </w:pPr>
            <w:r>
              <w:rPr>
                <w:rFonts w:ascii="Arial" w:cs="Arial" w:eastAsia="Arial" w:hAnsi="Arial"/>
                <w:sz w:val="18"/>
                <w:szCs w:val="18"/>
                <w:color w:val="auto"/>
              </w:rPr>
              <w:t>$ 14,645</w:t>
            </w: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5"/>
          </w:tcPr>
          <w:p>
            <w:pPr>
              <w:jc w:val="right"/>
              <w:spacing w:after="0" w:line="196" w:lineRule="exact"/>
              <w:rPr>
                <w:sz w:val="20"/>
                <w:szCs w:val="20"/>
                <w:color w:val="auto"/>
              </w:rPr>
            </w:pPr>
            <w:r>
              <w:rPr>
                <w:rFonts w:ascii="Arial" w:cs="Arial" w:eastAsia="Arial" w:hAnsi="Arial"/>
                <w:sz w:val="18"/>
                <w:szCs w:val="18"/>
                <w:color w:val="auto"/>
              </w:rPr>
              <w:t>$ 8,713</w:t>
            </w:r>
          </w:p>
        </w:tc>
        <w:tc>
          <w:tcPr>
            <w:tcW w:w="100" w:type="dxa"/>
            <w:vAlign w:val="bottom"/>
          </w:tcPr>
          <w:p>
            <w:pPr>
              <w:spacing w:after="0"/>
              <w:rPr>
                <w:sz w:val="17"/>
                <w:szCs w:val="17"/>
                <w:color w:val="auto"/>
              </w:rPr>
            </w:pPr>
          </w:p>
        </w:tc>
        <w:tc>
          <w:tcPr>
            <w:tcW w:w="560" w:type="dxa"/>
            <w:vAlign w:val="bottom"/>
            <w:vMerge w:val="restart"/>
          </w:tcPr>
          <w:p>
            <w:pPr>
              <w:jc w:val="right"/>
              <w:ind w:right="39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95"/>
              <w:spacing w:after="0" w:line="196" w:lineRule="exact"/>
              <w:rPr>
                <w:sz w:val="20"/>
                <w:szCs w:val="20"/>
                <w:color w:val="auto"/>
              </w:rPr>
            </w:pPr>
            <w:r>
              <w:rPr>
                <w:rFonts w:ascii="Arial" w:cs="Arial" w:eastAsia="Arial" w:hAnsi="Arial"/>
                <w:sz w:val="18"/>
                <w:szCs w:val="18"/>
                <w:color w:val="auto"/>
                <w:w w:val="97"/>
              </w:rPr>
              <w:t>$ 263</w:t>
            </w:r>
          </w:p>
        </w:tc>
        <w:tc>
          <w:tcPr>
            <w:tcW w:w="280" w:type="dxa"/>
            <w:vAlign w:val="bottom"/>
          </w:tcPr>
          <w:p>
            <w:pPr>
              <w:spacing w:after="0"/>
              <w:rPr>
                <w:sz w:val="17"/>
                <w:szCs w:val="17"/>
                <w:color w:val="auto"/>
              </w:rPr>
            </w:pPr>
          </w:p>
        </w:tc>
        <w:tc>
          <w:tcPr>
            <w:tcW w:w="820" w:type="dxa"/>
            <w:vAlign w:val="bottom"/>
            <w:gridSpan w:val="5"/>
          </w:tcPr>
          <w:p>
            <w:pPr>
              <w:jc w:val="right"/>
              <w:spacing w:after="0" w:line="196" w:lineRule="exact"/>
              <w:rPr>
                <w:sz w:val="20"/>
                <w:szCs w:val="20"/>
                <w:color w:val="auto"/>
              </w:rPr>
            </w:pPr>
            <w:r>
              <w:rPr>
                <w:rFonts w:ascii="Arial" w:cs="Arial" w:eastAsia="Arial" w:hAnsi="Arial"/>
                <w:sz w:val="18"/>
                <w:szCs w:val="18"/>
                <w:color w:val="auto"/>
              </w:rPr>
              <w:t>$ 6,195</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40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2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ind w:left="40"/>
              <w:spacing w:after="0" w:line="68" w:lineRule="exact"/>
              <w:rPr>
                <w:sz w:val="20"/>
                <w:szCs w:val="20"/>
                <w:color w:val="auto"/>
              </w:rPr>
            </w:pPr>
            <w:r>
              <w:rPr>
                <w:rFonts w:ascii="Arial" w:cs="Arial" w:eastAsia="Arial" w:hAnsi="Arial"/>
                <w:sz w:val="7"/>
                <w:szCs w:val="7"/>
                <w:color w:val="auto"/>
              </w:rPr>
              <w:t>​​ ​</w:t>
            </w: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180" w:type="dxa"/>
            <w:vAlign w:val="bottom"/>
            <w:gridSpan w:val="2"/>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4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gridSpan w:val="2"/>
          </w:tcPr>
          <w:p>
            <w:pPr>
              <w:spacing w:after="0" w:line="196" w:lineRule="exact"/>
              <w:rPr>
                <w:sz w:val="20"/>
                <w:szCs w:val="20"/>
                <w:color w:val="auto"/>
              </w:rPr>
            </w:pPr>
            <w:r>
              <w:rPr>
                <w:rFonts w:ascii="Arial" w:cs="Arial" w:eastAsia="Arial" w:hAnsi="Arial"/>
                <w:sz w:val="18"/>
                <w:szCs w:val="18"/>
                <w:color w:val="auto"/>
              </w:rPr>
              <w:t>Adjustments:</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62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 ​</w:t>
            </w:r>
          </w:p>
        </w:tc>
        <w:tc>
          <w:tcPr>
            <w:tcW w:w="860" w:type="dxa"/>
            <w:vAlign w:val="bottom"/>
            <w:vMerge w:val="restart"/>
          </w:tcPr>
          <w:p>
            <w:pPr>
              <w:jc w:val="right"/>
              <w:ind w:right="252"/>
              <w:spacing w:after="0"/>
              <w:rPr>
                <w:sz w:val="20"/>
                <w:szCs w:val="20"/>
                <w:color w:val="auto"/>
              </w:rPr>
            </w:pPr>
            <w:r>
              <w:rPr>
                <w:rFonts w:ascii="Arial" w:cs="Arial" w:eastAsia="Arial" w:hAnsi="Arial"/>
                <w:sz w:val="18"/>
                <w:szCs w:val="18"/>
                <w:color w:val="auto"/>
              </w:rPr>
              <w:t>​</w:t>
            </w:r>
          </w:p>
        </w:tc>
        <w:tc>
          <w:tcPr>
            <w:tcW w:w="480" w:type="dxa"/>
            <w:vAlign w:val="bottom"/>
            <w:gridSpan w:val="3"/>
            <w:vMerge w:val="restart"/>
          </w:tcPr>
          <w:p>
            <w:pPr>
              <w:jc w:val="right"/>
              <w:spacing w:after="0"/>
              <w:rPr>
                <w:sz w:val="20"/>
                <w:szCs w:val="20"/>
                <w:color w:val="auto"/>
              </w:rPr>
            </w:pPr>
            <w:r>
              <w:rPr>
                <w:rFonts w:ascii="Arial" w:cs="Arial" w:eastAsia="Arial" w:hAnsi="Arial"/>
                <w:sz w:val="18"/>
                <w:szCs w:val="18"/>
                <w:color w:val="auto"/>
              </w:rPr>
              <w:t>​​  ​ ​</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vMerge w:val="restart"/>
          </w:tcPr>
          <w:p>
            <w:pPr>
              <w:jc w:val="right"/>
              <w:ind w:right="390"/>
              <w:spacing w:after="0"/>
              <w:rPr>
                <w:sz w:val="20"/>
                <w:szCs w:val="20"/>
                <w:color w:val="auto"/>
              </w:rPr>
            </w:pPr>
            <w:r>
              <w:rPr>
                <w:rFonts w:ascii="Arial" w:cs="Arial" w:eastAsia="Arial" w:hAnsi="Arial"/>
                <w:sz w:val="18"/>
                <w:szCs w:val="18"/>
                <w:color w:val="auto"/>
              </w:rPr>
              <w:t>​  ​​</w:t>
            </w:r>
          </w:p>
        </w:tc>
        <w:tc>
          <w:tcPr>
            <w:tcW w:w="320" w:type="dxa"/>
            <w:vAlign w:val="bottom"/>
            <w:gridSpan w:val="2"/>
            <w:vMerge w:val="restart"/>
          </w:tcPr>
          <w:p>
            <w:pPr>
              <w:ind w:left="6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7"/>
                <w:szCs w:val="17"/>
                <w:color w:val="auto"/>
              </w:rPr>
            </w:pPr>
          </w:p>
        </w:tc>
        <w:tc>
          <w:tcPr>
            <w:tcW w:w="400" w:type="dxa"/>
            <w:vAlign w:val="bottom"/>
            <w:vMerge w:val="restart"/>
          </w:tcPr>
          <w:p>
            <w:pPr>
              <w:jc w:val="center"/>
              <w:ind w:right="1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420" w:type="dxa"/>
            <w:vAlign w:val="bottom"/>
            <w:gridSpan w:val="2"/>
            <w:vMerge w:val="restart"/>
          </w:tcPr>
          <w:p>
            <w:pPr>
              <w:ind w:left="40"/>
              <w:spacing w:after="0"/>
              <w:rPr>
                <w:sz w:val="20"/>
                <w:szCs w:val="20"/>
                <w:color w:val="auto"/>
              </w:rPr>
            </w:pPr>
            <w:r>
              <w:rPr>
                <w:rFonts w:ascii="Arial" w:cs="Arial" w:eastAsia="Arial" w:hAnsi="Arial"/>
                <w:sz w:val="18"/>
                <w:szCs w:val="18"/>
                <w:color w:val="auto"/>
              </w:rPr>
              <w:t>​​ ​ ​</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40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60" w:type="dxa"/>
            <w:vAlign w:val="bottom"/>
            <w:vMerge w:val="continue"/>
          </w:tcPr>
          <w:p>
            <w:pPr>
              <w:spacing w:after="0"/>
              <w:rPr>
                <w:sz w:val="5"/>
                <w:szCs w:val="5"/>
                <w:color w:val="auto"/>
              </w:rPr>
            </w:pPr>
          </w:p>
        </w:tc>
        <w:tc>
          <w:tcPr>
            <w:tcW w:w="4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3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120" w:type="dxa"/>
            <w:vAlign w:val="bottom"/>
            <w:tcBorders>
              <w:top w:val="single" w:sz="8" w:color="457157"/>
            </w:tcBorders>
          </w:tcPr>
          <w:p>
            <w:pPr>
              <w:spacing w:after="0"/>
              <w:rPr>
                <w:sz w:val="18"/>
                <w:szCs w:val="18"/>
                <w:color w:val="auto"/>
              </w:rPr>
            </w:pPr>
          </w:p>
        </w:tc>
        <w:tc>
          <w:tcPr>
            <w:tcW w:w="406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Costs associated with labor disruptions and</w:t>
            </w:r>
          </w:p>
        </w:tc>
        <w:tc>
          <w:tcPr>
            <w:tcW w:w="160" w:type="dxa"/>
            <w:vAlign w:val="bottom"/>
            <w:tcBorders>
              <w:top w:val="single" w:sz="8" w:color="457157"/>
            </w:tcBorders>
          </w:tcPr>
          <w:p>
            <w:pPr>
              <w:spacing w:after="0"/>
              <w:rPr>
                <w:sz w:val="18"/>
                <w:szCs w:val="18"/>
                <w:color w:val="auto"/>
              </w:rPr>
            </w:pPr>
          </w:p>
        </w:tc>
        <w:tc>
          <w:tcPr>
            <w:tcW w:w="340" w:type="dxa"/>
            <w:vAlign w:val="bottom"/>
            <w:tcBorders>
              <w:top w:val="single" w:sz="8" w:color="457157"/>
            </w:tcBorders>
          </w:tcPr>
          <w:p>
            <w:pPr>
              <w:spacing w:after="0"/>
              <w:rPr>
                <w:sz w:val="18"/>
                <w:szCs w:val="18"/>
                <w:color w:val="auto"/>
              </w:rPr>
            </w:pPr>
          </w:p>
        </w:tc>
        <w:tc>
          <w:tcPr>
            <w:tcW w:w="280" w:type="dxa"/>
            <w:vAlign w:val="bottom"/>
            <w:tcBorders>
              <w:top w:val="single" w:sz="8" w:color="457157"/>
            </w:tcBorders>
          </w:tcPr>
          <w:p>
            <w:pPr>
              <w:spacing w:after="0"/>
              <w:rPr>
                <w:sz w:val="18"/>
                <w:szCs w:val="18"/>
                <w:color w:val="auto"/>
              </w:rPr>
            </w:pPr>
          </w:p>
        </w:tc>
        <w:tc>
          <w:tcPr>
            <w:tcW w:w="860" w:type="dxa"/>
            <w:vAlign w:val="bottom"/>
            <w:tcBorders>
              <w:top w:val="single" w:sz="8" w:color="457157"/>
            </w:tcBorders>
          </w:tcPr>
          <w:p>
            <w:pPr>
              <w:spacing w:after="0"/>
              <w:rPr>
                <w:sz w:val="18"/>
                <w:szCs w:val="18"/>
                <w:color w:val="auto"/>
              </w:rPr>
            </w:pPr>
          </w:p>
        </w:tc>
        <w:tc>
          <w:tcPr>
            <w:tcW w:w="22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140" w:type="dxa"/>
            <w:vAlign w:val="bottom"/>
            <w:tcBorders>
              <w:top w:val="single" w:sz="8" w:color="457157"/>
            </w:tcBorders>
          </w:tcPr>
          <w:p>
            <w:pPr>
              <w:spacing w:after="0"/>
              <w:rPr>
                <w:sz w:val="18"/>
                <w:szCs w:val="18"/>
                <w:color w:val="auto"/>
              </w:rPr>
            </w:pPr>
          </w:p>
        </w:tc>
        <w:tc>
          <w:tcPr>
            <w:tcW w:w="220" w:type="dxa"/>
            <w:vAlign w:val="bottom"/>
            <w:tcBorders>
              <w:top w:val="single" w:sz="8" w:color="457157"/>
            </w:tcBorders>
          </w:tcPr>
          <w:p>
            <w:pPr>
              <w:spacing w:after="0"/>
              <w:rPr>
                <w:sz w:val="18"/>
                <w:szCs w:val="18"/>
                <w:color w:val="auto"/>
              </w:rPr>
            </w:pPr>
          </w:p>
        </w:tc>
        <w:tc>
          <w:tcPr>
            <w:tcW w:w="100" w:type="dxa"/>
            <w:vAlign w:val="bottom"/>
            <w:tcBorders>
              <w:top w:val="single" w:sz="8" w:color="457157"/>
            </w:tcBorders>
          </w:tcPr>
          <w:p>
            <w:pPr>
              <w:spacing w:after="0"/>
              <w:rPr>
                <w:sz w:val="18"/>
                <w:szCs w:val="18"/>
                <w:color w:val="auto"/>
              </w:rPr>
            </w:pPr>
          </w:p>
        </w:tc>
        <w:tc>
          <w:tcPr>
            <w:tcW w:w="180" w:type="dxa"/>
            <w:vAlign w:val="bottom"/>
            <w:tcBorders>
              <w:top w:val="single" w:sz="8" w:color="457157"/>
            </w:tcBorders>
          </w:tcPr>
          <w:p>
            <w:pPr>
              <w:spacing w:after="0"/>
              <w:rPr>
                <w:sz w:val="18"/>
                <w:szCs w:val="18"/>
                <w:color w:val="auto"/>
              </w:rPr>
            </w:pPr>
          </w:p>
        </w:tc>
        <w:tc>
          <w:tcPr>
            <w:tcW w:w="100" w:type="dxa"/>
            <w:vAlign w:val="bottom"/>
            <w:tcBorders>
              <w:top w:val="single" w:sz="8" w:color="457157"/>
            </w:tcBorders>
          </w:tcPr>
          <w:p>
            <w:pPr>
              <w:spacing w:after="0"/>
              <w:rPr>
                <w:sz w:val="18"/>
                <w:szCs w:val="18"/>
                <w:color w:val="auto"/>
              </w:rPr>
            </w:pPr>
          </w:p>
        </w:tc>
        <w:tc>
          <w:tcPr>
            <w:tcW w:w="56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140" w:type="dxa"/>
            <w:vAlign w:val="bottom"/>
            <w:tcBorders>
              <w:top w:val="single" w:sz="8" w:color="457157"/>
            </w:tcBorders>
          </w:tcPr>
          <w:p>
            <w:pPr>
              <w:spacing w:after="0"/>
              <w:rPr>
                <w:sz w:val="18"/>
                <w:szCs w:val="18"/>
                <w:color w:val="auto"/>
              </w:rPr>
            </w:pPr>
          </w:p>
        </w:tc>
        <w:tc>
          <w:tcPr>
            <w:tcW w:w="400" w:type="dxa"/>
            <w:vAlign w:val="bottom"/>
            <w:tcBorders>
              <w:top w:val="single" w:sz="8" w:color="457157"/>
            </w:tcBorders>
          </w:tcPr>
          <w:p>
            <w:pPr>
              <w:spacing w:after="0"/>
              <w:rPr>
                <w:sz w:val="18"/>
                <w:szCs w:val="18"/>
                <w:color w:val="auto"/>
              </w:rPr>
            </w:pPr>
          </w:p>
        </w:tc>
        <w:tc>
          <w:tcPr>
            <w:tcW w:w="280" w:type="dxa"/>
            <w:vAlign w:val="bottom"/>
            <w:tcBorders>
              <w:top w:val="single" w:sz="8" w:color="457157"/>
            </w:tcBorders>
          </w:tcPr>
          <w:p>
            <w:pPr>
              <w:spacing w:after="0"/>
              <w:rPr>
                <w:sz w:val="18"/>
                <w:szCs w:val="18"/>
                <w:color w:val="auto"/>
              </w:rPr>
            </w:pPr>
          </w:p>
        </w:tc>
        <w:tc>
          <w:tcPr>
            <w:tcW w:w="240" w:type="dxa"/>
            <w:vAlign w:val="bottom"/>
            <w:tcBorders>
              <w:top w:val="single" w:sz="8" w:color="457157"/>
            </w:tcBorders>
          </w:tcPr>
          <w:p>
            <w:pPr>
              <w:spacing w:after="0"/>
              <w:rPr>
                <w:sz w:val="18"/>
                <w:szCs w:val="18"/>
                <w:color w:val="auto"/>
              </w:rPr>
            </w:pPr>
          </w:p>
        </w:tc>
        <w:tc>
          <w:tcPr>
            <w:tcW w:w="180" w:type="dxa"/>
            <w:vAlign w:val="bottom"/>
            <w:tcBorders>
              <w:top w:val="single" w:sz="8" w:color="457157"/>
            </w:tcBorders>
          </w:tcPr>
          <w:p>
            <w:pPr>
              <w:spacing w:after="0"/>
              <w:rPr>
                <w:sz w:val="18"/>
                <w:szCs w:val="18"/>
                <w:color w:val="auto"/>
              </w:rPr>
            </w:pPr>
          </w:p>
        </w:tc>
        <w:tc>
          <w:tcPr>
            <w:tcW w:w="40" w:type="dxa"/>
            <w:vAlign w:val="bottom"/>
            <w:tcBorders>
              <w:top w:val="single" w:sz="8" w:color="457157"/>
            </w:tcBorders>
          </w:tcPr>
          <w:p>
            <w:pPr>
              <w:spacing w:after="0"/>
              <w:rPr>
                <w:sz w:val="18"/>
                <w:szCs w:val="18"/>
                <w:color w:val="auto"/>
              </w:rPr>
            </w:pPr>
          </w:p>
        </w:tc>
        <w:tc>
          <w:tcPr>
            <w:tcW w:w="60" w:type="dxa"/>
            <w:vAlign w:val="bottom"/>
            <w:tcBorders>
              <w:top w:val="single" w:sz="8" w:color="457157"/>
            </w:tcBorders>
          </w:tcPr>
          <w:p>
            <w:pPr>
              <w:spacing w:after="0"/>
              <w:rPr>
                <w:sz w:val="18"/>
                <w:szCs w:val="18"/>
                <w:color w:val="auto"/>
              </w:rPr>
            </w:pPr>
          </w:p>
        </w:tc>
        <w:tc>
          <w:tcPr>
            <w:tcW w:w="30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240"/>
              <w:spacing w:after="0"/>
              <w:rPr>
                <w:sz w:val="20"/>
                <w:szCs w:val="20"/>
                <w:color w:val="auto"/>
              </w:rPr>
            </w:pPr>
            <w:r>
              <w:rPr>
                <w:rFonts w:ascii="Arial" w:cs="Arial" w:eastAsia="Arial" w:hAnsi="Arial"/>
                <w:sz w:val="18"/>
                <w:szCs w:val="18"/>
                <w:color w:val="auto"/>
              </w:rPr>
              <w:t>multiemployer plan withdrawal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2"/>
              <w:spacing w:after="0"/>
              <w:rPr>
                <w:sz w:val="20"/>
                <w:szCs w:val="20"/>
                <w:color w:val="auto"/>
              </w:rPr>
            </w:pPr>
            <w:r>
              <w:rPr>
                <w:rFonts w:ascii="Arial" w:cs="Arial" w:eastAsia="Arial" w:hAnsi="Arial"/>
                <w:sz w:val="18"/>
                <w:szCs w:val="18"/>
                <w:color w:val="auto"/>
              </w:rPr>
              <w:t>11</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9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 ​ ​</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457157"/>
          </w:tcPr>
          <w:p>
            <w:pPr>
              <w:spacing w:after="0" w:line="20" w:lineRule="exact"/>
              <w:rPr>
                <w:sz w:val="1"/>
                <w:szCs w:val="1"/>
                <w:color w:val="auto"/>
              </w:rPr>
            </w:pPr>
          </w:p>
        </w:tc>
        <w:tc>
          <w:tcPr>
            <w:tcW w:w="40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540" w:type="dxa"/>
            <w:vAlign w:val="bottom"/>
            <w:gridSpan w:val="2"/>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60"/>
              <w:spacing w:after="0"/>
              <w:rPr>
                <w:sz w:val="20"/>
                <w:szCs w:val="20"/>
                <w:color w:val="auto"/>
              </w:rPr>
            </w:pPr>
            <w:r>
              <w:rPr>
                <w:rFonts w:ascii="Arial" w:cs="Arial" w:eastAsia="Arial" w:hAnsi="Arial"/>
                <w:sz w:val="18"/>
                <w:szCs w:val="18"/>
                <w:color w:val="auto"/>
              </w:rPr>
              <w:t>Restructuring</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2"/>
              <w:spacing w:after="0"/>
              <w:rPr>
                <w:sz w:val="20"/>
                <w:szCs w:val="20"/>
                <w:color w:val="auto"/>
              </w:rPr>
            </w:pPr>
            <w:r>
              <w:rPr>
                <w:rFonts w:ascii="Arial" w:cs="Arial" w:eastAsia="Arial" w:hAnsi="Arial"/>
                <w:sz w:val="18"/>
                <w:szCs w:val="18"/>
                <w:color w:val="auto"/>
              </w:rPr>
              <w:t>7</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9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20" w:type="dxa"/>
            <w:vAlign w:val="bottom"/>
            <w:tcBorders>
              <w:top w:val="single" w:sz="8" w:color="457157"/>
            </w:tcBorders>
          </w:tcPr>
          <w:p>
            <w:pPr>
              <w:spacing w:after="0"/>
              <w:rPr>
                <w:sz w:val="18"/>
                <w:szCs w:val="18"/>
                <w:color w:val="auto"/>
              </w:rPr>
            </w:pPr>
          </w:p>
        </w:tc>
        <w:tc>
          <w:tcPr>
            <w:tcW w:w="406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Transaction and integration costs incurred in</w:t>
            </w:r>
          </w:p>
        </w:tc>
        <w:tc>
          <w:tcPr>
            <w:tcW w:w="160" w:type="dxa"/>
            <w:vAlign w:val="bottom"/>
            <w:tcBorders>
              <w:top w:val="single" w:sz="8" w:color="457157"/>
            </w:tcBorders>
          </w:tcPr>
          <w:p>
            <w:pPr>
              <w:spacing w:after="0"/>
              <w:rPr>
                <w:sz w:val="18"/>
                <w:szCs w:val="18"/>
                <w:color w:val="auto"/>
              </w:rPr>
            </w:pPr>
          </w:p>
        </w:tc>
        <w:tc>
          <w:tcPr>
            <w:tcW w:w="340" w:type="dxa"/>
            <w:vAlign w:val="bottom"/>
            <w:tcBorders>
              <w:top w:val="single" w:sz="8" w:color="457157"/>
            </w:tcBorders>
          </w:tcPr>
          <w:p>
            <w:pPr>
              <w:spacing w:after="0"/>
              <w:rPr>
                <w:sz w:val="18"/>
                <w:szCs w:val="18"/>
                <w:color w:val="auto"/>
              </w:rPr>
            </w:pPr>
          </w:p>
        </w:tc>
        <w:tc>
          <w:tcPr>
            <w:tcW w:w="280" w:type="dxa"/>
            <w:vAlign w:val="bottom"/>
            <w:tcBorders>
              <w:top w:val="single" w:sz="8" w:color="457157"/>
            </w:tcBorders>
          </w:tcPr>
          <w:p>
            <w:pPr>
              <w:spacing w:after="0"/>
              <w:rPr>
                <w:sz w:val="18"/>
                <w:szCs w:val="18"/>
                <w:color w:val="auto"/>
              </w:rPr>
            </w:pPr>
          </w:p>
        </w:tc>
        <w:tc>
          <w:tcPr>
            <w:tcW w:w="860" w:type="dxa"/>
            <w:vAlign w:val="bottom"/>
            <w:tcBorders>
              <w:top w:val="single" w:sz="8" w:color="457157"/>
            </w:tcBorders>
          </w:tcPr>
          <w:p>
            <w:pPr>
              <w:spacing w:after="0"/>
              <w:rPr>
                <w:sz w:val="18"/>
                <w:szCs w:val="18"/>
                <w:color w:val="auto"/>
              </w:rPr>
            </w:pPr>
          </w:p>
        </w:tc>
        <w:tc>
          <w:tcPr>
            <w:tcW w:w="22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140" w:type="dxa"/>
            <w:vAlign w:val="bottom"/>
            <w:tcBorders>
              <w:top w:val="single" w:sz="8" w:color="457157"/>
            </w:tcBorders>
          </w:tcPr>
          <w:p>
            <w:pPr>
              <w:spacing w:after="0"/>
              <w:rPr>
                <w:sz w:val="18"/>
                <w:szCs w:val="18"/>
                <w:color w:val="auto"/>
              </w:rPr>
            </w:pPr>
          </w:p>
        </w:tc>
        <w:tc>
          <w:tcPr>
            <w:tcW w:w="220" w:type="dxa"/>
            <w:vAlign w:val="bottom"/>
            <w:tcBorders>
              <w:top w:val="single" w:sz="8" w:color="457157"/>
            </w:tcBorders>
          </w:tcPr>
          <w:p>
            <w:pPr>
              <w:spacing w:after="0"/>
              <w:rPr>
                <w:sz w:val="18"/>
                <w:szCs w:val="18"/>
                <w:color w:val="auto"/>
              </w:rPr>
            </w:pPr>
          </w:p>
        </w:tc>
        <w:tc>
          <w:tcPr>
            <w:tcW w:w="100" w:type="dxa"/>
            <w:vAlign w:val="bottom"/>
            <w:tcBorders>
              <w:top w:val="single" w:sz="8" w:color="457157"/>
            </w:tcBorders>
          </w:tcPr>
          <w:p>
            <w:pPr>
              <w:spacing w:after="0"/>
              <w:rPr>
                <w:sz w:val="18"/>
                <w:szCs w:val="18"/>
                <w:color w:val="auto"/>
              </w:rPr>
            </w:pPr>
          </w:p>
        </w:tc>
        <w:tc>
          <w:tcPr>
            <w:tcW w:w="180" w:type="dxa"/>
            <w:vAlign w:val="bottom"/>
            <w:tcBorders>
              <w:top w:val="single" w:sz="8" w:color="457157"/>
            </w:tcBorders>
          </w:tcPr>
          <w:p>
            <w:pPr>
              <w:spacing w:after="0"/>
              <w:rPr>
                <w:sz w:val="18"/>
                <w:szCs w:val="18"/>
                <w:color w:val="auto"/>
              </w:rPr>
            </w:pPr>
          </w:p>
        </w:tc>
        <w:tc>
          <w:tcPr>
            <w:tcW w:w="100" w:type="dxa"/>
            <w:vAlign w:val="bottom"/>
            <w:tcBorders>
              <w:top w:val="single" w:sz="8" w:color="457157"/>
            </w:tcBorders>
          </w:tcPr>
          <w:p>
            <w:pPr>
              <w:spacing w:after="0"/>
              <w:rPr>
                <w:sz w:val="18"/>
                <w:szCs w:val="18"/>
                <w:color w:val="auto"/>
              </w:rPr>
            </w:pPr>
          </w:p>
        </w:tc>
        <w:tc>
          <w:tcPr>
            <w:tcW w:w="56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140" w:type="dxa"/>
            <w:vAlign w:val="bottom"/>
            <w:tcBorders>
              <w:top w:val="single" w:sz="8" w:color="457157"/>
            </w:tcBorders>
          </w:tcPr>
          <w:p>
            <w:pPr>
              <w:spacing w:after="0"/>
              <w:rPr>
                <w:sz w:val="18"/>
                <w:szCs w:val="18"/>
                <w:color w:val="auto"/>
              </w:rPr>
            </w:pPr>
          </w:p>
        </w:tc>
        <w:tc>
          <w:tcPr>
            <w:tcW w:w="400" w:type="dxa"/>
            <w:vAlign w:val="bottom"/>
            <w:tcBorders>
              <w:top w:val="single" w:sz="8" w:color="457157"/>
            </w:tcBorders>
          </w:tcPr>
          <w:p>
            <w:pPr>
              <w:spacing w:after="0"/>
              <w:rPr>
                <w:sz w:val="18"/>
                <w:szCs w:val="18"/>
                <w:color w:val="auto"/>
              </w:rPr>
            </w:pPr>
          </w:p>
        </w:tc>
        <w:tc>
          <w:tcPr>
            <w:tcW w:w="280" w:type="dxa"/>
            <w:vAlign w:val="bottom"/>
            <w:tcBorders>
              <w:top w:val="single" w:sz="8" w:color="457157"/>
            </w:tcBorders>
          </w:tcPr>
          <w:p>
            <w:pPr>
              <w:spacing w:after="0"/>
              <w:rPr>
                <w:sz w:val="18"/>
                <w:szCs w:val="18"/>
                <w:color w:val="auto"/>
              </w:rPr>
            </w:pPr>
          </w:p>
        </w:tc>
        <w:tc>
          <w:tcPr>
            <w:tcW w:w="240" w:type="dxa"/>
            <w:vAlign w:val="bottom"/>
            <w:tcBorders>
              <w:top w:val="single" w:sz="8" w:color="457157"/>
            </w:tcBorders>
          </w:tcPr>
          <w:p>
            <w:pPr>
              <w:spacing w:after="0"/>
              <w:rPr>
                <w:sz w:val="18"/>
                <w:szCs w:val="18"/>
                <w:color w:val="auto"/>
              </w:rPr>
            </w:pPr>
          </w:p>
        </w:tc>
        <w:tc>
          <w:tcPr>
            <w:tcW w:w="180" w:type="dxa"/>
            <w:vAlign w:val="bottom"/>
            <w:tcBorders>
              <w:top w:val="single" w:sz="8" w:color="457157"/>
            </w:tcBorders>
          </w:tcPr>
          <w:p>
            <w:pPr>
              <w:spacing w:after="0"/>
              <w:rPr>
                <w:sz w:val="18"/>
                <w:szCs w:val="18"/>
                <w:color w:val="auto"/>
              </w:rPr>
            </w:pPr>
          </w:p>
        </w:tc>
        <w:tc>
          <w:tcPr>
            <w:tcW w:w="40" w:type="dxa"/>
            <w:vAlign w:val="bottom"/>
            <w:tcBorders>
              <w:top w:val="single" w:sz="8" w:color="457157"/>
            </w:tcBorders>
          </w:tcPr>
          <w:p>
            <w:pPr>
              <w:spacing w:after="0"/>
              <w:rPr>
                <w:sz w:val="18"/>
                <w:szCs w:val="18"/>
                <w:color w:val="auto"/>
              </w:rPr>
            </w:pPr>
          </w:p>
        </w:tc>
        <w:tc>
          <w:tcPr>
            <w:tcW w:w="60" w:type="dxa"/>
            <w:vAlign w:val="bottom"/>
            <w:tcBorders>
              <w:top w:val="single" w:sz="8" w:color="457157"/>
            </w:tcBorders>
          </w:tcPr>
          <w:p>
            <w:pPr>
              <w:spacing w:after="0"/>
              <w:rPr>
                <w:sz w:val="18"/>
                <w:szCs w:val="18"/>
                <w:color w:val="auto"/>
              </w:rPr>
            </w:pPr>
          </w:p>
        </w:tc>
        <w:tc>
          <w:tcPr>
            <w:tcW w:w="30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support of strategic acquisitions, including</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240"/>
              <w:spacing w:after="0"/>
              <w:rPr>
                <w:sz w:val="20"/>
                <w:szCs w:val="20"/>
                <w:color w:val="auto"/>
              </w:rPr>
            </w:pPr>
            <w:r>
              <w:rPr>
                <w:rFonts w:ascii="Arial" w:cs="Arial" w:eastAsia="Arial" w:hAnsi="Arial"/>
                <w:sz w:val="18"/>
                <w:szCs w:val="18"/>
                <w:color w:val="auto"/>
              </w:rPr>
              <w:t>Stericycle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2"/>
              <w:spacing w:after="0"/>
              <w:rPr>
                <w:sz w:val="20"/>
                <w:szCs w:val="20"/>
                <w:color w:val="auto"/>
              </w:rPr>
            </w:pPr>
            <w:r>
              <w:rPr>
                <w:rFonts w:ascii="Arial" w:cs="Arial" w:eastAsia="Arial" w:hAnsi="Arial"/>
                <w:sz w:val="18"/>
                <w:szCs w:val="18"/>
                <w:color w:val="auto"/>
              </w:rPr>
              <w:t>49</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9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120" w:type="dxa"/>
            <w:vAlign w:val="bottom"/>
            <w:tcBorders>
              <w:top w:val="single" w:sz="8" w:color="457157"/>
            </w:tcBorders>
          </w:tcPr>
          <w:p>
            <w:pPr>
              <w:spacing w:after="0"/>
              <w:rPr>
                <w:sz w:val="18"/>
                <w:szCs w:val="18"/>
                <w:color w:val="auto"/>
              </w:rPr>
            </w:pPr>
          </w:p>
        </w:tc>
        <w:tc>
          <w:tcPr>
            <w:tcW w:w="4060" w:type="dxa"/>
            <w:vAlign w:val="bottom"/>
            <w:tcBorders>
              <w:top w:val="single" w:sz="8" w:color="457157"/>
            </w:tcBorders>
          </w:tcPr>
          <w:p>
            <w:pPr>
              <w:ind w:left="60"/>
              <w:spacing w:after="0"/>
              <w:rPr>
                <w:sz w:val="20"/>
                <w:szCs w:val="20"/>
                <w:color w:val="auto"/>
              </w:rPr>
            </w:pPr>
            <w:r>
              <w:rPr>
                <w:rFonts w:ascii="Arial" w:cs="Arial" w:eastAsia="Arial" w:hAnsi="Arial"/>
                <w:sz w:val="18"/>
                <w:szCs w:val="18"/>
                <w:color w:val="auto"/>
              </w:rPr>
              <w:t>Post-closing contributions from the Stericycle</w:t>
            </w:r>
          </w:p>
        </w:tc>
        <w:tc>
          <w:tcPr>
            <w:tcW w:w="160" w:type="dxa"/>
            <w:vAlign w:val="bottom"/>
            <w:tcBorders>
              <w:top w:val="single" w:sz="8" w:color="457157"/>
            </w:tcBorders>
          </w:tcPr>
          <w:p>
            <w:pPr>
              <w:spacing w:after="0"/>
              <w:rPr>
                <w:sz w:val="18"/>
                <w:szCs w:val="18"/>
                <w:color w:val="auto"/>
              </w:rPr>
            </w:pPr>
          </w:p>
        </w:tc>
        <w:tc>
          <w:tcPr>
            <w:tcW w:w="340" w:type="dxa"/>
            <w:vAlign w:val="bottom"/>
            <w:tcBorders>
              <w:top w:val="single" w:sz="8" w:color="457157"/>
            </w:tcBorders>
          </w:tcPr>
          <w:p>
            <w:pPr>
              <w:spacing w:after="0"/>
              <w:rPr>
                <w:sz w:val="18"/>
                <w:szCs w:val="18"/>
                <w:color w:val="auto"/>
              </w:rPr>
            </w:pPr>
          </w:p>
        </w:tc>
        <w:tc>
          <w:tcPr>
            <w:tcW w:w="280" w:type="dxa"/>
            <w:vAlign w:val="bottom"/>
            <w:tcBorders>
              <w:top w:val="single" w:sz="8" w:color="457157"/>
            </w:tcBorders>
          </w:tcPr>
          <w:p>
            <w:pPr>
              <w:spacing w:after="0"/>
              <w:rPr>
                <w:sz w:val="18"/>
                <w:szCs w:val="18"/>
                <w:color w:val="auto"/>
              </w:rPr>
            </w:pPr>
          </w:p>
        </w:tc>
        <w:tc>
          <w:tcPr>
            <w:tcW w:w="860" w:type="dxa"/>
            <w:vAlign w:val="bottom"/>
            <w:tcBorders>
              <w:top w:val="single" w:sz="8" w:color="457157"/>
            </w:tcBorders>
          </w:tcPr>
          <w:p>
            <w:pPr>
              <w:spacing w:after="0"/>
              <w:rPr>
                <w:sz w:val="18"/>
                <w:szCs w:val="18"/>
                <w:color w:val="auto"/>
              </w:rPr>
            </w:pPr>
          </w:p>
        </w:tc>
        <w:tc>
          <w:tcPr>
            <w:tcW w:w="22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140" w:type="dxa"/>
            <w:vAlign w:val="bottom"/>
            <w:tcBorders>
              <w:top w:val="single" w:sz="8" w:color="457157"/>
            </w:tcBorders>
          </w:tcPr>
          <w:p>
            <w:pPr>
              <w:spacing w:after="0"/>
              <w:rPr>
                <w:sz w:val="18"/>
                <w:szCs w:val="18"/>
                <w:color w:val="auto"/>
              </w:rPr>
            </w:pPr>
          </w:p>
        </w:tc>
        <w:tc>
          <w:tcPr>
            <w:tcW w:w="220" w:type="dxa"/>
            <w:vAlign w:val="bottom"/>
            <w:tcBorders>
              <w:top w:val="single" w:sz="8" w:color="457157"/>
            </w:tcBorders>
          </w:tcPr>
          <w:p>
            <w:pPr>
              <w:spacing w:after="0"/>
              <w:rPr>
                <w:sz w:val="18"/>
                <w:szCs w:val="18"/>
                <w:color w:val="auto"/>
              </w:rPr>
            </w:pPr>
          </w:p>
        </w:tc>
        <w:tc>
          <w:tcPr>
            <w:tcW w:w="100" w:type="dxa"/>
            <w:vAlign w:val="bottom"/>
            <w:tcBorders>
              <w:top w:val="single" w:sz="8" w:color="457157"/>
            </w:tcBorders>
          </w:tcPr>
          <w:p>
            <w:pPr>
              <w:spacing w:after="0"/>
              <w:rPr>
                <w:sz w:val="18"/>
                <w:szCs w:val="18"/>
                <w:color w:val="auto"/>
              </w:rPr>
            </w:pPr>
          </w:p>
        </w:tc>
        <w:tc>
          <w:tcPr>
            <w:tcW w:w="180" w:type="dxa"/>
            <w:vAlign w:val="bottom"/>
            <w:tcBorders>
              <w:top w:val="single" w:sz="8" w:color="457157"/>
            </w:tcBorders>
          </w:tcPr>
          <w:p>
            <w:pPr>
              <w:spacing w:after="0"/>
              <w:rPr>
                <w:sz w:val="18"/>
                <w:szCs w:val="18"/>
                <w:color w:val="auto"/>
              </w:rPr>
            </w:pPr>
          </w:p>
        </w:tc>
        <w:tc>
          <w:tcPr>
            <w:tcW w:w="100" w:type="dxa"/>
            <w:vAlign w:val="bottom"/>
            <w:tcBorders>
              <w:top w:val="single" w:sz="8" w:color="457157"/>
            </w:tcBorders>
          </w:tcPr>
          <w:p>
            <w:pPr>
              <w:spacing w:after="0"/>
              <w:rPr>
                <w:sz w:val="18"/>
                <w:szCs w:val="18"/>
                <w:color w:val="auto"/>
              </w:rPr>
            </w:pPr>
          </w:p>
        </w:tc>
        <w:tc>
          <w:tcPr>
            <w:tcW w:w="56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200" w:type="dxa"/>
            <w:vAlign w:val="bottom"/>
            <w:tcBorders>
              <w:top w:val="single" w:sz="8" w:color="457157"/>
            </w:tcBorders>
          </w:tcPr>
          <w:p>
            <w:pPr>
              <w:spacing w:after="0"/>
              <w:rPr>
                <w:sz w:val="18"/>
                <w:szCs w:val="18"/>
                <w:color w:val="auto"/>
              </w:rPr>
            </w:pPr>
          </w:p>
        </w:tc>
        <w:tc>
          <w:tcPr>
            <w:tcW w:w="140" w:type="dxa"/>
            <w:vAlign w:val="bottom"/>
            <w:tcBorders>
              <w:top w:val="single" w:sz="8" w:color="457157"/>
            </w:tcBorders>
          </w:tcPr>
          <w:p>
            <w:pPr>
              <w:spacing w:after="0"/>
              <w:rPr>
                <w:sz w:val="18"/>
                <w:szCs w:val="18"/>
                <w:color w:val="auto"/>
              </w:rPr>
            </w:pPr>
          </w:p>
        </w:tc>
        <w:tc>
          <w:tcPr>
            <w:tcW w:w="400" w:type="dxa"/>
            <w:vAlign w:val="bottom"/>
            <w:tcBorders>
              <w:top w:val="single" w:sz="8" w:color="457157"/>
            </w:tcBorders>
          </w:tcPr>
          <w:p>
            <w:pPr>
              <w:spacing w:after="0"/>
              <w:rPr>
                <w:sz w:val="18"/>
                <w:szCs w:val="18"/>
                <w:color w:val="auto"/>
              </w:rPr>
            </w:pPr>
          </w:p>
        </w:tc>
        <w:tc>
          <w:tcPr>
            <w:tcW w:w="280" w:type="dxa"/>
            <w:vAlign w:val="bottom"/>
            <w:tcBorders>
              <w:top w:val="single" w:sz="8" w:color="457157"/>
            </w:tcBorders>
          </w:tcPr>
          <w:p>
            <w:pPr>
              <w:spacing w:after="0"/>
              <w:rPr>
                <w:sz w:val="18"/>
                <w:szCs w:val="18"/>
                <w:color w:val="auto"/>
              </w:rPr>
            </w:pPr>
          </w:p>
        </w:tc>
        <w:tc>
          <w:tcPr>
            <w:tcW w:w="240" w:type="dxa"/>
            <w:vAlign w:val="bottom"/>
            <w:tcBorders>
              <w:top w:val="single" w:sz="8" w:color="457157"/>
            </w:tcBorders>
          </w:tcPr>
          <w:p>
            <w:pPr>
              <w:spacing w:after="0"/>
              <w:rPr>
                <w:sz w:val="18"/>
                <w:szCs w:val="18"/>
                <w:color w:val="auto"/>
              </w:rPr>
            </w:pPr>
          </w:p>
        </w:tc>
        <w:tc>
          <w:tcPr>
            <w:tcW w:w="180" w:type="dxa"/>
            <w:vAlign w:val="bottom"/>
            <w:tcBorders>
              <w:top w:val="single" w:sz="8" w:color="457157"/>
            </w:tcBorders>
          </w:tcPr>
          <w:p>
            <w:pPr>
              <w:spacing w:after="0"/>
              <w:rPr>
                <w:sz w:val="18"/>
                <w:szCs w:val="18"/>
                <w:color w:val="auto"/>
              </w:rPr>
            </w:pPr>
          </w:p>
        </w:tc>
        <w:tc>
          <w:tcPr>
            <w:tcW w:w="40" w:type="dxa"/>
            <w:vAlign w:val="bottom"/>
            <w:tcBorders>
              <w:top w:val="single" w:sz="8" w:color="457157"/>
            </w:tcBorders>
          </w:tcPr>
          <w:p>
            <w:pPr>
              <w:spacing w:after="0"/>
              <w:rPr>
                <w:sz w:val="18"/>
                <w:szCs w:val="18"/>
                <w:color w:val="auto"/>
              </w:rPr>
            </w:pPr>
          </w:p>
        </w:tc>
        <w:tc>
          <w:tcPr>
            <w:tcW w:w="60" w:type="dxa"/>
            <w:vAlign w:val="bottom"/>
            <w:tcBorders>
              <w:top w:val="single" w:sz="8" w:color="457157"/>
            </w:tcBorders>
          </w:tcPr>
          <w:p>
            <w:pPr>
              <w:spacing w:after="0"/>
              <w:rPr>
                <w:sz w:val="18"/>
                <w:szCs w:val="18"/>
                <w:color w:val="auto"/>
              </w:rPr>
            </w:pPr>
          </w:p>
        </w:tc>
        <w:tc>
          <w:tcPr>
            <w:tcW w:w="300" w:type="dxa"/>
            <w:vAlign w:val="bottom"/>
            <w:tcBorders>
              <w:top w:val="single" w:sz="8" w:color="457157"/>
            </w:tcBorders>
          </w:tcPr>
          <w:p>
            <w:pPr>
              <w:spacing w:after="0"/>
              <w:rPr>
                <w:sz w:val="18"/>
                <w:szCs w:val="18"/>
                <w:color w:val="auto"/>
              </w:rPr>
            </w:pPr>
          </w:p>
        </w:tc>
        <w:tc>
          <w:tcPr>
            <w:tcW w:w="120" w:type="dxa"/>
            <w:vAlign w:val="bottom"/>
            <w:tcBorders>
              <w:top w:val="single" w:sz="8" w:color="457157"/>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240"/>
              <w:spacing w:after="0"/>
              <w:rPr>
                <w:sz w:val="20"/>
                <w:szCs w:val="20"/>
                <w:color w:val="auto"/>
              </w:rPr>
            </w:pPr>
            <w:r>
              <w:rPr>
                <w:rFonts w:ascii="Arial" w:cs="Arial" w:eastAsia="Arial" w:hAnsi="Arial"/>
                <w:sz w:val="18"/>
                <w:szCs w:val="18"/>
                <w:color w:val="auto"/>
              </w:rPr>
              <w:t>acquisition and tax impact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(31)</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2"/>
                <w:szCs w:val="22"/>
                <w:color w:val="auto"/>
              </w:rPr>
            </w:pPr>
          </w:p>
        </w:tc>
        <w:tc>
          <w:tcPr>
            <w:tcW w:w="5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9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20" w:type="dxa"/>
            <w:vAlign w:val="bottom"/>
            <w:tcBorders>
              <w:top w:val="single" w:sz="8" w:color="457157"/>
            </w:tcBorders>
          </w:tcPr>
          <w:p>
            <w:pPr>
              <w:spacing w:after="0"/>
              <w:rPr>
                <w:sz w:val="17"/>
                <w:szCs w:val="17"/>
                <w:color w:val="auto"/>
              </w:rPr>
            </w:pPr>
          </w:p>
        </w:tc>
        <w:tc>
          <w:tcPr>
            <w:tcW w:w="4060" w:type="dxa"/>
            <w:vAlign w:val="bottom"/>
            <w:tcBorders>
              <w:top w:val="single" w:sz="8" w:color="457157"/>
            </w:tcBorders>
          </w:tcPr>
          <w:p>
            <w:pPr>
              <w:ind w:left="60"/>
              <w:spacing w:after="0" w:line="201" w:lineRule="exact"/>
              <w:rPr>
                <w:sz w:val="20"/>
                <w:szCs w:val="20"/>
                <w:color w:val="auto"/>
              </w:rPr>
            </w:pPr>
            <w:r>
              <w:rPr>
                <w:rFonts w:ascii="Arial" w:cs="Arial" w:eastAsia="Arial" w:hAnsi="Arial"/>
                <w:sz w:val="18"/>
                <w:szCs w:val="18"/>
                <w:color w:val="auto"/>
              </w:rPr>
              <w:t>Incremental sustainability growth capital</w:t>
            </w:r>
          </w:p>
        </w:tc>
        <w:tc>
          <w:tcPr>
            <w:tcW w:w="160" w:type="dxa"/>
            <w:vAlign w:val="bottom"/>
            <w:tcBorders>
              <w:top w:val="single" w:sz="8" w:color="457157"/>
            </w:tcBorders>
          </w:tcPr>
          <w:p>
            <w:pPr>
              <w:spacing w:after="0"/>
              <w:rPr>
                <w:sz w:val="17"/>
                <w:szCs w:val="17"/>
                <w:color w:val="auto"/>
              </w:rPr>
            </w:pPr>
          </w:p>
        </w:tc>
        <w:tc>
          <w:tcPr>
            <w:tcW w:w="340" w:type="dxa"/>
            <w:vAlign w:val="bottom"/>
            <w:tcBorders>
              <w:top w:val="single" w:sz="8" w:color="457157"/>
            </w:tcBorders>
          </w:tcPr>
          <w:p>
            <w:pPr>
              <w:spacing w:after="0"/>
              <w:rPr>
                <w:sz w:val="17"/>
                <w:szCs w:val="17"/>
                <w:color w:val="auto"/>
              </w:rPr>
            </w:pPr>
          </w:p>
        </w:tc>
        <w:tc>
          <w:tcPr>
            <w:tcW w:w="280" w:type="dxa"/>
            <w:vAlign w:val="bottom"/>
            <w:tcBorders>
              <w:top w:val="single" w:sz="8" w:color="457157"/>
            </w:tcBorders>
          </w:tcPr>
          <w:p>
            <w:pPr>
              <w:spacing w:after="0"/>
              <w:rPr>
                <w:sz w:val="17"/>
                <w:szCs w:val="17"/>
                <w:color w:val="auto"/>
              </w:rPr>
            </w:pPr>
          </w:p>
        </w:tc>
        <w:tc>
          <w:tcPr>
            <w:tcW w:w="860" w:type="dxa"/>
            <w:vAlign w:val="bottom"/>
            <w:tcBorders>
              <w:top w:val="single" w:sz="8" w:color="457157"/>
            </w:tcBorders>
          </w:tcPr>
          <w:p>
            <w:pPr>
              <w:spacing w:after="0"/>
              <w:rPr>
                <w:sz w:val="17"/>
                <w:szCs w:val="17"/>
                <w:color w:val="auto"/>
              </w:rPr>
            </w:pPr>
          </w:p>
        </w:tc>
        <w:tc>
          <w:tcPr>
            <w:tcW w:w="220" w:type="dxa"/>
            <w:vAlign w:val="bottom"/>
            <w:tcBorders>
              <w:top w:val="single" w:sz="8" w:color="457157"/>
            </w:tcBorders>
          </w:tcPr>
          <w:p>
            <w:pPr>
              <w:spacing w:after="0"/>
              <w:rPr>
                <w:sz w:val="17"/>
                <w:szCs w:val="17"/>
                <w:color w:val="auto"/>
              </w:rPr>
            </w:pPr>
          </w:p>
        </w:tc>
        <w:tc>
          <w:tcPr>
            <w:tcW w:w="120" w:type="dxa"/>
            <w:vAlign w:val="bottom"/>
            <w:tcBorders>
              <w:top w:val="single" w:sz="8" w:color="457157"/>
            </w:tcBorders>
          </w:tcPr>
          <w:p>
            <w:pPr>
              <w:spacing w:after="0"/>
              <w:rPr>
                <w:sz w:val="17"/>
                <w:szCs w:val="17"/>
                <w:color w:val="auto"/>
              </w:rPr>
            </w:pPr>
          </w:p>
        </w:tc>
        <w:tc>
          <w:tcPr>
            <w:tcW w:w="140" w:type="dxa"/>
            <w:vAlign w:val="bottom"/>
            <w:tcBorders>
              <w:top w:val="single" w:sz="8" w:color="457157"/>
            </w:tcBorders>
          </w:tcPr>
          <w:p>
            <w:pPr>
              <w:spacing w:after="0"/>
              <w:rPr>
                <w:sz w:val="17"/>
                <w:szCs w:val="17"/>
                <w:color w:val="auto"/>
              </w:rPr>
            </w:pPr>
          </w:p>
        </w:tc>
        <w:tc>
          <w:tcPr>
            <w:tcW w:w="220" w:type="dxa"/>
            <w:vAlign w:val="bottom"/>
            <w:tcBorders>
              <w:top w:val="single" w:sz="8" w:color="457157"/>
            </w:tcBorders>
          </w:tcPr>
          <w:p>
            <w:pPr>
              <w:spacing w:after="0"/>
              <w:rPr>
                <w:sz w:val="17"/>
                <w:szCs w:val="17"/>
                <w:color w:val="auto"/>
              </w:rPr>
            </w:pPr>
          </w:p>
        </w:tc>
        <w:tc>
          <w:tcPr>
            <w:tcW w:w="100" w:type="dxa"/>
            <w:vAlign w:val="bottom"/>
            <w:tcBorders>
              <w:top w:val="single" w:sz="8" w:color="457157"/>
            </w:tcBorders>
          </w:tcPr>
          <w:p>
            <w:pPr>
              <w:spacing w:after="0"/>
              <w:rPr>
                <w:sz w:val="17"/>
                <w:szCs w:val="17"/>
                <w:color w:val="auto"/>
              </w:rPr>
            </w:pPr>
          </w:p>
        </w:tc>
        <w:tc>
          <w:tcPr>
            <w:tcW w:w="180" w:type="dxa"/>
            <w:vAlign w:val="bottom"/>
            <w:tcBorders>
              <w:top w:val="single" w:sz="8" w:color="457157"/>
            </w:tcBorders>
          </w:tcPr>
          <w:p>
            <w:pPr>
              <w:spacing w:after="0"/>
              <w:rPr>
                <w:sz w:val="17"/>
                <w:szCs w:val="17"/>
                <w:color w:val="auto"/>
              </w:rPr>
            </w:pPr>
          </w:p>
        </w:tc>
        <w:tc>
          <w:tcPr>
            <w:tcW w:w="100" w:type="dxa"/>
            <w:vAlign w:val="bottom"/>
            <w:tcBorders>
              <w:top w:val="single" w:sz="8" w:color="457157"/>
            </w:tcBorders>
          </w:tcPr>
          <w:p>
            <w:pPr>
              <w:spacing w:after="0"/>
              <w:rPr>
                <w:sz w:val="17"/>
                <w:szCs w:val="17"/>
                <w:color w:val="auto"/>
              </w:rPr>
            </w:pPr>
          </w:p>
        </w:tc>
        <w:tc>
          <w:tcPr>
            <w:tcW w:w="560" w:type="dxa"/>
            <w:vAlign w:val="bottom"/>
            <w:tcBorders>
              <w:top w:val="single" w:sz="8" w:color="457157"/>
            </w:tcBorders>
          </w:tcPr>
          <w:p>
            <w:pPr>
              <w:spacing w:after="0"/>
              <w:rPr>
                <w:sz w:val="17"/>
                <w:szCs w:val="17"/>
                <w:color w:val="auto"/>
              </w:rPr>
            </w:pPr>
          </w:p>
        </w:tc>
        <w:tc>
          <w:tcPr>
            <w:tcW w:w="120" w:type="dxa"/>
            <w:vAlign w:val="bottom"/>
            <w:tcBorders>
              <w:top w:val="single" w:sz="8" w:color="457157"/>
            </w:tcBorders>
          </w:tcPr>
          <w:p>
            <w:pPr>
              <w:spacing w:after="0"/>
              <w:rPr>
                <w:sz w:val="17"/>
                <w:szCs w:val="17"/>
                <w:color w:val="auto"/>
              </w:rPr>
            </w:pPr>
          </w:p>
        </w:tc>
        <w:tc>
          <w:tcPr>
            <w:tcW w:w="200" w:type="dxa"/>
            <w:vAlign w:val="bottom"/>
            <w:tcBorders>
              <w:top w:val="single" w:sz="8" w:color="457157"/>
            </w:tcBorders>
          </w:tcPr>
          <w:p>
            <w:pPr>
              <w:spacing w:after="0"/>
              <w:rPr>
                <w:sz w:val="17"/>
                <w:szCs w:val="17"/>
                <w:color w:val="auto"/>
              </w:rPr>
            </w:pPr>
          </w:p>
        </w:tc>
        <w:tc>
          <w:tcPr>
            <w:tcW w:w="140" w:type="dxa"/>
            <w:vAlign w:val="bottom"/>
            <w:tcBorders>
              <w:top w:val="single" w:sz="8" w:color="457157"/>
            </w:tcBorders>
          </w:tcPr>
          <w:p>
            <w:pPr>
              <w:spacing w:after="0"/>
              <w:rPr>
                <w:sz w:val="17"/>
                <w:szCs w:val="17"/>
                <w:color w:val="auto"/>
              </w:rPr>
            </w:pPr>
          </w:p>
        </w:tc>
        <w:tc>
          <w:tcPr>
            <w:tcW w:w="400" w:type="dxa"/>
            <w:vAlign w:val="bottom"/>
            <w:tcBorders>
              <w:top w:val="single" w:sz="8" w:color="457157"/>
            </w:tcBorders>
          </w:tcPr>
          <w:p>
            <w:pPr>
              <w:spacing w:after="0"/>
              <w:rPr>
                <w:sz w:val="17"/>
                <w:szCs w:val="17"/>
                <w:color w:val="auto"/>
              </w:rPr>
            </w:pPr>
          </w:p>
        </w:tc>
        <w:tc>
          <w:tcPr>
            <w:tcW w:w="280" w:type="dxa"/>
            <w:vAlign w:val="bottom"/>
            <w:tcBorders>
              <w:top w:val="single" w:sz="8" w:color="457157"/>
            </w:tcBorders>
          </w:tcPr>
          <w:p>
            <w:pPr>
              <w:spacing w:after="0"/>
              <w:rPr>
                <w:sz w:val="17"/>
                <w:szCs w:val="17"/>
                <w:color w:val="auto"/>
              </w:rPr>
            </w:pPr>
          </w:p>
        </w:tc>
        <w:tc>
          <w:tcPr>
            <w:tcW w:w="240" w:type="dxa"/>
            <w:vAlign w:val="bottom"/>
            <w:tcBorders>
              <w:top w:val="single" w:sz="8" w:color="457157"/>
            </w:tcBorders>
          </w:tcPr>
          <w:p>
            <w:pPr>
              <w:spacing w:after="0"/>
              <w:rPr>
                <w:sz w:val="17"/>
                <w:szCs w:val="17"/>
                <w:color w:val="auto"/>
              </w:rPr>
            </w:pPr>
          </w:p>
        </w:tc>
        <w:tc>
          <w:tcPr>
            <w:tcW w:w="180" w:type="dxa"/>
            <w:vAlign w:val="bottom"/>
            <w:tcBorders>
              <w:top w:val="single" w:sz="8" w:color="457157"/>
            </w:tcBorders>
          </w:tcPr>
          <w:p>
            <w:pPr>
              <w:spacing w:after="0"/>
              <w:rPr>
                <w:sz w:val="17"/>
                <w:szCs w:val="17"/>
                <w:color w:val="auto"/>
              </w:rPr>
            </w:pPr>
          </w:p>
        </w:tc>
        <w:tc>
          <w:tcPr>
            <w:tcW w:w="40" w:type="dxa"/>
            <w:vAlign w:val="bottom"/>
            <w:tcBorders>
              <w:top w:val="single" w:sz="8" w:color="457157"/>
            </w:tcBorders>
          </w:tcPr>
          <w:p>
            <w:pPr>
              <w:spacing w:after="0"/>
              <w:rPr>
                <w:sz w:val="17"/>
                <w:szCs w:val="17"/>
                <w:color w:val="auto"/>
              </w:rPr>
            </w:pPr>
          </w:p>
        </w:tc>
        <w:tc>
          <w:tcPr>
            <w:tcW w:w="60" w:type="dxa"/>
            <w:vAlign w:val="bottom"/>
            <w:tcBorders>
              <w:top w:val="single" w:sz="8" w:color="457157"/>
            </w:tcBorders>
          </w:tcPr>
          <w:p>
            <w:pPr>
              <w:spacing w:after="0"/>
              <w:rPr>
                <w:sz w:val="17"/>
                <w:szCs w:val="17"/>
                <w:color w:val="auto"/>
              </w:rPr>
            </w:pPr>
          </w:p>
        </w:tc>
        <w:tc>
          <w:tcPr>
            <w:tcW w:w="300" w:type="dxa"/>
            <w:vAlign w:val="bottom"/>
            <w:tcBorders>
              <w:top w:val="single" w:sz="8" w:color="457157"/>
            </w:tcBorders>
          </w:tcPr>
          <w:p>
            <w:pPr>
              <w:spacing w:after="0"/>
              <w:rPr>
                <w:sz w:val="17"/>
                <w:szCs w:val="17"/>
                <w:color w:val="auto"/>
              </w:rPr>
            </w:pPr>
          </w:p>
        </w:tc>
        <w:tc>
          <w:tcPr>
            <w:tcW w:w="120" w:type="dxa"/>
            <w:vAlign w:val="bottom"/>
            <w:tcBorders>
              <w:top w:val="single" w:sz="8" w:color="457157"/>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240"/>
              <w:spacing w:after="0"/>
              <w:rPr>
                <w:sz w:val="20"/>
                <w:szCs w:val="20"/>
                <w:color w:val="auto"/>
              </w:rPr>
            </w:pPr>
            <w:r>
              <w:rPr>
                <w:rFonts w:ascii="Arial" w:cs="Arial" w:eastAsia="Arial" w:hAnsi="Arial"/>
                <w:sz w:val="18"/>
                <w:szCs w:val="18"/>
                <w:color w:val="auto"/>
              </w:rPr>
              <w:t>investments</w:t>
            </w:r>
            <w:r>
              <w:rPr>
                <w:rFonts w:ascii="Arial" w:cs="Arial" w:eastAsia="Arial" w:hAnsi="Arial"/>
                <w:sz w:val="23"/>
                <w:szCs w:val="23"/>
                <w:color w:val="auto"/>
                <w:vertAlign w:val="superscript"/>
              </w:rPr>
              <w:t>(c)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4"/>
                <w:szCs w:val="24"/>
                <w:color w:val="auto"/>
              </w:rPr>
            </w:pPr>
          </w:p>
        </w:tc>
        <w:tc>
          <w:tcPr>
            <w:tcW w:w="5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9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rPr>
              <w:t>​​ ​</w:t>
            </w:r>
          </w:p>
        </w:tc>
        <w:tc>
          <w:tcPr>
            <w:tcW w:w="180" w:type="dxa"/>
            <w:vAlign w:val="bottom"/>
          </w:tcPr>
          <w:p>
            <w:pPr>
              <w:ind w:lef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700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457157"/>
          </w:tcPr>
          <w:p>
            <w:pPr>
              <w:spacing w:after="0" w:line="20" w:lineRule="exact"/>
              <w:rPr>
                <w:sz w:val="1"/>
                <w:szCs w:val="1"/>
                <w:color w:val="auto"/>
              </w:rPr>
            </w:pPr>
          </w:p>
        </w:tc>
        <w:tc>
          <w:tcPr>
            <w:tcW w:w="40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26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280" w:type="dxa"/>
            <w:vAlign w:val="bottom"/>
            <w:gridSpan w:val="2"/>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540" w:type="dxa"/>
            <w:vAlign w:val="bottom"/>
            <w:gridSpan w:val="2"/>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420" w:type="dxa"/>
            <w:vAlign w:val="bottom"/>
            <w:gridSpan w:val="2"/>
            <w:shd w:val="clear" w:color="auto" w:fill="457157"/>
          </w:tcPr>
          <w:p>
            <w:pPr>
              <w:spacing w:after="0" w:line="20" w:lineRule="exact"/>
              <w:rPr>
                <w:sz w:val="1"/>
                <w:szCs w:val="1"/>
                <w:color w:val="auto"/>
              </w:rPr>
            </w:pPr>
          </w:p>
        </w:tc>
        <w:tc>
          <w:tcPr>
            <w:tcW w:w="520" w:type="dxa"/>
            <w:vAlign w:val="bottom"/>
            <w:gridSpan w:val="4"/>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60"/>
              <w:spacing w:after="0"/>
              <w:rPr>
                <w:sz w:val="20"/>
                <w:szCs w:val="20"/>
                <w:color w:val="auto"/>
              </w:rPr>
            </w:pPr>
            <w:r>
              <w:rPr>
                <w:rFonts w:ascii="Arial" w:cs="Arial" w:eastAsia="Arial" w:hAnsi="Arial"/>
                <w:sz w:val="18"/>
                <w:szCs w:val="18"/>
                <w:color w:val="auto"/>
              </w:rPr>
              <w:t>Investment Tax Credits</w:t>
            </w:r>
            <w:r>
              <w:rPr>
                <w:rFonts w:ascii="Arial" w:cs="Arial" w:eastAsia="Arial" w:hAnsi="Arial"/>
                <w:sz w:val="23"/>
                <w:szCs w:val="23"/>
                <w:color w:val="auto"/>
                <w:vertAlign w:val="superscript"/>
              </w:rPr>
              <w:t>(c)</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ind w:lef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(134)</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40"/>
              <w:spacing w:after="0" w:line="264"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220" w:type="dxa"/>
            <w:vAlign w:val="bottom"/>
          </w:tcPr>
          <w:p>
            <w:pPr>
              <w:spacing w:after="0"/>
              <w:rPr>
                <w:sz w:val="22"/>
                <w:szCs w:val="22"/>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5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2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95"/>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420" w:type="dxa"/>
            <w:vAlign w:val="bottom"/>
            <w:gridSpan w:val="2"/>
          </w:tcPr>
          <w:p>
            <w:pPr>
              <w:ind w:left="40"/>
              <w:spacing w:after="0" w:line="264"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perscript"/>
              </w:rPr>
              <w:t>​</w:t>
            </w:r>
          </w:p>
        </w:tc>
        <w:tc>
          <w:tcPr>
            <w:tcW w:w="580" w:type="dxa"/>
            <w:vAlign w:val="bottom"/>
            <w:gridSpan w:val="5"/>
          </w:tcPr>
          <w:p>
            <w:pPr>
              <w:jc w:val="right"/>
              <w:spacing w:after="0" w:line="264" w:lineRule="exact"/>
              <w:rPr>
                <w:sz w:val="20"/>
                <w:szCs w:val="20"/>
                <w:color w:val="auto"/>
              </w:rPr>
            </w:pPr>
            <w:r>
              <w:rPr>
                <w:rFonts w:ascii="Arial" w:cs="Arial" w:eastAsia="Arial" w:hAnsi="Arial"/>
                <w:sz w:val="16"/>
                <w:szCs w:val="16"/>
                <w:color w:val="auto"/>
              </w:rPr>
              <w:t xml:space="preserve">(134) </w:t>
            </w:r>
            <w:r>
              <w:rPr>
                <w:rFonts w:ascii="Arial" w:cs="Arial" w:eastAsia="Arial" w:hAnsi="Arial"/>
                <w:sz w:val="30"/>
                <w:szCs w:val="30"/>
                <w:color w:val="auto"/>
                <w:vertAlign w:val="subscript"/>
              </w:rPr>
              <w:t>​​</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80" w:type="dxa"/>
            <w:vAlign w:val="bottom"/>
            <w:gridSpan w:val="2"/>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1140" w:type="dxa"/>
            <w:vAlign w:val="bottom"/>
            <w:gridSpan w:val="2"/>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760" w:type="dxa"/>
            <w:vAlign w:val="bottom"/>
            <w:gridSpan w:val="5"/>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740" w:type="dxa"/>
            <w:vAlign w:val="bottom"/>
            <w:gridSpan w:val="3"/>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20" w:type="dxa"/>
            <w:vAlign w:val="bottom"/>
            <w:gridSpan w:val="5"/>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Calculated Performance Amounts</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340" w:type="dxa"/>
            <w:vAlign w:val="bottom"/>
            <w:vMerge w:val="restart"/>
          </w:tcPr>
          <w:p>
            <w:pPr>
              <w:ind w:left="2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12"/>
              <w:spacing w:after="0" w:line="196" w:lineRule="exact"/>
              <w:rPr>
                <w:sz w:val="20"/>
                <w:szCs w:val="20"/>
                <w:color w:val="auto"/>
              </w:rPr>
            </w:pPr>
            <w:r>
              <w:rPr>
                <w:rFonts w:ascii="Arial" w:cs="Arial" w:eastAsia="Arial" w:hAnsi="Arial"/>
                <w:sz w:val="18"/>
                <w:szCs w:val="18"/>
                <w:color w:val="auto"/>
              </w:rPr>
              <w:t>$ 14,547</w:t>
            </w: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760" w:type="dxa"/>
            <w:vAlign w:val="bottom"/>
            <w:gridSpan w:val="5"/>
          </w:tcPr>
          <w:p>
            <w:pPr>
              <w:jc w:val="right"/>
              <w:spacing w:after="0" w:line="196" w:lineRule="exact"/>
              <w:rPr>
                <w:sz w:val="20"/>
                <w:szCs w:val="20"/>
                <w:color w:val="auto"/>
              </w:rPr>
            </w:pPr>
            <w:r>
              <w:rPr>
                <w:rFonts w:ascii="Arial" w:cs="Arial" w:eastAsia="Arial" w:hAnsi="Arial"/>
                <w:sz w:val="18"/>
                <w:szCs w:val="18"/>
                <w:color w:val="auto"/>
              </w:rPr>
              <w:t>$ 7,963</w:t>
            </w:r>
          </w:p>
        </w:tc>
        <w:tc>
          <w:tcPr>
            <w:tcW w:w="100" w:type="dxa"/>
            <w:vAlign w:val="bottom"/>
          </w:tcPr>
          <w:p>
            <w:pPr>
              <w:spacing w:after="0"/>
              <w:rPr>
                <w:sz w:val="17"/>
                <w:szCs w:val="17"/>
                <w:color w:val="auto"/>
              </w:rPr>
            </w:pPr>
          </w:p>
        </w:tc>
        <w:tc>
          <w:tcPr>
            <w:tcW w:w="560" w:type="dxa"/>
            <w:vAlign w:val="bottom"/>
            <w:vMerge w:val="restart"/>
          </w:tcPr>
          <w:p>
            <w:pPr>
              <w:jc w:val="right"/>
              <w:ind w:right="390"/>
              <w:spacing w:after="0"/>
              <w:rPr>
                <w:sz w:val="20"/>
                <w:szCs w:val="20"/>
                <w:color w:val="auto"/>
              </w:rPr>
            </w:pPr>
            <w:r>
              <w:rPr>
                <w:rFonts w:ascii="Arial" w:cs="Arial" w:eastAsia="Arial" w:hAnsi="Arial"/>
                <w:sz w:val="18"/>
                <w:szCs w:val="18"/>
                <w:color w:val="auto"/>
              </w:rPr>
              <w:t>​​</w:t>
            </w:r>
          </w:p>
        </w:tc>
        <w:tc>
          <w:tcPr>
            <w:tcW w:w="120" w:type="dxa"/>
            <w:vAlign w:val="bottom"/>
            <w:vMerge w:val="restart"/>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95"/>
              <w:spacing w:after="0" w:line="196" w:lineRule="exact"/>
              <w:rPr>
                <w:sz w:val="20"/>
                <w:szCs w:val="20"/>
                <w:color w:val="auto"/>
              </w:rPr>
            </w:pPr>
            <w:r>
              <w:rPr>
                <w:rFonts w:ascii="Arial" w:cs="Arial" w:eastAsia="Arial" w:hAnsi="Arial"/>
                <w:sz w:val="18"/>
                <w:szCs w:val="18"/>
                <w:color w:val="auto"/>
                <w:w w:val="97"/>
              </w:rPr>
              <w:t>$ 263</w:t>
            </w:r>
          </w:p>
        </w:tc>
        <w:tc>
          <w:tcPr>
            <w:tcW w:w="280" w:type="dxa"/>
            <w:vAlign w:val="bottom"/>
          </w:tcPr>
          <w:p>
            <w:pPr>
              <w:spacing w:after="0"/>
              <w:rPr>
                <w:sz w:val="17"/>
                <w:szCs w:val="17"/>
                <w:color w:val="auto"/>
              </w:rPr>
            </w:pPr>
          </w:p>
        </w:tc>
        <w:tc>
          <w:tcPr>
            <w:tcW w:w="820" w:type="dxa"/>
            <w:vAlign w:val="bottom"/>
            <w:gridSpan w:val="5"/>
          </w:tcPr>
          <w:p>
            <w:pPr>
              <w:jc w:val="right"/>
              <w:spacing w:after="0" w:line="196" w:lineRule="exact"/>
              <w:rPr>
                <w:sz w:val="20"/>
                <w:szCs w:val="20"/>
                <w:color w:val="auto"/>
              </w:rPr>
            </w:pPr>
            <w:r>
              <w:rPr>
                <w:rFonts w:ascii="Arial" w:cs="Arial" w:eastAsia="Arial" w:hAnsi="Arial"/>
                <w:sz w:val="18"/>
                <w:szCs w:val="18"/>
                <w:color w:val="auto"/>
              </w:rPr>
              <w:t>$ 6,847</w:t>
            </w: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line="68" w:lineRule="exact"/>
              <w:rPr>
                <w:sz w:val="20"/>
                <w:szCs w:val="20"/>
                <w:color w:val="auto"/>
              </w:rPr>
            </w:pPr>
            <w:r>
              <w:rPr>
                <w:rFonts w:ascii="Arial" w:cs="Arial" w:eastAsia="Arial" w:hAnsi="Arial"/>
                <w:sz w:val="7"/>
                <w:szCs w:val="7"/>
                <w:color w:val="auto"/>
              </w:rPr>
              <w:t>​</w:t>
            </w:r>
          </w:p>
        </w:tc>
        <w:tc>
          <w:tcPr>
            <w:tcW w:w="406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3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20" w:type="dxa"/>
            <w:vAlign w:val="bottom"/>
          </w:tcPr>
          <w:p>
            <w:pPr>
              <w:ind w:left="40"/>
              <w:spacing w:after="0" w:line="68" w:lineRule="exact"/>
              <w:rPr>
                <w:sz w:val="20"/>
                <w:szCs w:val="20"/>
                <w:color w:val="auto"/>
              </w:rPr>
            </w:pPr>
            <w:r>
              <w:rPr>
                <w:rFonts w:ascii="Arial" w:cs="Arial" w:eastAsia="Arial" w:hAnsi="Arial"/>
                <w:sz w:val="7"/>
                <w:szCs w:val="7"/>
                <w:color w:val="auto"/>
              </w:rPr>
              <w:t>​</w:t>
            </w: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ind w:left="40"/>
              <w:spacing w:after="0" w:line="68" w:lineRule="exact"/>
              <w:rPr>
                <w:sz w:val="20"/>
                <w:szCs w:val="20"/>
                <w:color w:val="auto"/>
              </w:rPr>
            </w:pPr>
            <w:r>
              <w:rPr>
                <w:rFonts w:ascii="Arial" w:cs="Arial" w:eastAsia="Arial" w:hAnsi="Arial"/>
                <w:sz w:val="7"/>
                <w:szCs w:val="7"/>
                <w:color w:val="auto"/>
              </w:rPr>
              <w:t>​​ ​</w:t>
            </w: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457157"/>
          </w:tcPr>
          <w:p>
            <w:pPr>
              <w:spacing w:after="0" w:line="20" w:lineRule="exact"/>
              <w:rPr>
                <w:sz w:val="1"/>
                <w:szCs w:val="1"/>
                <w:color w:val="auto"/>
              </w:rPr>
            </w:pPr>
          </w:p>
        </w:tc>
        <w:tc>
          <w:tcPr>
            <w:tcW w:w="4060" w:type="dxa"/>
            <w:vAlign w:val="bottom"/>
            <w:shd w:val="clear" w:color="auto" w:fill="457157"/>
          </w:tcPr>
          <w:p>
            <w:pPr>
              <w:spacing w:after="0" w:line="20" w:lineRule="exact"/>
              <w:rPr>
                <w:sz w:val="1"/>
                <w:szCs w:val="1"/>
                <w:color w:val="auto"/>
              </w:rPr>
            </w:pPr>
          </w:p>
        </w:tc>
        <w:tc>
          <w:tcPr>
            <w:tcW w:w="160" w:type="dxa"/>
            <w:vAlign w:val="bottom"/>
            <w:shd w:val="clear" w:color="auto" w:fill="457157"/>
          </w:tcPr>
          <w:p>
            <w:pPr>
              <w:spacing w:after="0" w:line="20" w:lineRule="exact"/>
              <w:rPr>
                <w:sz w:val="1"/>
                <w:szCs w:val="1"/>
                <w:color w:val="auto"/>
              </w:rPr>
            </w:pPr>
          </w:p>
        </w:tc>
        <w:tc>
          <w:tcPr>
            <w:tcW w:w="34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86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22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100" w:type="dxa"/>
            <w:vAlign w:val="bottom"/>
            <w:shd w:val="clear" w:color="auto" w:fill="457157"/>
          </w:tcPr>
          <w:p>
            <w:pPr>
              <w:spacing w:after="0" w:line="20" w:lineRule="exact"/>
              <w:rPr>
                <w:sz w:val="1"/>
                <w:szCs w:val="1"/>
                <w:color w:val="auto"/>
              </w:rPr>
            </w:pPr>
          </w:p>
        </w:tc>
        <w:tc>
          <w:tcPr>
            <w:tcW w:w="56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200" w:type="dxa"/>
            <w:vAlign w:val="bottom"/>
            <w:shd w:val="clear" w:color="auto" w:fill="457157"/>
          </w:tcPr>
          <w:p>
            <w:pPr>
              <w:spacing w:after="0" w:line="20" w:lineRule="exact"/>
              <w:rPr>
                <w:sz w:val="1"/>
                <w:szCs w:val="1"/>
                <w:color w:val="auto"/>
              </w:rPr>
            </w:pPr>
          </w:p>
        </w:tc>
        <w:tc>
          <w:tcPr>
            <w:tcW w:w="140" w:type="dxa"/>
            <w:vAlign w:val="bottom"/>
            <w:shd w:val="clear" w:color="auto" w:fill="457157"/>
          </w:tcPr>
          <w:p>
            <w:pPr>
              <w:spacing w:after="0" w:line="20" w:lineRule="exact"/>
              <w:rPr>
                <w:sz w:val="1"/>
                <w:szCs w:val="1"/>
                <w:color w:val="auto"/>
              </w:rPr>
            </w:pPr>
          </w:p>
        </w:tc>
        <w:tc>
          <w:tcPr>
            <w:tcW w:w="400" w:type="dxa"/>
            <w:vAlign w:val="bottom"/>
            <w:shd w:val="clear" w:color="auto" w:fill="457157"/>
          </w:tcPr>
          <w:p>
            <w:pPr>
              <w:spacing w:after="0" w:line="20" w:lineRule="exact"/>
              <w:rPr>
                <w:sz w:val="1"/>
                <w:szCs w:val="1"/>
                <w:color w:val="auto"/>
              </w:rPr>
            </w:pPr>
          </w:p>
        </w:tc>
        <w:tc>
          <w:tcPr>
            <w:tcW w:w="280" w:type="dxa"/>
            <w:vAlign w:val="bottom"/>
            <w:shd w:val="clear" w:color="auto" w:fill="457157"/>
          </w:tcPr>
          <w:p>
            <w:pPr>
              <w:spacing w:after="0" w:line="20" w:lineRule="exact"/>
              <w:rPr>
                <w:sz w:val="1"/>
                <w:szCs w:val="1"/>
                <w:color w:val="auto"/>
              </w:rPr>
            </w:pPr>
          </w:p>
        </w:tc>
        <w:tc>
          <w:tcPr>
            <w:tcW w:w="240" w:type="dxa"/>
            <w:vAlign w:val="bottom"/>
            <w:shd w:val="clear" w:color="auto" w:fill="457157"/>
          </w:tcPr>
          <w:p>
            <w:pPr>
              <w:spacing w:after="0" w:line="20" w:lineRule="exact"/>
              <w:rPr>
                <w:sz w:val="1"/>
                <w:szCs w:val="1"/>
                <w:color w:val="auto"/>
              </w:rPr>
            </w:pPr>
          </w:p>
        </w:tc>
        <w:tc>
          <w:tcPr>
            <w:tcW w:w="180" w:type="dxa"/>
            <w:vAlign w:val="bottom"/>
            <w:shd w:val="clear" w:color="auto" w:fill="457157"/>
          </w:tcPr>
          <w:p>
            <w:pPr>
              <w:spacing w:after="0" w:line="20" w:lineRule="exact"/>
              <w:rPr>
                <w:sz w:val="1"/>
                <w:szCs w:val="1"/>
                <w:color w:val="auto"/>
              </w:rPr>
            </w:pPr>
          </w:p>
        </w:tc>
        <w:tc>
          <w:tcPr>
            <w:tcW w:w="40" w:type="dxa"/>
            <w:vAlign w:val="bottom"/>
            <w:shd w:val="clear" w:color="auto" w:fill="457157"/>
          </w:tcPr>
          <w:p>
            <w:pPr>
              <w:spacing w:after="0" w:line="20" w:lineRule="exact"/>
              <w:rPr>
                <w:sz w:val="1"/>
                <w:szCs w:val="1"/>
                <w:color w:val="auto"/>
              </w:rPr>
            </w:pPr>
          </w:p>
        </w:tc>
        <w:tc>
          <w:tcPr>
            <w:tcW w:w="60" w:type="dxa"/>
            <w:vAlign w:val="bottom"/>
            <w:shd w:val="clear" w:color="auto" w:fill="457157"/>
          </w:tcPr>
          <w:p>
            <w:pPr>
              <w:spacing w:after="0" w:line="20" w:lineRule="exact"/>
              <w:rPr>
                <w:sz w:val="1"/>
                <w:szCs w:val="1"/>
                <w:color w:val="auto"/>
              </w:rPr>
            </w:pPr>
          </w:p>
        </w:tc>
        <w:tc>
          <w:tcPr>
            <w:tcW w:w="300" w:type="dxa"/>
            <w:vAlign w:val="bottom"/>
            <w:shd w:val="clear" w:color="auto" w:fill="457157"/>
          </w:tcPr>
          <w:p>
            <w:pPr>
              <w:spacing w:after="0" w:line="20" w:lineRule="exact"/>
              <w:rPr>
                <w:sz w:val="1"/>
                <w:szCs w:val="1"/>
                <w:color w:val="auto"/>
              </w:rPr>
            </w:pPr>
          </w:p>
        </w:tc>
        <w:tc>
          <w:tcPr>
            <w:tcW w:w="120" w:type="dxa"/>
            <w:vAlign w:val="bottom"/>
            <w:shd w:val="clear" w:color="auto" w:fill="45715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516890</wp:posOffset>
            </wp:positionH>
            <wp:positionV relativeFrom="paragraph">
              <wp:posOffset>-5905500</wp:posOffset>
            </wp:positionV>
            <wp:extent cx="6155055" cy="17970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155055"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-5545455</wp:posOffset>
            </wp:positionV>
            <wp:extent cx="6155055" cy="3175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155055" cy="31750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-5048250</wp:posOffset>
            </wp:positionV>
            <wp:extent cx="6155055" cy="17970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155055"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-2322195</wp:posOffset>
            </wp:positionV>
            <wp:extent cx="6060440" cy="17970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060440" cy="17970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-1962150</wp:posOffset>
            </wp:positionV>
            <wp:extent cx="6060440" cy="3175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060440" cy="317500"/>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-1464945</wp:posOffset>
            </wp:positionV>
            <wp:extent cx="6060440" cy="45402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060440" cy="45402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-693420</wp:posOffset>
            </wp:positionV>
            <wp:extent cx="6060440" cy="3257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060440" cy="325755"/>
                    </a:xfrm>
                    <a:prstGeom prst="rect">
                      <a:avLst/>
                    </a:prstGeom>
                    <a:noFill/>
                  </pic:spPr>
                </pic:pic>
              </a:graphicData>
            </a:graphic>
          </wp:anchor>
        </w:drawing>
        <w:drawing>
          <wp:anchor simplePos="0" relativeHeight="251657728" behindDoc="1" locked="0" layoutInCell="0" allowOverlap="1">
            <wp:simplePos x="0" y="0"/>
            <wp:positionH relativeFrom="column">
              <wp:posOffset>516890</wp:posOffset>
            </wp:positionH>
            <wp:positionV relativeFrom="paragraph">
              <wp:posOffset>-187960</wp:posOffset>
            </wp:positionV>
            <wp:extent cx="6060440" cy="17970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06044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180" w:right="680" w:hanging="364"/>
        <w:spacing w:after="0" w:line="287"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Sustainability growth investments and benefits of investment tax credits that were not contemplated at the time this performance measure was established.</w:t>
      </w:r>
    </w:p>
    <w:p>
      <w:pPr>
        <w:spacing w:after="0" w:line="277" w:lineRule="exact"/>
        <w:rPr>
          <w:sz w:val="20"/>
          <w:szCs w:val="20"/>
          <w:color w:val="auto"/>
        </w:rPr>
      </w:pPr>
    </w:p>
    <w:p>
      <w:pPr>
        <w:ind w:left="820"/>
        <w:spacing w:after="0"/>
        <w:tabs>
          <w:tab w:leader="none" w:pos="128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32"/>
          <w:szCs w:val="32"/>
          <w:b w:val="1"/>
          <w:bCs w:val="1"/>
          <w:color w:val="457157"/>
        </w:rPr>
        <w:t xml:space="preserve">| </w:t>
      </w:r>
      <w:r>
        <w:rPr>
          <w:sz w:val="1"/>
          <w:szCs w:val="1"/>
          <w:color w:val="auto"/>
        </w:rPr>
        <w:drawing>
          <wp:inline distT="0" distB="0" distL="0" distR="0">
            <wp:extent cx="471170" cy="128270"/>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71170" cy="128270"/>
                    </a:xfrm>
                    <a:prstGeom prst="rect">
                      <a:avLst/>
                    </a:prstGeom>
                    <a:noFill/>
                    <a:ln>
                      <a:noFill/>
                    </a:ln>
                  </pic:spPr>
                </pic:pic>
              </a:graphicData>
            </a:graphic>
          </wp:inline>
        </w:drawing>
      </w:r>
      <w:r>
        <w:rPr>
          <w:rFonts w:ascii="Arial" w:cs="Arial" w:eastAsia="Arial" w:hAnsi="Arial"/>
          <w:sz w:val="18"/>
          <w:szCs w:val="18"/>
          <w:color w:val="auto"/>
        </w:rPr>
        <w:t xml:space="preserve">  2025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450215</wp:posOffset>
            </wp:positionV>
            <wp:extent cx="68319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560"/>
          </w:cols>
          <w:pgMar w:left="580" w:top="97" w:right="759"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-81280</wp:posOffset>
            </wp:positionV>
            <wp:extent cx="7016115" cy="92284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016115" cy="92284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-81280</wp:posOffset>
            </wp:positionV>
            <wp:extent cx="7016115" cy="92284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016115" cy="922845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lvl w:ilvl="1">
      <w:lvlJc w:val="left"/>
      <w:lvlText w:val="&amp;"/>
      <w:numFmt w:val="bullet"/>
      <w:start w:val="1"/>
    </w:lvl>
  </w:abstractNum>
  <w:abstractNum w:abstractNumId="9">
    <w:nsid w:val="419AC241"/>
    <w:multiLevelType w:val="hybridMultilevel"/>
    <w:lvl w:ilvl="0">
      <w:lvlJc w:val="left"/>
      <w:lvlText w:val="&amp;"/>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1)"/>
      <w:numFmt w:val="lowerLetter"/>
      <w:start w:val="4"/>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1)"/>
      <w:numFmt w:val="decimal"/>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Q"/>
      <w:numFmt w:val="bullet"/>
      <w:start w:val="1"/>
    </w:lvl>
  </w:abstractNum>
  <w:abstractNum w:abstractNumId="18">
    <w:nsid w:val="5E884ADC"/>
    <w:multiLevelType w:val="hybridMultilevel"/>
    <w:lvl w:ilvl="0">
      <w:lvlJc w:val="left"/>
      <w:lvlText w:val="&amp;"/>
      <w:numFmt w:val="bullet"/>
      <w:start w:val="1"/>
    </w:lvl>
  </w:abstractNum>
  <w:abstractNum w:abstractNumId="19">
    <w:nsid w:val="51EAD36B"/>
    <w:multiLevelType w:val="hybridMultilevel"/>
    <w:lvl w:ilvl="0">
      <w:lvlJc w:val="left"/>
      <w:lvlText w:val="Q"/>
      <w:numFmt w:val="bullet"/>
      <w:start w:val="1"/>
    </w:lvl>
  </w:abstractNum>
  <w:abstractNum w:abstractNumId="20">
    <w:nsid w:val="2D517796"/>
    <w:multiLevelType w:val="hybridMultilevel"/>
    <w:lvl w:ilvl="0">
      <w:lvlJc w:val="left"/>
      <w:lvlText w:val="Q"/>
      <w:numFmt w:val="bullet"/>
      <w:start w:val="1"/>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1)"/>
      <w:numFmt w:val="decimal"/>
      <w:start w:val="6"/>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1)"/>
      <w:numFmt w:val="lowerLetter"/>
      <w:start w:val="3"/>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1)"/>
      <w:numFmt w:val="decimal"/>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1)"/>
      <w:numFmt w:val="lowerLetter"/>
      <w:start w:val="1"/>
    </w:lvl>
  </w:abstractNum>
  <w:abstractNum w:abstractNumId="39">
    <w:nsid w:val="579478FE"/>
    <w:multiLevelType w:val="hybridMultilevel"/>
    <w:lvl w:ilvl="0">
      <w:lvlJc w:val="left"/>
      <w:lvlText w:val="(%1)"/>
      <w:numFmt w:val="decimal"/>
      <w:start w:val="1"/>
    </w:lvl>
  </w:abstractNum>
  <w:abstractNum w:abstractNumId="40">
    <w:nsid w:val="749ABB43"/>
    <w:multiLevelType w:val="hybridMultilevel"/>
    <w:lvl w:ilvl="0">
      <w:lvlJc w:val="left"/>
      <w:lvlText w:val="(%1)"/>
      <w:numFmt w:val="decimal"/>
      <w:start w:val="2"/>
    </w:lvl>
  </w:abstractNum>
  <w:abstractNum w:abstractNumId="41">
    <w:nsid w:val="3DC240FB"/>
    <w:multiLevelType w:val="hybridMultilevel"/>
    <w:lvl w:ilvl="0">
      <w:lvlJc w:val="left"/>
      <w:lvlText w:val="%1"/>
      <w:numFmt w:val="decimal"/>
      <w:start w:val="1"/>
    </w:lvl>
    <w:lvl w:ilvl="1">
      <w:lvlJc w:val="left"/>
      <w:lvlText w:val="(%2)"/>
      <w:numFmt w:val="lowerLetter"/>
      <w:start w:val="1"/>
    </w:lvl>
  </w:abstractNum>
  <w:abstractNum w:abstractNumId="42">
    <w:nsid w:val="1BA026FA"/>
    <w:multiLevelType w:val="hybridMultilevel"/>
    <w:lvl w:ilvl="0">
      <w:lvlJc w:val="left"/>
      <w:lvlText w:val="(%1)"/>
      <w:numFmt w:val="decimal"/>
      <w:start w:val="5"/>
    </w:lvl>
    <w:lvl w:ilvl="1">
      <w:lvlJc w:val="left"/>
      <w:lvlText w:val="%2"/>
      <w:numFmt w:val="lowerLetter"/>
      <w:start w:val="1"/>
    </w:lvl>
  </w:abstractNum>
  <w:abstractNum w:abstractNumId="43">
    <w:nsid w:val="79A1DEAA"/>
    <w:multiLevelType w:val="hybridMultilevel"/>
    <w:lvl w:ilvl="0">
      <w:lvlJc w:val="left"/>
      <w:lvlText w:val="(%1)"/>
      <w:numFmt w:val="decimal"/>
      <w:start w:val="1"/>
    </w:lvl>
  </w:abstractNum>
  <w:abstractNum w:abstractNumId="44">
    <w:nsid w:val="75C6C33A"/>
    <w:multiLevelType w:val="hybridMultilevel"/>
    <w:lvl w:ilvl="0">
      <w:lvlJc w:val="left"/>
      <w:lvlText w:val="(%1)"/>
      <w:numFmt w:val="decimal"/>
      <w:start w:val="1"/>
    </w:lvl>
  </w:abstractNum>
  <w:abstractNum w:abstractNumId="45">
    <w:nsid w:val="12E685FB"/>
    <w:multiLevelType w:val="hybridMultilevel"/>
    <w:lvl w:ilvl="0">
      <w:lvlJc w:val="left"/>
      <w:lvlText w:val="(%1)"/>
      <w:numFmt w:val="decimal"/>
      <w:start w:val="5"/>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decimal"/>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1)"/>
      <w:numFmt w:val="decimal"/>
      <w:start w:val="1"/>
    </w:lvl>
  </w:abstractNum>
  <w:abstractNum w:abstractNumId="51">
    <w:nsid w:val="649BB77C"/>
    <w:multiLevelType w:val="hybridMultilevel"/>
    <w:lvl w:ilvl="0">
      <w:lvlJc w:val="left"/>
      <w:lvlText w:val="(%1)"/>
      <w:numFmt w:val="decimal"/>
      <w:start w:val="1"/>
    </w:lvl>
  </w:abstractNum>
  <w:abstractNum w:abstractNumId="52">
    <w:nsid w:val="275AC794"/>
    <w:multiLevelType w:val="hybridMultilevel"/>
    <w:lvl w:ilvl="0">
      <w:lvlJc w:val="left"/>
      <w:lvlText w:val="(%1)"/>
      <w:numFmt w:val="decimal"/>
      <w:start w:val="1"/>
    </w:lvl>
  </w:abstractNum>
  <w:abstractNum w:abstractNumId="53">
    <w:nsid w:val="39386575"/>
    <w:multiLevelType w:val="hybridMultilevel"/>
    <w:lvl w:ilvl="0">
      <w:lvlJc w:val="left"/>
      <w:lvlText w:val="(%1)"/>
      <w:numFmt w:val="lowerLetter"/>
      <w:start w:val="1"/>
    </w:lvl>
  </w:abstractNum>
  <w:abstractNum w:abstractNumId="54">
    <w:nsid w:val="1CF10FD8"/>
    <w:multiLevelType w:val="hybridMultilevel"/>
    <w:lvl w:ilvl="0">
      <w:lvlJc w:val="left"/>
      <w:lvlText w:val="%1"/>
      <w:numFmt w:val="decimal"/>
      <w:start w:val="1"/>
    </w:lvl>
    <w:lvl w:ilvl="1">
      <w:lvlJc w:val="left"/>
      <w:lvlText w:val="(%2)"/>
      <w:numFmt w:val="lowerLetter"/>
      <w:start w:val="2"/>
    </w:lvl>
  </w:abstractNum>
  <w:abstractNum w:abstractNumId="55">
    <w:nsid w:val="180115BE"/>
    <w:multiLevelType w:val="hybridMultilevel"/>
    <w:lvl w:ilvl="0">
      <w:lvlJc w:val="left"/>
      <w:lvlText w:val="(%1)"/>
      <w:numFmt w:val="decimal"/>
      <w:start w:val="3"/>
    </w:lvl>
    <w:lvl w:ilvl="1">
      <w:lvlJc w:val="left"/>
      <w:lvlText w:val="%2"/>
      <w:numFmt w:val="lowerLetter"/>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1)"/>
      <w:numFmt w:val="lowerLetter"/>
      <w:start w:val="1"/>
    </w:lvl>
  </w:abstractNum>
  <w:abstractNum w:abstractNumId="58">
    <w:nsid w:val="354FE9F9"/>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jpeg"/><Relationship Id="rId360" Type="http://schemas.openxmlformats.org/officeDocument/2006/relationships/image" Target="media/image353.jpe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2025-04-01T08:57:23Z</dcterms:created>
  <dcterms:modified xsi:type="dcterms:W3CDTF">2025-04-01T08:57:23Z</dcterms:modified>
</cp:coreProperties>
</file>