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21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1779"/>
        <w:spacing w:after="0"/>
        <w:rPr>
          <w:sz w:val="20"/>
          <w:szCs w:val="20"/>
          <w:color w:val="auto"/>
        </w:rPr>
      </w:pPr>
      <w:r>
        <w:rPr>
          <w:rFonts w:ascii="Courier New" w:cs="Courier New" w:eastAsia="Courier New" w:hAnsi="Courier New"/>
          <w:sz w:val="18"/>
          <w:szCs w:val="18"/>
          <w:color w:val="auto"/>
        </w:rPr>
        <w:t>CUSIP Number 94106L109</w:t>
      </w:r>
    </w:p>
    <w:p>
      <w:pPr>
        <w:spacing w:after="0" w:line="200"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2005</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 X</w:t>
        <w:tab/>
        <w:t>]</w:t>
      </w:r>
      <w:r>
        <w:rPr>
          <w:sz w:val="20"/>
          <w:szCs w:val="20"/>
          <w:color w:val="auto"/>
        </w:rPr>
        <w:tab/>
      </w:r>
      <w:r>
        <w:rPr>
          <w:rFonts w:ascii="Courier New" w:cs="Courier New" w:eastAsia="Courier New" w:hAnsi="Courier New"/>
          <w:sz w:val="16"/>
          <w:szCs w:val="16"/>
          <w:color w:val="auto"/>
        </w:rPr>
        <w:t>Rule 13d-1(b)</w:t>
      </w:r>
    </w:p>
    <w:p>
      <w:pPr>
        <w:ind w:left="1580" w:hanging="624"/>
        <w:spacing w:after="0" w:line="238" w:lineRule="auto"/>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1580" w:hanging="624"/>
        <w:spacing w:after="0" w:line="238" w:lineRule="auto"/>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 - - - - - - - - - - - - - - - - - - - - - - - - - -</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94106L109</w:t>
      </w:r>
    </w:p>
    <w:p>
      <w:pPr>
        <w:spacing w:after="0" w:line="201" w:lineRule="exact"/>
        <w:rPr>
          <w:sz w:val="24"/>
          <w:szCs w:val="24"/>
          <w:color w:val="auto"/>
        </w:rPr>
      </w:pPr>
    </w:p>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900"/>
        <w:spacing w:after="0" w:line="238" w:lineRule="auto"/>
        <w:rPr>
          <w:sz w:val="20"/>
          <w:szCs w:val="20"/>
          <w:color w:val="auto"/>
        </w:rPr>
      </w:pPr>
      <w:r>
        <w:rPr>
          <w:rFonts w:ascii="Courier New" w:cs="Courier New" w:eastAsia="Courier New" w:hAnsi="Courier New"/>
          <w:sz w:val="18"/>
          <w:szCs w:val="18"/>
          <w:color w:val="auto"/>
        </w:rPr>
        <w:t>Legg Mason Capital Management, Inc.</w:t>
      </w:r>
    </w:p>
    <w:p>
      <w:pPr>
        <w:ind w:left="1480"/>
        <w:spacing w:after="0"/>
        <w:rPr>
          <w:sz w:val="20"/>
          <w:szCs w:val="20"/>
          <w:color w:val="auto"/>
        </w:rPr>
      </w:pPr>
      <w:r>
        <w:rPr>
          <w:rFonts w:ascii="Courier New" w:cs="Courier New" w:eastAsia="Courier New" w:hAnsi="Courier New"/>
          <w:sz w:val="18"/>
          <w:szCs w:val="18"/>
          <w:color w:val="auto"/>
        </w:rPr>
        <w:t>Tax Identification No.:</w:t>
      </w:r>
    </w:p>
    <w:p>
      <w:pPr>
        <w:ind w:left="2000"/>
        <w:spacing w:after="0" w:line="237" w:lineRule="auto"/>
        <w:rPr>
          <w:sz w:val="20"/>
          <w:szCs w:val="20"/>
          <w:color w:val="auto"/>
        </w:rPr>
      </w:pPr>
      <w:r>
        <w:rPr>
          <w:rFonts w:ascii="Courier New" w:cs="Courier New" w:eastAsia="Courier New" w:hAnsi="Courier New"/>
          <w:sz w:val="18"/>
          <w:szCs w:val="18"/>
          <w:color w:val="auto"/>
        </w:rPr>
        <w:t>52-1268629</w:t>
      </w:r>
    </w:p>
    <w:p>
      <w:pPr>
        <w:spacing w:after="0" w:line="202" w:lineRule="exact"/>
        <w:rPr>
          <w:sz w:val="24"/>
          <w:szCs w:val="24"/>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736"/>
        <w:spacing w:after="0" w:line="238" w:lineRule="auto"/>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640" w:hanging="736"/>
        <w:spacing w:after="0" w:line="238" w:lineRule="auto"/>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90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960" w:type="dxa"/>
        <w:tblCellMar>
          <w:top w:w="0" w:type="dxa"/>
          <w:left w:w="0" w:type="dxa"/>
          <w:bottom w:w="0" w:type="dxa"/>
          <w:right w:w="0" w:type="dxa"/>
        </w:tblCellMar>
      </w:tblP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5)</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21,470,478</w:t>
            </w:r>
          </w:p>
        </w:tc>
      </w:tr>
    </w:tbl>
    <w:p>
      <w:pPr>
        <w:ind w:left="1700" w:hanging="744"/>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- 0 -</w:t>
      </w:r>
    </w:p>
    <w:p>
      <w:pPr>
        <w:ind w:left="1700" w:hanging="744"/>
        <w:spacing w:after="0" w:line="238"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21,470,478</w:t>
      </w:r>
    </w:p>
    <w:p>
      <w:pPr>
        <w:spacing w:after="0" w:line="207" w:lineRule="exact"/>
        <w:rPr>
          <w:rFonts w:ascii="Courier New" w:cs="Courier New" w:eastAsia="Courier New" w:hAnsi="Courier New"/>
          <w:sz w:val="18"/>
          <w:szCs w:val="18"/>
          <w:color w:val="auto"/>
        </w:rPr>
      </w:pPr>
    </w:p>
    <w:p>
      <w:pPr>
        <w:ind w:left="1900" w:right="2099" w:hanging="944"/>
        <w:spacing w:after="0" w:line="235" w:lineRule="auto"/>
        <w:tabs>
          <w:tab w:leader="none" w:pos="168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21,470,478</w:t>
      </w:r>
    </w:p>
    <w:p>
      <w:pPr>
        <w:spacing w:after="0" w:line="208" w:lineRule="exact"/>
        <w:rPr>
          <w:rFonts w:ascii="Courier New" w:cs="Courier New" w:eastAsia="Courier New" w:hAnsi="Courier New"/>
          <w:sz w:val="18"/>
          <w:szCs w:val="18"/>
          <w:color w:val="auto"/>
        </w:rPr>
      </w:pPr>
    </w:p>
    <w:p>
      <w:pPr>
        <w:ind w:left="1900" w:right="1779" w:hanging="944"/>
        <w:spacing w:after="0" w:line="235" w:lineRule="auto"/>
        <w:tabs>
          <w:tab w:leader="none" w:pos="168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2"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900"/>
        <w:spacing w:after="0" w:line="238" w:lineRule="auto"/>
        <w:rPr>
          <w:sz w:val="20"/>
          <w:szCs w:val="20"/>
          <w:color w:val="auto"/>
        </w:rPr>
      </w:pPr>
      <w:r>
        <w:rPr>
          <w:rFonts w:ascii="Courier New" w:cs="Courier New" w:eastAsia="Courier New" w:hAnsi="Courier New"/>
          <w:sz w:val="18"/>
          <w:szCs w:val="18"/>
          <w:color w:val="auto"/>
        </w:rPr>
        <w:t>3.89%</w:t>
      </w:r>
    </w:p>
    <w:p>
      <w:pPr>
        <w:spacing w:after="0" w:line="207" w:lineRule="exact"/>
        <w:rPr>
          <w:sz w:val="24"/>
          <w:szCs w:val="24"/>
          <w:color w:val="auto"/>
        </w:rPr>
      </w:pPr>
    </w:p>
    <w:p>
      <w:pPr>
        <w:ind w:left="1900" w:right="5899" w:hanging="944"/>
        <w:spacing w:after="0" w:line="235" w:lineRule="auto"/>
        <w:tabs>
          <w:tab w:leader="none" w:pos="168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94106L109</w:t>
      </w:r>
    </w:p>
    <w:p>
      <w:pPr>
        <w:spacing w:after="0" w:line="201" w:lineRule="exact"/>
        <w:rPr>
          <w:sz w:val="24"/>
          <w:szCs w:val="24"/>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900"/>
        <w:spacing w:after="0" w:line="238" w:lineRule="auto"/>
        <w:rPr>
          <w:sz w:val="20"/>
          <w:szCs w:val="20"/>
          <w:color w:val="auto"/>
        </w:rPr>
      </w:pPr>
      <w:r>
        <w:rPr>
          <w:rFonts w:ascii="Courier New" w:cs="Courier New" w:eastAsia="Courier New" w:hAnsi="Courier New"/>
          <w:sz w:val="18"/>
          <w:szCs w:val="18"/>
          <w:color w:val="auto"/>
        </w:rPr>
        <w:t>Legg Mason Funds Management, Inc.</w:t>
      </w:r>
    </w:p>
    <w:p>
      <w:pPr>
        <w:ind w:left="1580"/>
        <w:spacing w:after="0"/>
        <w:rPr>
          <w:sz w:val="20"/>
          <w:szCs w:val="20"/>
          <w:color w:val="auto"/>
        </w:rPr>
      </w:pPr>
      <w:r>
        <w:rPr>
          <w:rFonts w:ascii="Courier New" w:cs="Courier New" w:eastAsia="Courier New" w:hAnsi="Courier New"/>
          <w:sz w:val="18"/>
          <w:szCs w:val="18"/>
          <w:color w:val="auto"/>
        </w:rPr>
        <w:t>Tax Identification No.:</w:t>
      </w:r>
    </w:p>
    <w:p>
      <w:pPr>
        <w:ind w:left="1900"/>
        <w:spacing w:after="0" w:line="237" w:lineRule="auto"/>
        <w:rPr>
          <w:sz w:val="20"/>
          <w:szCs w:val="20"/>
          <w:color w:val="auto"/>
        </w:rPr>
      </w:pPr>
      <w:r>
        <w:rPr>
          <w:rFonts w:ascii="Courier New" w:cs="Courier New" w:eastAsia="Courier New" w:hAnsi="Courier New"/>
          <w:sz w:val="18"/>
          <w:szCs w:val="18"/>
          <w:color w:val="auto"/>
        </w:rPr>
        <w:t>52-2268681</w:t>
      </w:r>
    </w:p>
    <w:p>
      <w:pPr>
        <w:spacing w:after="0" w:line="202" w:lineRule="exact"/>
        <w:rPr>
          <w:sz w:val="24"/>
          <w:szCs w:val="24"/>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736"/>
        <w:spacing w:after="0" w:line="238"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640" w:hanging="736"/>
        <w:spacing w:after="0" w:line="238"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90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960" w:type="dxa"/>
        <w:tblCellMar>
          <w:top w:w="0" w:type="dxa"/>
          <w:left w:w="0" w:type="dxa"/>
          <w:bottom w:w="0" w:type="dxa"/>
          <w:right w:w="0" w:type="dxa"/>
        </w:tblCellMar>
      </w:tblP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5)</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4,085,789</w:t>
            </w:r>
          </w:p>
        </w:tc>
      </w:tr>
    </w:tbl>
    <w:p>
      <w:pPr>
        <w:ind w:left="1700" w:hanging="744"/>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- 0 -</w:t>
      </w:r>
    </w:p>
    <w:p>
      <w:pPr>
        <w:ind w:left="1700" w:hanging="744"/>
        <w:spacing w:after="0" w:line="238"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4,085,789</w:t>
      </w:r>
    </w:p>
    <w:p>
      <w:pPr>
        <w:spacing w:after="0" w:line="207" w:lineRule="exact"/>
        <w:rPr>
          <w:rFonts w:ascii="Courier New" w:cs="Courier New" w:eastAsia="Courier New" w:hAnsi="Courier New"/>
          <w:sz w:val="18"/>
          <w:szCs w:val="18"/>
          <w:color w:val="auto"/>
        </w:rPr>
      </w:pPr>
    </w:p>
    <w:p>
      <w:pPr>
        <w:ind w:left="1900" w:right="2099" w:hanging="944"/>
        <w:spacing w:after="0" w:line="235" w:lineRule="auto"/>
        <w:tabs>
          <w:tab w:leader="none" w:pos="168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4,085,789</w:t>
      </w:r>
    </w:p>
    <w:p>
      <w:pPr>
        <w:sectPr>
          <w:pgSz w:w="11900" w:h="16838" w:orient="portrait"/>
          <w:cols w:equalWidth="0" w:num="1">
            <w:col w:w="10219"/>
          </w:cols>
          <w:pgMar w:left="240" w:top="244" w:right="1440" w:bottom="0" w:gutter="0" w:footer="0" w:header="0"/>
        </w:sectPr>
      </w:pPr>
    </w:p>
    <w:bookmarkStart w:id="1" w:name="page2"/>
    <w:bookmarkEnd w:id="1"/>
    <w:p>
      <w:pPr>
        <w:ind w:left="1900" w:right="1779" w:hanging="944"/>
        <w:spacing w:after="0" w:line="235" w:lineRule="auto"/>
        <w:tabs>
          <w:tab w:leader="none" w:pos="168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2"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900"/>
        <w:spacing w:after="0" w:line="238" w:lineRule="auto"/>
        <w:rPr>
          <w:sz w:val="20"/>
          <w:szCs w:val="20"/>
          <w:color w:val="auto"/>
        </w:rPr>
      </w:pPr>
      <w:r>
        <w:rPr>
          <w:rFonts w:ascii="Courier New" w:cs="Courier New" w:eastAsia="Courier New" w:hAnsi="Courier New"/>
          <w:sz w:val="18"/>
          <w:szCs w:val="18"/>
          <w:color w:val="auto"/>
        </w:rPr>
        <w:t>.74%</w:t>
      </w:r>
    </w:p>
    <w:p>
      <w:pPr>
        <w:spacing w:after="0" w:line="207" w:lineRule="exact"/>
        <w:rPr>
          <w:sz w:val="20"/>
          <w:szCs w:val="20"/>
          <w:color w:val="auto"/>
        </w:rPr>
      </w:pPr>
    </w:p>
    <w:p>
      <w:pPr>
        <w:ind w:left="1900" w:right="5899" w:hanging="944"/>
        <w:spacing w:after="0" w:line="235" w:lineRule="auto"/>
        <w:tabs>
          <w:tab w:leader="none" w:pos="168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9410L109</w:t>
      </w:r>
    </w:p>
    <w:p>
      <w:pPr>
        <w:spacing w:after="0" w:line="201" w:lineRule="exact"/>
        <w:rPr>
          <w:sz w:val="20"/>
          <w:szCs w:val="20"/>
          <w:color w:val="auto"/>
        </w:rPr>
      </w:pPr>
    </w:p>
    <w:p>
      <w:pPr>
        <w:ind w:left="1480" w:hanging="524"/>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700"/>
        <w:spacing w:after="0" w:line="238" w:lineRule="auto"/>
        <w:rPr>
          <w:sz w:val="20"/>
          <w:szCs w:val="20"/>
          <w:color w:val="auto"/>
        </w:rPr>
      </w:pPr>
      <w:r>
        <w:rPr>
          <w:rFonts w:ascii="Courier New" w:cs="Courier New" w:eastAsia="Courier New" w:hAnsi="Courier New"/>
          <w:sz w:val="18"/>
          <w:szCs w:val="18"/>
          <w:color w:val="auto"/>
        </w:rPr>
        <w:t>Legg Mason Focus Capital, Inc.</w:t>
      </w:r>
    </w:p>
    <w:p>
      <w:pPr>
        <w:ind w:left="1480"/>
        <w:spacing w:after="0"/>
        <w:rPr>
          <w:sz w:val="20"/>
          <w:szCs w:val="20"/>
          <w:color w:val="auto"/>
        </w:rPr>
      </w:pPr>
      <w:r>
        <w:rPr>
          <w:rFonts w:ascii="Courier New" w:cs="Courier New" w:eastAsia="Courier New" w:hAnsi="Courier New"/>
          <w:sz w:val="18"/>
          <w:szCs w:val="18"/>
          <w:color w:val="auto"/>
        </w:rPr>
        <w:t>Tax Identification No.</w:t>
      </w:r>
    </w:p>
    <w:p>
      <w:pPr>
        <w:ind w:left="1700"/>
        <w:spacing w:after="0" w:line="237" w:lineRule="auto"/>
        <w:rPr>
          <w:sz w:val="20"/>
          <w:szCs w:val="20"/>
          <w:color w:val="auto"/>
        </w:rPr>
      </w:pPr>
      <w:r>
        <w:rPr>
          <w:rFonts w:ascii="Courier New" w:cs="Courier New" w:eastAsia="Courier New" w:hAnsi="Courier New"/>
          <w:sz w:val="18"/>
          <w:szCs w:val="18"/>
          <w:color w:val="auto"/>
        </w:rPr>
        <w:t>52-2311719</w:t>
      </w:r>
    </w:p>
    <w:p>
      <w:pPr>
        <w:spacing w:after="0" w:line="202" w:lineRule="exact"/>
        <w:rPr>
          <w:sz w:val="20"/>
          <w:szCs w:val="20"/>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630"/>
        <w:spacing w:after="0" w:line="238" w:lineRule="auto"/>
        <w:tabs>
          <w:tab w:leader="none" w:pos="2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640" w:hanging="630"/>
        <w:spacing w:after="0" w:line="238" w:lineRule="auto"/>
        <w:tabs>
          <w:tab w:leader="none" w:pos="2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960" w:type="dxa"/>
        <w:tblCellMar>
          <w:top w:w="0" w:type="dxa"/>
          <w:left w:w="0" w:type="dxa"/>
          <w:bottom w:w="0" w:type="dxa"/>
          <w:right w:w="0" w:type="dxa"/>
        </w:tblCellMar>
      </w:tblP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5)</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6)</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2"/>
              </w:rPr>
              <w:t>82,875</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7)</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ind w:left="1480" w:hanging="524"/>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r>
        <w:rPr>
          <w:rFonts w:ascii="Courier New" w:cs="Courier New" w:eastAsia="Courier New" w:hAnsi="Courier New"/>
          <w:sz w:val="16"/>
          <w:szCs w:val="16"/>
          <w:color w:val="auto"/>
        </w:rPr>
        <w:t>82,875</w:t>
      </w:r>
    </w:p>
    <w:p>
      <w:pPr>
        <w:spacing w:after="0" w:line="207" w:lineRule="exact"/>
        <w:rPr>
          <w:rFonts w:ascii="Courier New" w:cs="Courier New" w:eastAsia="Courier New" w:hAnsi="Courier New"/>
          <w:sz w:val="18"/>
          <w:szCs w:val="18"/>
          <w:color w:val="auto"/>
        </w:rPr>
      </w:pPr>
    </w:p>
    <w:p>
      <w:pPr>
        <w:ind w:left="1900" w:right="2319" w:hanging="944"/>
        <w:spacing w:after="0" w:line="235" w:lineRule="auto"/>
        <w:tabs>
          <w:tab w:leader="none" w:pos="147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82,875</w:t>
      </w:r>
    </w:p>
    <w:p>
      <w:pPr>
        <w:spacing w:after="0" w:line="208" w:lineRule="exact"/>
        <w:rPr>
          <w:rFonts w:ascii="Courier New" w:cs="Courier New" w:eastAsia="Courier New" w:hAnsi="Courier New"/>
          <w:sz w:val="18"/>
          <w:szCs w:val="18"/>
          <w:color w:val="auto"/>
        </w:rPr>
      </w:pPr>
    </w:p>
    <w:p>
      <w:pPr>
        <w:ind w:left="2120" w:right="2199" w:hanging="1164"/>
        <w:spacing w:after="0" w:line="235" w:lineRule="auto"/>
        <w:tabs>
          <w:tab w:leader="none" w:pos="148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aggregate amount in row (9) excludes certain shares: n/a</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2000"/>
        <w:spacing w:after="0" w:line="238" w:lineRule="auto"/>
        <w:rPr>
          <w:sz w:val="20"/>
          <w:szCs w:val="20"/>
          <w:color w:val="auto"/>
        </w:rPr>
      </w:pPr>
      <w:r>
        <w:rPr>
          <w:rFonts w:ascii="Courier New" w:cs="Courier New" w:eastAsia="Courier New" w:hAnsi="Courier New"/>
          <w:sz w:val="18"/>
          <w:szCs w:val="18"/>
          <w:color w:val="auto"/>
        </w:rPr>
        <w:t>0.02%</w:t>
      </w:r>
    </w:p>
    <w:p>
      <w:pPr>
        <w:spacing w:after="0" w:line="207" w:lineRule="exact"/>
        <w:rPr>
          <w:sz w:val="20"/>
          <w:szCs w:val="20"/>
          <w:color w:val="auto"/>
        </w:rPr>
      </w:pPr>
    </w:p>
    <w:p>
      <w:pPr>
        <w:ind w:left="2120" w:right="5999" w:hanging="1164"/>
        <w:spacing w:after="0" w:line="235" w:lineRule="auto"/>
        <w:tabs>
          <w:tab w:leader="none" w:pos="159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IA,CO</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 - - - - - - - - - - - - - - - - - - - - - - - - - -</w:t>
      </w:r>
    </w:p>
    <w:p>
      <w:pPr>
        <w:spacing w:after="0" w:line="16"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1a)</w:t>
      </w:r>
      <w:r>
        <w:rPr>
          <w:rFonts w:ascii="Courier New" w:cs="Courier New" w:eastAsia="Courier New" w:hAnsi="Courier New"/>
          <w:sz w:val="16"/>
          <w:szCs w:val="16"/>
          <w:color w:val="auto"/>
        </w:rPr>
        <w:t>Name of issuer:</w:t>
      </w:r>
    </w:p>
    <w:p>
      <w:pPr>
        <w:ind w:left="28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380" w:type="dxa"/>
            <w:vAlign w:val="bottom"/>
            <w:gridSpan w:val="3"/>
          </w:tcPr>
          <w:p>
            <w:pPr>
              <w:jc w:val="center"/>
              <w:ind w:left="232"/>
              <w:spacing w:after="0"/>
              <w:rPr>
                <w:sz w:val="20"/>
                <w:szCs w:val="20"/>
                <w:color w:val="auto"/>
              </w:rPr>
            </w:pPr>
            <w:r>
              <w:rPr>
                <w:rFonts w:ascii="Courier New" w:cs="Courier New" w:eastAsia="Courier New" w:hAnsi="Courier New"/>
                <w:sz w:val="18"/>
                <w:szCs w:val="18"/>
                <w:color w:val="auto"/>
                <w:w w:val="97"/>
              </w:rPr>
              <w:t>Address of issuer's principal executive offices:</w:t>
            </w:r>
          </w:p>
        </w:tc>
      </w:tr>
      <w:tr>
        <w:trPr>
          <w:trHeight w:val="203"/>
        </w:trPr>
        <w:tc>
          <w:tcPr>
            <w:tcW w:w="1040" w:type="dxa"/>
            <w:vAlign w:val="bottom"/>
          </w:tcPr>
          <w:p>
            <w:pPr>
              <w:spacing w:after="0"/>
              <w:rPr>
                <w:sz w:val="17"/>
                <w:szCs w:val="17"/>
                <w:color w:val="auto"/>
              </w:rPr>
            </w:pPr>
          </w:p>
        </w:tc>
        <w:tc>
          <w:tcPr>
            <w:tcW w:w="1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1001</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Fannin Street, Ste. 4000</w:t>
            </w:r>
          </w:p>
        </w:tc>
      </w:tr>
      <w:tr>
        <w:trPr>
          <w:trHeight w:val="203"/>
        </w:trPr>
        <w:tc>
          <w:tcPr>
            <w:tcW w:w="1040" w:type="dxa"/>
            <w:vAlign w:val="bottom"/>
          </w:tcPr>
          <w:p>
            <w:pPr>
              <w:spacing w:after="0"/>
              <w:rPr>
                <w:sz w:val="17"/>
                <w:szCs w:val="17"/>
                <w:color w:val="auto"/>
              </w:rPr>
            </w:pPr>
          </w:p>
        </w:tc>
        <w:tc>
          <w:tcPr>
            <w:tcW w:w="20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5"/>
              </w:rPr>
              <w:t>Houston, TX</w:t>
            </w:r>
          </w:p>
        </w:tc>
        <w:tc>
          <w:tcPr>
            <w:tcW w:w="3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77002</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3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1040" w:type="dxa"/>
            <w:vAlign w:val="bottom"/>
          </w:tcPr>
          <w:p>
            <w:pPr>
              <w:spacing w:after="0"/>
              <w:rPr>
                <w:sz w:val="17"/>
                <w:szCs w:val="17"/>
                <w:color w:val="auto"/>
              </w:rPr>
            </w:pPr>
          </w:p>
        </w:tc>
        <w:tc>
          <w:tcPr>
            <w:tcW w:w="1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Legg</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Mason</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Management, Inc.</w:t>
            </w:r>
          </w:p>
        </w:tc>
      </w:tr>
      <w:tr>
        <w:trPr>
          <w:trHeight w:val="203"/>
        </w:trPr>
        <w:tc>
          <w:tcPr>
            <w:tcW w:w="1040" w:type="dxa"/>
            <w:vAlign w:val="bottom"/>
          </w:tcPr>
          <w:p>
            <w:pPr>
              <w:spacing w:after="0"/>
              <w:rPr>
                <w:sz w:val="17"/>
                <w:szCs w:val="17"/>
                <w:color w:val="auto"/>
              </w:rPr>
            </w:pPr>
          </w:p>
        </w:tc>
        <w:tc>
          <w:tcPr>
            <w:tcW w:w="1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Legg</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Mason</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Funds Management, Inc.</w:t>
            </w:r>
          </w:p>
        </w:tc>
      </w:tr>
      <w:tr>
        <w:trPr>
          <w:trHeight w:val="203"/>
        </w:trPr>
        <w:tc>
          <w:tcPr>
            <w:tcW w:w="1040" w:type="dxa"/>
            <w:vAlign w:val="bottom"/>
          </w:tcPr>
          <w:p>
            <w:pPr>
              <w:spacing w:after="0"/>
              <w:rPr>
                <w:sz w:val="17"/>
                <w:szCs w:val="17"/>
                <w:color w:val="auto"/>
              </w:rPr>
            </w:pPr>
          </w:p>
        </w:tc>
        <w:tc>
          <w:tcPr>
            <w:tcW w:w="1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Legg</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Mason</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Focus Capital, Inc.</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w w:val="99"/>
              </w:rPr>
              <w:t>Address of</w:t>
            </w:r>
          </w:p>
        </w:tc>
        <w:tc>
          <w:tcPr>
            <w:tcW w:w="4060" w:type="dxa"/>
            <w:vAlign w:val="bottom"/>
            <w:gridSpan w:val="2"/>
          </w:tcPr>
          <w:p>
            <w:pPr>
              <w:jc w:val="center"/>
              <w:ind w:right="912"/>
              <w:spacing w:after="0"/>
              <w:rPr>
                <w:sz w:val="20"/>
                <w:szCs w:val="20"/>
                <w:color w:val="auto"/>
              </w:rPr>
            </w:pPr>
            <w:r>
              <w:rPr>
                <w:rFonts w:ascii="Courier New" w:cs="Courier New" w:eastAsia="Courier New" w:hAnsi="Courier New"/>
                <w:sz w:val="18"/>
                <w:szCs w:val="18"/>
                <w:color w:val="auto"/>
                <w:w w:val="97"/>
              </w:rPr>
              <w:t>principal business office:</w:t>
            </w:r>
          </w:p>
        </w:tc>
      </w:tr>
      <w:tr>
        <w:trPr>
          <w:trHeight w:val="203"/>
        </w:trPr>
        <w:tc>
          <w:tcPr>
            <w:tcW w:w="1040" w:type="dxa"/>
            <w:vAlign w:val="bottom"/>
          </w:tcPr>
          <w:p>
            <w:pPr>
              <w:spacing w:after="0"/>
              <w:rPr>
                <w:sz w:val="17"/>
                <w:szCs w:val="17"/>
                <w:color w:val="auto"/>
              </w:rPr>
            </w:pPr>
          </w:p>
        </w:tc>
        <w:tc>
          <w:tcPr>
            <w:tcW w:w="538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rPr>
              <w:t>100 Light Street</w:t>
            </w:r>
          </w:p>
        </w:tc>
      </w:tr>
      <w:tr>
        <w:trPr>
          <w:trHeight w:val="203"/>
        </w:trPr>
        <w:tc>
          <w:tcPr>
            <w:tcW w:w="1040" w:type="dxa"/>
            <w:vAlign w:val="bottom"/>
          </w:tcPr>
          <w:p>
            <w:pPr>
              <w:spacing w:after="0"/>
              <w:rPr>
                <w:sz w:val="17"/>
                <w:szCs w:val="17"/>
                <w:color w:val="auto"/>
              </w:rPr>
            </w:pPr>
          </w:p>
        </w:tc>
        <w:tc>
          <w:tcPr>
            <w:tcW w:w="20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Baltimore,</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MD  21202</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0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Citizenship:</w:t>
            </w:r>
          </w:p>
        </w:tc>
        <w:tc>
          <w:tcPr>
            <w:tcW w:w="3360" w:type="dxa"/>
            <w:vAlign w:val="bottom"/>
          </w:tcPr>
          <w:p>
            <w:pPr>
              <w:spacing w:after="0"/>
              <w:rPr>
                <w:sz w:val="24"/>
                <w:szCs w:val="24"/>
                <w:color w:val="auto"/>
              </w:rPr>
            </w:pPr>
          </w:p>
        </w:tc>
      </w:tr>
      <w:tr>
        <w:trPr>
          <w:trHeight w:val="203"/>
        </w:trPr>
        <w:tc>
          <w:tcPr>
            <w:tcW w:w="1040" w:type="dxa"/>
            <w:vAlign w:val="bottom"/>
          </w:tcPr>
          <w:p>
            <w:pPr>
              <w:spacing w:after="0"/>
              <w:rPr>
                <w:sz w:val="17"/>
                <w:szCs w:val="17"/>
                <w:color w:val="auto"/>
              </w:rPr>
            </w:pPr>
          </w:p>
        </w:tc>
        <w:tc>
          <w:tcPr>
            <w:tcW w:w="1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Legg</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Mason</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Management, Inc.</w:t>
            </w:r>
          </w:p>
        </w:tc>
      </w:tr>
      <w:tr>
        <w:trPr>
          <w:trHeight w:val="203"/>
        </w:trPr>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60" w:type="dxa"/>
            <w:vAlign w:val="bottom"/>
            <w:gridSpan w:val="2"/>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Maryland corporation</w:t>
            </w:r>
          </w:p>
        </w:tc>
      </w:tr>
      <w:tr>
        <w:trPr>
          <w:trHeight w:val="203"/>
        </w:trPr>
        <w:tc>
          <w:tcPr>
            <w:tcW w:w="1040" w:type="dxa"/>
            <w:vAlign w:val="bottom"/>
          </w:tcPr>
          <w:p>
            <w:pPr>
              <w:spacing w:after="0"/>
              <w:rPr>
                <w:sz w:val="17"/>
                <w:szCs w:val="17"/>
                <w:color w:val="auto"/>
              </w:rPr>
            </w:pPr>
          </w:p>
        </w:tc>
        <w:tc>
          <w:tcPr>
            <w:tcW w:w="1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Legg</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Mason</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Funds Management, Inc.</w:t>
            </w:r>
          </w:p>
        </w:tc>
      </w:tr>
      <w:tr>
        <w:trPr>
          <w:trHeight w:val="203"/>
        </w:trPr>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60" w:type="dxa"/>
            <w:vAlign w:val="bottom"/>
            <w:gridSpan w:val="2"/>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Maryland corporation</w:t>
            </w:r>
          </w:p>
        </w:tc>
      </w:tr>
      <w:tr>
        <w:trPr>
          <w:trHeight w:val="203"/>
        </w:trPr>
        <w:tc>
          <w:tcPr>
            <w:tcW w:w="1040" w:type="dxa"/>
            <w:vAlign w:val="bottom"/>
          </w:tcPr>
          <w:p>
            <w:pPr>
              <w:spacing w:after="0"/>
              <w:rPr>
                <w:sz w:val="17"/>
                <w:szCs w:val="17"/>
                <w:color w:val="auto"/>
              </w:rPr>
            </w:pPr>
          </w:p>
        </w:tc>
        <w:tc>
          <w:tcPr>
            <w:tcW w:w="1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Legg</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Mason</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Focus Capital, Inc.</w:t>
            </w:r>
          </w:p>
        </w:tc>
      </w:tr>
      <w:tr>
        <w:trPr>
          <w:trHeight w:val="203"/>
        </w:trPr>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60" w:type="dxa"/>
            <w:vAlign w:val="bottom"/>
            <w:gridSpan w:val="2"/>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Maryland corporation</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3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040" w:type="dxa"/>
            <w:vAlign w:val="bottom"/>
          </w:tcPr>
          <w:p>
            <w:pPr>
              <w:spacing w:after="0"/>
              <w:rPr>
                <w:sz w:val="17"/>
                <w:szCs w:val="17"/>
                <w:color w:val="auto"/>
              </w:rPr>
            </w:pPr>
          </w:p>
        </w:tc>
        <w:tc>
          <w:tcPr>
            <w:tcW w:w="538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0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CUSIP number:</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94106L109</w:t>
            </w:r>
          </w:p>
        </w:tc>
      </w:tr>
    </w:tbl>
    <w:p>
      <w:pPr>
        <w:spacing w:after="0" w:line="201" w:lineRule="exact"/>
        <w:rPr>
          <w:sz w:val="20"/>
          <w:szCs w:val="20"/>
          <w:color w:val="auto"/>
        </w:rPr>
      </w:pPr>
    </w:p>
    <w:p>
      <w:pPr>
        <w:jc w:val="center"/>
        <w:ind w:right="1459"/>
        <w:spacing w:after="0"/>
        <w:tabs>
          <w:tab w:leader="none" w:pos="1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9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ind w:left="960"/>
        <w:spacing w:after="0"/>
        <w:rPr>
          <w:sz w:val="20"/>
          <w:szCs w:val="20"/>
          <w:color w:val="auto"/>
        </w:rPr>
      </w:pPr>
      <w:r>
        <w:rPr>
          <w:rFonts w:ascii="Courier New" w:cs="Courier New" w:eastAsia="Courier New" w:hAnsi="Courier New"/>
          <w:sz w:val="18"/>
          <w:szCs w:val="18"/>
          <w:color w:val="auto"/>
        </w:rPr>
        <w:t>(a)[ ]Broker or dealer under Section 15 of the Act.</w:t>
      </w:r>
    </w:p>
    <w:p>
      <w:pPr>
        <w:ind w:left="960"/>
        <w:spacing w:after="0" w:line="237" w:lineRule="auto"/>
        <w:rPr>
          <w:sz w:val="20"/>
          <w:szCs w:val="20"/>
          <w:color w:val="auto"/>
        </w:rPr>
      </w:pPr>
      <w:r>
        <w:rPr>
          <w:rFonts w:ascii="Courier New" w:cs="Courier New" w:eastAsia="Courier New" w:hAnsi="Courier New"/>
          <w:sz w:val="18"/>
          <w:szCs w:val="18"/>
          <w:color w:val="auto"/>
        </w:rPr>
        <w:t>(b)[ ]Bank as defined in Section 3(a)(6) of the Act.</w:t>
      </w:r>
    </w:p>
    <w:p>
      <w:pPr>
        <w:spacing w:after="0" w:line="5" w:lineRule="exact"/>
        <w:rPr>
          <w:sz w:val="20"/>
          <w:szCs w:val="20"/>
          <w:color w:val="auto"/>
        </w:rPr>
      </w:pPr>
    </w:p>
    <w:p>
      <w:pPr>
        <w:ind w:left="960" w:right="1999"/>
        <w:spacing w:after="0" w:line="268" w:lineRule="auto"/>
        <w:rPr>
          <w:sz w:val="20"/>
          <w:szCs w:val="20"/>
          <w:color w:val="auto"/>
        </w:rPr>
      </w:pPr>
      <w:r>
        <w:rPr>
          <w:rFonts w:ascii="Courier New" w:cs="Courier New" w:eastAsia="Courier New" w:hAnsi="Courier New"/>
          <w:sz w:val="16"/>
          <w:szCs w:val="16"/>
          <w:color w:val="auto"/>
        </w:rPr>
        <w:t>(c)[ ]Insurance Company as defined in Section 3(a)(6) of the Act. (d)[ ]Investment Company registered under Section 8 of the Investment</w:t>
      </w:r>
    </w:p>
    <w:p>
      <w:pPr>
        <w:ind w:left="1580"/>
        <w:spacing w:after="0" w:line="233" w:lineRule="auto"/>
        <w:rPr>
          <w:sz w:val="20"/>
          <w:szCs w:val="20"/>
          <w:color w:val="auto"/>
        </w:rPr>
      </w:pPr>
      <w:r>
        <w:rPr>
          <w:rFonts w:ascii="Courier New" w:cs="Courier New" w:eastAsia="Courier New" w:hAnsi="Courier New"/>
          <w:sz w:val="18"/>
          <w:szCs w:val="18"/>
          <w:color w:val="auto"/>
        </w:rPr>
        <w:t>Company Act.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 ]Investment Adviser registered under Section 203 of the Investment</w:t>
      </w:r>
    </w:p>
    <w:p>
      <w:pPr>
        <w:sectPr>
          <w:pgSz w:w="11900" w:h="16838" w:orient="portrait"/>
          <w:cols w:equalWidth="0" w:num="1">
            <w:col w:w="10219"/>
          </w:cols>
          <w:pgMar w:left="240" w:top="142" w:right="1440" w:bottom="0" w:gutter="0" w:footer="0" w:header="0"/>
        </w:sectPr>
      </w:pPr>
    </w:p>
    <w:bookmarkStart w:id="2" w:name="page3"/>
    <w:bookmarkEnd w:id="2"/>
    <w:p>
      <w:pPr>
        <w:ind w:left="1580"/>
        <w:spacing w:after="0"/>
        <w:rPr>
          <w:sz w:val="20"/>
          <w:szCs w:val="20"/>
          <w:color w:val="auto"/>
        </w:rPr>
      </w:pPr>
      <w:r>
        <w:rPr>
          <w:rFonts w:ascii="Courier New" w:cs="Courier New" w:eastAsia="Courier New" w:hAnsi="Courier New"/>
          <w:sz w:val="18"/>
          <w:szCs w:val="18"/>
          <w:color w:val="auto"/>
        </w:rPr>
        <w:t>Advisers Act of 1940.</w:t>
      </w:r>
    </w:p>
    <w:p>
      <w:pPr>
        <w:spacing w:after="0" w:line="4" w:lineRule="exact"/>
        <w:rPr>
          <w:sz w:val="20"/>
          <w:szCs w:val="20"/>
          <w:color w:val="auto"/>
        </w:rPr>
      </w:pPr>
    </w:p>
    <w:p>
      <w:pPr>
        <w:ind w:left="1580" w:right="1879" w:hanging="631"/>
        <w:spacing w:after="0" w:line="235" w:lineRule="auto"/>
        <w:rPr>
          <w:sz w:val="20"/>
          <w:szCs w:val="20"/>
          <w:color w:val="auto"/>
        </w:rPr>
      </w:pPr>
      <w:r>
        <w:rPr>
          <w:rFonts w:ascii="Courier New" w:cs="Courier New" w:eastAsia="Courier New" w:hAnsi="Courier New"/>
          <w:sz w:val="18"/>
          <w:szCs w:val="18"/>
          <w:color w:val="auto"/>
        </w:rPr>
        <w:t>(f)[ ]Employee Benefit Plan, Pension Fund which is subject to ERISA of 1974 or Endowment Funds; see 240.13d-1(b)(ii)(F).</w:t>
      </w:r>
    </w:p>
    <w:p>
      <w:pPr>
        <w:spacing w:after="0" w:line="6" w:lineRule="exact"/>
        <w:rPr>
          <w:sz w:val="20"/>
          <w:szCs w:val="20"/>
          <w:color w:val="auto"/>
        </w:rPr>
      </w:pPr>
    </w:p>
    <w:p>
      <w:pPr>
        <w:ind w:left="960" w:right="1999"/>
        <w:spacing w:after="0" w:line="290" w:lineRule="auto"/>
        <w:rPr>
          <w:sz w:val="20"/>
          <w:szCs w:val="20"/>
          <w:color w:val="auto"/>
        </w:rPr>
      </w:pPr>
      <w:r>
        <w:rPr>
          <w:rFonts w:ascii="Courier New" w:cs="Courier New" w:eastAsia="Courier New" w:hAnsi="Courier New"/>
          <w:sz w:val="16"/>
          <w:szCs w:val="16"/>
          <w:color w:val="auto"/>
        </w:rPr>
        <w:t>(g)[ ]Parent holding company, in accordance with 240.13d-1(b)(ii)(G), (h)[X]Group, in accordance with 240.13d-1(b)(1)(ii)(J).</w:t>
      </w:r>
    </w:p>
    <w:p>
      <w:pPr>
        <w:sectPr>
          <w:pgSz w:w="11900" w:h="16838" w:orient="portrait"/>
          <w:cols w:equalWidth="0" w:num="1">
            <w:col w:w="10219"/>
          </w:cols>
          <w:pgMar w:left="240" w:top="136" w:right="1440" w:bottom="133" w:gutter="0" w:footer="0" w:header="0"/>
        </w:sectPr>
      </w:pPr>
    </w:p>
    <w:p>
      <w:pPr>
        <w:spacing w:after="0" w:line="17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700" w:space="420"/>
            <w:col w:w="8099"/>
          </w:cols>
          <w:pgMar w:left="240" w:top="136" w:right="1440" w:bottom="133" w:gutter="0" w:footer="0" w:header="0"/>
          <w:type w:val="continuous"/>
        </w:sectPr>
      </w:pPr>
    </w:p>
    <w:p>
      <w:pPr>
        <w:spacing w:after="0" w:line="24"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25,639,142</w:t>
      </w:r>
    </w:p>
    <w:p>
      <w:pPr>
        <w:spacing w:after="0" w:line="200" w:lineRule="exact"/>
        <w:rPr>
          <w:sz w:val="20"/>
          <w:szCs w:val="20"/>
          <w:color w:val="auto"/>
        </w:rPr>
      </w:pPr>
    </w:p>
    <w:p>
      <w:pPr>
        <w:sectPr>
          <w:pgSz w:w="11900" w:h="16838" w:orient="portrait"/>
          <w:cols w:equalWidth="0" w:num="2">
            <w:col w:w="5080" w:space="720"/>
            <w:col w:w="4419"/>
          </w:cols>
          <w:pgMar w:left="240" w:top="136" w:right="1440" w:bottom="133" w:gutter="0" w:footer="0" w:header="0"/>
          <w:type w:val="continuous"/>
        </w:sectPr>
      </w:pPr>
    </w:p>
    <w:p>
      <w:pPr>
        <w:spacing w:after="0" w:line="18"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w:t>
      </w:r>
      <w:r>
        <w:rPr>
          <w:rFonts w:ascii="Courier New" w:cs="Courier New" w:eastAsia="Courier New" w:hAnsi="Courier New"/>
          <w:sz w:val="16"/>
          <w:szCs w:val="16"/>
          <w:color w:val="auto"/>
        </w:rPr>
        <w:t>Percent of Class:  4.65%</w:t>
      </w:r>
    </w:p>
    <w:p>
      <w:pPr>
        <w:spacing w:after="0" w:line="201"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2740" w:hanging="836"/>
        <w:spacing w:after="0" w:line="238" w:lineRule="auto"/>
        <w:tabs>
          <w:tab w:leader="none" w:pos="27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4120" w:hanging="320"/>
        <w:spacing w:after="0" w:line="238" w:lineRule="auto"/>
        <w:tabs>
          <w:tab w:leader="none" w:pos="4120" w:val="left"/>
        </w:tabs>
        <w:numPr>
          <w:ilvl w:val="3"/>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3800" w:right="2939" w:hanging="1896"/>
        <w:spacing w:after="0" w:line="235" w:lineRule="auto"/>
        <w:tabs>
          <w:tab w:leader="none" w:pos="2747"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25,639,142</w:t>
      </w:r>
    </w:p>
    <w:p>
      <w:pPr>
        <w:spacing w:after="0" w:line="5" w:lineRule="exact"/>
        <w:rPr>
          <w:rFonts w:ascii="Courier New" w:cs="Courier New" w:eastAsia="Courier New" w:hAnsi="Courier New"/>
          <w:sz w:val="18"/>
          <w:szCs w:val="18"/>
          <w:color w:val="auto"/>
        </w:rPr>
      </w:pPr>
    </w:p>
    <w:p>
      <w:pPr>
        <w:ind w:left="2740" w:hanging="836"/>
        <w:spacing w:after="0"/>
        <w:tabs>
          <w:tab w:leader="none" w:pos="274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w:t>
      </w:r>
    </w:p>
    <w:p>
      <w:pPr>
        <w:spacing w:after="0" w:line="16" w:lineRule="exact"/>
        <w:rPr>
          <w:rFonts w:ascii="Courier New" w:cs="Courier New" w:eastAsia="Courier New" w:hAnsi="Courier New"/>
          <w:sz w:val="16"/>
          <w:szCs w:val="16"/>
          <w:color w:val="auto"/>
        </w:rPr>
      </w:pPr>
    </w:p>
    <w:p>
      <w:pPr>
        <w:ind w:left="4020" w:hanging="220"/>
        <w:spacing w:after="0" w:line="238" w:lineRule="auto"/>
        <w:tabs>
          <w:tab w:leader="none" w:pos="4020" w:val="left"/>
        </w:tabs>
        <w:numPr>
          <w:ilvl w:val="3"/>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3800" w:right="1779" w:hanging="1896"/>
        <w:spacing w:after="0" w:line="235" w:lineRule="auto"/>
        <w:tabs>
          <w:tab w:leader="none" w:pos="2641"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25,639,142</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28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900" w:right="2419" w:hanging="947"/>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Various accounts managed by the investment advisers identified in Item 8 have the right to receive or the power to direct the receipt of dividends from, or the proceeds from the sale of shares of the issuer. No such account holds more than 5% of the shares outstanding.</w:t>
      </w:r>
    </w:p>
    <w:p>
      <w:pPr>
        <w:spacing w:after="0" w:line="209" w:lineRule="exact"/>
        <w:rPr>
          <w:sz w:val="20"/>
          <w:szCs w:val="20"/>
          <w:color w:val="auto"/>
        </w:rPr>
      </w:pPr>
    </w:p>
    <w:p>
      <w:pPr>
        <w:ind w:left="1900" w:right="187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Legg Mason Capital Management, Inc.-investment adviser</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Legg Mason Funds Management, Inc.-investment adviser</w:t>
      </w:r>
    </w:p>
    <w:p>
      <w:pPr>
        <w:ind w:left="2640"/>
        <w:spacing w:after="0" w:line="238" w:lineRule="auto"/>
        <w:rPr>
          <w:sz w:val="20"/>
          <w:szCs w:val="20"/>
          <w:color w:val="auto"/>
        </w:rPr>
      </w:pPr>
      <w:r>
        <w:rPr>
          <w:rFonts w:ascii="Courier New" w:cs="Courier New" w:eastAsia="Courier New" w:hAnsi="Courier New"/>
          <w:sz w:val="18"/>
          <w:szCs w:val="18"/>
          <w:color w:val="auto"/>
        </w:rPr>
        <w:t>Legg Mason Focus Capital, Inc.-investment adviser</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26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Date - February 14, 2006</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Capital Management,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By___________________________________________</w:t>
      </w:r>
    </w:p>
    <w:p>
      <w:pPr>
        <w:ind w:left="1480"/>
        <w:spacing w:after="0" w:line="238" w:lineRule="auto"/>
        <w:rPr>
          <w:sz w:val="20"/>
          <w:szCs w:val="20"/>
          <w:color w:val="auto"/>
        </w:rPr>
      </w:pPr>
      <w:r>
        <w:rPr>
          <w:rFonts w:ascii="Courier New" w:cs="Courier New" w:eastAsia="Courier New" w:hAnsi="Courier New"/>
          <w:sz w:val="18"/>
          <w:szCs w:val="18"/>
          <w:color w:val="auto"/>
        </w:rPr>
        <w:t>Andrew J. Bowden, Senior Vice President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Funds Management,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By___________________________________________</w:t>
      </w:r>
    </w:p>
    <w:p>
      <w:pPr>
        <w:ind w:left="1380"/>
        <w:spacing w:after="0" w:line="238" w:lineRule="auto"/>
        <w:rPr>
          <w:sz w:val="20"/>
          <w:szCs w:val="20"/>
          <w:color w:val="auto"/>
        </w:rPr>
      </w:pPr>
      <w:r>
        <w:rPr>
          <w:rFonts w:ascii="Courier New" w:cs="Courier New" w:eastAsia="Courier New" w:hAnsi="Courier New"/>
          <w:sz w:val="18"/>
          <w:szCs w:val="18"/>
          <w:color w:val="auto"/>
        </w:rPr>
        <w:t>Andrew J. Bowden, Senior Vice President</w:t>
      </w:r>
    </w:p>
    <w:p>
      <w:pPr>
        <w:sectPr>
          <w:pgSz w:w="11900" w:h="16838" w:orient="portrait"/>
          <w:cols w:equalWidth="0" w:num="1">
            <w:col w:w="10219"/>
          </w:cols>
          <w:pgMar w:left="240" w:top="136" w:right="1440" w:bottom="133" w:gutter="0" w:footer="0" w:header="0"/>
          <w:type w:val="continuous"/>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Legg Mason Focus Capital,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By____________________________________________</w:t>
      </w:r>
    </w:p>
    <w:p>
      <w:pPr>
        <w:ind w:left="1480"/>
        <w:spacing w:after="0" w:line="238" w:lineRule="auto"/>
        <w:rPr>
          <w:sz w:val="20"/>
          <w:szCs w:val="20"/>
          <w:color w:val="auto"/>
        </w:rPr>
      </w:pPr>
      <w:r>
        <w:rPr>
          <w:rFonts w:ascii="Courier New" w:cs="Courier New" w:eastAsia="Courier New" w:hAnsi="Courier New"/>
          <w:sz w:val="18"/>
          <w:szCs w:val="18"/>
          <w:color w:val="auto"/>
        </w:rPr>
        <w:t>Robert G. Hagstrom, President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A</w:t>
      </w:r>
    </w:p>
    <w:p>
      <w:pPr>
        <w:ind w:left="2540"/>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This Joint Filing Agreement confirms the agreement by and among the undersigned that the Schedule 13G is filed on behalf of each member of the group identified in Item 8.</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Capital Management,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By___________________________________________</w:t>
      </w:r>
    </w:p>
    <w:p>
      <w:pPr>
        <w:ind w:left="1480"/>
        <w:spacing w:after="0" w:line="238" w:lineRule="auto"/>
        <w:rPr>
          <w:sz w:val="20"/>
          <w:szCs w:val="20"/>
          <w:color w:val="auto"/>
        </w:rPr>
      </w:pPr>
      <w:r>
        <w:rPr>
          <w:rFonts w:ascii="Courier New" w:cs="Courier New" w:eastAsia="Courier New" w:hAnsi="Courier New"/>
          <w:sz w:val="18"/>
          <w:szCs w:val="18"/>
          <w:color w:val="auto"/>
        </w:rPr>
        <w:t>Andrew J. Bowden, Senior Vice President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Funds Management,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By___________________________________________</w:t>
      </w:r>
    </w:p>
    <w:p>
      <w:pPr>
        <w:ind w:left="1380"/>
        <w:spacing w:after="0" w:line="238" w:lineRule="auto"/>
        <w:rPr>
          <w:sz w:val="20"/>
          <w:szCs w:val="20"/>
          <w:color w:val="auto"/>
        </w:rPr>
      </w:pPr>
      <w:r>
        <w:rPr>
          <w:rFonts w:ascii="Courier New" w:cs="Courier New" w:eastAsia="Courier New" w:hAnsi="Courier New"/>
          <w:sz w:val="18"/>
          <w:szCs w:val="18"/>
          <w:color w:val="auto"/>
        </w:rPr>
        <w:t>Andrew J. Bowden, Senior Vice President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Focus Capital,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By____________________________________________</w:t>
      </w:r>
    </w:p>
    <w:p>
      <w:pPr>
        <w:ind w:left="1480"/>
        <w:spacing w:after="0" w:line="238" w:lineRule="auto"/>
        <w:rPr>
          <w:sz w:val="20"/>
          <w:szCs w:val="20"/>
          <w:color w:val="auto"/>
        </w:rPr>
      </w:pPr>
      <w:r>
        <w:rPr>
          <w:rFonts w:ascii="Courier New" w:cs="Courier New" w:eastAsia="Courier New" w:hAnsi="Courier New"/>
          <w:sz w:val="18"/>
          <w:szCs w:val="18"/>
          <w:color w:val="auto"/>
        </w:rPr>
        <w:t>Robert G. Hagstrom,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7"/>
    </w:lvl>
  </w:abstractNum>
  <w:abstractNum w:abstractNumId="4">
    <w:nsid w:val="4DB127F8"/>
    <w:multiLevelType w:val="hybridMultilevel"/>
    <w:lvl w:ilvl="0">
      <w:lvlJc w:val="left"/>
      <w:lvlText w:val="%1)"/>
      <w:numFmt w:val="decimal"/>
      <w:start w:val="1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lvl w:ilvl="1">
      <w:lvlJc w:val="left"/>
      <w:lvlText w:val="%2)"/>
      <w:numFmt w:val="lowerLetter"/>
      <w:start w:val="1"/>
    </w:lvl>
  </w:abstractNum>
  <w:abstractNum w:abstractNumId="7">
    <w:nsid w:val="1190CDE7"/>
    <w:multiLevelType w:val="hybridMultilevel"/>
    <w:lvl w:ilvl="0">
      <w:lvlJc w:val="left"/>
      <w:lvlText w:val="%1)"/>
      <w:numFmt w:val="decimal"/>
      <w:start w:val="7"/>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2"/>
    </w:lvl>
    <w:lvl w:ilvl="1">
      <w:lvlJc w:val="left"/>
      <w:lvlText w:val="%2)"/>
      <w:numFmt w:val="lowerLetter"/>
      <w:start w:val="1"/>
    </w:lvl>
  </w:abstractNum>
  <w:abstractNum w:abstractNumId="12">
    <w:nsid w:val="DED7263"/>
    <w:multiLevelType w:val="hybridMultilevel"/>
    <w:lvl w:ilvl="0">
      <w:lvlJc w:val="left"/>
      <w:lvlText w:val="%1)"/>
      <w:numFmt w:val="decimal"/>
      <w:start w:val="8"/>
    </w:lvl>
  </w:abstractNum>
  <w:abstractNum w:abstractNumId="13">
    <w:nsid w:val="7FDCC233"/>
    <w:multiLevelType w:val="hybridMultilevel"/>
    <w:lvl w:ilvl="0">
      <w:lvlJc w:val="left"/>
      <w:lvlText w:val="-"/>
      <w:numFmt w:val="bullet"/>
      <w:start w:val="1"/>
    </w:lvl>
    <w:lvl w:ilvl="1">
      <w:lvlJc w:val="left"/>
      <w:lvlText w:val="%2)"/>
      <w:numFmt w:val="decimal"/>
      <w:start w:val="12"/>
    </w:lvl>
  </w:abstractNum>
  <w:abstractNum w:abstractNumId="14">
    <w:nsid w:val="1BEFD79F"/>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2019-12-12T11:09:45Z</dcterms:created>
  <dcterms:modified xsi:type="dcterms:W3CDTF">2019-12-12T11:09:45Z</dcterms:modified>
</cp:coreProperties>
</file>