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349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3494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Morris John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03/02/2015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Sr VP Field Operations</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8"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jc w:val="center"/>
              <w:ind w:left="623"/>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03/02/2015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23,230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37.185</w:t>
            </w:r>
          </w:p>
        </w:tc>
        <w:tc>
          <w:tcPr>
            <w:tcW w:w="1140" w:type="dxa"/>
            <w:vAlign w:val="bottom"/>
          </w:tcPr>
          <w:p>
            <w:pPr>
              <w:ind w:left="180"/>
              <w:spacing w:after="0"/>
              <w:rPr>
                <w:sz w:val="20"/>
                <w:szCs w:val="20"/>
                <w:color w:val="auto"/>
              </w:rPr>
            </w:pPr>
            <w:r>
              <w:rPr>
                <w:rFonts w:ascii="Arial" w:cs="Arial" w:eastAsia="Arial" w:hAnsi="Arial"/>
                <w:sz w:val="17"/>
                <w:szCs w:val="17"/>
                <w:color w:val="0000FF"/>
              </w:rPr>
              <w:t>41,887.921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03/02/2015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13,302</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33.49</w:t>
            </w:r>
          </w:p>
        </w:tc>
        <w:tc>
          <w:tcPr>
            <w:tcW w:w="1140" w:type="dxa"/>
            <w:vAlign w:val="bottom"/>
          </w:tcPr>
          <w:p>
            <w:pPr>
              <w:ind w:left="180"/>
              <w:spacing w:after="0"/>
              <w:rPr>
                <w:sz w:val="20"/>
                <w:szCs w:val="20"/>
                <w:color w:val="auto"/>
              </w:rPr>
            </w:pPr>
            <w:r>
              <w:rPr>
                <w:rFonts w:ascii="Arial" w:cs="Arial" w:eastAsia="Arial" w:hAnsi="Arial"/>
                <w:sz w:val="17"/>
                <w:szCs w:val="17"/>
                <w:color w:val="0000FF"/>
              </w:rPr>
              <w:t>55,189.921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03/02/2015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2"/>
              </w:rPr>
              <w:t>10,215</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36.885</w:t>
            </w:r>
          </w:p>
        </w:tc>
        <w:tc>
          <w:tcPr>
            <w:tcW w:w="1140" w:type="dxa"/>
            <w:vAlign w:val="bottom"/>
          </w:tcPr>
          <w:p>
            <w:pPr>
              <w:ind w:left="180"/>
              <w:spacing w:after="0"/>
              <w:rPr>
                <w:sz w:val="20"/>
                <w:szCs w:val="20"/>
                <w:color w:val="auto"/>
              </w:rPr>
            </w:pPr>
            <w:r>
              <w:rPr>
                <w:rFonts w:ascii="Arial" w:cs="Arial" w:eastAsia="Arial" w:hAnsi="Arial"/>
                <w:sz w:val="17"/>
                <w:szCs w:val="17"/>
                <w:color w:val="0000FF"/>
              </w:rPr>
              <w:t>65,404.921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Pr>
          <w:p>
            <w:pPr>
              <w:jc w:val="center"/>
              <w:ind w:left="623"/>
              <w:spacing w:after="0"/>
              <w:rPr>
                <w:sz w:val="20"/>
                <w:szCs w:val="20"/>
                <w:color w:val="auto"/>
              </w:rPr>
            </w:pPr>
            <w:r>
              <w:rPr>
                <w:rFonts w:ascii="Arial" w:cs="Arial" w:eastAsia="Arial" w:hAnsi="Arial"/>
                <w:sz w:val="17"/>
                <w:szCs w:val="17"/>
                <w:color w:val="0000FF"/>
                <w:w w:val="91"/>
              </w:rPr>
              <w:t>03/02/2015</w:t>
            </w:r>
          </w:p>
        </w:tc>
        <w:tc>
          <w:tcPr>
            <w:tcW w:w="1140" w:type="dxa"/>
            <w:vAlign w:val="bottom"/>
          </w:tcPr>
          <w:p>
            <w:pPr>
              <w:spacing w:after="0"/>
              <w:rPr>
                <w:sz w:val="23"/>
                <w:szCs w:val="23"/>
                <w:color w:val="auto"/>
              </w:rPr>
            </w:pPr>
          </w:p>
        </w:tc>
        <w:tc>
          <w:tcPr>
            <w:tcW w:w="800" w:type="dxa"/>
            <w:vAlign w:val="bottom"/>
          </w:tcPr>
          <w:p>
            <w:pPr>
              <w:jc w:val="center"/>
              <w:ind w:right="297"/>
              <w:spacing w:after="0"/>
              <w:rPr>
                <w:sz w:val="20"/>
                <w:szCs w:val="20"/>
                <w:color w:val="auto"/>
              </w:rPr>
            </w:pPr>
            <w:r>
              <w:rPr>
                <w:rFonts w:ascii="Arial" w:cs="Arial" w:eastAsia="Arial" w:hAnsi="Arial"/>
                <w:sz w:val="13"/>
                <w:szCs w:val="13"/>
                <w:color w:val="0000FF"/>
              </w:rPr>
              <w:t>M</w:t>
            </w:r>
          </w:p>
        </w:tc>
        <w:tc>
          <w:tcPr>
            <w:tcW w:w="780" w:type="dxa"/>
            <w:vAlign w:val="bottom"/>
          </w:tcPr>
          <w:p>
            <w:pPr>
              <w:jc w:val="center"/>
              <w:spacing w:after="0"/>
              <w:rPr>
                <w:sz w:val="20"/>
                <w:szCs w:val="20"/>
                <w:color w:val="auto"/>
              </w:rPr>
            </w:pPr>
            <w:r>
              <w:rPr>
                <w:rFonts w:ascii="Arial" w:cs="Arial" w:eastAsia="Arial" w:hAnsi="Arial"/>
                <w:sz w:val="17"/>
                <w:szCs w:val="17"/>
                <w:color w:val="0000FF"/>
                <w:w w:val="93"/>
              </w:rPr>
              <w:t>4,512</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8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34.935</w:t>
            </w:r>
          </w:p>
        </w:tc>
        <w:tc>
          <w:tcPr>
            <w:tcW w:w="1140" w:type="dxa"/>
            <w:vAlign w:val="bottom"/>
          </w:tcPr>
          <w:p>
            <w:pPr>
              <w:ind w:left="180"/>
              <w:spacing w:after="0"/>
              <w:rPr>
                <w:sz w:val="20"/>
                <w:szCs w:val="20"/>
                <w:color w:val="auto"/>
              </w:rPr>
            </w:pPr>
            <w:r>
              <w:rPr>
                <w:rFonts w:ascii="Arial" w:cs="Arial" w:eastAsia="Arial" w:hAnsi="Arial"/>
                <w:sz w:val="17"/>
                <w:szCs w:val="17"/>
                <w:color w:val="0000FF"/>
              </w:rPr>
              <w:t>69,916.921</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00" w:type="dxa"/>
            <w:vAlign w:val="bottom"/>
            <w:tcBorders>
              <w:bottom w:val="single" w:sz="8" w:color="2C2C2C"/>
            </w:tcBorders>
          </w:tcPr>
          <w:p>
            <w:pPr>
              <w:jc w:val="center"/>
              <w:ind w:left="623"/>
              <w:spacing w:after="0"/>
              <w:rPr>
                <w:sz w:val="20"/>
                <w:szCs w:val="20"/>
                <w:color w:val="auto"/>
              </w:rPr>
            </w:pPr>
            <w:r>
              <w:rPr>
                <w:rFonts w:ascii="Arial" w:cs="Arial" w:eastAsia="Arial" w:hAnsi="Arial"/>
                <w:sz w:val="17"/>
                <w:szCs w:val="17"/>
                <w:color w:val="0000FF"/>
                <w:w w:val="91"/>
              </w:rPr>
              <w:t>03/02/2015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Arial" w:cs="Arial" w:eastAsia="Arial" w:hAnsi="Arial"/>
                <w:sz w:val="12"/>
                <w:szCs w:val="12"/>
                <w:color w:val="0000FF"/>
                <w:w w:val="74"/>
              </w:rPr>
              <w:t>S</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41,152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54.636</w:t>
            </w:r>
            <w:r>
              <w:rPr>
                <w:rFonts w:ascii="Arial" w:cs="Arial" w:eastAsia="Arial" w:hAnsi="Arial"/>
                <w:sz w:val="22"/>
                <w:szCs w:val="22"/>
                <w:color w:val="008000"/>
                <w:w w:val="88"/>
                <w:vertAlign w:val="superscript"/>
              </w:rPr>
              <w:t>(1)</w:t>
            </w:r>
          </w:p>
        </w:tc>
        <w:tc>
          <w:tcPr>
            <w:tcW w:w="11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28,764.921</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2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36.885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03/02/2015</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10,215</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03/08/2014</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03/08/2023</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8"/>
              <w:spacing w:after="0"/>
              <w:rPr>
                <w:sz w:val="20"/>
                <w:szCs w:val="20"/>
                <w:color w:val="auto"/>
              </w:rPr>
            </w:pPr>
            <w:r>
              <w:rPr>
                <w:rFonts w:ascii="Arial" w:cs="Arial" w:eastAsia="Arial" w:hAnsi="Arial"/>
                <w:sz w:val="17"/>
                <w:szCs w:val="17"/>
                <w:color w:val="0000FF"/>
                <w:w w:val="92"/>
              </w:rPr>
              <w:t>10,215</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36.885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0"/>
              </w:rPr>
              <w:t>30,646</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33.49</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03/02/2015</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13,302</w:t>
            </w:r>
          </w:p>
        </w:tc>
        <w:tc>
          <w:tcPr>
            <w:tcW w:w="820" w:type="dxa"/>
            <w:vAlign w:val="bottom"/>
            <w:vMerge w:val="restart"/>
          </w:tcPr>
          <w:p>
            <w:pPr>
              <w:ind w:left="120"/>
              <w:spacing w:after="0"/>
              <w:rPr>
                <w:sz w:val="20"/>
                <w:szCs w:val="20"/>
                <w:color w:val="auto"/>
              </w:rPr>
            </w:pPr>
            <w:r>
              <w:rPr>
                <w:rFonts w:ascii="Arial" w:cs="Arial" w:eastAsia="Arial" w:hAnsi="Arial"/>
                <w:sz w:val="13"/>
                <w:szCs w:val="13"/>
                <w:color w:val="0000FF"/>
              </w:rPr>
              <w:t>03/09/2011</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03/09/2020</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8"/>
              <w:spacing w:after="0"/>
              <w:rPr>
                <w:sz w:val="20"/>
                <w:szCs w:val="20"/>
                <w:color w:val="auto"/>
              </w:rPr>
            </w:pPr>
            <w:r>
              <w:rPr>
                <w:rFonts w:ascii="Arial" w:cs="Arial" w:eastAsia="Arial" w:hAnsi="Arial"/>
                <w:sz w:val="17"/>
                <w:szCs w:val="17"/>
                <w:color w:val="0000FF"/>
                <w:w w:val="92"/>
              </w:rPr>
              <w:t>13,302</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33.49</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0"/>
              </w:rPr>
              <w:t>0.0000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37.185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03/02/2015</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5"/>
              </w:rPr>
              <w:t>23,230</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03/09/2012</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03/09/2021</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ind w:right="8"/>
              <w:spacing w:after="0"/>
              <w:rPr>
                <w:sz w:val="20"/>
                <w:szCs w:val="20"/>
                <w:color w:val="auto"/>
              </w:rPr>
            </w:pPr>
            <w:r>
              <w:rPr>
                <w:rFonts w:ascii="Arial" w:cs="Arial" w:eastAsia="Arial" w:hAnsi="Arial"/>
                <w:sz w:val="17"/>
                <w:szCs w:val="17"/>
                <w:color w:val="0000FF"/>
                <w:w w:val="92"/>
              </w:rPr>
              <w:t>23,230</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37.185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0"/>
              </w:rPr>
              <w:t>0.0000</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0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720" w:type="dxa"/>
            <w:vAlign w:val="bottom"/>
            <w:tcBorders>
              <w:bottom w:val="single" w:sz="8" w:color="2C2C2C"/>
            </w:tcBorders>
          </w:tcPr>
          <w:p>
            <w:pPr>
              <w:ind w:left="60"/>
              <w:spacing w:after="0" w:line="242" w:lineRule="exact"/>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1"/>
                <w:szCs w:val="21"/>
                <w:color w:val="auto"/>
              </w:rPr>
            </w:pPr>
          </w:p>
        </w:tc>
        <w:tc>
          <w:tcPr>
            <w:tcW w:w="1140" w:type="dxa"/>
            <w:vAlign w:val="bottom"/>
            <w:tcBorders>
              <w:bottom w:val="single" w:sz="8" w:color="2C2C2C"/>
            </w:tcBorders>
          </w:tcPr>
          <w:p>
            <w:pPr>
              <w:spacing w:after="0"/>
              <w:rPr>
                <w:sz w:val="21"/>
                <w:szCs w:val="21"/>
                <w:color w:val="auto"/>
              </w:rPr>
            </w:pPr>
          </w:p>
        </w:tc>
        <w:tc>
          <w:tcPr>
            <w:tcW w:w="1120" w:type="dxa"/>
            <w:vAlign w:val="bottom"/>
            <w:tcBorders>
              <w:bottom w:val="single" w:sz="8" w:color="2C2C2C"/>
            </w:tcBorders>
          </w:tcPr>
          <w:p>
            <w:pPr>
              <w:spacing w:after="0"/>
              <w:rPr>
                <w:sz w:val="21"/>
                <w:szCs w:val="21"/>
                <w:color w:val="auto"/>
              </w:rPr>
            </w:pPr>
          </w:p>
        </w:tc>
        <w:tc>
          <w:tcPr>
            <w:tcW w:w="8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34.935</w:t>
            </w:r>
          </w:p>
        </w:tc>
        <w:tc>
          <w:tcPr>
            <w:tcW w:w="1140" w:type="dxa"/>
            <w:vAlign w:val="bottom"/>
            <w:vMerge w:val="restart"/>
          </w:tcPr>
          <w:p>
            <w:pPr>
              <w:jc w:val="center"/>
              <w:spacing w:after="0"/>
              <w:rPr>
                <w:sz w:val="20"/>
                <w:szCs w:val="20"/>
                <w:color w:val="auto"/>
              </w:rPr>
            </w:pPr>
            <w:r>
              <w:rPr>
                <w:rFonts w:ascii="Arial" w:cs="Arial" w:eastAsia="Arial" w:hAnsi="Arial"/>
                <w:sz w:val="13"/>
                <w:szCs w:val="13"/>
                <w:color w:val="0000FF"/>
                <w:w w:val="95"/>
              </w:rPr>
              <w:t>03/02/2015</w:t>
            </w:r>
          </w:p>
        </w:tc>
        <w:tc>
          <w:tcPr>
            <w:tcW w:w="1120" w:type="dxa"/>
            <w:vAlign w:val="bottom"/>
          </w:tcPr>
          <w:p>
            <w:pPr>
              <w:spacing w:after="0"/>
              <w:rPr>
                <w:sz w:val="12"/>
                <w:szCs w:val="12"/>
                <w:color w:val="auto"/>
              </w:rPr>
            </w:pPr>
          </w:p>
        </w:tc>
        <w:tc>
          <w:tcPr>
            <w:tcW w:w="84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820" w:type="dxa"/>
            <w:vAlign w:val="bottom"/>
            <w:vMerge w:val="restart"/>
          </w:tcPr>
          <w:p>
            <w:pPr>
              <w:jc w:val="center"/>
              <w:ind w:left="258"/>
              <w:spacing w:after="0"/>
              <w:rPr>
                <w:sz w:val="20"/>
                <w:szCs w:val="20"/>
                <w:color w:val="auto"/>
              </w:rPr>
            </w:pPr>
            <w:r>
              <w:rPr>
                <w:rFonts w:ascii="Arial" w:cs="Arial" w:eastAsia="Arial" w:hAnsi="Arial"/>
                <w:sz w:val="13"/>
                <w:szCs w:val="13"/>
                <w:color w:val="0000FF"/>
                <w:w w:val="92"/>
              </w:rPr>
              <w:t>4,512</w:t>
            </w:r>
          </w:p>
        </w:tc>
        <w:tc>
          <w:tcPr>
            <w:tcW w:w="820" w:type="dxa"/>
            <w:vAlign w:val="bottom"/>
            <w:vMerge w:val="restart"/>
          </w:tcPr>
          <w:p>
            <w:pPr>
              <w:ind w:left="100"/>
              <w:spacing w:after="0"/>
              <w:rPr>
                <w:sz w:val="20"/>
                <w:szCs w:val="20"/>
                <w:color w:val="auto"/>
              </w:rPr>
            </w:pPr>
            <w:r>
              <w:rPr>
                <w:rFonts w:ascii="Arial" w:cs="Arial" w:eastAsia="Arial" w:hAnsi="Arial"/>
                <w:sz w:val="13"/>
                <w:szCs w:val="13"/>
                <w:color w:val="0000FF"/>
              </w:rPr>
              <w:t>03/09/2013</w:t>
            </w: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03/09/2022</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4,512</w:t>
            </w:r>
          </w:p>
        </w:tc>
        <w:tc>
          <w:tcPr>
            <w:tcW w:w="720" w:type="dxa"/>
            <w:vAlign w:val="bottom"/>
            <w:vMerge w:val="restart"/>
          </w:tcPr>
          <w:p>
            <w:pPr>
              <w:jc w:val="center"/>
              <w:spacing w:after="0"/>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34.935</w:t>
            </w:r>
          </w:p>
        </w:tc>
        <w:tc>
          <w:tcPr>
            <w:tcW w:w="960" w:type="dxa"/>
            <w:vAlign w:val="bottom"/>
            <w:vMerge w:val="restart"/>
          </w:tcPr>
          <w:p>
            <w:pPr>
              <w:jc w:val="center"/>
              <w:spacing w:after="0"/>
              <w:rPr>
                <w:sz w:val="20"/>
                <w:szCs w:val="20"/>
                <w:color w:val="auto"/>
              </w:rPr>
            </w:pPr>
            <w:r>
              <w:rPr>
                <w:rFonts w:ascii="Arial" w:cs="Arial" w:eastAsia="Arial" w:hAnsi="Arial"/>
                <w:sz w:val="13"/>
                <w:szCs w:val="13"/>
                <w:color w:val="0000FF"/>
                <w:w w:val="92"/>
              </w:rPr>
              <w:t>4,513</w:t>
            </w:r>
          </w:p>
        </w:tc>
        <w:tc>
          <w:tcPr>
            <w:tcW w:w="7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0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54.54 to 54.78. The price reported above reflects the weighted average sale price. The reporting person hereby undertakes to provide upon request to the SEC staff, the issuer or a security holder of the issuer full information regarding the number of shares and prices at which the transacton was effected.</w:t>
      </w:r>
    </w:p>
    <w:p>
      <w:pPr>
        <w:spacing w:after="0" w:line="9" w:lineRule="exact"/>
        <w:rPr>
          <w:rFonts w:ascii="Arial" w:cs="Arial" w:eastAsia="Arial" w:hAnsi="Arial"/>
          <w:sz w:val="13"/>
          <w:szCs w:val="13"/>
          <w:color w:val="008000"/>
        </w:rPr>
      </w:pPr>
    </w:p>
    <w:p>
      <w:pPr>
        <w:ind w:left="40" w:right="3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2009 Stock Incentive Plan. The stock option vests 25% on the first and second anniversary of the date of grant with the remaining 50% on the third anniversary of the date of grant.</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5"/>
              </w:rPr>
              <w:t>Courtney Tippy, Attorney-in-</w:t>
            </w:r>
          </w:p>
        </w:tc>
        <w:tc>
          <w:tcPr>
            <w:tcW w:w="24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03/04/2015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470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2019-12-24T05:15:45Z</dcterms:created>
  <dcterms:modified xsi:type="dcterms:W3CDTF">2019-12-24T05:15:45Z</dcterms:modified>
</cp:coreProperties>
</file>