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12,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Annual Meeting of Stockholders of Waste Management, Inc. (the “Company”) held on May 12, 2020, a total of 367,426,884 shares of the Company’s common stock, out of a total of 423,627,187 shares of common stock outstanding and entitled to vote, were present in person or represented by proxies. The proposals set forth below were voted on by the Company’s stockholders. Each of the director nominees were elected, and the Company’s stockholders approved each of proposals 2, 3 and 4.</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Election to the Company’s Board of Directors of the following eight director nominees: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5300" w:type="dxa"/>
            <w:vAlign w:val="bottom"/>
            <w:gridSpan w:val="2"/>
          </w:tcPr>
          <w:p>
            <w:pPr>
              <w:ind w:left="2380"/>
              <w:spacing w:after="0"/>
              <w:rPr>
                <w:sz w:val="20"/>
                <w:szCs w:val="20"/>
                <w:color w:val="auto"/>
              </w:rPr>
            </w:pPr>
            <w:r>
              <w:rPr>
                <w:rFonts w:ascii="Arial" w:cs="Arial" w:eastAsia="Arial" w:hAnsi="Arial"/>
                <w:sz w:val="18"/>
                <w:szCs w:val="18"/>
                <w:b w:val="1"/>
                <w:bCs w:val="1"/>
                <w:color w:val="auto"/>
              </w:rPr>
              <w:t>Name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Affirmative Votes</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Negative Votes</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Abstentions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Non-Votes</w:t>
            </w:r>
          </w:p>
        </w:tc>
      </w:tr>
      <w:tr>
        <w:trPr>
          <w:trHeight w:val="209"/>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299,155,493</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13,127,073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424,930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54,719,388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James C. Fish, Jr.</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308,997,590</w:t>
            </w:r>
          </w:p>
        </w:tc>
        <w:tc>
          <w:tcPr>
            <w:tcW w:w="2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3,302,060</w:t>
            </w:r>
          </w:p>
        </w:tc>
        <w:tc>
          <w:tcPr>
            <w:tcW w:w="220" w:type="dxa"/>
            <w:vAlign w:val="bottom"/>
          </w:tcPr>
          <w:p>
            <w:pPr>
              <w:spacing w:after="0"/>
              <w:rPr>
                <w:sz w:val="18"/>
                <w:szCs w:val="18"/>
                <w:color w:val="auto"/>
              </w:rPr>
            </w:pP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89"/>
              </w:rPr>
              <w:t>407,846</w:t>
            </w:r>
          </w:p>
        </w:tc>
        <w:tc>
          <w:tcPr>
            <w:tcW w:w="2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54,719,388</w:t>
            </w: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310,290,557</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1,958,991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457,948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54,719,388</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Victoria M. Holt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181,760,684</w:t>
            </w:r>
          </w:p>
        </w:tc>
        <w:tc>
          <w:tcPr>
            <w:tcW w:w="2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w w:val="99"/>
              </w:rPr>
              <w:t>129,447,656</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9"/>
              </w:rPr>
              <w:t>1,449,156</w:t>
            </w:r>
          </w:p>
        </w:tc>
        <w:tc>
          <w:tcPr>
            <w:tcW w:w="2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54,719,388</w:t>
            </w: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Mazzarella</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302,942,559</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9,296,867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468,070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54,719,388</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William B. Plummer</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306,728,291</w:t>
            </w:r>
          </w:p>
        </w:tc>
        <w:tc>
          <w:tcPr>
            <w:tcW w:w="2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5,521,207</w:t>
            </w:r>
          </w:p>
        </w:tc>
        <w:tc>
          <w:tcPr>
            <w:tcW w:w="220" w:type="dxa"/>
            <w:vAlign w:val="bottom"/>
          </w:tcPr>
          <w:p>
            <w:pPr>
              <w:spacing w:after="0"/>
              <w:rPr>
                <w:sz w:val="18"/>
                <w:szCs w:val="18"/>
                <w:color w:val="auto"/>
              </w:rPr>
            </w:pP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89"/>
              </w:rPr>
              <w:t>457,998</w:t>
            </w:r>
          </w:p>
        </w:tc>
        <w:tc>
          <w:tcPr>
            <w:tcW w:w="2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54,719,388</w:t>
            </w: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267,406,110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44,873,819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427,567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54,719,388</w:t>
            </w:r>
          </w:p>
        </w:tc>
        <w:tc>
          <w:tcPr>
            <w:tcW w:w="100" w:type="dxa"/>
            <w:vAlign w:val="bottom"/>
            <w:shd w:val="clear" w:color="auto" w:fill="CCEEFF"/>
          </w:tcPr>
          <w:p>
            <w:pPr>
              <w:spacing w:after="0"/>
              <w:rPr>
                <w:sz w:val="18"/>
                <w:szCs w:val="18"/>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291,161,110</w:t>
            </w:r>
          </w:p>
        </w:tc>
        <w:tc>
          <w:tcPr>
            <w:tcW w:w="22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21,107,629</w:t>
            </w:r>
          </w:p>
        </w:tc>
        <w:tc>
          <w:tcPr>
            <w:tcW w:w="22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89"/>
              </w:rPr>
              <w:t>438,757</w:t>
            </w:r>
          </w:p>
        </w:tc>
        <w:tc>
          <w:tcPr>
            <w:tcW w:w="2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54,719,388</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firstLine="449"/>
        <w:spacing w:after="0" w:line="277" w:lineRule="auto"/>
        <w:tabs>
          <w:tab w:leader="none" w:pos="627"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3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Against</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Abstentions</w:t>
            </w:r>
          </w:p>
        </w:tc>
      </w:tr>
      <w:tr>
        <w:trPr>
          <w:trHeight w:val="209"/>
        </w:trPr>
        <w:tc>
          <w:tcPr>
            <w:tcW w:w="3820" w:type="dxa"/>
            <w:vAlign w:val="bottom"/>
            <w:tcBorders>
              <w:top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rPr>
              <w:t>359,784,976</w:t>
            </w:r>
          </w:p>
        </w:tc>
        <w:tc>
          <w:tcPr>
            <w:tcW w:w="26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rPr>
              <w:t>6,944,739</w:t>
            </w:r>
          </w:p>
        </w:tc>
        <w:tc>
          <w:tcPr>
            <w:tcW w:w="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697,169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Approval, by non-binding vote, of the Company’s executive compensation as described in the Company’s 2020 proxy statement: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2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Against</w:t>
            </w: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304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297,892,941</w:t>
            </w: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13,378,394</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1,436,161</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54,719,388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Approval to amend and restate the Company’s Employee Stock Purchase Plan to authorize additional shares for issuance: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196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Against</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304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309,572,986</w:t>
            </w:r>
          </w:p>
        </w:tc>
        <w:tc>
          <w:tcPr>
            <w:tcW w:w="2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2,396,101</w:t>
            </w: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738,409</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54,719,388</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left="40"/>
        <w:spacing w:after="0"/>
        <w:tabs>
          <w:tab w:leader="none" w:pos="10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May 13, 2014, the stockholders of the Company approved adoption of the Waste Management, Inc. 2014 Stock Incentive Plan (the “Plan”). On May 12, 2020, the Board of Directors of the Company amended the Plan to provide that any future shares surrendered in payment of the exercise price or purchase price of an award pursuant to the Plan, and any future shares withheld for payment of applicable employment taxes and/or withholding obligations associated with an award pursuant to the Plan, shall be deemed issued and shall no longer be available for the grant of another award under the Plan. This description is qualified in its entirety by reference to the First Amendment to the Plan, filed herewith as Exhibit 10.2.</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1024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8"/>
        </w:trPr>
        <w:tc>
          <w:tcPr>
            <w:tcW w:w="1000" w:type="dxa"/>
            <w:vAlign w:val="bottom"/>
            <w:gridSpan w:val="2"/>
            <w:vMerge w:val="continue"/>
          </w:tcPr>
          <w:p>
            <w:pPr>
              <w:spacing w:after="0"/>
              <w:rPr>
                <w:sz w:val="18"/>
                <w:szCs w:val="18"/>
                <w:color w:val="auto"/>
              </w:rPr>
            </w:pPr>
          </w:p>
        </w:tc>
        <w:tc>
          <w:tcPr>
            <w:tcW w:w="4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4100" w:type="dxa"/>
            <w:vAlign w:val="bottom"/>
          </w:tcPr>
          <w:p>
            <w:pPr>
              <w:spacing w:after="0"/>
              <w:rPr>
                <w:sz w:val="20"/>
                <w:szCs w:val="20"/>
                <w:color w:val="auto"/>
              </w:rPr>
            </w:pPr>
          </w:p>
        </w:tc>
        <w:tc>
          <w:tcPr>
            <w:tcW w:w="6140" w:type="dxa"/>
            <w:vAlign w:val="bottom"/>
            <w:gridSpan w:val="2"/>
          </w:tcPr>
          <w:p>
            <w:pPr>
              <w:ind w:left="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4"/>
        </w:trPr>
        <w:tc>
          <w:tcPr>
            <w:tcW w:w="90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p>
        </w:tc>
        <w:tc>
          <w:tcPr>
            <w:tcW w:w="100" w:type="dxa"/>
            <w:vAlign w:val="bottom"/>
          </w:tcPr>
          <w:p>
            <w:pPr>
              <w:spacing w:after="0"/>
              <w:rPr>
                <w:sz w:val="19"/>
                <w:szCs w:val="19"/>
                <w:color w:val="auto"/>
              </w:rPr>
            </w:pPr>
          </w:p>
        </w:tc>
        <w:tc>
          <w:tcPr>
            <w:tcW w:w="10240" w:type="dxa"/>
            <w:vAlign w:val="bottom"/>
            <w:tcBorders>
              <w:top w:val="single" w:sz="8" w:color="auto"/>
            </w:tcBorders>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Waste Management, Inc. Employee Stock Purchase Plan (As Amended and Restated Effective May 12, 2020)</w:t>
              </w:r>
            </w:hyperlink>
          </w:p>
        </w:tc>
        <w:tc>
          <w:tcPr>
            <w:tcW w:w="0" w:type="dxa"/>
            <w:vAlign w:val="bottom"/>
          </w:tcPr>
          <w:p>
            <w:pPr>
              <w:spacing w:after="0"/>
              <w:rPr>
                <w:sz w:val="1"/>
                <w:szCs w:val="1"/>
                <w:color w:val="auto"/>
              </w:rPr>
            </w:pPr>
          </w:p>
        </w:tc>
      </w:tr>
      <w:tr>
        <w:trPr>
          <w:trHeight w:val="418"/>
        </w:trPr>
        <w:tc>
          <w:tcPr>
            <w:tcW w:w="90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10.2</w:t>
              </w:r>
            </w:hyperlink>
          </w:p>
        </w:tc>
        <w:tc>
          <w:tcPr>
            <w:tcW w:w="10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First Amendment to the Waste Management, Inc. 2014 Stock Incentive Plan</w:t>
              </w:r>
            </w:hyperlink>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80" w:right="4460" w:hanging="5572"/>
        <w:spacing w:after="0" w:line="778" w:lineRule="auto"/>
        <w:tabs>
          <w:tab w:leader="none" w:pos="100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WASTE MANAGEMENT, INC.</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May 15, 2020</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Executive Vice President, Corporate Development</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and Chief Legal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Amended and Restated Effective May 12, 2020)</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Waste Management, Inc. Employee Stock Purchase Plan (the “Plan”) has been established for the benefit of its eligible employees, and is hereby amended and restated, effective as of the date upon which shareholder approval is obtained pursuant to Section 17. The terms of the amended and restated Plan are set forth below.</w:t>
      </w:r>
    </w:p>
    <w:p>
      <w:pPr>
        <w:spacing w:after="0" w:line="18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60"/>
        <w:spacing w:after="0"/>
        <w:rPr>
          <w:rFonts w:ascii="Arial" w:cs="Arial" w:eastAsia="Arial" w:hAnsi="Arial"/>
          <w:sz w:val="18"/>
          <w:szCs w:val="18"/>
          <w:color w:val="010000"/>
        </w:rPr>
      </w:pPr>
      <w:r>
        <w:rPr>
          <w:rFonts w:ascii="Arial" w:cs="Arial" w:eastAsia="Arial" w:hAnsi="Arial"/>
          <w:sz w:val="18"/>
          <w:szCs w:val="18"/>
          <w:color w:val="auto"/>
        </w:rPr>
        <w:t>As used in the Plan the following terms shall have the meanings set forth below:</w:t>
      </w:r>
    </w:p>
    <w:p>
      <w:pPr>
        <w:spacing w:after="0" w:line="225" w:lineRule="exact"/>
        <w:rPr>
          <w:rFonts w:ascii="Arial" w:cs="Arial" w:eastAsia="Arial" w:hAnsi="Arial"/>
          <w:sz w:val="18"/>
          <w:szCs w:val="18"/>
          <w:color w:val="010000"/>
        </w:rPr>
      </w:pPr>
    </w:p>
    <w:p>
      <w:pPr>
        <w:ind w:left="1540" w:hanging="884"/>
        <w:spacing w:after="0"/>
        <w:tabs>
          <w:tab w:leader="none" w:pos="1540" w:val="left"/>
        </w:tabs>
        <w:numPr>
          <w:ilvl w:val="1"/>
          <w:numId w:val="4"/>
        </w:numPr>
        <w:rPr>
          <w:rFonts w:ascii="Arial" w:cs="Arial" w:eastAsia="Arial" w:hAnsi="Arial"/>
          <w:sz w:val="18"/>
          <w:szCs w:val="18"/>
          <w:color w:val="010000"/>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010000"/>
        </w:rPr>
      </w:pPr>
    </w:p>
    <w:p>
      <w:pPr>
        <w:ind w:left="1540" w:hanging="884"/>
        <w:spacing w:after="0"/>
        <w:tabs>
          <w:tab w:leader="none" w:pos="1540" w:val="left"/>
        </w:tabs>
        <w:numPr>
          <w:ilvl w:val="1"/>
          <w:numId w:val="4"/>
        </w:numPr>
        <w:rPr>
          <w:rFonts w:ascii="Arial" w:cs="Arial" w:eastAsia="Arial" w:hAnsi="Arial"/>
          <w:sz w:val="18"/>
          <w:szCs w:val="18"/>
          <w:color w:val="010000"/>
        </w:rPr>
      </w:pPr>
      <w:r>
        <w:rPr>
          <w:rFonts w:ascii="Arial" w:cs="Arial" w:eastAsia="Arial" w:hAnsi="Arial"/>
          <w:sz w:val="18"/>
          <w:szCs w:val="18"/>
          <w:color w:val="auto"/>
        </w:rPr>
        <w:t>“Code” means the Internal Revenue Code of 1986, as amended, and the regulations issued thereunder.</w:t>
      </w:r>
    </w:p>
    <w:p>
      <w:pPr>
        <w:spacing w:after="0" w:line="225" w:lineRule="exact"/>
        <w:rPr>
          <w:rFonts w:ascii="Arial" w:cs="Arial" w:eastAsia="Arial" w:hAnsi="Arial"/>
          <w:sz w:val="18"/>
          <w:szCs w:val="18"/>
          <w:color w:val="010000"/>
        </w:rPr>
      </w:pPr>
    </w:p>
    <w:p>
      <w:pPr>
        <w:ind w:right="20" w:firstLine="656"/>
        <w:spacing w:after="0" w:line="277" w:lineRule="auto"/>
        <w:tabs>
          <w:tab w:leader="none" w:pos="1698" w:val="left"/>
        </w:tabs>
        <w:numPr>
          <w:ilvl w:val="1"/>
          <w:numId w:val="4"/>
        </w:numPr>
        <w:rPr>
          <w:rFonts w:ascii="Arial" w:cs="Arial" w:eastAsia="Arial" w:hAnsi="Arial"/>
          <w:sz w:val="18"/>
          <w:szCs w:val="18"/>
          <w:color w:val="010000"/>
        </w:rPr>
      </w:pPr>
      <w:r>
        <w:rPr>
          <w:rFonts w:ascii="Arial" w:cs="Arial" w:eastAsia="Arial" w:hAnsi="Arial"/>
          <w:sz w:val="18"/>
          <w:szCs w:val="18"/>
          <w:color w:val="auto"/>
        </w:rPr>
        <w:t>“Committee” means the Administrative Committee of the Waste Management Employee Benefit Plans appointed by the Board to administer the Plan as described in Section 4 below, or such other committee appointed by the Board.</w:t>
      </w:r>
    </w:p>
    <w:p>
      <w:pPr>
        <w:spacing w:after="0" w:line="170" w:lineRule="exact"/>
        <w:rPr>
          <w:rFonts w:ascii="Arial" w:cs="Arial" w:eastAsia="Arial" w:hAnsi="Arial"/>
          <w:sz w:val="18"/>
          <w:szCs w:val="18"/>
          <w:color w:val="010000"/>
        </w:rPr>
      </w:pPr>
    </w:p>
    <w:p>
      <w:pPr>
        <w:ind w:left="1540" w:hanging="884"/>
        <w:spacing w:after="0"/>
        <w:tabs>
          <w:tab w:leader="none" w:pos="1540" w:val="left"/>
        </w:tabs>
        <w:numPr>
          <w:ilvl w:val="1"/>
          <w:numId w:val="4"/>
        </w:numPr>
        <w:rPr>
          <w:rFonts w:ascii="Arial" w:cs="Arial" w:eastAsia="Arial" w:hAnsi="Arial"/>
          <w:sz w:val="18"/>
          <w:szCs w:val="18"/>
          <w:color w:val="010000"/>
        </w:rPr>
      </w:pPr>
      <w:r>
        <w:rPr>
          <w:rFonts w:ascii="Arial" w:cs="Arial" w:eastAsia="Arial" w:hAnsi="Arial"/>
          <w:sz w:val="18"/>
          <w:szCs w:val="18"/>
          <w:color w:val="auto"/>
        </w:rPr>
        <w:t>“Common Stock” means the common stock, $0.01 par value, of the Company.</w:t>
      </w:r>
    </w:p>
    <w:p>
      <w:pPr>
        <w:spacing w:after="0" w:line="225" w:lineRule="exact"/>
        <w:rPr>
          <w:rFonts w:ascii="Arial" w:cs="Arial" w:eastAsia="Arial" w:hAnsi="Arial"/>
          <w:sz w:val="18"/>
          <w:szCs w:val="18"/>
          <w:color w:val="010000"/>
        </w:rPr>
      </w:pPr>
    </w:p>
    <w:p>
      <w:pPr>
        <w:ind w:right="20" w:firstLine="656"/>
        <w:spacing w:after="0" w:line="277" w:lineRule="auto"/>
        <w:tabs>
          <w:tab w:leader="none" w:pos="1846" w:val="left"/>
        </w:tabs>
        <w:numPr>
          <w:ilvl w:val="1"/>
          <w:numId w:val="4"/>
        </w:numPr>
        <w:rPr>
          <w:rFonts w:ascii="Arial" w:cs="Arial" w:eastAsia="Arial" w:hAnsi="Arial"/>
          <w:sz w:val="18"/>
          <w:szCs w:val="18"/>
          <w:color w:val="010000"/>
        </w:rPr>
      </w:pPr>
      <w:r>
        <w:rPr>
          <w:rFonts w:ascii="Arial" w:cs="Arial" w:eastAsia="Arial" w:hAnsi="Arial"/>
          <w:sz w:val="18"/>
          <w:szCs w:val="18"/>
          <w:color w:val="auto"/>
        </w:rPr>
        <w:t>“Company” means Waste Management, Inc., a Delaware corporation, or any successor corporation by merger, reorganization, consolidation or otherwise.</w:t>
      </w:r>
    </w:p>
    <w:p>
      <w:pPr>
        <w:spacing w:after="0" w:line="170" w:lineRule="exact"/>
        <w:rPr>
          <w:rFonts w:ascii="Arial" w:cs="Arial" w:eastAsia="Arial" w:hAnsi="Arial"/>
          <w:sz w:val="18"/>
          <w:szCs w:val="18"/>
          <w:color w:val="010000"/>
        </w:rPr>
      </w:pPr>
    </w:p>
    <w:p>
      <w:pPr>
        <w:jc w:val="both"/>
        <w:ind w:firstLine="656"/>
        <w:spacing w:after="0" w:line="259" w:lineRule="auto"/>
        <w:tabs>
          <w:tab w:leader="none" w:pos="1871" w:val="left"/>
        </w:tabs>
        <w:numPr>
          <w:ilvl w:val="1"/>
          <w:numId w:val="4"/>
        </w:numPr>
        <w:rPr>
          <w:rFonts w:ascii="Arial" w:cs="Arial" w:eastAsia="Arial" w:hAnsi="Arial"/>
          <w:sz w:val="18"/>
          <w:szCs w:val="18"/>
          <w:color w:val="010000"/>
        </w:rPr>
      </w:pPr>
      <w:r>
        <w:rPr>
          <w:rFonts w:ascii="Arial" w:cs="Arial" w:eastAsia="Arial" w:hAnsi="Arial"/>
          <w:sz w:val="18"/>
          <w:szCs w:val="18"/>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829" w:val="left"/>
        </w:tabs>
        <w:numPr>
          <w:ilvl w:val="1"/>
          <w:numId w:val="4"/>
        </w:numPr>
        <w:rPr>
          <w:rFonts w:ascii="Arial" w:cs="Arial" w:eastAsia="Arial" w:hAnsi="Arial"/>
          <w:sz w:val="18"/>
          <w:szCs w:val="18"/>
          <w:color w:val="010000"/>
        </w:rPr>
      </w:pPr>
      <w:r>
        <w:rPr>
          <w:rFonts w:ascii="Arial" w:cs="Arial" w:eastAsia="Arial" w:hAnsi="Arial"/>
          <w:sz w:val="18"/>
          <w:szCs w:val="18"/>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187" w:lineRule="exact"/>
        <w:rPr>
          <w:rFonts w:ascii="Arial" w:cs="Arial" w:eastAsia="Arial" w:hAnsi="Arial"/>
          <w:sz w:val="18"/>
          <w:szCs w:val="18"/>
          <w:color w:val="010000"/>
        </w:rPr>
      </w:pPr>
    </w:p>
    <w:p>
      <w:pPr>
        <w:jc w:val="both"/>
        <w:ind w:firstLine="656"/>
        <w:spacing w:after="0" w:line="279" w:lineRule="auto"/>
        <w:tabs>
          <w:tab w:leader="none" w:pos="1586" w:val="left"/>
        </w:tabs>
        <w:numPr>
          <w:ilvl w:val="1"/>
          <w:numId w:val="4"/>
        </w:numPr>
        <w:rPr>
          <w:rFonts w:ascii="Arial" w:cs="Arial" w:eastAsia="Arial" w:hAnsi="Arial"/>
          <w:sz w:val="17"/>
          <w:szCs w:val="17"/>
          <w:color w:val="010000"/>
        </w:rPr>
      </w:pPr>
      <w:r>
        <w:rPr>
          <w:rFonts w:ascii="Arial" w:cs="Arial" w:eastAsia="Arial" w:hAnsi="Arial"/>
          <w:sz w:val="17"/>
          <w:szCs w:val="17"/>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1460" w:hanging="804"/>
        <w:spacing w:after="0"/>
        <w:tabs>
          <w:tab w:leader="none" w:pos="1460" w:val="left"/>
        </w:tabs>
        <w:numPr>
          <w:ilvl w:val="1"/>
          <w:numId w:val="5"/>
        </w:numPr>
        <w:rPr>
          <w:rFonts w:ascii="Arial" w:cs="Arial" w:eastAsia="Arial" w:hAnsi="Arial"/>
          <w:sz w:val="18"/>
          <w:szCs w:val="18"/>
          <w:color w:val="010000"/>
        </w:rPr>
      </w:pPr>
      <w:r>
        <w:rPr>
          <w:rFonts w:ascii="Arial" w:cs="Arial" w:eastAsia="Arial" w:hAnsi="Arial"/>
          <w:sz w:val="18"/>
          <w:szCs w:val="18"/>
          <w:color w:val="auto"/>
        </w:rPr>
        <w:t>“Enrollment Date” means the first business day of each Offering Period.</w:t>
      </w:r>
    </w:p>
    <w:p>
      <w:pPr>
        <w:spacing w:after="0" w:line="225" w:lineRule="exact"/>
        <w:rPr>
          <w:rFonts w:ascii="Arial" w:cs="Arial" w:eastAsia="Arial" w:hAnsi="Arial"/>
          <w:sz w:val="18"/>
          <w:szCs w:val="18"/>
          <w:color w:val="010000"/>
        </w:rPr>
      </w:pPr>
    </w:p>
    <w:p>
      <w:pPr>
        <w:ind w:left="1500" w:hanging="844"/>
        <w:spacing w:after="0"/>
        <w:tabs>
          <w:tab w:leader="none" w:pos="1500" w:val="left"/>
        </w:tabs>
        <w:numPr>
          <w:ilvl w:val="1"/>
          <w:numId w:val="5"/>
        </w:numPr>
        <w:rPr>
          <w:rFonts w:ascii="Arial" w:cs="Arial" w:eastAsia="Arial" w:hAnsi="Arial"/>
          <w:sz w:val="18"/>
          <w:szCs w:val="18"/>
          <w:color w:val="010000"/>
        </w:rPr>
      </w:pPr>
      <w:r>
        <w:rPr>
          <w:rFonts w:ascii="Arial" w:cs="Arial" w:eastAsia="Arial" w:hAnsi="Arial"/>
          <w:sz w:val="18"/>
          <w:szCs w:val="18"/>
          <w:color w:val="auto"/>
        </w:rPr>
        <w:t>“Exercise Date” means the last business day of each Offering Period.</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528" w:val="left"/>
        </w:tabs>
        <w:numPr>
          <w:ilvl w:val="1"/>
          <w:numId w:val="5"/>
        </w:numPr>
        <w:rPr>
          <w:rFonts w:ascii="Arial" w:cs="Arial" w:eastAsia="Arial" w:hAnsi="Arial"/>
          <w:sz w:val="18"/>
          <w:szCs w:val="18"/>
          <w:color w:val="010000"/>
        </w:rPr>
      </w:pPr>
      <w:r>
        <w:rPr>
          <w:rFonts w:ascii="Arial" w:cs="Arial" w:eastAsia="Arial" w:hAnsi="Arial"/>
          <w:sz w:val="18"/>
          <w:szCs w:val="18"/>
          <w:color w:val="auto"/>
        </w:rPr>
        <w:t>“Exercise Price” means the price per share of Common Stock offered in a given Offering Period, which shall be the lower of: (i) 85% of the Fair Market Value of a share of the Common Stock on the Enrollment Date of such Offering Period, or (ii) 85% of the Fair Market Value of a share of the Common Stock on the Exercise Date of such Offering Period.</w:t>
      </w:r>
    </w:p>
    <w:p>
      <w:pPr>
        <w:spacing w:after="0" w:line="183" w:lineRule="exact"/>
        <w:rPr>
          <w:rFonts w:ascii="Arial" w:cs="Arial" w:eastAsia="Arial" w:hAnsi="Arial"/>
          <w:sz w:val="18"/>
          <w:szCs w:val="18"/>
          <w:color w:val="010000"/>
        </w:rPr>
      </w:pPr>
    </w:p>
    <w:p>
      <w:pPr>
        <w:jc w:val="both"/>
        <w:ind w:firstLine="656"/>
        <w:spacing w:after="0" w:line="257" w:lineRule="auto"/>
        <w:tabs>
          <w:tab w:leader="none" w:pos="1506" w:val="left"/>
        </w:tabs>
        <w:numPr>
          <w:ilvl w:val="1"/>
          <w:numId w:val="5"/>
        </w:numPr>
        <w:rPr>
          <w:rFonts w:ascii="Arial" w:cs="Arial" w:eastAsia="Arial" w:hAnsi="Arial"/>
          <w:sz w:val="18"/>
          <w:szCs w:val="18"/>
          <w:color w:val="010000"/>
        </w:rPr>
      </w:pPr>
      <w:r>
        <w:rPr>
          <w:rFonts w:ascii="Arial" w:cs="Arial" w:eastAsia="Arial" w:hAnsi="Arial"/>
          <w:sz w:val="18"/>
          <w:szCs w:val="18"/>
          <w:color w:val="auto"/>
        </w:rPr>
        <w:t xml:space="preserve">“Fair Market Value” means, with respect to a share of Common Stock as of any Enrollment Date or Exercise Date, the closing price of such Common Stock on the New York Stock Exchange on such date,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187" w:lineRule="exact"/>
        <w:rPr>
          <w:rFonts w:ascii="Arial" w:cs="Arial" w:eastAsia="Arial" w:hAnsi="Arial"/>
          <w:sz w:val="18"/>
          <w:szCs w:val="18"/>
          <w:color w:val="010000"/>
        </w:rPr>
      </w:pPr>
    </w:p>
    <w:p>
      <w:pPr>
        <w:jc w:val="both"/>
        <w:ind w:firstLine="656"/>
        <w:spacing w:after="0" w:line="263" w:lineRule="auto"/>
        <w:tabs>
          <w:tab w:leader="none" w:pos="1749" w:val="left"/>
        </w:tabs>
        <w:numPr>
          <w:ilvl w:val="1"/>
          <w:numId w:val="5"/>
        </w:numPr>
        <w:rPr>
          <w:rFonts w:ascii="Arial" w:cs="Arial" w:eastAsia="Arial" w:hAnsi="Arial"/>
          <w:sz w:val="18"/>
          <w:szCs w:val="18"/>
          <w:color w:val="010000"/>
        </w:rPr>
      </w:pPr>
      <w:r>
        <w:rPr>
          <w:rFonts w:ascii="Arial" w:cs="Arial" w:eastAsia="Arial" w:hAnsi="Arial"/>
          <w:sz w:val="18"/>
          <w:szCs w:val="18"/>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183" w:lineRule="exact"/>
        <w:rPr>
          <w:rFonts w:ascii="Arial" w:cs="Arial" w:eastAsia="Arial" w:hAnsi="Arial"/>
          <w:sz w:val="18"/>
          <w:szCs w:val="18"/>
          <w:color w:val="010000"/>
        </w:rPr>
      </w:pPr>
    </w:p>
    <w:p>
      <w:pPr>
        <w:jc w:val="both"/>
        <w:ind w:firstLine="656"/>
        <w:spacing w:after="0" w:line="279" w:lineRule="auto"/>
        <w:tabs>
          <w:tab w:leader="none" w:pos="1600" w:val="left"/>
        </w:tabs>
        <w:numPr>
          <w:ilvl w:val="1"/>
          <w:numId w:val="5"/>
        </w:numPr>
        <w:rPr>
          <w:rFonts w:ascii="Arial" w:cs="Arial" w:eastAsia="Arial" w:hAnsi="Arial"/>
          <w:sz w:val="17"/>
          <w:szCs w:val="17"/>
          <w:color w:val="010000"/>
        </w:rPr>
      </w:pPr>
      <w:r>
        <w:rPr>
          <w:rFonts w:ascii="Arial" w:cs="Arial" w:eastAsia="Arial" w:hAnsi="Arial"/>
          <w:sz w:val="17"/>
          <w:szCs w:val="17"/>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171" w:lineRule="exact"/>
        <w:rPr>
          <w:rFonts w:ascii="Arial" w:cs="Arial" w:eastAsia="Arial" w:hAnsi="Arial"/>
          <w:sz w:val="17"/>
          <w:szCs w:val="17"/>
          <w:color w:val="010000"/>
        </w:rPr>
      </w:pPr>
    </w:p>
    <w:p>
      <w:pPr>
        <w:ind w:firstLine="656"/>
        <w:spacing w:after="0" w:line="277" w:lineRule="auto"/>
        <w:tabs>
          <w:tab w:leader="none" w:pos="1762" w:val="left"/>
        </w:tabs>
        <w:numPr>
          <w:ilvl w:val="1"/>
          <w:numId w:val="5"/>
        </w:numPr>
        <w:rPr>
          <w:rFonts w:ascii="Arial" w:cs="Arial" w:eastAsia="Arial" w:hAnsi="Arial"/>
          <w:sz w:val="18"/>
          <w:szCs w:val="18"/>
          <w:color w:val="010000"/>
        </w:rPr>
      </w:pPr>
      <w:r>
        <w:rPr>
          <w:rFonts w:ascii="Arial" w:cs="Arial" w:eastAsia="Arial" w:hAnsi="Arial"/>
          <w:sz w:val="18"/>
          <w:szCs w:val="18"/>
          <w:color w:val="auto"/>
        </w:rPr>
        <w:t>“Participant” means an Eligible Employee who has elected to participate in the Plan by filing an enrollment agreement with the Company as provided below in Section 6.</w:t>
      </w:r>
    </w:p>
    <w:p>
      <w:pPr>
        <w:spacing w:after="0" w:line="170" w:lineRule="exact"/>
        <w:rPr>
          <w:rFonts w:ascii="Arial" w:cs="Arial" w:eastAsia="Arial" w:hAnsi="Arial"/>
          <w:sz w:val="18"/>
          <w:szCs w:val="18"/>
          <w:color w:val="010000"/>
        </w:rPr>
      </w:pPr>
    </w:p>
    <w:p>
      <w:pPr>
        <w:ind w:left="1580" w:hanging="924"/>
        <w:spacing w:after="0"/>
        <w:tabs>
          <w:tab w:leader="none" w:pos="1580" w:val="left"/>
        </w:tabs>
        <w:numPr>
          <w:ilvl w:val="1"/>
          <w:numId w:val="5"/>
        </w:numPr>
        <w:rPr>
          <w:rFonts w:ascii="Arial" w:cs="Arial" w:eastAsia="Arial" w:hAnsi="Arial"/>
          <w:sz w:val="16"/>
          <w:szCs w:val="16"/>
          <w:color w:val="010000"/>
        </w:rPr>
      </w:pPr>
      <w:r>
        <w:rPr>
          <w:rFonts w:ascii="Arial" w:cs="Arial" w:eastAsia="Arial" w:hAnsi="Arial"/>
          <w:sz w:val="16"/>
          <w:szCs w:val="16"/>
          <w:color w:val="auto"/>
        </w:rPr>
        <w:t>“Participating Subsidiary” means any Subsidiary not excluded from participation in the Plan by the Committee, in its sole discretion.</w:t>
      </w:r>
    </w:p>
    <w:p>
      <w:pPr>
        <w:spacing w:after="0" w:line="248" w:lineRule="exact"/>
        <w:rPr>
          <w:rFonts w:ascii="Arial" w:cs="Arial" w:eastAsia="Arial" w:hAnsi="Arial"/>
          <w:sz w:val="16"/>
          <w:szCs w:val="16"/>
          <w:color w:val="010000"/>
        </w:rPr>
      </w:pPr>
    </w:p>
    <w:p>
      <w:pPr>
        <w:jc w:val="both"/>
        <w:ind w:firstLine="656"/>
        <w:spacing w:after="0" w:line="263" w:lineRule="auto"/>
        <w:tabs>
          <w:tab w:leader="none" w:pos="1573" w:val="left"/>
        </w:tabs>
        <w:numPr>
          <w:ilvl w:val="1"/>
          <w:numId w:val="5"/>
        </w:numPr>
        <w:rPr>
          <w:rFonts w:ascii="Arial" w:cs="Arial" w:eastAsia="Arial" w:hAnsi="Arial"/>
          <w:sz w:val="18"/>
          <w:szCs w:val="18"/>
          <w:color w:val="010000"/>
        </w:rPr>
      </w:pPr>
      <w:r>
        <w:rPr>
          <w:rFonts w:ascii="Arial" w:cs="Arial" w:eastAsia="Arial" w:hAnsi="Arial"/>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183"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i w:val="1"/>
          <w:iCs w:val="1"/>
          <w:u w:val="single" w:color="auto"/>
          <w:color w:val="auto"/>
        </w:rPr>
        <w:t>Purpose of the 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hanging="652"/>
        <w:spacing w:after="0"/>
        <w:tabs>
          <w:tab w:leader="none" w:pos="660" w:val="left"/>
        </w:tabs>
        <w:numPr>
          <w:ilvl w:val="0"/>
          <w:numId w:val="7"/>
        </w:numPr>
        <w:rPr>
          <w:rFonts w:ascii="Arial" w:cs="Arial" w:eastAsia="Arial" w:hAnsi="Arial"/>
          <w:sz w:val="18"/>
          <w:szCs w:val="18"/>
          <w:color w:val="010000"/>
        </w:rPr>
      </w:pPr>
      <w:r>
        <w:rPr>
          <w:rFonts w:ascii="Arial" w:cs="Arial" w:eastAsia="Arial" w:hAnsi="Arial"/>
          <w:sz w:val="18"/>
          <w:szCs w:val="18"/>
          <w:i w:val="1"/>
          <w:iCs w:val="1"/>
          <w:u w:val="single" w:color="auto"/>
          <w:color w:val="auto"/>
        </w:rPr>
        <w:t>Shares Reserved for the 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the effective date of this restatement, the Company shall reserve for issuance and purchase by Participants under the Plan an aggregate of 3,000,000 shares of Common Stock in addition to shares previously reserved under the Plan,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16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i w:val="1"/>
          <w:iCs w:val="1"/>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656"/>
        <w:spacing w:after="0" w:line="296" w:lineRule="auto"/>
        <w:tabs>
          <w:tab w:leader="none" w:pos="1563" w:val="left"/>
        </w:tabs>
        <w:numPr>
          <w:ilvl w:val="1"/>
          <w:numId w:val="8"/>
        </w:numPr>
        <w:rPr>
          <w:rFonts w:ascii="Arial" w:cs="Arial" w:eastAsia="Arial" w:hAnsi="Arial"/>
          <w:sz w:val="16"/>
          <w:szCs w:val="16"/>
          <w:color w:val="010000"/>
        </w:rPr>
      </w:pPr>
      <w:r>
        <w:rPr>
          <w:rFonts w:ascii="Arial" w:cs="Arial" w:eastAsia="Arial" w:hAnsi="Arial"/>
          <w:sz w:val="16"/>
          <w:szCs w:val="16"/>
          <w:color w:val="auto"/>
        </w:rPr>
        <w:t>The Committee has been appointed by the Board to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161" w:lineRule="exact"/>
        <w:rPr>
          <w:rFonts w:ascii="Arial" w:cs="Arial" w:eastAsia="Arial" w:hAnsi="Arial"/>
          <w:sz w:val="16"/>
          <w:szCs w:val="16"/>
          <w:color w:val="010000"/>
        </w:rPr>
      </w:pPr>
    </w:p>
    <w:p>
      <w:pPr>
        <w:jc w:val="both"/>
        <w:ind w:firstLine="656"/>
        <w:spacing w:after="0" w:line="263" w:lineRule="auto"/>
        <w:tabs>
          <w:tab w:leader="none" w:pos="1559" w:val="left"/>
        </w:tabs>
        <w:numPr>
          <w:ilvl w:val="1"/>
          <w:numId w:val="8"/>
        </w:numPr>
        <w:rPr>
          <w:rFonts w:ascii="Arial" w:cs="Arial" w:eastAsia="Arial" w:hAnsi="Arial"/>
          <w:sz w:val="18"/>
          <w:szCs w:val="18"/>
          <w:color w:val="010000"/>
        </w:rPr>
      </w:pPr>
      <w:r>
        <w:rPr>
          <w:rFonts w:ascii="Arial" w:cs="Arial" w:eastAsia="Arial" w:hAnsi="Arial"/>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83" w:lineRule="exact"/>
        <w:rPr>
          <w:rFonts w:ascii="Arial" w:cs="Arial" w:eastAsia="Arial" w:hAnsi="Arial"/>
          <w:sz w:val="18"/>
          <w:szCs w:val="18"/>
          <w:color w:val="010000"/>
        </w:rPr>
      </w:pPr>
    </w:p>
    <w:p>
      <w:pPr>
        <w:ind w:left="660" w:hanging="652"/>
        <w:spacing w:after="0"/>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i w:val="1"/>
          <w:iCs w:val="1"/>
          <w:u w:val="single" w:color="auto"/>
          <w:color w:val="auto"/>
        </w:rPr>
        <w:t>Eligibility to Participate in the Plan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14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010000"/>
        </w:rPr>
      </w:pPr>
      <w:r>
        <w:rPr>
          <w:rFonts w:ascii="Arial" w:cs="Arial" w:eastAsia="Arial" w:hAnsi="Arial"/>
          <w:sz w:val="18"/>
          <w:szCs w:val="18"/>
          <w:i w:val="1"/>
          <w:iCs w:val="1"/>
          <w:u w:val="single" w:color="auto"/>
          <w:color w:val="auto"/>
        </w:rPr>
        <w:t>Election to Participate in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725" w:val="left"/>
        </w:tabs>
        <w:numPr>
          <w:ilvl w:val="1"/>
          <w:numId w:val="9"/>
        </w:numPr>
        <w:rPr>
          <w:rFonts w:ascii="Arial" w:cs="Arial" w:eastAsia="Arial" w:hAnsi="Arial"/>
          <w:sz w:val="18"/>
          <w:szCs w:val="18"/>
          <w:color w:val="010000"/>
        </w:rPr>
      </w:pPr>
      <w:r>
        <w:rPr>
          <w:rFonts w:ascii="Arial" w:cs="Arial" w:eastAsia="Arial" w:hAnsi="Arial"/>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183" w:lineRule="exact"/>
        <w:rPr>
          <w:rFonts w:ascii="Arial" w:cs="Arial" w:eastAsia="Arial" w:hAnsi="Arial"/>
          <w:sz w:val="18"/>
          <w:szCs w:val="18"/>
          <w:color w:val="010000"/>
        </w:rPr>
      </w:pPr>
    </w:p>
    <w:p>
      <w:pPr>
        <w:jc w:val="both"/>
        <w:ind w:firstLine="656"/>
        <w:spacing w:after="0" w:line="257" w:lineRule="auto"/>
        <w:tabs>
          <w:tab w:leader="none" w:pos="1586" w:val="left"/>
        </w:tabs>
        <w:numPr>
          <w:ilvl w:val="1"/>
          <w:numId w:val="9"/>
        </w:numPr>
        <w:rPr>
          <w:rFonts w:ascii="Arial" w:cs="Arial" w:eastAsia="Arial" w:hAnsi="Arial"/>
          <w:sz w:val="18"/>
          <w:szCs w:val="18"/>
          <w:color w:val="010000"/>
        </w:rPr>
      </w:pPr>
      <w:r>
        <w:rPr>
          <w:rFonts w:ascii="Arial" w:cs="Arial" w:eastAsia="Arial" w:hAnsi="Arial"/>
          <w:sz w:val="18"/>
          <w:szCs w:val="18"/>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52" w:hanging="652"/>
        <w:spacing w:after="0"/>
        <w:tabs>
          <w:tab w:leader="none" w:pos="652" w:val="left"/>
        </w:tabs>
        <w:numPr>
          <w:ilvl w:val="0"/>
          <w:numId w:val="10"/>
        </w:numPr>
        <w:rPr>
          <w:rFonts w:ascii="Arial" w:cs="Arial" w:eastAsia="Arial" w:hAnsi="Arial"/>
          <w:sz w:val="18"/>
          <w:szCs w:val="18"/>
          <w:color w:val="010000"/>
        </w:rPr>
      </w:pPr>
      <w:r>
        <w:rPr>
          <w:rFonts w:ascii="Arial" w:cs="Arial" w:eastAsia="Arial" w:hAnsi="Arial"/>
          <w:sz w:val="18"/>
          <w:szCs w:val="18"/>
          <w:i w:val="1"/>
          <w:iCs w:val="1"/>
          <w:u w:val="single" w:color="auto"/>
          <w:color w:val="auto"/>
        </w:rPr>
        <w:t>Payroll Deductions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8" w:firstLine="656"/>
        <w:spacing w:after="0" w:line="275" w:lineRule="auto"/>
        <w:tabs>
          <w:tab w:leader="none" w:pos="1753" w:val="left"/>
        </w:tabs>
        <w:numPr>
          <w:ilvl w:val="1"/>
          <w:numId w:val="10"/>
        </w:numPr>
        <w:rPr>
          <w:rFonts w:ascii="Arial" w:cs="Arial" w:eastAsia="Arial" w:hAnsi="Arial"/>
          <w:sz w:val="17"/>
          <w:szCs w:val="17"/>
          <w:color w:val="010000"/>
        </w:rPr>
      </w:pPr>
      <w:r>
        <w:rPr>
          <w:rFonts w:ascii="Arial" w:cs="Arial" w:eastAsia="Arial" w:hAnsi="Arial"/>
          <w:sz w:val="17"/>
          <w:szCs w:val="17"/>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176" w:lineRule="exact"/>
        <w:rPr>
          <w:rFonts w:ascii="Arial" w:cs="Arial" w:eastAsia="Arial" w:hAnsi="Arial"/>
          <w:sz w:val="17"/>
          <w:szCs w:val="17"/>
          <w:color w:val="010000"/>
        </w:rPr>
      </w:pPr>
    </w:p>
    <w:p>
      <w:pPr>
        <w:jc w:val="both"/>
        <w:ind w:left="-8" w:firstLine="656"/>
        <w:spacing w:after="0" w:line="301" w:lineRule="auto"/>
        <w:tabs>
          <w:tab w:leader="none" w:pos="1574" w:val="left"/>
        </w:tabs>
        <w:numPr>
          <w:ilvl w:val="1"/>
          <w:numId w:val="10"/>
        </w:numPr>
        <w:rPr>
          <w:rFonts w:ascii="Arial" w:cs="Arial" w:eastAsia="Arial" w:hAnsi="Arial"/>
          <w:sz w:val="16"/>
          <w:szCs w:val="16"/>
          <w:color w:val="010000"/>
        </w:rPr>
      </w:pPr>
      <w:r>
        <w:rPr>
          <w:rFonts w:ascii="Arial" w:cs="Arial" w:eastAsia="Arial" w:hAnsi="Arial"/>
          <w:sz w:val="16"/>
          <w:szCs w:val="16"/>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157" w:lineRule="exact"/>
        <w:rPr>
          <w:rFonts w:ascii="Arial" w:cs="Arial" w:eastAsia="Arial" w:hAnsi="Arial"/>
          <w:sz w:val="16"/>
          <w:szCs w:val="16"/>
          <w:color w:val="010000"/>
        </w:rPr>
      </w:pPr>
    </w:p>
    <w:p>
      <w:pPr>
        <w:ind w:left="1532" w:hanging="884"/>
        <w:spacing w:after="0"/>
        <w:tabs>
          <w:tab w:leader="none" w:pos="1532" w:val="left"/>
        </w:tabs>
        <w:numPr>
          <w:ilvl w:val="1"/>
          <w:numId w:val="10"/>
        </w:numPr>
        <w:rPr>
          <w:rFonts w:ascii="Arial" w:cs="Arial" w:eastAsia="Arial" w:hAnsi="Arial"/>
          <w:sz w:val="18"/>
          <w:szCs w:val="18"/>
          <w:color w:val="010000"/>
        </w:rPr>
      </w:pPr>
      <w:r>
        <w:rPr>
          <w:rFonts w:ascii="Arial" w:cs="Arial" w:eastAsia="Arial" w:hAnsi="Arial"/>
          <w:sz w:val="18"/>
          <w:szCs w:val="18"/>
          <w:color w:val="auto"/>
        </w:rPr>
        <w:t>Except as provided in Section 10, a Participant may not change his contribution election during an Offering Period.</w:t>
      </w:r>
    </w:p>
    <w:p>
      <w:pPr>
        <w:spacing w:after="0" w:line="225" w:lineRule="exact"/>
        <w:rPr>
          <w:rFonts w:ascii="Arial" w:cs="Arial" w:eastAsia="Arial" w:hAnsi="Arial"/>
          <w:sz w:val="18"/>
          <w:szCs w:val="18"/>
          <w:color w:val="010000"/>
        </w:rPr>
      </w:pPr>
    </w:p>
    <w:p>
      <w:pPr>
        <w:ind w:left="-8" w:firstLine="656"/>
        <w:spacing w:after="0" w:line="277" w:lineRule="auto"/>
        <w:tabs>
          <w:tab w:leader="none" w:pos="1574" w:val="left"/>
        </w:tabs>
        <w:numPr>
          <w:ilvl w:val="1"/>
          <w:numId w:val="10"/>
        </w:numPr>
        <w:rPr>
          <w:rFonts w:ascii="Arial" w:cs="Arial" w:eastAsia="Arial" w:hAnsi="Arial"/>
          <w:sz w:val="18"/>
          <w:szCs w:val="18"/>
          <w:color w:val="010000"/>
        </w:rPr>
      </w:pPr>
      <w:r>
        <w:rPr>
          <w:rFonts w:ascii="Arial" w:cs="Arial" w:eastAsia="Arial" w:hAnsi="Arial"/>
          <w:sz w:val="18"/>
          <w:szCs w:val="18"/>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170" w:lineRule="exact"/>
        <w:rPr>
          <w:rFonts w:ascii="Arial" w:cs="Arial" w:eastAsia="Arial" w:hAnsi="Arial"/>
          <w:sz w:val="18"/>
          <w:szCs w:val="18"/>
          <w:color w:val="010000"/>
        </w:rPr>
      </w:pPr>
    </w:p>
    <w:p>
      <w:pPr>
        <w:ind w:left="652" w:hanging="652"/>
        <w:spacing w:after="0"/>
        <w:tabs>
          <w:tab w:leader="none" w:pos="652" w:val="left"/>
        </w:tabs>
        <w:numPr>
          <w:ilvl w:val="0"/>
          <w:numId w:val="10"/>
        </w:numPr>
        <w:rPr>
          <w:rFonts w:ascii="Arial" w:cs="Arial" w:eastAsia="Arial" w:hAnsi="Arial"/>
          <w:sz w:val="18"/>
          <w:szCs w:val="18"/>
          <w:color w:val="010000"/>
        </w:rPr>
      </w:pPr>
      <w:r>
        <w:rPr>
          <w:rFonts w:ascii="Arial" w:cs="Arial" w:eastAsia="Arial" w:hAnsi="Arial"/>
          <w:sz w:val="18"/>
          <w:szCs w:val="18"/>
          <w:i w:val="1"/>
          <w:iCs w:val="1"/>
          <w:u w:val="single" w:color="auto"/>
          <w:color w:val="auto"/>
        </w:rPr>
        <w:t>Grant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8" w:firstLine="656"/>
        <w:spacing w:after="0" w:line="259" w:lineRule="auto"/>
        <w:tabs>
          <w:tab w:leader="none" w:pos="1744" w:val="left"/>
        </w:tabs>
        <w:numPr>
          <w:ilvl w:val="1"/>
          <w:numId w:val="10"/>
        </w:numPr>
        <w:rPr>
          <w:rFonts w:ascii="Arial" w:cs="Arial" w:eastAsia="Arial" w:hAnsi="Arial"/>
          <w:sz w:val="18"/>
          <w:szCs w:val="18"/>
          <w:color w:val="010000"/>
        </w:rPr>
      </w:pPr>
      <w:r>
        <w:rPr>
          <w:rFonts w:ascii="Arial" w:cs="Arial" w:eastAsia="Arial" w:hAnsi="Arial"/>
          <w:sz w:val="18"/>
          <w:szCs w:val="18"/>
          <w:color w:val="auto"/>
        </w:rPr>
        <w:t>On the Enrollment Date of each Offering Period, subject to the limitations set forth in Sections 3 and 8(b) hereof, each Eligible Employee shall be granted an option to purchase on the Exercise Date for such Offering Period a number of whole and, to the extent permitted by the Committee, fractional shares of the Company’s Common Stock determined by dividing such Eligible Employee’s payroll deductions accumulated during the Offering Period by the Exercise Price established for such Offering Period.</w:t>
      </w:r>
    </w:p>
    <w:p>
      <w:pPr>
        <w:spacing w:after="0" w:line="186" w:lineRule="exact"/>
        <w:rPr>
          <w:rFonts w:ascii="Arial" w:cs="Arial" w:eastAsia="Arial" w:hAnsi="Arial"/>
          <w:sz w:val="18"/>
          <w:szCs w:val="18"/>
          <w:color w:val="010000"/>
        </w:rPr>
      </w:pPr>
    </w:p>
    <w:p>
      <w:pPr>
        <w:jc w:val="both"/>
        <w:ind w:left="-8" w:firstLine="656"/>
        <w:spacing w:after="0" w:line="273" w:lineRule="auto"/>
        <w:tabs>
          <w:tab w:leader="none" w:pos="1695" w:val="left"/>
        </w:tabs>
        <w:numPr>
          <w:ilvl w:val="1"/>
          <w:numId w:val="10"/>
        </w:numPr>
        <w:rPr>
          <w:rFonts w:ascii="Arial" w:cs="Arial" w:eastAsia="Arial" w:hAnsi="Arial"/>
          <w:sz w:val="17"/>
          <w:szCs w:val="17"/>
          <w:color w:val="010000"/>
        </w:rPr>
      </w:pPr>
      <w:r>
        <w:rPr>
          <w:rFonts w:ascii="Arial" w:cs="Arial" w:eastAsia="Arial" w:hAnsi="Arial"/>
          <w:sz w:val="17"/>
          <w:szCs w:val="17"/>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39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8" w:name="page9"/>
    <w:bookmarkEnd w:id="8"/>
    <w:p>
      <w:pPr>
        <w:ind w:left="660" w:hanging="652"/>
        <w:spacing w:after="0"/>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i w:val="1"/>
          <w:iCs w:val="1"/>
          <w:u w:val="single" w:color="auto"/>
          <w:color w:val="auto"/>
        </w:rPr>
        <w:t>Automatic Purchase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to the extent permitted by the Committee, fractional shares subject to the option will be purchased for the Participant at the Exercise Price established for that Offering Period, as provided above in Section 8. Any accumulated payroll deductions in excess of the amount applied to purchase shares on the Exercise Date shall be refunded to the Participant as soon as administratively feasible after the Exercise Date, unless the Committee establishes otherwise.</w:t>
      </w:r>
    </w:p>
    <w:p>
      <w:pPr>
        <w:spacing w:after="0" w:line="16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010000"/>
        </w:rPr>
      </w:pPr>
      <w:r>
        <w:rPr>
          <w:rFonts w:ascii="Arial" w:cs="Arial" w:eastAsia="Arial" w:hAnsi="Arial"/>
          <w:sz w:val="18"/>
          <w:szCs w:val="18"/>
          <w:i w:val="1"/>
          <w:iCs w:val="1"/>
          <w:u w:val="single" w:color="auto"/>
          <w:color w:val="auto"/>
        </w:rPr>
        <w:t>Withdrawal;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656"/>
        <w:spacing w:after="0" w:line="254" w:lineRule="auto"/>
        <w:tabs>
          <w:tab w:leader="none" w:pos="1504"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194" w:lineRule="exact"/>
        <w:rPr>
          <w:rFonts w:ascii="Arial" w:cs="Arial" w:eastAsia="Arial" w:hAnsi="Arial"/>
          <w:sz w:val="18"/>
          <w:szCs w:val="18"/>
          <w:color w:val="010000"/>
        </w:rPr>
      </w:pPr>
    </w:p>
    <w:p>
      <w:pPr>
        <w:jc w:val="both"/>
        <w:ind w:firstLine="656"/>
        <w:spacing w:after="0" w:line="263" w:lineRule="auto"/>
        <w:tabs>
          <w:tab w:leader="none" w:pos="1730"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183" w:lineRule="exact"/>
        <w:rPr>
          <w:rFonts w:ascii="Arial" w:cs="Arial" w:eastAsia="Arial" w:hAnsi="Arial"/>
          <w:sz w:val="18"/>
          <w:szCs w:val="18"/>
          <w:color w:val="010000"/>
        </w:rPr>
      </w:pPr>
    </w:p>
    <w:p>
      <w:pPr>
        <w:jc w:val="both"/>
        <w:ind w:firstLine="656"/>
        <w:spacing w:after="0" w:line="286" w:lineRule="auto"/>
        <w:tabs>
          <w:tab w:leader="none" w:pos="1549"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165" w:lineRule="exact"/>
        <w:rPr>
          <w:rFonts w:ascii="Arial" w:cs="Arial" w:eastAsia="Arial" w:hAnsi="Arial"/>
          <w:sz w:val="17"/>
          <w:szCs w:val="17"/>
          <w:color w:val="010000"/>
        </w:rPr>
      </w:pPr>
    </w:p>
    <w:p>
      <w:pPr>
        <w:ind w:left="660" w:hanging="652"/>
        <w:spacing w:after="0"/>
        <w:tabs>
          <w:tab w:leader="none" w:pos="660" w:val="left"/>
        </w:tabs>
        <w:numPr>
          <w:ilvl w:val="0"/>
          <w:numId w:val="12"/>
        </w:numPr>
        <w:rPr>
          <w:rFonts w:ascii="Arial" w:cs="Arial" w:eastAsia="Arial" w:hAnsi="Arial"/>
          <w:sz w:val="18"/>
          <w:szCs w:val="18"/>
          <w:color w:val="010000"/>
        </w:rPr>
      </w:pPr>
      <w:r>
        <w:rPr>
          <w:rFonts w:ascii="Arial" w:cs="Arial" w:eastAsia="Arial" w:hAnsi="Arial"/>
          <w:sz w:val="18"/>
          <w:szCs w:val="18"/>
          <w:i w:val="1"/>
          <w:iCs w:val="1"/>
          <w:u w:val="single" w:color="auto"/>
          <w:color w:val="auto"/>
        </w:rPr>
        <w:t>Transferability</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Options to purchase Common Stock granted under the Plan are not transferable, in any manner, by a Participant and are exercisable only by the Participant.</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010000"/>
        </w:rPr>
      </w:pPr>
      <w:r>
        <w:rPr>
          <w:rFonts w:ascii="Arial" w:cs="Arial" w:eastAsia="Arial" w:hAnsi="Arial"/>
          <w:sz w:val="18"/>
          <w:szCs w:val="18"/>
          <w:i w:val="1"/>
          <w:iCs w:val="1"/>
          <w:u w:val="single" w:color="auto"/>
          <w:color w:val="auto"/>
        </w:rPr>
        <w:t>Reports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Individual notional accounts will be maintained for each Participant in the Plan. Following each Exercise Date, Participants who have purchased shares under Section 9 may access a summary of their purchases in the manner determined by the Committee.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660" w:hanging="652"/>
        <w:spacing w:after="0"/>
        <w:tabs>
          <w:tab w:leader="none" w:pos="660" w:val="left"/>
        </w:tabs>
        <w:numPr>
          <w:ilvl w:val="0"/>
          <w:numId w:val="14"/>
        </w:numPr>
        <w:rPr>
          <w:rFonts w:ascii="Arial" w:cs="Arial" w:eastAsia="Arial" w:hAnsi="Arial"/>
          <w:sz w:val="18"/>
          <w:szCs w:val="18"/>
          <w:color w:val="010000"/>
        </w:rPr>
      </w:pPr>
      <w:r>
        <w:rPr>
          <w:rFonts w:ascii="Arial" w:cs="Arial" w:eastAsia="Arial" w:hAnsi="Arial"/>
          <w:sz w:val="18"/>
          <w:szCs w:val="18"/>
          <w:i w:val="1"/>
          <w:iCs w:val="1"/>
          <w:u w:val="single" w:color="auto"/>
          <w:color w:val="auto"/>
        </w:rPr>
        <w:t>Adjustments Upon Changes in Capitalization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656"/>
        <w:spacing w:after="0" w:line="301" w:lineRule="auto"/>
        <w:tabs>
          <w:tab w:leader="none" w:pos="1536" w:val="left"/>
        </w:tabs>
        <w:numPr>
          <w:ilvl w:val="1"/>
          <w:numId w:val="14"/>
        </w:numPr>
        <w:rPr>
          <w:rFonts w:ascii="Arial" w:cs="Arial" w:eastAsia="Arial" w:hAnsi="Arial"/>
          <w:sz w:val="16"/>
          <w:szCs w:val="16"/>
          <w:color w:val="010000"/>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157" w:lineRule="exact"/>
        <w:rPr>
          <w:rFonts w:ascii="Arial" w:cs="Arial" w:eastAsia="Arial" w:hAnsi="Arial"/>
          <w:sz w:val="16"/>
          <w:szCs w:val="16"/>
          <w:color w:val="010000"/>
        </w:rPr>
      </w:pPr>
    </w:p>
    <w:p>
      <w:pPr>
        <w:jc w:val="both"/>
        <w:ind w:firstLine="656"/>
        <w:spacing w:after="0" w:line="290" w:lineRule="auto"/>
        <w:tabs>
          <w:tab w:leader="none" w:pos="1582" w:val="left"/>
        </w:tabs>
        <w:numPr>
          <w:ilvl w:val="1"/>
          <w:numId w:val="14"/>
        </w:numPr>
        <w:rPr>
          <w:rFonts w:ascii="Arial" w:cs="Arial" w:eastAsia="Arial" w:hAnsi="Arial"/>
          <w:sz w:val="16"/>
          <w:szCs w:val="16"/>
          <w:color w:val="010000"/>
        </w:rPr>
      </w:pPr>
      <w:r>
        <w:rPr>
          <w:rFonts w:ascii="Arial" w:cs="Arial" w:eastAsia="Arial" w:hAnsi="Arial"/>
          <w:sz w:val="16"/>
          <w:szCs w:val="16"/>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165" w:lineRule="exact"/>
        <w:rPr>
          <w:rFonts w:ascii="Arial" w:cs="Arial" w:eastAsia="Arial" w:hAnsi="Arial"/>
          <w:sz w:val="16"/>
          <w:szCs w:val="16"/>
          <w:color w:val="010000"/>
        </w:rPr>
      </w:pPr>
    </w:p>
    <w:p>
      <w:pPr>
        <w:jc w:val="both"/>
        <w:ind w:firstLine="656"/>
        <w:spacing w:after="0" w:line="263" w:lineRule="auto"/>
        <w:tabs>
          <w:tab w:leader="none" w:pos="159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183" w:lineRule="exact"/>
        <w:rPr>
          <w:rFonts w:ascii="Arial" w:cs="Arial" w:eastAsia="Arial" w:hAnsi="Arial"/>
          <w:sz w:val="18"/>
          <w:szCs w:val="18"/>
          <w:color w:val="010000"/>
        </w:rPr>
      </w:pPr>
    </w:p>
    <w:p>
      <w:pPr>
        <w:ind w:left="660" w:hanging="652"/>
        <w:spacing w:after="0"/>
        <w:tabs>
          <w:tab w:leader="none" w:pos="660" w:val="left"/>
        </w:tabs>
        <w:numPr>
          <w:ilvl w:val="0"/>
          <w:numId w:val="14"/>
        </w:numPr>
        <w:rPr>
          <w:rFonts w:ascii="Arial" w:cs="Arial" w:eastAsia="Arial" w:hAnsi="Arial"/>
          <w:sz w:val="18"/>
          <w:szCs w:val="18"/>
          <w:color w:val="010000"/>
        </w:rPr>
      </w:pPr>
      <w:r>
        <w:rPr>
          <w:rFonts w:ascii="Arial" w:cs="Arial" w:eastAsia="Arial" w:hAnsi="Arial"/>
          <w:sz w:val="18"/>
          <w:szCs w:val="18"/>
          <w:i w:val="1"/>
          <w:iCs w:val="1"/>
          <w:u w:val="single" w:color="auto"/>
          <w:color w:val="auto"/>
        </w:rPr>
        <w:t>Amendment of the 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at any time, or from time to time, amend the Plan in any respect through action of the Board or, for any amendment that does not require shareholder approval, through action of the Plan Sponsor Committee of the Waste Management Employee Benefit Plans;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17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010000"/>
        </w:rPr>
      </w:pPr>
      <w:r>
        <w:rPr>
          <w:rFonts w:ascii="Arial" w:cs="Arial" w:eastAsia="Arial" w:hAnsi="Arial"/>
          <w:sz w:val="18"/>
          <w:szCs w:val="18"/>
          <w:i w:val="1"/>
          <w:iCs w:val="1"/>
          <w:u w:val="single" w:color="auto"/>
          <w:color w:val="auto"/>
        </w:rPr>
        <w:t>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60"/>
        <w:spacing w:after="0"/>
        <w:rPr>
          <w:rFonts w:ascii="Arial" w:cs="Arial" w:eastAsia="Arial" w:hAnsi="Arial"/>
          <w:sz w:val="18"/>
          <w:szCs w:val="18"/>
          <w:color w:val="010000"/>
        </w:rPr>
      </w:pPr>
      <w:r>
        <w:rPr>
          <w:rFonts w:ascii="Arial" w:cs="Arial" w:eastAsia="Arial" w:hAnsi="Arial"/>
          <w:sz w:val="18"/>
          <w:szCs w:val="18"/>
          <w:color w:val="auto"/>
        </w:rPr>
        <w:t>The Plan and all rights of Eligible Employees hereunder shall terminate:</w:t>
      </w:r>
    </w:p>
    <w:p>
      <w:pPr>
        <w:spacing w:after="0" w:line="225" w:lineRule="exact"/>
        <w:rPr>
          <w:rFonts w:ascii="Arial" w:cs="Arial" w:eastAsia="Arial" w:hAnsi="Arial"/>
          <w:sz w:val="18"/>
          <w:szCs w:val="18"/>
          <w:color w:val="010000"/>
        </w:rPr>
      </w:pPr>
    </w:p>
    <w:p>
      <w:pPr>
        <w:ind w:firstLine="656"/>
        <w:spacing w:after="0" w:line="277" w:lineRule="auto"/>
        <w:tabs>
          <w:tab w:leader="none" w:pos="1698"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on the Exercise Date that Participants become entitled to purchase a number of shares greater than the number of reserved shares remaining available for purchase under the Plan; or</w:t>
      </w:r>
    </w:p>
    <w:p>
      <w:pPr>
        <w:spacing w:after="0" w:line="170" w:lineRule="exact"/>
        <w:rPr>
          <w:rFonts w:ascii="Arial" w:cs="Arial" w:eastAsia="Arial" w:hAnsi="Arial"/>
          <w:sz w:val="18"/>
          <w:szCs w:val="18"/>
          <w:color w:val="010000"/>
        </w:rPr>
      </w:pPr>
    </w:p>
    <w:p>
      <w:pPr>
        <w:ind w:left="1540" w:hanging="884"/>
        <w:spacing w:after="0"/>
        <w:tabs>
          <w:tab w:leader="none" w:pos="1540"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at any time, at the discretion of the Board.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that the Plan terminates under circumstances described in Section 15(a) above, reserved shares remaining as of the termination date shall be sold to Participants on a pro rata basis.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60" w:hanging="652"/>
        <w:spacing w:after="0"/>
        <w:tabs>
          <w:tab w:leader="none" w:pos="660" w:val="left"/>
        </w:tabs>
        <w:numPr>
          <w:ilvl w:val="0"/>
          <w:numId w:val="16"/>
        </w:numPr>
        <w:rPr>
          <w:rFonts w:ascii="Arial" w:cs="Arial" w:eastAsia="Arial" w:hAnsi="Arial"/>
          <w:sz w:val="18"/>
          <w:szCs w:val="18"/>
          <w:color w:val="010000"/>
        </w:rPr>
      </w:pPr>
      <w:r>
        <w:rPr>
          <w:rFonts w:ascii="Arial" w:cs="Arial" w:eastAsia="Arial" w:hAnsi="Arial"/>
          <w:sz w:val="18"/>
          <w:szCs w:val="18"/>
          <w:i w:val="1"/>
          <w:iCs w:val="1"/>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4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i w:val="1"/>
          <w:iCs w:val="1"/>
          <w:u w:val="single" w:color="auto"/>
          <w:color w:val="auto"/>
        </w:rPr>
        <w:t>Shareholder Approval</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amended and restated the Plan shall be subject to approval by the shareholders of the Company within twelve months after the date the amended and restated Plan is adopted by the Board of Directors.</w:t>
      </w:r>
    </w:p>
    <w:p>
      <w:pPr>
        <w:spacing w:after="0" w:line="17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010000"/>
        </w:rPr>
      </w:pPr>
      <w:r>
        <w:rPr>
          <w:rFonts w:ascii="Arial" w:cs="Arial" w:eastAsia="Arial" w:hAnsi="Arial"/>
          <w:sz w:val="18"/>
          <w:szCs w:val="18"/>
          <w:i w:val="1"/>
          <w:iCs w:val="1"/>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656"/>
        <w:spacing w:after="0" w:line="255" w:lineRule="auto"/>
        <w:tabs>
          <w:tab w:leader="none" w:pos="1549"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192" w:lineRule="exact"/>
        <w:rPr>
          <w:rFonts w:ascii="Arial" w:cs="Arial" w:eastAsia="Arial" w:hAnsi="Arial"/>
          <w:sz w:val="18"/>
          <w:szCs w:val="18"/>
          <w:color w:val="010000"/>
        </w:rPr>
      </w:pPr>
    </w:p>
    <w:p>
      <w:pPr>
        <w:jc w:val="both"/>
        <w:ind w:firstLine="656"/>
        <w:spacing w:after="0" w:line="259" w:lineRule="auto"/>
        <w:tabs>
          <w:tab w:leader="none" w:pos="1501"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hanging="652"/>
        <w:spacing w:after="0"/>
        <w:tabs>
          <w:tab w:leader="none" w:pos="660" w:val="left"/>
        </w:tabs>
        <w:numPr>
          <w:ilvl w:val="0"/>
          <w:numId w:val="19"/>
        </w:numPr>
        <w:rPr>
          <w:rFonts w:ascii="Arial" w:cs="Arial" w:eastAsia="Arial" w:hAnsi="Arial"/>
          <w:sz w:val="18"/>
          <w:szCs w:val="18"/>
          <w:color w:val="010000"/>
        </w:rPr>
      </w:pPr>
      <w:r>
        <w:rPr>
          <w:rFonts w:ascii="Arial" w:cs="Arial" w:eastAsia="Arial" w:hAnsi="Arial"/>
          <w:sz w:val="18"/>
          <w:szCs w:val="18"/>
          <w:i w:val="1"/>
          <w:iCs w:val="1"/>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firstLine="656"/>
        <w:spacing w:after="0" w:line="277" w:lineRule="auto"/>
        <w:tabs>
          <w:tab w:leader="none" w:pos="1657"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Notwithstanding any provision of the Plan to the contrary and in accordance with Section 423 of the Code, all Eligible Employees who are granted options under the Plan shall have the same rights and privileges.</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1"/>
          <w:numId w:val="19"/>
        </w:numPr>
        <w:rPr>
          <w:rFonts w:ascii="Arial" w:cs="Arial" w:eastAsia="Arial" w:hAnsi="Arial"/>
          <w:sz w:val="16"/>
          <w:szCs w:val="16"/>
          <w:color w:val="010000"/>
        </w:rPr>
      </w:pPr>
      <w:r>
        <w:rPr>
          <w:rFonts w:ascii="Arial" w:cs="Arial" w:eastAsia="Arial" w:hAnsi="Arial"/>
          <w:sz w:val="16"/>
          <w:szCs w:val="16"/>
          <w:color w:val="auto"/>
        </w:rPr>
        <w:t>Neither the Plan nor any compensation paid hereunder will confer on any Participant the right to continue as an employee or in any</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other capacity.</w:t>
      </w:r>
    </w:p>
    <w:p>
      <w:pPr>
        <w:spacing w:after="0" w:line="210" w:lineRule="exact"/>
        <w:rPr>
          <w:rFonts w:ascii="Arial" w:cs="Arial" w:eastAsia="Arial" w:hAnsi="Arial"/>
          <w:sz w:val="16"/>
          <w:szCs w:val="16"/>
          <w:color w:val="010000"/>
        </w:rPr>
      </w:pPr>
    </w:p>
    <w:p>
      <w:pPr>
        <w:jc w:val="both"/>
        <w:ind w:firstLine="656"/>
        <w:spacing w:after="0" w:line="259" w:lineRule="auto"/>
        <w:tabs>
          <w:tab w:leader="none" w:pos="1585"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A Participant will become a stockholder with respect to the shares of Common Stock that are purchased pursuant to options granted under the Plan only when the shares are issued to the Participant in accordance with the terms of the Plan. A Participant will have no rights as a stockholder with respect to shares of Common Stock for which an election to participate in an Offering Period has been made until such Participant becomes a stockholder as provided above.</w:t>
      </w:r>
    </w:p>
    <w:p>
      <w:pPr>
        <w:spacing w:after="0" w:line="186" w:lineRule="exact"/>
        <w:rPr>
          <w:rFonts w:ascii="Arial" w:cs="Arial" w:eastAsia="Arial" w:hAnsi="Arial"/>
          <w:sz w:val="18"/>
          <w:szCs w:val="18"/>
          <w:color w:val="010000"/>
        </w:rPr>
      </w:pPr>
    </w:p>
    <w:p>
      <w:pPr>
        <w:ind w:left="1500" w:hanging="844"/>
        <w:spacing w:after="0"/>
        <w:tabs>
          <w:tab w:leader="none" w:pos="150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The Plan shall be binding on the Company and its successors and assigns.</w:t>
      </w:r>
    </w:p>
    <w:p>
      <w:pPr>
        <w:spacing w:after="0" w:line="225" w:lineRule="exact"/>
        <w:rPr>
          <w:rFonts w:ascii="Arial" w:cs="Arial" w:eastAsia="Arial" w:hAnsi="Arial"/>
          <w:sz w:val="18"/>
          <w:szCs w:val="18"/>
          <w:color w:val="010000"/>
        </w:rPr>
      </w:pPr>
    </w:p>
    <w:p>
      <w:pPr>
        <w:ind w:left="1540" w:hanging="884"/>
        <w:spacing w:after="0"/>
        <w:tabs>
          <w:tab w:leader="none" w:pos="1540" w:val="left"/>
        </w:tabs>
        <w:numPr>
          <w:ilvl w:val="1"/>
          <w:numId w:val="19"/>
        </w:numPr>
        <w:rPr>
          <w:rFonts w:ascii="Arial" w:cs="Arial" w:eastAsia="Arial" w:hAnsi="Arial"/>
          <w:sz w:val="16"/>
          <w:szCs w:val="16"/>
          <w:color w:val="010000"/>
        </w:rPr>
      </w:pPr>
      <w:r>
        <w:rPr>
          <w:rFonts w:ascii="Arial" w:cs="Arial" w:eastAsia="Arial" w:hAnsi="Arial"/>
          <w:sz w:val="16"/>
          <w:szCs w:val="16"/>
          <w:color w:val="auto"/>
        </w:rPr>
        <w:t>This Plan constitutes the entire plan with respect to the subject matter hereof and supersedes all prior plans with respect to the subject</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matter hereof.</w:t>
      </w:r>
    </w:p>
    <w:p>
      <w:pPr>
        <w:spacing w:after="0" w:line="210" w:lineRule="exact"/>
        <w:rPr>
          <w:rFonts w:ascii="Arial" w:cs="Arial" w:eastAsia="Arial" w:hAnsi="Arial"/>
          <w:sz w:val="16"/>
          <w:szCs w:val="16"/>
          <w:color w:val="010000"/>
        </w:rPr>
      </w:pPr>
    </w:p>
    <w:p>
      <w:pPr>
        <w:ind w:firstLine="656"/>
        <w:spacing w:after="0" w:line="277" w:lineRule="auto"/>
        <w:tabs>
          <w:tab w:leader="none" w:pos="1772"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The Plan and all rights hereunder shall be subject to and interpreted in accordance with the laws of the State of Texas, without reference to the principles of conflicts of laws, and to applicable Federal or other securities laws.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Waste Management Inc. 2014 Stock Incentive Plan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Inc. (the “Company”) has adopted the Waste Management Inc. 2014 Stock Incentive Plan (the “Plan”); and</w:t>
      </w:r>
    </w:p>
    <w:p>
      <w:pPr>
        <w:spacing w:after="0" w:line="24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Paragraph XIII of the Plan, the Board may amend the Plan at any time, subject to any applicable stockholder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the plan to remove certain share recycling features therein for future transactions;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effective as of May 12, 2020, the Plan is hereby amended in the following respect:</w:t>
      </w:r>
    </w:p>
    <w:p>
      <w:pPr>
        <w:spacing w:after="0" w:line="2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Subparagraph V(a) of the Plan shall be deleted in its entirety and replaced with the following:</w:t>
      </w:r>
    </w:p>
    <w:p>
      <w:pPr>
        <w:spacing w:after="0" w:line="221" w:lineRule="exact"/>
        <w:rPr>
          <w:sz w:val="20"/>
          <w:szCs w:val="20"/>
          <w:color w:val="auto"/>
        </w:rPr>
      </w:pPr>
    </w:p>
    <w:p>
      <w:pPr>
        <w:jc w:val="both"/>
        <w:ind w:left="660" w:hanging="328"/>
        <w:spacing w:after="0" w:line="28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Shares Subject to the Plan and Award Limits</w:t>
      </w:r>
      <w:r>
        <w:rPr>
          <w:rFonts w:ascii="Arial" w:cs="Arial" w:eastAsia="Arial" w:hAnsi="Arial"/>
          <w:sz w:val="16"/>
          <w:szCs w:val="16"/>
          <w:color w:val="auto"/>
        </w:rPr>
        <w:t>. Subject to adjustment in the same manner as provided in Paragraph XII with respect to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subject to Options then outstanding, the aggregate maximum number of shares of Common Stock that may be issued under the Plan, and the aggregate maximum number of shares of Common Stock that may be issued under the Plan through Incentive Stock Options, shall not exceed 23,800,000 shares, plus (i) any shares of Common Stock that, as of the Effective Date, are available for issuance under the Prior Plan (and that are not subject to outstanding awards under the Prior Plan) and (ii) any shares of Common Stock subject to outstanding awards under the Prior Plan as of the Effective Date that are subsequently canceled or forfeited, or terminate, expire or lapse for any reason or any shares of Common Stock that otherwise subsequently become available under the Prior Plan. To the extent that an Award lapses or the rights of its holder terminate, any shares of Common Stock subject to such Award shall again be available for the grant of an Award under the Plan. However, from and after May 12, 2020, shares surrendered in payment of the exercise price or purchase price of an Award and shares withheld for payment of applicable employment taxes and/or withholding obligations associated with an Award shall be deemed issued and shall no longer be available for the grant of an Award under the Plan. Shares surrendered or withheld prior to May 12, 2020 in the circumstances described in the immediately preceding sentence that were made once more available for issuance shall remain available for the grant of an Award under the Plan. Notwithstanding any provision in the Plan to the contrary, (i) the maximum number of shares of Common Stock that may be subject to Awards denominated in shares of Common Stock granted to any one individual during any calendar year may not exceed 1,500,000 shares and (ii) the maximum amount of compensation that may be paid under all Performance Awards denominated in cash (including the Fair Market Value of any shares of Common Stock paid in satisfaction of such Performance Awards) granted to any one individual during any calendar year may not exceed $7,000,000. The limitations set forth in clauses (i) and (ii) of the preceding sentence shall be applied in a manner that will permit Awards that are intended to provide “performance-based” compensation for purposes of section 162(m) of the Code to satisfy the requirements of such section, including, without limitation, counting against such maximum number of shares, to the extent required under section 162(m) of the Code and applicable interpretive authority thereunder, any shares subject to Awards granted to Employees that are canceled or re-priced. Notwithstanding any provision in the Plan to the contrary, the aggregate grant date fair value (computed in accordance with applicable accounting rules) of all Awards granted to any non-employee Director during any calendar year shall not exceed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Company has caused this Amendment to be executed on this 12th day of May 2020.</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8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Courtney A. Tippy</w:t>
      </w:r>
    </w:p>
    <w:p>
      <w:pPr>
        <w:spacing w:after="0" w:line="36" w:lineRule="exact"/>
        <w:rPr>
          <w:sz w:val="20"/>
          <w:szCs w:val="20"/>
          <w:color w:val="auto"/>
        </w:rPr>
      </w:pPr>
    </w:p>
    <w:p>
      <w:pPr>
        <w:jc w:val="right"/>
        <w:ind w:right="1459"/>
        <w:spacing w:after="0"/>
        <w:rPr>
          <w:sz w:val="20"/>
          <w:szCs w:val="20"/>
          <w:color w:val="auto"/>
        </w:rPr>
      </w:pPr>
      <w:r>
        <w:rPr>
          <w:rFonts w:ascii="Arial" w:cs="Arial" w:eastAsia="Arial" w:hAnsi="Arial"/>
          <w:sz w:val="18"/>
          <w:szCs w:val="18"/>
          <w:color w:val="auto"/>
        </w:rPr>
        <w:t>Vice President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104"/>
    </w:lvl>
  </w:abstractNum>
  <w:abstractNum w:abstractNumId="3">
    <w:nsid w:val="140E0F76"/>
    <w:multiLevelType w:val="hybridMultilevel"/>
    <w:lvl w:ilvl="0">
      <w:lvlJc w:val="left"/>
      <w:lvlText w:val="%1."/>
      <w:numFmt w:val="decimal"/>
      <w:start w:val="1"/>
    </w:lvl>
    <w:lvl w:ilvl="1">
      <w:lvlJc w:val="left"/>
      <w:lvlText w:val="(%2)"/>
      <w:numFmt w:val="lowerLetter"/>
      <w:start w:val="1"/>
    </w:lvl>
  </w:abstractNum>
  <w:abstractNum w:abstractNumId="4">
    <w:nsid w:val="3352255A"/>
    <w:multiLevelType w:val="hybridMultilevel"/>
    <w:lvl w:ilvl="0">
      <w:lvlJc w:val="left"/>
      <w:lvlText w:val="%1"/>
      <w:numFmt w:val="decimal"/>
      <w:start w:val="1"/>
    </w:lvl>
    <w:lvl w:ilvl="1">
      <w:lvlJc w:val="left"/>
      <w:lvlText w:val="(%2)"/>
      <w:numFmt w:val="lowerLetter"/>
      <w:start w:val="9"/>
    </w:lvl>
  </w:abstractNum>
  <w:abstractNum w:abstractNumId="5">
    <w:nsid w:val="109CF92E"/>
    <w:multiLevelType w:val="hybridMultilevel"/>
    <w:lvl w:ilvl="0">
      <w:lvlJc w:val="left"/>
      <w:lvlText w:val="%1."/>
      <w:numFmt w:val="decimal"/>
      <w:start w:val="2"/>
    </w:lvl>
    <w:lvl w:ilvl="1">
      <w:lvlJc w:val="left"/>
      <w:lvlText w:val="%2"/>
      <w:numFmt w:val="lowerLetter"/>
      <w:start w:val="1"/>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1."/>
      <w:numFmt w:val="decimal"/>
      <w:start w:val="4"/>
    </w:lvl>
    <w:lvl w:ilvl="1">
      <w:lvlJc w:val="left"/>
      <w:lvlText w:val="(%2)"/>
      <w:numFmt w:val="lowerLetter"/>
      <w:start w:val="1"/>
    </w:lvl>
  </w:abstractNum>
  <w:abstractNum w:abstractNumId="8">
    <w:nsid w:val="1BEFD79F"/>
    <w:multiLevelType w:val="hybridMultilevel"/>
    <w:lvl w:ilvl="0">
      <w:lvlJc w:val="left"/>
      <w:lvlText w:val="%1."/>
      <w:numFmt w:val="decimal"/>
      <w:start w:val="6"/>
    </w:lvl>
    <w:lvl w:ilvl="1">
      <w:lvlJc w:val="left"/>
      <w:lvlText w:val="(%2)"/>
      <w:numFmt w:val="lowerLetter"/>
      <w:start w:val="1"/>
    </w:lvl>
  </w:abstractNum>
  <w:abstractNum w:abstractNumId="9">
    <w:nsid w:val="41A7C4C9"/>
    <w:multiLevelType w:val="hybridMultilevel"/>
    <w:lvl w:ilvl="0">
      <w:lvlJc w:val="left"/>
      <w:lvlText w:val="%1."/>
      <w:numFmt w:val="decimal"/>
      <w:start w:val="7"/>
    </w:lvl>
    <w:lvl w:ilvl="1">
      <w:lvlJc w:val="left"/>
      <w:lvlText w:val="(%2)"/>
      <w:numFmt w:val="lowerLetter"/>
      <w:start w:val="1"/>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lvl w:ilvl="1">
      <w:lvlJc w:val="left"/>
      <w:lvlText w:val="(%2)"/>
      <w:numFmt w:val="lowerLetter"/>
      <w:start w:val="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lvl w:ilvl="1">
      <w:lvlJc w:val="left"/>
      <w:lvlText w:val="(%2)"/>
      <w:numFmt w:val="lowerLetter"/>
      <w:start w:val="1"/>
    </w:lvl>
  </w:abstractNum>
  <w:abstractNum w:abstractNumId="14">
    <w:nsid w:val="431BD7B7"/>
    <w:multiLevelType w:val="hybridMultilevel"/>
    <w:lvl w:ilvl="0">
      <w:lvlJc w:val="left"/>
      <w:lvlText w:val="%1."/>
      <w:numFmt w:val="decimal"/>
      <w:start w:val="15"/>
    </w:lvl>
    <w:lvl w:ilvl="1">
      <w:lvlJc w:val="left"/>
      <w:lvlText w:val="(%2)"/>
      <w:numFmt w:val="lowerLetter"/>
      <w:start w:val="1"/>
    </w:lvl>
  </w:abstractNum>
  <w:abstractNum w:abstractNumId="15">
    <w:nsid w:val="3F2DBA31"/>
    <w:multiLevelType w:val="hybridMultilevel"/>
    <w:lvl w:ilvl="0">
      <w:lvlJc w:val="left"/>
      <w:lvlText w:val="%1."/>
      <w:numFmt w:val="decimal"/>
      <w:start w:val="16"/>
    </w:lvl>
  </w:abstractNum>
  <w:abstractNum w:abstractNumId="16">
    <w:nsid w:val="7C83E458"/>
    <w:multiLevelType w:val="hybridMultilevel"/>
    <w:lvl w:ilvl="0">
      <w:lvlJc w:val="left"/>
      <w:lvlText w:val="%1."/>
      <w:numFmt w:val="decimal"/>
      <w:start w:val="17"/>
    </w:lvl>
  </w:abstractNum>
  <w:abstractNum w:abstractNumId="17">
    <w:nsid w:val="257130A3"/>
    <w:multiLevelType w:val="hybridMultilevel"/>
    <w:lvl w:ilvl="0">
      <w:lvlJc w:val="left"/>
      <w:lvlText w:val="%1."/>
      <w:numFmt w:val="decimal"/>
      <w:start w:val="18"/>
    </w:lvl>
    <w:lvl w:ilvl="1">
      <w:lvlJc w:val="left"/>
      <w:lvlText w:val="(%2)"/>
      <w:numFmt w:val="lowerLetter"/>
      <w:start w:val="1"/>
    </w:lvl>
  </w:abstractNum>
  <w:abstractNum w:abstractNumId="18">
    <w:nsid w:val="62BBD95A"/>
    <w:multiLevelType w:val="hybridMultilevel"/>
    <w:lvl w:ilvl="0">
      <w:lvlJc w:val="left"/>
      <w:lvlText w:val="%1."/>
      <w:numFmt w:val="decimal"/>
      <w:start w:val="19"/>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2020-05-15T13:37:44Z</dcterms:created>
  <dcterms:modified xsi:type="dcterms:W3CDTF">2020-05-15T13:37:44Z</dcterms:modified>
</cp:coreProperties>
</file>