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0"/>
          <w:szCs w:val="20"/>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February 23, 2009</w:t>
      </w:r>
    </w:p>
    <w:p>
      <w:pPr>
        <w:spacing w:after="0" w:line="200"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122" w:right="359" w:bottom="1440" w:gutter="0" w:footer="0" w:header="0"/>
        </w:sectPr>
      </w:pPr>
    </w:p>
    <w:p>
      <w:pPr>
        <w:spacing w:after="0" w:line="20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0"/>
          <w:szCs w:val="20"/>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0"/>
          <w:szCs w:val="20"/>
          <w:color w:val="auto"/>
        </w:rPr>
      </w:pPr>
    </w:p>
    <w:p>
      <w:pPr>
        <w:sectPr>
          <w:pgSz w:w="11900" w:h="16838" w:orient="portrait"/>
          <w:cols w:equalWidth="0" w:num="3">
            <w:col w:w="3940" w:space="720"/>
            <w:col w:w="2940" w:space="720"/>
            <w:col w:w="2980"/>
          </w:cols>
          <w:pgMar w:left="240" w:top="122" w:right="359" w:bottom="1440" w:gutter="0" w:footer="0" w:header="0"/>
          <w:type w:val="continuous"/>
        </w:sectPr>
      </w:pPr>
    </w:p>
    <w:p>
      <w:pPr>
        <w:spacing w:after="0" w:line="34" w:lineRule="exact"/>
        <w:rPr>
          <w:sz w:val="20"/>
          <w:szCs w:val="20"/>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122" w:right="359" w:bottom="1440" w:gutter="0" w:footer="0" w:header="0"/>
          <w:type w:val="continuous"/>
        </w:sectPr>
      </w:pPr>
    </w:p>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36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2045970</wp:posOffset>
            </wp:positionH>
            <wp:positionV relativeFrom="paragraph">
              <wp:posOffset>-127635</wp:posOffset>
            </wp:positionV>
            <wp:extent cx="3173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73095" cy="8890"/>
                    </a:xfrm>
                    <a:prstGeom prst="rect">
                      <a:avLst/>
                    </a:prstGeom>
                    <a:noFill/>
                  </pic:spPr>
                </pic:pic>
              </a:graphicData>
            </a:graphic>
          </wp:anchor>
        </w:drawing>
      </w:r>
    </w:p>
    <w:p>
      <w:pPr>
        <w:spacing w:after="0" w:line="1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0"/>
          <w:szCs w:val="20"/>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2" w:right="359" w:bottom="1440" w:gutter="0" w:footer="0" w:header="0"/>
          <w:type w:val="continuous"/>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1.01 Entry Into a Material Definitive Agreement; Item 8.01 Other Events.</w:t>
        </w:r>
      </w:hyperlink>
    </w:p>
    <w:p>
      <w:pPr>
        <w:spacing w:after="0" w:line="3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9.01 Financial Statements and Exhibits.</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EX-1.1</w:t>
      </w:r>
    </w:p>
    <w:p>
      <w:pPr>
        <w:spacing w:after="0" w:line="231" w:lineRule="auto"/>
        <w:rPr>
          <w:sz w:val="20"/>
          <w:szCs w:val="20"/>
          <w:color w:val="auto"/>
        </w:rPr>
      </w:pPr>
      <w:r>
        <w:rPr>
          <w:rFonts w:ascii="Arial" w:cs="Arial" w:eastAsia="Arial" w:hAnsi="Arial"/>
          <w:sz w:val="22"/>
          <w:szCs w:val="22"/>
          <w:u w:val="single" w:color="auto"/>
          <w:color w:val="0000EE"/>
        </w:rPr>
        <w:t>EX-4.2</w:t>
      </w:r>
    </w:p>
    <w:p>
      <w:pPr>
        <w:spacing w:after="0" w:line="231" w:lineRule="auto"/>
        <w:rPr>
          <w:sz w:val="20"/>
          <w:szCs w:val="20"/>
          <w:color w:val="auto"/>
        </w:rPr>
      </w:pPr>
      <w:r>
        <w:rPr>
          <w:rFonts w:ascii="Arial" w:cs="Arial" w:eastAsia="Arial" w:hAnsi="Arial"/>
          <w:sz w:val="22"/>
          <w:szCs w:val="22"/>
          <w:u w:val="single" w:color="auto"/>
          <w:color w:val="0000EE"/>
        </w:rPr>
        <w:t>EX-4.3</w:t>
      </w:r>
    </w:p>
    <w:p>
      <w:pPr>
        <w:spacing w:after="0" w:line="230" w:lineRule="auto"/>
        <w:rPr>
          <w:sz w:val="20"/>
          <w:szCs w:val="20"/>
          <w:color w:val="auto"/>
        </w:rPr>
      </w:pPr>
      <w:r>
        <w:rPr>
          <w:rFonts w:ascii="Arial" w:cs="Arial" w:eastAsia="Arial" w:hAnsi="Arial"/>
          <w:sz w:val="22"/>
          <w:szCs w:val="22"/>
          <w:u w:val="single" w:color="auto"/>
          <w:color w:val="0000EE"/>
        </w:rPr>
        <w:t>EX-4.6</w:t>
      </w:r>
    </w:p>
    <w:p>
      <w:pPr>
        <w:spacing w:after="0" w:line="231" w:lineRule="auto"/>
        <w:rPr>
          <w:sz w:val="20"/>
          <w:szCs w:val="20"/>
          <w:color w:val="auto"/>
        </w:rPr>
      </w:pPr>
      <w:r>
        <w:rPr>
          <w:rFonts w:ascii="Arial" w:cs="Arial" w:eastAsia="Arial" w:hAnsi="Arial"/>
          <w:sz w:val="22"/>
          <w:szCs w:val="22"/>
          <w:u w:val="single" w:color="auto"/>
          <w:color w:val="0000EE"/>
        </w:rPr>
        <w:t>EX-4.7</w:t>
      </w:r>
    </w:p>
    <w:p>
      <w:pPr>
        <w:spacing w:after="0"/>
        <w:rPr>
          <w:sz w:val="20"/>
          <w:szCs w:val="20"/>
          <w:color w:val="auto"/>
        </w:rPr>
      </w:pPr>
      <w:r>
        <w:rPr>
          <w:rFonts w:ascii="Arial" w:cs="Arial" w:eastAsia="Arial" w:hAnsi="Arial"/>
          <w:sz w:val="22"/>
          <w:szCs w:val="22"/>
          <w:u w:val="single" w:color="auto"/>
          <w:color w:val="0000EE"/>
        </w:rPr>
        <w:t>EX-5.1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 Item 8.01 Other Events.</w:t>
      </w:r>
    </w:p>
    <w:p>
      <w:pPr>
        <w:spacing w:after="0" w:line="121" w:lineRule="exact"/>
        <w:rPr>
          <w:sz w:val="20"/>
          <w:szCs w:val="20"/>
          <w:color w:val="auto"/>
        </w:rPr>
      </w:pPr>
    </w:p>
    <w:p>
      <w:pPr>
        <w:ind w:firstLine="225"/>
        <w:spacing w:after="0" w:line="287" w:lineRule="auto"/>
        <w:rPr>
          <w:sz w:val="20"/>
          <w:szCs w:val="20"/>
          <w:color w:val="auto"/>
        </w:rPr>
      </w:pPr>
      <w:r>
        <w:rPr>
          <w:rFonts w:ascii="Arial" w:cs="Arial" w:eastAsia="Arial" w:hAnsi="Arial"/>
          <w:sz w:val="16"/>
          <w:szCs w:val="16"/>
          <w:color w:val="auto"/>
        </w:rPr>
        <w:t>On February 23, 2009, Waste Management, Inc. (the “Company”) commenced an underwritten public offering of $350,000,000 aggregate principal amount of its 6.375% Senior Notes due 2015 (the “2015 Notes”) and $450,000,000 aggregate principal amount of its 7.375% Senior Notes due 2019 (the “2019 Notes” and, together with the 2015 Notes, the “Notes”) under the Company’s Registration Statement on Form S-3 (No. 333-137526) (the “Registration Statement”). The Notes, which will be fully and unconditionally guaranteed by our wholly-owned subsidiary Waste Management Holdings, Inc. (“WM Holdings”), were sold pursuant to an underwriting agreement (the “Underwriting Agreement”) entered into on February 23, 2009 by the Company, WM Holdings and Barclays Capital, Inc., Credit Suisse Securities (USA) LLC, Deutsche Bank Securities Inc. and Greenwich Capital Markets, Inc. as representatives of the several underwriters set forth therein. The Notes will be issued under an indenture dated as of September 10, 1997, between the Company and The Bank of New York Mellon Trust Company, N.A. (the current successor to Texas Commerce Bank National Association), as trustee (the “Indenture”). Closing of the issuance and sale of the Notes is scheduled to occur on February 26, 2009. The exhibits filed herewith are filed pursuant to the Registration Statement pursuant to Item 601 of Regulation S-K and are included as exhibits to this current report and are incorporated herein by reference. The description of the Underwriting Agreement is qualified in its entirety by the full text of such document, which is filed herewith.</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1.1 Underwriting Agreement dated February 23, 2009 by and among the Company, WM Holdings and Barclays Capital, Inc., Credit Suisse Securities (USA) LLC, Deutsche Bank Securities Inc. and Greenwich Capital Markets, Inc. as representatives of the several Underwriters named therein.</w:t>
      </w:r>
    </w:p>
    <w:p>
      <w:pPr>
        <w:spacing w:after="0" w:line="16"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4.1 Indenture dated September 10, 1997 by and between the Company and The Bank of New York Mellon Trust Company, N.A. (the current successor to Texas Commerce Bank National Association), as Trustee, relating to senior debt securities of the Company (incorporated by reference to Exhibit 4.1 to Current Report on Form 8-K filed September 24, 1997).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4.2 Form of Officers’ Certificate delivered pursuant to Section 3.01 of the Indenture establishing the terms and form of the 2015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4.3 Form of Officers’ Certificate delivered pursuant to Section 3.01 of the Indenture establishing the terms and form of the 2019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4.4 Form of 2015 Note (included in Exhibit 4.2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4.5 Form of 2019 Note (included in Exhibit 4.3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4.6 Form of Guarantee Agreement by WM Holdings in favor of the holders of Waste Management, Inc.’s 6.375% Senior Notes due 2015.</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4.7 Form of Guarantee Agreement by WM Holdings in favor of the holders of Waste Management, Inc.’s 7.375% Senior Notes due 2019.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5.1 Opinion of Baker Botts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60" w:type="dxa"/>
            <w:vAlign w:val="bottom"/>
          </w:tcPr>
          <w:p>
            <w:pPr>
              <w:spacing w:after="0"/>
              <w:rPr>
                <w:sz w:val="20"/>
                <w:szCs w:val="20"/>
                <w:color w:val="auto"/>
              </w:rPr>
            </w:pP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560" w:type="dxa"/>
            <w:vAlign w:val="bottom"/>
          </w:tcPr>
          <w:p>
            <w:pPr>
              <w:spacing w:after="0"/>
              <w:rPr>
                <w:sz w:val="20"/>
                <w:szCs w:val="20"/>
                <w:color w:val="auto"/>
              </w:rPr>
            </w:pPr>
            <w:r>
              <w:rPr>
                <w:rFonts w:ascii="Arial" w:cs="Arial" w:eastAsia="Arial" w:hAnsi="Arial"/>
                <w:sz w:val="18"/>
                <w:szCs w:val="18"/>
                <w:color w:val="auto"/>
              </w:rPr>
              <w:t>Date: February 25, 2009</w:t>
            </w:r>
          </w:p>
        </w:tc>
        <w:tc>
          <w:tcPr>
            <w:tcW w:w="6180" w:type="dxa"/>
            <w:vAlign w:val="bottom"/>
            <w:gridSpan w:val="2"/>
          </w:tcPr>
          <w:p>
            <w:pPr>
              <w:ind w:left="180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224"/>
        </w:trPr>
        <w:tc>
          <w:tcPr>
            <w:tcW w:w="356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4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Rick L Wittenbraker, Senior Vice President</w:t>
            </w:r>
          </w:p>
        </w:tc>
        <w:tc>
          <w:tcPr>
            <w:tcW w:w="1680" w:type="dxa"/>
            <w:vAlign w:val="bottom"/>
          </w:tcPr>
          <w:p>
            <w:pPr>
              <w:spacing w:after="0"/>
              <w:rPr>
                <w:sz w:val="19"/>
                <w:szCs w:val="19"/>
                <w:color w:val="auto"/>
              </w:rPr>
            </w:pPr>
          </w:p>
        </w:tc>
      </w:tr>
      <w:tr>
        <w:trPr>
          <w:trHeight w:val="1049"/>
        </w:trPr>
        <w:tc>
          <w:tcPr>
            <w:tcW w:w="3560" w:type="dxa"/>
            <w:vAlign w:val="bottom"/>
            <w:tcBorders>
              <w:bottom w:val="single" w:sz="8" w:color="808080"/>
            </w:tcBorders>
          </w:tcPr>
          <w:p>
            <w:pPr>
              <w:spacing w:after="0"/>
              <w:rPr>
                <w:sz w:val="24"/>
                <w:szCs w:val="24"/>
                <w:color w:val="auto"/>
              </w:rPr>
            </w:pPr>
          </w:p>
        </w:tc>
        <w:tc>
          <w:tcPr>
            <w:tcW w:w="2160" w:type="dxa"/>
            <w:vAlign w:val="bottom"/>
            <w:tcBorders>
              <w:bottom w:val="single" w:sz="8" w:color="808080"/>
            </w:tcBorders>
          </w:tcPr>
          <w:p>
            <w:pPr>
              <w:spacing w:after="0"/>
              <w:rPr>
                <w:sz w:val="24"/>
                <w:szCs w:val="24"/>
                <w:color w:val="auto"/>
              </w:rPr>
            </w:pPr>
          </w:p>
        </w:tc>
        <w:tc>
          <w:tcPr>
            <w:tcW w:w="40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Exhibit Index</w:t>
      </w:r>
    </w:p>
    <w:p>
      <w:pPr>
        <w:spacing w:after="0" w:line="121"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1.1 Underwriting Agreement dated February 23, 2009 by and among the Company, WM Holdings and Barclays Capital, Inc., Credit Suisse Securities (USA) LLC, Deutsche Bank Securities Inc. and Greenwich Capital Markets, Inc. as representatives of the several Underwriters named therein.</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4.1 Indenture dated September 10, 1997 by and between the Company and The Bank of New York Trust Company, N.A. (the current successor to Texas Commerce Bank National Association), as Trustee, relating to senior debt securities of the Company (incorporated by reference to Exhibit 4.1 to Current Report on Form 8-K filed September 24, 1997).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4.2 Form of Officers’ Certificate delivered pursuant to Section 3.01 of the Indenture establishing the terms and form of the 2015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4.3 Form of Officers’ Certificate delivered pursuant to Section 3.01 of the Indenture establishing the terms and form of the 2019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4.4 Form of 2015 Note (included in Exhibit 4.2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4.5 Form of 2019 Note (included in Exhibit 4.3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4.6 Form of Guarantee Agreement by WM Holdings in favor of the holders of Waste Management, Inc.’s 6.375% Senior Notes due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4.7 Form of Guarantee Agreement by WM Holdings in favor of the holders of Waste Management, Inc.’s 7.375% Senior Notes due 2019.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5.1 Opinion of Baker Botts L.L.P.</w:t>
      </w:r>
    </w:p>
    <w:p>
      <w:pPr>
        <w:sectPr>
          <w:pgSz w:w="11900" w:h="16838" w:orient="portrait"/>
          <w:cols w:equalWidth="0" w:num="1">
            <w:col w:w="11020"/>
          </w:cols>
          <w:pgMar w:left="240" w:top="419" w:right="6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1.1</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ASTE</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ANAGEMENT</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$800,000,000</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6.375% Senior Notes due 2015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7.375% Senior Notes due 2019</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23, 2009</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To the Representatives named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 Schedule II hereto of the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Underwriters named in</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Schedule II hereto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222"/>
        <w:spacing w:after="0" w:line="268" w:lineRule="auto"/>
        <w:rPr>
          <w:sz w:val="20"/>
          <w:szCs w:val="20"/>
          <w:color w:val="auto"/>
        </w:rPr>
      </w:pPr>
      <w:r>
        <w:rPr>
          <w:rFonts w:ascii="Arial" w:cs="Arial" w:eastAsia="Arial" w:hAnsi="Arial"/>
          <w:sz w:val="17"/>
          <w:szCs w:val="17"/>
          <w:color w:val="auto"/>
        </w:rPr>
        <w:t>Waste Management, Inc., a corporation organized under the laws of Delaware (the “</w:t>
      </w:r>
      <w:r>
        <w:rPr>
          <w:rFonts w:ascii="Arial" w:cs="Arial" w:eastAsia="Arial" w:hAnsi="Arial"/>
          <w:sz w:val="17"/>
          <w:szCs w:val="17"/>
          <w:u w:val="single" w:color="auto"/>
          <w:color w:val="auto"/>
        </w:rPr>
        <w:t>Company</w:t>
      </w:r>
      <w:r>
        <w:rPr>
          <w:rFonts w:ascii="Arial" w:cs="Arial" w:eastAsia="Arial" w:hAnsi="Arial"/>
          <w:sz w:val="17"/>
          <w:szCs w:val="17"/>
          <w:color w:val="auto"/>
        </w:rPr>
        <w:t>”), proposes to sell to the several underwriters named in Schedule II hereto (the “</w:t>
      </w:r>
      <w:r>
        <w:rPr>
          <w:rFonts w:ascii="Arial" w:cs="Arial" w:eastAsia="Arial" w:hAnsi="Arial"/>
          <w:sz w:val="17"/>
          <w:szCs w:val="17"/>
          <w:u w:val="single" w:color="auto"/>
          <w:color w:val="auto"/>
        </w:rPr>
        <w:t>Underwriters</w:t>
      </w:r>
      <w:r>
        <w:rPr>
          <w:rFonts w:ascii="Arial" w:cs="Arial" w:eastAsia="Arial" w:hAnsi="Arial"/>
          <w:sz w:val="17"/>
          <w:szCs w:val="17"/>
          <w:color w:val="auto"/>
        </w:rPr>
        <w:t>”), for whom you (the “</w:t>
      </w:r>
      <w:r>
        <w:rPr>
          <w:rFonts w:ascii="Arial" w:cs="Arial" w:eastAsia="Arial" w:hAnsi="Arial"/>
          <w:sz w:val="17"/>
          <w:szCs w:val="17"/>
          <w:u w:val="single" w:color="auto"/>
          <w:color w:val="auto"/>
        </w:rPr>
        <w:t>Representatives</w:t>
      </w:r>
      <w:r>
        <w:rPr>
          <w:rFonts w:ascii="Arial" w:cs="Arial" w:eastAsia="Arial" w:hAnsi="Arial"/>
          <w:sz w:val="17"/>
          <w:szCs w:val="17"/>
          <w:color w:val="auto"/>
        </w:rPr>
        <w:t>”) are acting as representatives, the principal amounts of its securities identified in Schedule I hereto (the “</w:t>
      </w:r>
      <w:r>
        <w:rPr>
          <w:rFonts w:ascii="Arial" w:cs="Arial" w:eastAsia="Arial" w:hAnsi="Arial"/>
          <w:sz w:val="17"/>
          <w:szCs w:val="17"/>
          <w:u w:val="single" w:color="auto"/>
          <w:color w:val="auto"/>
        </w:rPr>
        <w:t>Notes</w:t>
      </w:r>
      <w:r>
        <w:rPr>
          <w:rFonts w:ascii="Arial" w:cs="Arial" w:eastAsia="Arial" w:hAnsi="Arial"/>
          <w:sz w:val="17"/>
          <w:szCs w:val="17"/>
          <w:color w:val="auto"/>
        </w:rPr>
        <w:t>”), to be issued under an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dated as of September 10, 1997, between the Company and The Bank of New York Mellon Trust Company, N.A. (as the current successor to Texas Commerce Bank National Association),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and to be guaranteed on a senior unsecured basis (the “</w:t>
      </w:r>
      <w:r>
        <w:rPr>
          <w:rFonts w:ascii="Arial" w:cs="Arial" w:eastAsia="Arial" w:hAnsi="Arial"/>
          <w:sz w:val="17"/>
          <w:szCs w:val="17"/>
          <w:u w:val="single" w:color="auto"/>
          <w:color w:val="auto"/>
        </w:rPr>
        <w:t>Guarantee</w:t>
      </w:r>
      <w:r>
        <w:rPr>
          <w:rFonts w:ascii="Arial" w:cs="Arial" w:eastAsia="Arial" w:hAnsi="Arial"/>
          <w:sz w:val="17"/>
          <w:szCs w:val="17"/>
          <w:color w:val="auto"/>
        </w:rPr>
        <w:t>”) by Waste Management Holdings, Inc. (“</w:t>
      </w:r>
      <w:r>
        <w:rPr>
          <w:rFonts w:ascii="Arial" w:cs="Arial" w:eastAsia="Arial" w:hAnsi="Arial"/>
          <w:sz w:val="17"/>
          <w:szCs w:val="17"/>
          <w:u w:val="single" w:color="auto"/>
          <w:color w:val="auto"/>
        </w:rPr>
        <w:t>Holdings</w:t>
      </w:r>
      <w:r>
        <w:rPr>
          <w:rFonts w:ascii="Arial" w:cs="Arial" w:eastAsia="Arial" w:hAnsi="Arial"/>
          <w:sz w:val="17"/>
          <w:szCs w:val="17"/>
          <w:color w:val="auto"/>
        </w:rPr>
        <w:t>”) pursuant to a guarantee (the “</w:t>
      </w:r>
      <w:r>
        <w:rPr>
          <w:rFonts w:ascii="Arial" w:cs="Arial" w:eastAsia="Arial" w:hAnsi="Arial"/>
          <w:sz w:val="17"/>
          <w:szCs w:val="17"/>
          <w:u w:val="single" w:color="auto"/>
          <w:color w:val="auto"/>
        </w:rPr>
        <w:t>Guarantee</w:t>
      </w:r>
      <w:r>
        <w:rPr>
          <w:rFonts w:ascii="Arial" w:cs="Arial" w:eastAsia="Arial" w:hAnsi="Arial"/>
          <w:sz w:val="17"/>
          <w:szCs w:val="17"/>
          <w:color w:val="auto"/>
        </w:rPr>
        <w:t xml:space="preserve"> </w:t>
      </w:r>
      <w:r>
        <w:rPr>
          <w:rFonts w:ascii="Arial" w:cs="Arial" w:eastAsia="Arial" w:hAnsi="Arial"/>
          <w:sz w:val="17"/>
          <w:szCs w:val="17"/>
          <w:u w:val="single" w:color="auto"/>
          <w:color w:val="auto"/>
        </w:rPr>
        <w:t>Agreement</w:t>
      </w:r>
      <w:r>
        <w:rPr>
          <w:rFonts w:ascii="Arial" w:cs="Arial" w:eastAsia="Arial" w:hAnsi="Arial"/>
          <w:sz w:val="17"/>
          <w:szCs w:val="17"/>
          <w:color w:val="auto"/>
        </w:rPr>
        <w:t>”) in favor of the holders of the Notes to be dated as of the Closing Date (as defined in Section 3 hereof). The Notes and the Guarantee are sometimes referred to herein collectively as the “</w:t>
      </w:r>
      <w:r>
        <w:rPr>
          <w:rFonts w:ascii="Arial" w:cs="Arial" w:eastAsia="Arial" w:hAnsi="Arial"/>
          <w:sz w:val="17"/>
          <w:szCs w:val="17"/>
          <w:u w:val="single" w:color="auto"/>
          <w:color w:val="auto"/>
        </w:rPr>
        <w:t>Securities</w:t>
      </w:r>
      <w:r>
        <w:rPr>
          <w:rFonts w:ascii="Arial" w:cs="Arial" w:eastAsia="Arial" w:hAnsi="Arial"/>
          <w:sz w:val="17"/>
          <w:szCs w:val="17"/>
          <w:color w:val="auto"/>
        </w:rPr>
        <w:t>.” Any reference herein to the Registration Statement, the Preliminary Prospectus or the Final Prospectus shall be deemed to refer to and include the documents incorporated by reference therein pursuant to Item 12 of Form S-3 under the Act, which were filed under the Exchange Act on or before the Effective Date of the Registration Statement or the date of the Preliminary Prospectus or the Final Prospectus, as the case may be; and any reference herein to the terms “amend,” “amendment” or “supplement” with respect to the Registration Statement, the Preliminary Prospectus or the Final Prospectus shall be deemed to refer to and include the filing of any document under the Exchange Act after the Effective Date of the Registration Statement or the date of the Preliminary Prospectus or the Final Prospectus, as the case may be, deemed to be incorporated therein by reference. Certain terms used herein are defined in Section 18 hereof.</w:t>
      </w:r>
    </w:p>
    <w:p>
      <w:pPr>
        <w:spacing w:after="0" w:line="80" w:lineRule="exact"/>
        <w:rPr>
          <w:sz w:val="20"/>
          <w:szCs w:val="20"/>
          <w:color w:val="auto"/>
        </w:rPr>
      </w:pPr>
    </w:p>
    <w:p>
      <w:pPr>
        <w:ind w:right="320" w:firstLine="215"/>
        <w:spacing w:after="0" w:line="277" w:lineRule="auto"/>
        <w:rPr>
          <w:sz w:val="20"/>
          <w:szCs w:val="20"/>
          <w:color w:val="auto"/>
        </w:rPr>
      </w:pPr>
      <w:r>
        <w:rPr>
          <w:rFonts w:ascii="Arial" w:cs="Arial" w:eastAsia="Arial" w:hAnsi="Arial"/>
          <w:sz w:val="18"/>
          <w:szCs w:val="18"/>
          <w:color w:val="auto"/>
        </w:rPr>
        <w:t>At or prior to the Time of Sale, the Company had prepared the following information (the “</w:t>
      </w:r>
      <w:r>
        <w:rPr>
          <w:rFonts w:ascii="Arial" w:cs="Arial" w:eastAsia="Arial" w:hAnsi="Arial"/>
          <w:sz w:val="18"/>
          <w:szCs w:val="18"/>
          <w:u w:val="single" w:color="auto"/>
          <w:color w:val="auto"/>
        </w:rPr>
        <w:t>Time of Sale Information</w:t>
      </w:r>
      <w:r>
        <w:rPr>
          <w:rFonts w:ascii="Arial" w:cs="Arial" w:eastAsia="Arial" w:hAnsi="Arial"/>
          <w:sz w:val="18"/>
          <w:szCs w:val="18"/>
          <w:color w:val="auto"/>
        </w:rPr>
        <w:t>”): the Preliminary Prospectus and each “free-writing prospectus” (as defined pursuant to Rule 405 under the Act) listed on Annex A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ind w:left="-20" w:right="80" w:firstLine="233"/>
        <w:spacing w:after="0" w:line="277" w:lineRule="auto"/>
        <w:tabs>
          <w:tab w:leader="none" w:pos="385"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of the Company and Holdings represents and warrants to, and agrees with, each Underwriter as set forth below in this Section 1.</w:t>
      </w:r>
    </w:p>
    <w:p>
      <w:pPr>
        <w:spacing w:after="0" w:line="62" w:lineRule="exact"/>
        <w:rPr>
          <w:rFonts w:ascii="Arial" w:cs="Arial" w:eastAsia="Arial" w:hAnsi="Arial"/>
          <w:sz w:val="18"/>
          <w:szCs w:val="18"/>
          <w:color w:val="auto"/>
        </w:rPr>
      </w:pPr>
    </w:p>
    <w:p>
      <w:pPr>
        <w:ind w:left="220" w:right="20" w:firstLine="221"/>
        <w:spacing w:after="0" w:line="289" w:lineRule="auto"/>
        <w:tabs>
          <w:tab w:leader="none" w:pos="69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Company meets the requirements for use of Form S-3 under the Act and has prepared and filed with the Commission a registration statement (File Number 333-137526) on Form S-3, including a related basic prospectus, for registration under the Act of the offering and sale of the Securities. The Registration Statement is an “automatic effective registration statement” as defined under Rule 405 of the Act that has been filed with the Commission not earlier than three years prior to the date hereof; and no notice of objection of the Commission to the use of such registration statement or any post-effective amendment thereto pursuant to Rule 401(g)(2) under the Act has been received by the Company. No order suspending the effectiveness of the Registration Statement has been issued by the Commission and no proceeding for that purpose or pursuant to Section 8A of the Act against the Company or related to the offering has been initiated or threatened by the Commission. The Company may have filed one or more amendments thereto each of which has previously been furnished to you. The Company will next file with the Commission a final prospectus in accordance with Rules 415 and 424(b). The Registration Statement, at the Time of Sale, meets the requirements set forth in Rule 415(a)(1)(x).</w:t>
      </w:r>
    </w:p>
    <w:p>
      <w:pPr>
        <w:spacing w:after="0" w:line="58" w:lineRule="exact"/>
        <w:rPr>
          <w:rFonts w:ascii="Arial" w:cs="Arial" w:eastAsia="Arial" w:hAnsi="Arial"/>
          <w:sz w:val="16"/>
          <w:szCs w:val="16"/>
          <w:color w:val="auto"/>
        </w:rPr>
      </w:pPr>
    </w:p>
    <w:p>
      <w:pPr>
        <w:ind w:left="220" w:firstLine="221"/>
        <w:spacing w:after="0" w:line="286" w:lineRule="auto"/>
        <w:tabs>
          <w:tab w:leader="none" w:pos="700" w:val="left"/>
        </w:tabs>
        <w:numPr>
          <w:ilvl w:val="1"/>
          <w:numId w:val="2"/>
        </w:numPr>
        <w:rPr>
          <w:rFonts w:ascii="Arial" w:cs="Arial" w:eastAsia="Arial" w:hAnsi="Arial"/>
          <w:sz w:val="16"/>
          <w:szCs w:val="16"/>
          <w:color w:val="auto"/>
        </w:rPr>
      </w:pPr>
      <w:r>
        <w:rPr>
          <w:rFonts w:ascii="Arial" w:cs="Arial" w:eastAsia="Arial" w:hAnsi="Arial"/>
          <w:sz w:val="16"/>
          <w:szCs w:val="16"/>
          <w:color w:val="auto"/>
        </w:rPr>
        <w:t xml:space="preserve">At the Effective Date, the Registration Statement did, and when the Final Prospectus is first filed in accordance with Rule 424(b) and on the Closing Date (as defined herein), the Final Prospectus (and any supplement thereto) will, comply in all material respects with the applicable requirements of the Act, the Exchange Act and the Trust Indenture Act and the respective rules thereunder; on the Effective Date the Registration Statement did not, and on the Closing Date the Registration Statement will not, contain any untrue statement of a material fact or omit to state any material fact required to be stated therein or necessary in order to make the statements therein not misleading; on the Effective Date the Indenture did, and on the Closing Date the Indenture will, comply in all material respects with the applicable requirements of the Trust Indenture Act and the rules thereunder; and on the date of filing of the Final Prospectus pursuant to Rule 424(b) and on the Closing Date, the Registration Statement and the Final Prospectus (together with any supplement thereto) will not, include any untrue statement of a material fact or omit to state a material fact necessary in order to make the statements therein (in the light of the circumstances under which they were made with respect to the Final Prospectus),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makes no representations or warranties as to (i) that part of the Registration Statement which shall constitute the Statement of Eligibility and Qualification (Form T-1) under the Trust Indenture Act of the Trustee or (ii)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w:t>
      </w:r>
    </w:p>
    <w:p>
      <w:pPr>
        <w:spacing w:after="0" w:line="66" w:lineRule="exact"/>
        <w:rPr>
          <w:rFonts w:ascii="Arial" w:cs="Arial" w:eastAsia="Arial" w:hAnsi="Arial"/>
          <w:sz w:val="16"/>
          <w:szCs w:val="16"/>
          <w:color w:val="auto"/>
        </w:rPr>
      </w:pPr>
    </w:p>
    <w:p>
      <w:pPr>
        <w:ind w:left="220" w:right="180" w:firstLine="221"/>
        <w:spacing w:after="0" w:line="277" w:lineRule="auto"/>
        <w:tabs>
          <w:tab w:leader="none" w:pos="69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Time of Sale Information, at the Time of Sale did not, and at the Closing Date will not, contain any untrue statement of a material fact or omit to state a</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9" w:name="page10"/>
    <w:bookmarkEnd w:id="9"/>
    <w:p>
      <w:pPr>
        <w:ind w:right="220"/>
        <w:spacing w:after="0" w:line="297" w:lineRule="auto"/>
        <w:rPr>
          <w:sz w:val="20"/>
          <w:szCs w:val="20"/>
          <w:color w:val="auto"/>
        </w:rPr>
      </w:pPr>
      <w:r>
        <w:rPr>
          <w:rFonts w:ascii="Arial" w:cs="Arial" w:eastAsia="Arial" w:hAnsi="Arial"/>
          <w:sz w:val="16"/>
          <w:szCs w:val="16"/>
          <w:color w:val="auto"/>
        </w:rPr>
        <w:t>material fact necessary in order to make the statements therein, in the light of the circumstances under which they were made, not misleading; provided that the Company makes no representation and warranty with respect to any statements or omissions made in reliance upon and in conformity with information relating to any Underwriter furnished to the Company in writing by such Underwriter through the Representatives expressly for use in such Time of Sale Information. No statement of material fact included in the Final Prospectus has been omitted from the Time of Sale Information and no statement of material fact included in the Time of Sale Information that is required to be included in the Final Prospectus has been omitted therefrom.</w:t>
      </w:r>
    </w:p>
    <w:p>
      <w:pPr>
        <w:spacing w:after="0" w:line="50" w:lineRule="exact"/>
        <w:rPr>
          <w:sz w:val="20"/>
          <w:szCs w:val="20"/>
          <w:color w:val="auto"/>
        </w:rPr>
      </w:pPr>
    </w:p>
    <w:p>
      <w:pPr>
        <w:ind w:firstLine="221"/>
        <w:spacing w:after="0" w:line="286" w:lineRule="auto"/>
        <w:tabs>
          <w:tab w:leader="none" w:pos="4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 (including its agents and representatives, other than the Underwriters in their capacity as such) has not prepared, made, used, authorized, approved or referred to and will not prepare, make, use, authorize, approve or refer to any “written communication” (as defined in Rule 405 under the Act) that constitutes an offer to sell or solicitation of an offer to buy the Securities (each such communication by the Company or its agents and representatives (other than a communication referred to in clauses (i) (ii) and (iii) below) an “Issuer Free Writing Prospectus”) other than (i) any document not constituting a prospectus pursuant to Section 2(a)(10)(a) of the Act or Rule 134 under the Act, (ii) the Preliminary Prospectus, (iii) the Final Prospectus, (iv) the documents constituting the Time of Sale Information and (v) any electronic road show or other written communications, in each case approved in writing in advance by the Representatives. Each such Issuer Free Writing Prospectus complied in all material respects with the Act, has been or will be (within the time period specified in Rule 433) filed in accordance with the Act (to the extent required thereby) and, when taken together with the Preliminary Prospectus filed prior to the first use of such Issuer Free Writing Prospectus, did not, and at the Closing Date will not, contain any untrue statement of a material fact or omit to state a material fact necessary in order to make the statements therein, in the light of the circumstances under which they were made, not misleading; provided that the Company makes no representation and warranty with respect to any statements or omissions made in each such Issuer Free Writing Prospectus in reliance upon and in conformity with information relating to any Underwriter furnished to the Company in writing by such Underwriter through the Representatives expressly for use in any Issuer Free Writing Prospectus.</w:t>
      </w:r>
    </w:p>
    <w:p>
      <w:pPr>
        <w:spacing w:after="0" w:line="66" w:lineRule="exact"/>
        <w:rPr>
          <w:rFonts w:ascii="Arial" w:cs="Arial" w:eastAsia="Arial" w:hAnsi="Arial"/>
          <w:sz w:val="16"/>
          <w:szCs w:val="16"/>
          <w:color w:val="auto"/>
        </w:rPr>
      </w:pPr>
    </w:p>
    <w:p>
      <w:pPr>
        <w:ind w:right="100" w:firstLine="221"/>
        <w:spacing w:after="0" w:line="271" w:lineRule="auto"/>
        <w:tabs>
          <w:tab w:leader="none" w:pos="47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documents incorporated by reference in the Registration Statement, the Time of Sale Information and the Final Prospectus, when they were filed with the Commission conformed in all material respects to the requirements of the Exchange Act and none of such documents contained any untrue statement of a material fact or omitted to state a material fact required to be stated therein or necessary to make the statements therein, in the light of the circumstances under which they were made, not misleading; and any further documents so filed and incorporated by reference in the Registration Statement, the Time of Sale Information and the Final Prospectus, when such documents become effective or are filed with the Commission, as the case may be, will conform in all material respects to the requirements of the Act or the Exchange Act, as applicable, and will not contain any untrue statement of a material fact or omit to state a material fact required to be stated therein or necessary to make the statements therein, in the light of the circumstances under which they were made, not misleading.</w:t>
      </w:r>
    </w:p>
    <w:p>
      <w:pPr>
        <w:spacing w:after="0" w:line="15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480" w:top="935" w:right="279" w:bottom="1440" w:gutter="0" w:footer="0" w:header="0"/>
        </w:sectPr>
      </w:pPr>
    </w:p>
    <w:bookmarkStart w:id="10" w:name="page11"/>
    <w:bookmarkEnd w:id="10"/>
    <w:p>
      <w:pPr>
        <w:ind w:firstLine="221"/>
        <w:spacing w:after="0" w:line="255" w:lineRule="auto"/>
        <w:tabs>
          <w:tab w:leader="none" w:pos="4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Indenture has been duly authorized, executed and delivered by the Company and, assuming it was duly executed and delivered by the Trustee, is a valid and binding agreement of the Company, enforceable against the Company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Indenture has been duly qualified under the Trust Indenture Act and conforms to the description thereof in the Registration Statement, the Time of Sale Information and the Final Prospectus.</w:t>
      </w:r>
    </w:p>
    <w:p>
      <w:pPr>
        <w:spacing w:after="0" w:line="85" w:lineRule="exact"/>
        <w:rPr>
          <w:rFonts w:ascii="Arial" w:cs="Arial" w:eastAsia="Arial" w:hAnsi="Arial"/>
          <w:sz w:val="18"/>
          <w:szCs w:val="18"/>
          <w:color w:val="auto"/>
        </w:rPr>
      </w:pPr>
    </w:p>
    <w:p>
      <w:pPr>
        <w:ind w:right="120" w:firstLine="221"/>
        <w:spacing w:after="0" w:line="272" w:lineRule="auto"/>
        <w:tabs>
          <w:tab w:leader="none" w:pos="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Each series of the Notes has been duly authorized and, when executed by the Company and authenticated by the Trustee in accordance with the Indenture and delivered to you against payment therefor in accordance with the terms hereof, will have been validly issued and delivered, and will constitute valid and binding obligations of the Company entitled to the benefits of the Indenture and enforceable against the Company in accordance with their respective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each series of the Notes conforms to the description thereof in the Registration Statement, the Time of Sale Information and the Final Prospectus.</w:t>
      </w:r>
    </w:p>
    <w:p>
      <w:pPr>
        <w:spacing w:after="0" w:line="69" w:lineRule="exact"/>
        <w:rPr>
          <w:rFonts w:ascii="Arial" w:cs="Arial" w:eastAsia="Arial" w:hAnsi="Arial"/>
          <w:sz w:val="17"/>
          <w:szCs w:val="17"/>
          <w:color w:val="auto"/>
        </w:rPr>
      </w:pPr>
    </w:p>
    <w:p>
      <w:pPr>
        <w:ind w:right="80" w:firstLine="221"/>
        <w:spacing w:after="0" w:line="273" w:lineRule="auto"/>
        <w:tabs>
          <w:tab w:leader="none" w:pos="4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Guarantee Agreement has been duly authorized and, when executed and delivered by Holdings against payment for the Notes in accordance with the terms thereof, will have been validly executed and delivered, and will constitute a valid and binding agreement of Holdings, enforceable against Holdings in accordance with its terms, except as enforcement thereof may be limited by applicable bankruptcy, insolvency, fraudulent conveyance, reorganization, moratorium and similar laws now or hereafter in effect relating to or affecting rights and remedies of creditors, and to general principles of equity (regardless of whether enforcement is sought in a proceeding at law or in equity), and the Guarantee conforms to the description thereof in the Registration Statement, the Time of Sale Information and the Final Prospectus.</w:t>
      </w:r>
    </w:p>
    <w:p>
      <w:pPr>
        <w:spacing w:after="0" w:line="70" w:lineRule="exact"/>
        <w:rPr>
          <w:rFonts w:ascii="Arial" w:cs="Arial" w:eastAsia="Arial" w:hAnsi="Arial"/>
          <w:sz w:val="17"/>
          <w:szCs w:val="17"/>
          <w:color w:val="auto"/>
        </w:rPr>
      </w:pPr>
    </w:p>
    <w:p>
      <w:pPr>
        <w:ind w:right="20" w:firstLine="221"/>
        <w:spacing w:after="0" w:line="293" w:lineRule="auto"/>
        <w:tabs>
          <w:tab w:leader="none" w:pos="4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 on the condition (financial or other), prospects, earnings, business or properties of the Company and its subsidiaries taken as a whole, whether or not arising from transactions in the ordinary course of business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w:t>
      </w:r>
    </w:p>
    <w:p>
      <w:pPr>
        <w:spacing w:after="0" w:line="138"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1" w:name="page12"/>
    <w:bookmarkEnd w:id="11"/>
    <w:p>
      <w:pPr>
        <w:ind w:firstLine="221"/>
        <w:spacing w:after="0" w:line="25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Holdings is a corporation duly organized and validly existing in good standing under the laws of the State of Delaware with full corporate power and authority to own, lease and operate its properties and to conduct its business as described in the Registration Statement, the Time of Sale Information and the Final Prospectus, and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have a Material Adverse Effect.</w:t>
      </w:r>
    </w:p>
    <w:p>
      <w:pPr>
        <w:spacing w:after="0" w:line="80" w:lineRule="exact"/>
        <w:rPr>
          <w:rFonts w:ascii="Arial" w:cs="Arial" w:eastAsia="Arial" w:hAnsi="Arial"/>
          <w:sz w:val="18"/>
          <w:szCs w:val="18"/>
          <w:color w:val="auto"/>
        </w:rPr>
      </w:pPr>
    </w:p>
    <w:p>
      <w:pPr>
        <w:ind w:right="80" w:firstLine="221"/>
        <w:spacing w:after="0" w:line="272" w:lineRule="auto"/>
        <w:tabs>
          <w:tab w:leader="none" w:pos="4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Each of the Company’s “significant subsidiaries” (as such term is defined in Regulation S-X under the Exchange Act) is included in the list of subsidiaries on Exhibit 21.1 of the Annual Report on Form 10-K for the year ended December 31, 2008 (the “</w:t>
      </w:r>
      <w:r>
        <w:rPr>
          <w:rFonts w:ascii="Arial" w:cs="Arial" w:eastAsia="Arial" w:hAnsi="Arial"/>
          <w:sz w:val="17"/>
          <w:szCs w:val="17"/>
          <w:u w:val="single" w:color="auto"/>
          <w:color w:val="auto"/>
        </w:rPr>
        <w:t>Subsidiaries</w:t>
      </w:r>
      <w:r>
        <w:rPr>
          <w:rFonts w:ascii="Arial" w:cs="Arial" w:eastAsia="Arial" w:hAnsi="Arial"/>
          <w:sz w:val="17"/>
          <w:szCs w:val="17"/>
          <w:color w:val="auto"/>
        </w:rPr>
        <w:t>”), and each of the Subsidiaries has been duly organized, is validly existing and is in good standing in the jurisdiction of its incorporation, with full corporate power and authority to own, lease and operate its properties and to conduct its business as described in the Registration Statement, the Time of Sale Information and the Final Prospectus; and each of the Subsidiaries is duly registered and qualified to conduct its business and is in good standing in each jurisdiction or place where the nature of its properties or the conduct of its business requires such registration or qualification, except where the failure so to register or qualify does not, singly or in the aggregate, have a Material Adverse Effect.</w:t>
      </w:r>
    </w:p>
    <w:p>
      <w:pPr>
        <w:spacing w:after="0" w:line="69" w:lineRule="exact"/>
        <w:rPr>
          <w:rFonts w:ascii="Arial" w:cs="Arial" w:eastAsia="Arial" w:hAnsi="Arial"/>
          <w:sz w:val="17"/>
          <w:szCs w:val="17"/>
          <w:color w:val="auto"/>
        </w:rPr>
      </w:pPr>
    </w:p>
    <w:p>
      <w:pPr>
        <w:ind w:firstLine="221"/>
        <w:spacing w:after="0" w:line="255"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of the issued and outstanding shares of capital stock of each of the Subsidiaries have been duly authorized and validly issued and are owned, directly or indirectly, by the Company. All such shares are fully paid and nonassessable, and, except as disclosed in the Registration Statement, the Time of Sale Information and the Final Prospectus, are owned by the Company, directly or indirectly, free and clear of any security interest, mortgage, pledge, claim, lien, encumbrance or adverse interest of any nature (each, a “</w:t>
      </w:r>
      <w:r>
        <w:rPr>
          <w:rFonts w:ascii="Arial" w:cs="Arial" w:eastAsia="Arial" w:hAnsi="Arial"/>
          <w:sz w:val="18"/>
          <w:szCs w:val="18"/>
          <w:u w:val="single" w:color="auto"/>
          <w:color w:val="auto"/>
        </w:rPr>
        <w:t>Lien</w:t>
      </w:r>
      <w:r>
        <w:rPr>
          <w:rFonts w:ascii="Arial" w:cs="Arial" w:eastAsia="Arial" w:hAnsi="Arial"/>
          <w:sz w:val="18"/>
          <w:szCs w:val="18"/>
          <w:color w:val="auto"/>
        </w:rPr>
        <w:t>”). Except as disclosed in the Registration Statement, the Time of Sale Information and the Final Prospectus, there are no outstanding subscriptions, rights, warrants, options, calls, convertible or exchangeable securities, commitments of sale, or Liens related to or entitling any person to purchase or otherwise to acquire any shares of the capital stock of, or other ownership interests in, any Subsidiary.</w:t>
      </w:r>
    </w:p>
    <w:p>
      <w:pPr>
        <w:spacing w:after="0" w:line="81" w:lineRule="exact"/>
        <w:rPr>
          <w:rFonts w:ascii="Arial" w:cs="Arial" w:eastAsia="Arial" w:hAnsi="Arial"/>
          <w:sz w:val="18"/>
          <w:szCs w:val="18"/>
          <w:color w:val="auto"/>
        </w:rPr>
      </w:pPr>
    </w:p>
    <w:p>
      <w:pPr>
        <w:ind w:left="520" w:hanging="299"/>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Agreement has been duly and validly authorized, executed and delivered by the Company and Holdings.</w:t>
      </w:r>
    </w:p>
    <w:p>
      <w:pPr>
        <w:spacing w:after="0" w:line="117" w:lineRule="exact"/>
        <w:rPr>
          <w:rFonts w:ascii="Arial" w:cs="Arial" w:eastAsia="Arial" w:hAnsi="Arial"/>
          <w:sz w:val="18"/>
          <w:szCs w:val="18"/>
          <w:color w:val="auto"/>
        </w:rPr>
      </w:pPr>
    </w:p>
    <w:p>
      <w:pPr>
        <w:ind w:right="40" w:firstLine="221"/>
        <w:spacing w:after="0" w:line="293" w:lineRule="auto"/>
        <w:tabs>
          <w:tab w:leader="none" w:pos="48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Time of Sale Information and the Final Prospectus, there is no action, suit or proceeding before or by any court or governmental agency or body or any arbitrator pending against the Company or any of its subsidiaries that is required to be disclosed in the Registration Statement, the Time of Sale Information and the Final Prospectus, or which could reasonably be expected to have a Material Adverse Effect, or materially and adversely affect the performance of the Company’s obligations pursuant to this Agreement and, to the best of the Company’s knowledge, no such proceedings are contemplated or threatened. No action has been taken with respect to the Company or any subsidiary, and no statute, rule or regulation or order has been enacted, adopted or issued by any governmental agency</w:t>
      </w:r>
    </w:p>
    <w:p>
      <w:pPr>
        <w:spacing w:after="0" w:line="13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2" w:name="page13"/>
    <w:bookmarkEnd w:id="12"/>
    <w:p>
      <w:pPr>
        <w:spacing w:after="0" w:line="276" w:lineRule="auto"/>
        <w:rPr>
          <w:sz w:val="20"/>
          <w:szCs w:val="20"/>
          <w:color w:val="auto"/>
        </w:rPr>
      </w:pPr>
      <w:r>
        <w:rPr>
          <w:rFonts w:ascii="Arial" w:cs="Arial" w:eastAsia="Arial" w:hAnsi="Arial"/>
          <w:sz w:val="17"/>
          <w:szCs w:val="17"/>
          <w:color w:val="auto"/>
        </w:rPr>
        <w:t>and no injunction, restraining order or other order of any court of competent jurisdiction has been issued with respect to the Company or any subsidiary that prevents the issuance of the Securities or suspends the effectiveness of the Registration Statement, prevents or suspends the use of the Final Prospectus or prevents or suspends the sale of the Securities in any of the jurisdictions that you may have specified pursuant to Section 5(h) hereof; and every request of the Commission, or any securities authority or agency of any jurisdiction, for additional information to be included in the Registration Statement or the Final Prospectus or otherwise has been complied with in all material respects.</w:t>
      </w:r>
    </w:p>
    <w:p>
      <w:pPr>
        <w:spacing w:after="0" w:line="64" w:lineRule="exact"/>
        <w:rPr>
          <w:sz w:val="20"/>
          <w:szCs w:val="20"/>
          <w:color w:val="auto"/>
        </w:rPr>
      </w:pPr>
    </w:p>
    <w:p>
      <w:pPr>
        <w:ind w:right="20" w:firstLine="221"/>
        <w:spacing w:after="0" w:line="291" w:lineRule="auto"/>
        <w:tabs>
          <w:tab w:leader="none" w:pos="480" w:val="left"/>
        </w:tabs>
        <w:numPr>
          <w:ilvl w:val="0"/>
          <w:numId w:val="6"/>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Time of Sale Information and the Final Prospectus (or any amendment or supplement thereto), subsequent to the respective dates as of which such information is given in the Registration Statement, the Time of Sale Information and the Final Prospectus (or any amendment or supplement thereto), neither the Company nor any of its subsidiaries has incurred any liability or obligation, direct or contingent, that is material to the Company and its subsidiaries taken as a whole, or entered into any transaction, not in the ordinary course of business, that is material to the Company and its subsidiaries taken as a whole, and there has not been any material adverse change, or any development involving or which may reasonably be expected to involve, a prospective material adverse change, in the condition (financial or other), prospects, earnings, business or properties of the Company and its subsidiaries taken as a whole, whether or not arising from transactions in the ordinary course of business.</w:t>
      </w:r>
    </w:p>
    <w:p>
      <w:pPr>
        <w:spacing w:after="0" w:line="59" w:lineRule="exact"/>
        <w:rPr>
          <w:rFonts w:ascii="Arial" w:cs="Arial" w:eastAsia="Arial" w:hAnsi="Arial"/>
          <w:sz w:val="16"/>
          <w:szCs w:val="16"/>
          <w:color w:val="auto"/>
        </w:rPr>
      </w:pPr>
    </w:p>
    <w:p>
      <w:pPr>
        <w:ind w:right="80" w:firstLine="221"/>
        <w:spacing w:after="0" w:line="255" w:lineRule="auto"/>
        <w:tabs>
          <w:tab w:leader="none" w:pos="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Except as otherwise set forth in the Registration Statement, the Time of Sale Information and the Final Prospectus or such as would not have a Material Adverse Effect, each of the Company and its subsidiaries has good and marketable title to all property (real and personal) described in the Registration Statement, the Time of Sale Information and the Final Prospectus as being owned by it, free and clear of all Liens, except Liens for taxes not yet due and payable and Liens described in the Registration Statement, the Time of Sale Information and the Final Prospectus or in a document filed as an exhibit to the Registration Statement. All the property described in the Registration Statement, the Time of Sale Information and the Final Prospectus as being held under lease by each of the Company and its subsidiaries is held by it under valid, subsisting and enforceable leases, except as would not have a Material Adverse Effect.</w:t>
      </w:r>
    </w:p>
    <w:p>
      <w:pPr>
        <w:spacing w:after="0" w:line="81" w:lineRule="exact"/>
        <w:rPr>
          <w:rFonts w:ascii="Arial" w:cs="Arial" w:eastAsia="Arial" w:hAnsi="Arial"/>
          <w:sz w:val="18"/>
          <w:szCs w:val="18"/>
          <w:color w:val="auto"/>
        </w:rPr>
      </w:pPr>
    </w:p>
    <w:p>
      <w:pPr>
        <w:ind w:firstLine="221"/>
        <w:spacing w:after="0" w:line="276" w:lineRule="auto"/>
        <w:tabs>
          <w:tab w:leader="none" w:pos="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Neither the Company nor any Subsidiary is in violation or default of (i) any provision of its charter or bylaws,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of any court, regulatory body, administrative agency, governmental body, arbitrator or other authority having jurisdiction over the Company or such Subsidiary or any of its properties, as applicable, except in the case of clauses (ii) and (iii) where such violation or default would not have a Material Adverse Effect.</w:t>
      </w:r>
    </w:p>
    <w:p>
      <w:pPr>
        <w:spacing w:after="0" w:line="64" w:lineRule="exact"/>
        <w:rPr>
          <w:rFonts w:ascii="Arial" w:cs="Arial" w:eastAsia="Arial" w:hAnsi="Arial"/>
          <w:sz w:val="17"/>
          <w:szCs w:val="17"/>
          <w:color w:val="auto"/>
        </w:rPr>
      </w:pPr>
    </w:p>
    <w:p>
      <w:pPr>
        <w:ind w:right="20" w:firstLine="221"/>
        <w:spacing w:after="0" w:line="277" w:lineRule="auto"/>
        <w:tabs>
          <w:tab w:leader="none" w:pos="45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Neither the Company nor Holdings has distributed and, prior to the later to occur of (i) the Closing Date and (ii) completion of the distribution of the Securities,</w:t>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3" w:name="page14"/>
    <w:bookmarkEnd w:id="13"/>
    <w:p>
      <w:pPr>
        <w:ind w:right="300"/>
        <w:spacing w:after="0" w:line="277" w:lineRule="auto"/>
        <w:rPr>
          <w:sz w:val="20"/>
          <w:szCs w:val="20"/>
          <w:color w:val="auto"/>
        </w:rPr>
      </w:pPr>
      <w:r>
        <w:rPr>
          <w:rFonts w:ascii="Arial" w:cs="Arial" w:eastAsia="Arial" w:hAnsi="Arial"/>
          <w:sz w:val="18"/>
          <w:szCs w:val="18"/>
          <w:color w:val="auto"/>
        </w:rPr>
        <w:t>neither will distribute any offering material in connection with the offering and sale of the Securities other than the Registration Statement, the Time of Sale Information and the Final Prospectus or other materials, if any, permitted by the Act.</w:t>
      </w:r>
    </w:p>
    <w:p>
      <w:pPr>
        <w:spacing w:after="0" w:line="62" w:lineRule="exact"/>
        <w:rPr>
          <w:sz w:val="20"/>
          <w:szCs w:val="20"/>
          <w:color w:val="auto"/>
        </w:rPr>
      </w:pPr>
    </w:p>
    <w:p>
      <w:pPr>
        <w:ind w:firstLine="221"/>
        <w:spacing w:after="0" w:line="25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Except as would not have a Material Adverse Effect, each of the Company and its subsidiaries own or possess the right to use all patents, trademarks, trademark registrations, service marks, service mark registrations, trade names, copyrights, licenses, inventions, trade secrets and rights described in the Registration Statement, the Time of Sale Information and the Final Prospectus as being owned by them or any of them or necessary for the conduct of their respective businesses, and the Company is not aware of any claim to the contrary or any challenge by any other person to the rights of the Company and its subsidiaries with respect to the foregoing.</w:t>
      </w:r>
    </w:p>
    <w:p>
      <w:pPr>
        <w:spacing w:after="0" w:line="80" w:lineRule="exact"/>
        <w:rPr>
          <w:rFonts w:ascii="Arial" w:cs="Arial" w:eastAsia="Arial" w:hAnsi="Arial"/>
          <w:sz w:val="18"/>
          <w:szCs w:val="18"/>
          <w:color w:val="auto"/>
        </w:rPr>
      </w:pPr>
    </w:p>
    <w:p>
      <w:pPr>
        <w:jc w:val="both"/>
        <w:ind w:right="80" w:firstLine="221"/>
        <w:spacing w:after="0" w:line="264" w:lineRule="auto"/>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Neither the Company nor Holdings is and, after giving effect to the offering and sale of the Securities and the application of the proceeds thereof as described in the Registration Statement, the Time of Sale Information and the Final Prospectus, neither will be an “investment company” as defined in the 1940 Act.</w:t>
      </w:r>
    </w:p>
    <w:p>
      <w:pPr>
        <w:spacing w:after="0" w:line="73" w:lineRule="exact"/>
        <w:rPr>
          <w:rFonts w:ascii="Arial" w:cs="Arial" w:eastAsia="Arial" w:hAnsi="Arial"/>
          <w:sz w:val="18"/>
          <w:szCs w:val="18"/>
          <w:color w:val="auto"/>
        </w:rPr>
      </w:pPr>
    </w:p>
    <w:p>
      <w:pPr>
        <w:ind w:firstLine="221"/>
        <w:spacing w:after="0" w:line="259"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court or governmental agency or body is required in connection with the transactions contemplated herein, except such as have been obtained under the Act and the Trust Indenture Act and such as may be required under the blue sky laws of any jurisdiction in connection with the purchase and distribution of the Securities by the Underwriters in the manner contemplated herein and in the Registration Statement, the Time of Sale Information and the Final Prospectus.</w:t>
      </w:r>
    </w:p>
    <w:p>
      <w:pPr>
        <w:spacing w:after="0" w:line="78" w:lineRule="exact"/>
        <w:rPr>
          <w:rFonts w:ascii="Arial" w:cs="Arial" w:eastAsia="Arial" w:hAnsi="Arial"/>
          <w:sz w:val="18"/>
          <w:szCs w:val="18"/>
          <w:color w:val="auto"/>
        </w:rPr>
      </w:pPr>
    </w:p>
    <w:p>
      <w:pPr>
        <w:ind w:right="40" w:firstLine="221"/>
        <w:spacing w:after="0" w:line="291" w:lineRule="auto"/>
        <w:tabs>
          <w:tab w:leader="none" w:pos="480" w:val="left"/>
        </w:tabs>
        <w:numPr>
          <w:ilvl w:val="0"/>
          <w:numId w:val="7"/>
        </w:numPr>
        <w:rPr>
          <w:rFonts w:ascii="Arial" w:cs="Arial" w:eastAsia="Arial" w:hAnsi="Arial"/>
          <w:sz w:val="16"/>
          <w:szCs w:val="16"/>
          <w:color w:val="auto"/>
        </w:rPr>
      </w:pPr>
      <w:r>
        <w:rPr>
          <w:rFonts w:ascii="Arial" w:cs="Arial" w:eastAsia="Arial" w:hAnsi="Arial"/>
          <w:sz w:val="16"/>
          <w:szCs w:val="16"/>
          <w:color w:val="auto"/>
        </w:rPr>
        <w:t>Neither the issue and sale of the Securities nor the consummation of any other of the transactions herein contemplated nor the fulfillment of the terms hereof will conflict with, result in a breach or violation of or imposition of any lien, charge or encumbrance upon any property or assets of the Company or any of its subsidiaries pursuant to, (i) the charter or bylaws of the Company or any of its subsidiaries, (ii) the terms of any indenture, contract, lease, mortgage, deed of trust, note agreement, loan agreement or other agreement, obligation, condition, covenant or instrument to which the Company or any of its subsidiaries is a party or bound or to which its or their property is subject, except as would not have a Material Adverse Effect, or (iii) any statute, law, rule, regulation, judgment, order or decree applicable to the Company or any of its subsidiaries of any court, regulatory body, administrative agency, governmental body, arbitrator or other authority having jurisdiction over the Company or any of its subsidiaries or any of its or their properties.</w:t>
      </w:r>
    </w:p>
    <w:p>
      <w:pPr>
        <w:spacing w:after="0" w:line="59" w:lineRule="exact"/>
        <w:rPr>
          <w:rFonts w:ascii="Arial" w:cs="Arial" w:eastAsia="Arial" w:hAnsi="Arial"/>
          <w:sz w:val="16"/>
          <w:szCs w:val="16"/>
          <w:color w:val="auto"/>
        </w:rPr>
      </w:pPr>
    </w:p>
    <w:p>
      <w:pPr>
        <w:ind w:firstLine="221"/>
        <w:spacing w:after="0" w:line="259"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consolidated historical financial statements and schedules of the Company and its consolidated subsidiaries included or incorporated by reference in the Registration Statement, the Time of Sale Information and the Final Prospectus present fairly in all material respects the financial condition, results of operations and cash flows of the Company as of the dates and for the periods indicated, comply as to form with the applicable accounting requirements of the Act and have been prepared in conformity with</w:t>
      </w:r>
    </w:p>
    <w:p>
      <w:pPr>
        <w:spacing w:after="0" w:line="16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480" w:top="935" w:right="239" w:bottom="1440" w:gutter="0" w:footer="0" w:header="0"/>
        </w:sectPr>
      </w:pPr>
    </w:p>
    <w:bookmarkStart w:id="14" w:name="page15"/>
    <w:bookmarkEnd w:id="14"/>
    <w:p>
      <w:pPr>
        <w:ind w:right="360"/>
        <w:spacing w:after="0" w:line="277" w:lineRule="auto"/>
        <w:rPr>
          <w:sz w:val="20"/>
          <w:szCs w:val="20"/>
          <w:color w:val="auto"/>
        </w:rPr>
      </w:pPr>
      <w:r>
        <w:rPr>
          <w:rFonts w:ascii="Arial" w:cs="Arial" w:eastAsia="Arial" w:hAnsi="Arial"/>
          <w:sz w:val="18"/>
          <w:szCs w:val="18"/>
          <w:color w:val="auto"/>
        </w:rPr>
        <w:t>generally accepted accounting principles in the United States applied on a consistent basis throughout the periods involved (except as otherwise noted therein).</w:t>
      </w:r>
    </w:p>
    <w:p>
      <w:pPr>
        <w:spacing w:after="0" w:line="62" w:lineRule="exact"/>
        <w:rPr>
          <w:sz w:val="20"/>
          <w:szCs w:val="20"/>
          <w:color w:val="auto"/>
        </w:rPr>
      </w:pPr>
    </w:p>
    <w:p>
      <w:pPr>
        <w:ind w:right="100" w:firstLine="221"/>
        <w:spacing w:after="0" w:line="279" w:lineRule="auto"/>
        <w:tabs>
          <w:tab w:leader="none" w:pos="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Ernst &amp; Young LLP, who has certified certain financial statements of the Company and its consolidated subsidiaries and delivered their report with respect to the audited consolidated financial statements and schedules included in the Registration Statement, the Time of Sale Information and the Final Prospectus, are an independent registered public accounting firm with respect to the Company within the applicable rules and regulations adopted by the Commission and the Public Accounting Oversight Board (United States) and as required by the Act.</w:t>
      </w:r>
    </w:p>
    <w:p>
      <w:pPr>
        <w:spacing w:after="0" w:line="63" w:lineRule="exact"/>
        <w:rPr>
          <w:rFonts w:ascii="Arial" w:cs="Arial" w:eastAsia="Arial" w:hAnsi="Arial"/>
          <w:sz w:val="17"/>
          <w:szCs w:val="17"/>
          <w:color w:val="auto"/>
        </w:rPr>
      </w:pPr>
    </w:p>
    <w:p>
      <w:pPr>
        <w:ind w:right="80" w:firstLine="221"/>
        <w:spacing w:after="0" w:line="255" w:lineRule="auto"/>
        <w:tabs>
          <w:tab w:leader="none" w:pos="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of the Company and Holdings has filed all foreign, federal, state and local tax returns that are required to be filed or has requested extensions thereof (except in any case in which the failure so to file would not have a Material Adverse Effect, and except as set forth or incorporated by reference in the Registration Statement, the Time of Sale Information and the Final Prospectus (exclusive of any amendment or supplement thereto)) and has paid all taxes required to be paid by it and any other assessment, fine or penalty levied against it, to the extent that any of the foregoing is due and payable, except for any such assessment, fine or penalty that is currently being contested in good faith or as would not have a Material Adverse Effect, and except as set forth or incorporated by reference in the Registration Statement, the Time of Sale Information and the Final Prospectus (exclusive of any amendment or supplement thereto).</w:t>
      </w:r>
    </w:p>
    <w:p>
      <w:pPr>
        <w:spacing w:after="0" w:line="81" w:lineRule="exact"/>
        <w:rPr>
          <w:rFonts w:ascii="Arial" w:cs="Arial" w:eastAsia="Arial" w:hAnsi="Arial"/>
          <w:sz w:val="18"/>
          <w:szCs w:val="18"/>
          <w:color w:val="auto"/>
        </w:rPr>
      </w:pPr>
    </w:p>
    <w:p>
      <w:pPr>
        <w:ind w:right="40" w:firstLine="221"/>
        <w:spacing w:after="0" w:line="259" w:lineRule="auto"/>
        <w:tabs>
          <w:tab w:leader="none" w:pos="47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 labor problem or dispute with the employees of the Company or any of its subsidiaries exists or is threatened or imminent, nor is the Company aware of any existing or imminent labor disturbance by the employees of any of its or its subsidiaries’ principal suppliers, contractors or customers, that would have a Material Adverse Effect, except as set forth or incorporated by reference in the Registration Statement, the Time of Sale Information and the Final Prospectus (exclusive of any amendment or supplement thereto).</w:t>
      </w:r>
    </w:p>
    <w:p>
      <w:pPr>
        <w:spacing w:after="0" w:line="79" w:lineRule="exact"/>
        <w:rPr>
          <w:sz w:val="20"/>
          <w:szCs w:val="20"/>
          <w:color w:val="auto"/>
        </w:rPr>
      </w:pPr>
    </w:p>
    <w:p>
      <w:pPr>
        <w:ind w:firstLine="221"/>
        <w:spacing w:after="0" w:line="270" w:lineRule="auto"/>
        <w:tabs>
          <w:tab w:leader="none" w:pos="55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Except as would not have a Material Adverse Effect: the Company and each of its Subsidiaries are insured by insurers of recognized financial responsibility against such losses and risks and in such amounts as are prudent and customary in the businesses in which they are engaged; all policies of insurance insuring the Company or any of its Subsidiaries or their respective businesses, assets, employees, officers and directors are in full force and effect; the Company and its Subsidiaries are in compliance with the terms of such policies and instruments; there are no claims by the Company or any of its Subsidiaries under any such policy or instrument as to which any insurance company is denying liability or defending under a reservation of rights clause; and neither the Company nor any such Subsidiary has been refused any insurance coverage sought or applied for, except in each case as set forth or incorporated by reference in the Registration Statement, the Time of Sale Information and the Final Prospectus (exclusive of any amendment or supplement thereto). Neither the Company nor any such Subsidiary has any reason to believe that it will not be able to renew its existing insurance coverage as and when such coverage expires or to obtain similar coverage from similar insurers as may be necessary to continue its business at a cost that would not have a Material</w:t>
      </w:r>
    </w:p>
    <w:p>
      <w:pPr>
        <w:spacing w:after="0" w:line="15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5" w:name="page16"/>
    <w:bookmarkEnd w:id="15"/>
    <w:p>
      <w:pPr>
        <w:ind w:left="4" w:right="440"/>
        <w:spacing w:after="0" w:line="277" w:lineRule="auto"/>
        <w:rPr>
          <w:sz w:val="20"/>
          <w:szCs w:val="20"/>
          <w:color w:val="auto"/>
        </w:rPr>
      </w:pPr>
      <w:r>
        <w:rPr>
          <w:rFonts w:ascii="Arial" w:cs="Arial" w:eastAsia="Arial" w:hAnsi="Arial"/>
          <w:sz w:val="18"/>
          <w:szCs w:val="18"/>
          <w:color w:val="auto"/>
        </w:rPr>
        <w:t>Adverse Effect, except as set forth or incorporated by reference in the Registration Statement, the Time of Sale Information and the Final Prospectus (exclusive of any amendment or supplement thereto).</w:t>
      </w:r>
    </w:p>
    <w:p>
      <w:pPr>
        <w:spacing w:after="0" w:line="62" w:lineRule="exact"/>
        <w:rPr>
          <w:sz w:val="20"/>
          <w:szCs w:val="20"/>
          <w:color w:val="auto"/>
        </w:rPr>
      </w:pPr>
    </w:p>
    <w:p>
      <w:pPr>
        <w:jc w:val="both"/>
        <w:ind w:left="4" w:firstLine="221"/>
        <w:spacing w:after="0" w:line="279" w:lineRule="auto"/>
        <w:tabs>
          <w:tab w:leader="none" w:pos="574" w:val="left"/>
        </w:tabs>
        <w:numPr>
          <w:ilvl w:val="1"/>
          <w:numId w:val="10"/>
        </w:numPr>
        <w:rPr>
          <w:rFonts w:ascii="Arial" w:cs="Arial" w:eastAsia="Arial" w:hAnsi="Arial"/>
          <w:sz w:val="17"/>
          <w:szCs w:val="17"/>
          <w:color w:val="auto"/>
        </w:rPr>
      </w:pPr>
      <w:r>
        <w:rPr>
          <w:rFonts w:ascii="Arial" w:cs="Arial" w:eastAsia="Arial" w:hAnsi="Arial"/>
          <w:sz w:val="17"/>
          <w:szCs w:val="17"/>
          <w:color w:val="auto"/>
        </w:rPr>
        <w:t>No Subsidiary is currently prohibited, directly or indirectly, from paying any dividends to the Company, from making any other distribution on such Subsidiary’s capital stock, from repaying to the Company any loans or advances to such Subsidiary from the Company or from transferring any of such Subsidiary’s property or assets to the Company or any other Subsidiary of the Company, except as described or incorporated by reference in the Time of Sale Information and the Final Prospectus (exclusive of any amendment or supplement thereto).</w:t>
      </w:r>
    </w:p>
    <w:p>
      <w:pPr>
        <w:spacing w:after="0" w:line="63" w:lineRule="exact"/>
        <w:rPr>
          <w:rFonts w:ascii="Arial" w:cs="Arial" w:eastAsia="Arial" w:hAnsi="Arial"/>
          <w:sz w:val="17"/>
          <w:szCs w:val="17"/>
          <w:color w:val="auto"/>
        </w:rPr>
      </w:pPr>
    </w:p>
    <w:p>
      <w:pPr>
        <w:ind w:left="4" w:right="120" w:firstLine="221"/>
        <w:spacing w:after="0" w:line="255" w:lineRule="auto"/>
        <w:tabs>
          <w:tab w:leader="none" w:pos="553" w:val="left"/>
        </w:tabs>
        <w:numPr>
          <w:ilvl w:val="1"/>
          <w:numId w:val="10"/>
        </w:numPr>
        <w:rPr>
          <w:rFonts w:ascii="Arial" w:cs="Arial" w:eastAsia="Arial" w:hAnsi="Arial"/>
          <w:sz w:val="18"/>
          <w:szCs w:val="18"/>
          <w:color w:val="auto"/>
        </w:rPr>
      </w:pPr>
      <w:r>
        <w:rPr>
          <w:rFonts w:ascii="Arial" w:cs="Arial" w:eastAsia="Arial" w:hAnsi="Arial"/>
          <w:sz w:val="18"/>
          <w:szCs w:val="18"/>
          <w:color w:val="auto"/>
        </w:rPr>
        <w:t>Except as would not have a Material Adverse Effect, the Company and its subsidiaries possess all licenses, certificates, permits and other authorizations issued by the appropriate federal, state or foreign regulatory authorities necessary to conduct their respective businesses, and neither the Company nor any such subsidiary has received any notice of proceedings relating to the revocation or modification of any such license, certificate, authorization or permit, which, singly or in the aggregate, if the subject of an unfavorable decision, ruling or finding, would have a Material Adverse Effect, except as set forth or incorporated by reference in the Registration Statement, the Time of Sale Information and the Final Prospectus (exclusive of any amendment or supplement thereto).</w:t>
      </w:r>
    </w:p>
    <w:p>
      <w:pPr>
        <w:spacing w:after="0" w:line="85" w:lineRule="exact"/>
        <w:rPr>
          <w:rFonts w:ascii="Arial" w:cs="Arial" w:eastAsia="Arial" w:hAnsi="Arial"/>
          <w:sz w:val="18"/>
          <w:szCs w:val="18"/>
          <w:color w:val="auto"/>
        </w:rPr>
      </w:pPr>
    </w:p>
    <w:p>
      <w:pPr>
        <w:ind w:left="564" w:hanging="339"/>
        <w:spacing w:after="0"/>
        <w:tabs>
          <w:tab w:leader="none" w:pos="564" w:val="left"/>
        </w:tabs>
        <w:numPr>
          <w:ilvl w:val="1"/>
          <w:numId w:val="10"/>
        </w:numPr>
        <w:rPr>
          <w:rFonts w:ascii="Arial" w:cs="Arial" w:eastAsia="Arial" w:hAnsi="Arial"/>
          <w:sz w:val="17"/>
          <w:szCs w:val="17"/>
          <w:color w:val="auto"/>
        </w:rPr>
      </w:pPr>
      <w:r>
        <w:rPr>
          <w:rFonts w:ascii="Arial" w:cs="Arial" w:eastAsia="Arial" w:hAnsi="Arial"/>
          <w:sz w:val="17"/>
          <w:szCs w:val="17"/>
          <w:color w:val="auto"/>
        </w:rPr>
        <w:t>The Company and each of its subsidiaries maintain a system of internal accounting controls sufficient to provide reasonable assurance that</w:t>
      </w:r>
    </w:p>
    <w:p>
      <w:pPr>
        <w:spacing w:after="0" w:line="34" w:lineRule="exact"/>
        <w:rPr>
          <w:rFonts w:ascii="Arial" w:cs="Arial" w:eastAsia="Arial" w:hAnsi="Arial"/>
          <w:sz w:val="17"/>
          <w:szCs w:val="17"/>
          <w:color w:val="auto"/>
        </w:rPr>
      </w:pPr>
    </w:p>
    <w:p>
      <w:pPr>
        <w:ind w:left="4" w:right="140" w:hanging="4"/>
        <w:spacing w:after="0" w:line="281" w:lineRule="auto"/>
        <w:tabs>
          <w:tab w:leader="none" w:pos="219" w:val="left"/>
        </w:tabs>
        <w:numPr>
          <w:ilvl w:val="0"/>
          <w:numId w:val="11"/>
        </w:numPr>
        <w:rPr>
          <w:rFonts w:ascii="Arial" w:cs="Arial" w:eastAsia="Arial" w:hAnsi="Arial"/>
          <w:sz w:val="16"/>
          <w:szCs w:val="16"/>
          <w:color w:val="auto"/>
        </w:rPr>
      </w:pPr>
      <w:r>
        <w:rPr>
          <w:rFonts w:ascii="Arial" w:cs="Arial" w:eastAsia="Arial" w:hAnsi="Arial"/>
          <w:sz w:val="16"/>
          <w:szCs w:val="16"/>
          <w:color w:val="auto"/>
        </w:rPr>
        <w:t>transactions are executed in accordance with management’s general or specific authorizations; (ii) transactions are recorded as necessary to permit preparation of financial statements in conformity with generally accepted accounting principles in the United States and to maintain asset accountability;</w:t>
      </w:r>
    </w:p>
    <w:p>
      <w:pPr>
        <w:spacing w:after="0" w:line="1" w:lineRule="exact"/>
        <w:rPr>
          <w:rFonts w:ascii="Arial" w:cs="Arial" w:eastAsia="Arial" w:hAnsi="Arial"/>
          <w:sz w:val="16"/>
          <w:szCs w:val="16"/>
          <w:color w:val="auto"/>
        </w:rPr>
      </w:pPr>
    </w:p>
    <w:p>
      <w:pPr>
        <w:ind w:left="4" w:right="40" w:hanging="4"/>
        <w:spacing w:after="0" w:line="290" w:lineRule="auto"/>
        <w:tabs>
          <w:tab w:leader="none" w:pos="319"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53" w:lineRule="exact"/>
        <w:rPr>
          <w:rFonts w:ascii="Arial" w:cs="Arial" w:eastAsia="Arial" w:hAnsi="Arial"/>
          <w:sz w:val="17"/>
          <w:szCs w:val="17"/>
          <w:color w:val="auto"/>
        </w:rPr>
      </w:pPr>
    </w:p>
    <w:p>
      <w:pPr>
        <w:jc w:val="both"/>
        <w:ind w:left="4" w:right="280" w:firstLine="221"/>
        <w:spacing w:after="0" w:line="264" w:lineRule="auto"/>
        <w:tabs>
          <w:tab w:leader="none" w:pos="553" w:val="left"/>
        </w:tabs>
        <w:numPr>
          <w:ilvl w:val="1"/>
          <w:numId w:val="12"/>
        </w:numPr>
        <w:rPr>
          <w:rFonts w:ascii="Arial" w:cs="Arial" w:eastAsia="Arial" w:hAnsi="Arial"/>
          <w:sz w:val="18"/>
          <w:szCs w:val="18"/>
          <w:color w:val="auto"/>
        </w:rPr>
      </w:pPr>
      <w:r>
        <w:rPr>
          <w:rFonts w:ascii="Arial" w:cs="Arial" w:eastAsia="Arial" w:hAnsi="Arial"/>
          <w:sz w:val="18"/>
          <w:szCs w:val="18"/>
          <w:color w:val="auto"/>
        </w:rPr>
        <w:t>Neither the Company nor Holdings has taken, directly or indirectly, any action designed to or that would constitute or that might reasonably be expected to cause or result in stabilization or manipulation of the price of any security of the Company or Holdings to facilitate the sale or resale of the Securities.</w:t>
      </w:r>
    </w:p>
    <w:p>
      <w:pPr>
        <w:spacing w:after="0" w:line="73" w:lineRule="exact"/>
        <w:rPr>
          <w:rFonts w:ascii="Arial" w:cs="Arial" w:eastAsia="Arial" w:hAnsi="Arial"/>
          <w:sz w:val="18"/>
          <w:szCs w:val="18"/>
          <w:color w:val="auto"/>
        </w:rPr>
      </w:pPr>
    </w:p>
    <w:p>
      <w:pPr>
        <w:ind w:left="4" w:right="40" w:firstLine="221"/>
        <w:spacing w:after="0" w:line="297" w:lineRule="auto"/>
        <w:tabs>
          <w:tab w:leader="none" w:pos="51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The Company and its subsidiaries (i) are in compliance with any and all applicable foreign, federal, state and local laws, regulations and requirements relating to the protection of human health and safety, the environment or hazardous or toxic substances or wastes, pollutants or contaminants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have received and are in compliance with all permits, licenses, certificates or other authorizations or approvals required of them under applicable Environmental Laws to conduct their respective businesses and (iii) have not received notice of any actual or potential liability for the investigation or remediation of any disposal or release of hazardous or toxic substances or wastes, pollutants or contaminants, except where such</w:t>
      </w:r>
    </w:p>
    <w:p>
      <w:pPr>
        <w:spacing w:after="0" w:line="131" w:lineRule="exact"/>
        <w:rPr>
          <w:sz w:val="20"/>
          <w:szCs w:val="20"/>
          <w:color w:val="auto"/>
        </w:rPr>
      </w:pPr>
    </w:p>
    <w:p>
      <w:pPr>
        <w:jc w:val="center"/>
        <w:ind w:right="176"/>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4"/>
          </w:cols>
          <w:pgMar w:left="476" w:top="935" w:right="279" w:bottom="1440" w:gutter="0" w:footer="0" w:header="0"/>
        </w:sectPr>
      </w:pPr>
    </w:p>
    <w:bookmarkStart w:id="16" w:name="page17"/>
    <w:bookmarkEnd w:id="16"/>
    <w:p>
      <w:pPr>
        <w:ind w:right="60"/>
        <w:spacing w:after="0" w:line="276" w:lineRule="auto"/>
        <w:rPr>
          <w:sz w:val="20"/>
          <w:szCs w:val="20"/>
          <w:color w:val="auto"/>
        </w:rPr>
      </w:pPr>
      <w:r>
        <w:rPr>
          <w:rFonts w:ascii="Arial" w:cs="Arial" w:eastAsia="Arial" w:hAnsi="Arial"/>
          <w:sz w:val="17"/>
          <w:szCs w:val="17"/>
          <w:color w:val="auto"/>
        </w:rPr>
        <w:t>non-compliance with Environmental Laws, failure to receive required permits, licenses or other approvals, or cost or liability would not, individually or in the aggregate, have a Material Adverse Effect, except as set forth or incorporated by reference in the Registration Statement, the Time of Sale Information and the Final Prospectus (exclusive of any amendment or supplement thereto). The environmental reserves described or incorporated by reference in the Registration Statement, the Time of Sale Information and the Final Prospectus reflect in accordance with generally accepted accounting principles in the United States the known liabilities and obligations of the Company and its subsidiaries under Environmental Laws.</w:t>
      </w:r>
    </w:p>
    <w:p>
      <w:pPr>
        <w:spacing w:after="0" w:line="64" w:lineRule="exact"/>
        <w:rPr>
          <w:sz w:val="20"/>
          <w:szCs w:val="20"/>
          <w:color w:val="auto"/>
        </w:rPr>
      </w:pPr>
    </w:p>
    <w:p>
      <w:pPr>
        <w:ind w:firstLine="221"/>
        <w:spacing w:after="0" w:line="255" w:lineRule="auto"/>
        <w:tabs>
          <w:tab w:leader="none" w:pos="5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ordinary course of its business, the Company periodically reviews the effect of Environmental Laws on the business, operations and properties of the Company and its subsidiaries, in the course of which it identifies and evaluates associated costs and liabilities (including, without limitation, any capital or operating expenditures required for clean-up, closure of properties or compliance with Environmental Laws, or any permit, license or approval, any related constraints on operating activities and any potential liabilities to third parties). On the basis of such review, the Company has reasonably concluded that such associated costs and liabilities would not, singly or in the aggregate, have a Material Adverse Effect, except as set forth or incorporated by reference in the Registration Statement, the Time of Sale Information and the Final Prospectus (exclusive of any amendment or supplement thereto).</w:t>
      </w:r>
    </w:p>
    <w:p>
      <w:pPr>
        <w:spacing w:after="0" w:line="81" w:lineRule="exact"/>
        <w:rPr>
          <w:rFonts w:ascii="Arial" w:cs="Arial" w:eastAsia="Arial" w:hAnsi="Arial"/>
          <w:sz w:val="18"/>
          <w:szCs w:val="18"/>
          <w:color w:val="auto"/>
        </w:rPr>
      </w:pPr>
    </w:p>
    <w:p>
      <w:pPr>
        <w:ind w:right="140" w:firstLine="221"/>
        <w:spacing w:after="0" w:line="255" w:lineRule="auto"/>
        <w:tabs>
          <w:tab w:leader="none" w:pos="57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would not have a Material Adverse Effect, each of the Company and its subsidiaries has fulfilled its obligations, if any, under the minimum funding standards of Section 302 of the United States Employee Retirement Income Security Act of 1974 (“</w:t>
      </w:r>
      <w:r>
        <w:rPr>
          <w:rFonts w:ascii="Arial" w:cs="Arial" w:eastAsia="Arial" w:hAnsi="Arial"/>
          <w:sz w:val="18"/>
          <w:szCs w:val="18"/>
          <w:u w:val="single" w:color="auto"/>
          <w:color w:val="auto"/>
        </w:rPr>
        <w:t>ERISA</w:t>
      </w:r>
      <w:r>
        <w:rPr>
          <w:rFonts w:ascii="Arial" w:cs="Arial" w:eastAsia="Arial" w:hAnsi="Arial"/>
          <w:sz w:val="18"/>
          <w:szCs w:val="18"/>
          <w:color w:val="auto"/>
        </w:rPr>
        <w:t>”) and the regulations and published interpretations thereunder with respect to each “plan” (as defined in Section 3(3) of ERISA and such regulations and published interpretations) in which employees of the Company and its subsidiaries are eligible to participate and each such plan is in compliance with the presently applicable provisions of ERISA and such regulations and published interpretations. Except as would not have a Material Adverse Effect, the Company and its subsidiaries have not incurred any unpaid liability to the Pension Benefit Guaranty Corporation (other than for the payment of premiums in the ordinary course) or to any such plan under Title IV of ERISA.</w:t>
      </w:r>
    </w:p>
    <w:p>
      <w:pPr>
        <w:spacing w:after="0" w:line="81" w:lineRule="exact"/>
        <w:rPr>
          <w:rFonts w:ascii="Arial" w:cs="Arial" w:eastAsia="Arial" w:hAnsi="Arial"/>
          <w:sz w:val="18"/>
          <w:szCs w:val="18"/>
          <w:color w:val="auto"/>
        </w:rPr>
      </w:pPr>
    </w:p>
    <w:p>
      <w:pPr>
        <w:ind w:left="480" w:hanging="259"/>
        <w:spacing w:after="0"/>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No holders of securities of the Company or Holdings have rights to the registration of such securities under the Registration Statement.</w:t>
      </w:r>
    </w:p>
    <w:p>
      <w:pPr>
        <w:spacing w:after="0" w:line="128" w:lineRule="exact"/>
        <w:rPr>
          <w:rFonts w:ascii="Arial" w:cs="Arial" w:eastAsia="Arial" w:hAnsi="Arial"/>
          <w:sz w:val="17"/>
          <w:szCs w:val="17"/>
          <w:color w:val="auto"/>
        </w:rPr>
      </w:pPr>
    </w:p>
    <w:p>
      <w:pPr>
        <w:ind w:firstLine="221"/>
        <w:spacing w:after="0" w:line="257" w:lineRule="auto"/>
        <w:tabs>
          <w:tab w:leader="none" w:pos="49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principal executive officer and principal financial officer of the Company have made all certifications required by the Sarbanes-Oxley Act of 2002 and the rules and regulations promulgated in connection therewith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and the statements contained in any such certification are true and correct in all material respects. There is and has been no failure on the part of the Company or, to the knowledge of the Company, on the part of any of the Company’s directors or officers, in their capacities as such, to comply with any provision of the Sarbanes-Oxley Act, including Section 402 related to loans.</w:t>
      </w:r>
    </w:p>
    <w:p>
      <w:pPr>
        <w:spacing w:after="0" w:line="16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7" w:name="page18"/>
    <w:bookmarkEnd w:id="17"/>
    <w:p>
      <w:pPr>
        <w:ind w:left="4" w:right="20" w:firstLine="221"/>
        <w:spacing w:after="0" w:line="285" w:lineRule="auto"/>
        <w:tabs>
          <w:tab w:leader="none" w:pos="574"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Company maintains disclosure controls and procedures (as such term is defined in Rule 13a-15(e) under the Exchange Act), which (i) were designed to ensure, among other things, that material information relating to the Company, including its consolidated subsidiaries, was made known to the principal executive officer and the principal financial officer of the Company by others within those entities, particularly during the period in which the Annual Report on Form 10-K for the year ended December 31, 2008 was being prepared; (ii) have been evaluated for effectiveness as of the end of the periods covered by the Company’s Annual Report on Form 10-K for the year ended December 31, 2008 pursuant to Rule 13a-15 of the Exchange Act; and</w:t>
      </w:r>
    </w:p>
    <w:p>
      <w:pPr>
        <w:spacing w:after="0" w:line="2" w:lineRule="exact"/>
        <w:rPr>
          <w:rFonts w:ascii="Arial" w:cs="Arial" w:eastAsia="Arial" w:hAnsi="Arial"/>
          <w:sz w:val="16"/>
          <w:szCs w:val="16"/>
          <w:color w:val="auto"/>
        </w:rPr>
      </w:pPr>
    </w:p>
    <w:p>
      <w:pPr>
        <w:ind w:left="4" w:right="500" w:hanging="4"/>
        <w:spacing w:after="0" w:line="261" w:lineRule="auto"/>
        <w:tabs>
          <w:tab w:leader="none" w:pos="319"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are effective to ensure that the Company is able to collect, process and disclose the information required to be disclosed in reports filed with the Commission within required time periods.</w:t>
      </w:r>
    </w:p>
    <w:p>
      <w:pPr>
        <w:spacing w:after="0" w:line="75" w:lineRule="exact"/>
        <w:rPr>
          <w:rFonts w:ascii="Arial" w:cs="Arial" w:eastAsia="Arial" w:hAnsi="Arial"/>
          <w:sz w:val="18"/>
          <w:szCs w:val="18"/>
          <w:color w:val="auto"/>
        </w:rPr>
      </w:pPr>
    </w:p>
    <w:p>
      <w:pPr>
        <w:ind w:left="4" w:right="40" w:firstLine="221"/>
        <w:spacing w:after="0" w:line="276" w:lineRule="auto"/>
        <w:tabs>
          <w:tab w:leader="none" w:pos="494" w:val="left"/>
        </w:tabs>
        <w:numPr>
          <w:ilvl w:val="1"/>
          <w:numId w:val="15"/>
        </w:numPr>
        <w:rPr>
          <w:rFonts w:ascii="Arial" w:cs="Arial" w:eastAsia="Arial" w:hAnsi="Arial"/>
          <w:sz w:val="17"/>
          <w:szCs w:val="17"/>
          <w:color w:val="auto"/>
        </w:rPr>
      </w:pPr>
      <w:r>
        <w:rPr>
          <w:rFonts w:ascii="Arial" w:cs="Arial" w:eastAsia="Arial" w:hAnsi="Arial"/>
          <w:sz w:val="17"/>
          <w:szCs w:val="17"/>
          <w:color w:val="auto"/>
        </w:rPr>
        <w:t>Based on the evaluation of its disclosure controls and procedures as of the end of the period covered by the Annual Report on Form 10-K for the year ended December 31, 2008, and other than as has been disclosed in the Registration Statement, the Time of Sale Information and the Final Prospectus, the Company is not aware of (i) any significant deficiency in the design or operation of internal controls which could adversely affect its ability to record, process, summarize and report financial data or any material weaknesses in internal controls; or (ii) any fraud, whether or not material, that involves management or other employees who have a significant role in the internal controls of the Company.</w:t>
      </w:r>
    </w:p>
    <w:p>
      <w:pPr>
        <w:spacing w:after="0" w:line="64" w:lineRule="exact"/>
        <w:rPr>
          <w:rFonts w:ascii="Arial" w:cs="Arial" w:eastAsia="Arial" w:hAnsi="Arial"/>
          <w:sz w:val="17"/>
          <w:szCs w:val="17"/>
          <w:color w:val="auto"/>
        </w:rPr>
      </w:pPr>
    </w:p>
    <w:p>
      <w:pPr>
        <w:ind w:left="4" w:firstLine="221"/>
        <w:spacing w:after="0" w:line="255" w:lineRule="auto"/>
        <w:tabs>
          <w:tab w:leader="none" w:pos="6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 maintains systems of “internal control over financial reporting” (as defined in Rule 12a-15(f)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 financial statements for external purposes in accordance with generally accepted accounting principles in the United States. Except as disclosed in the Registration Statement, the Time of Sale Information and the Final Prospectus, there are no material weaknesses in the Company’s internal controls.</w:t>
      </w:r>
    </w:p>
    <w:p>
      <w:pPr>
        <w:spacing w:after="0" w:line="85" w:lineRule="exact"/>
        <w:rPr>
          <w:rFonts w:ascii="Arial" w:cs="Arial" w:eastAsia="Arial" w:hAnsi="Arial"/>
          <w:sz w:val="18"/>
          <w:szCs w:val="18"/>
          <w:color w:val="auto"/>
        </w:rPr>
      </w:pPr>
    </w:p>
    <w:p>
      <w:pPr>
        <w:ind w:left="4" w:right="700" w:firstLine="221"/>
        <w:spacing w:after="0" w:line="277" w:lineRule="auto"/>
        <w:tabs>
          <w:tab w:leader="none" w:pos="5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Since December 31, 2008, there have been no significant changes in internal controls or in other factors that could significantly affect the Company’s internal controls over financial reporting.</w:t>
      </w:r>
    </w:p>
    <w:p>
      <w:pPr>
        <w:spacing w:after="0" w:line="62" w:lineRule="exact"/>
        <w:rPr>
          <w:rFonts w:ascii="Arial" w:cs="Arial" w:eastAsia="Arial" w:hAnsi="Arial"/>
          <w:sz w:val="18"/>
          <w:szCs w:val="18"/>
          <w:color w:val="auto"/>
        </w:rPr>
      </w:pPr>
    </w:p>
    <w:p>
      <w:pPr>
        <w:ind w:left="4" w:right="300" w:firstLine="221"/>
        <w:spacing w:after="0" w:line="277" w:lineRule="auto"/>
        <w:tabs>
          <w:tab w:leader="none" w:pos="5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 xml:space="preserve">Other than Holdings, no subsidiary of the Company has guaranteed any outstanding senior indebtedness of the Company except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guarantees made in the ordinary course of business.</w:t>
      </w:r>
    </w:p>
    <w:p>
      <w:pPr>
        <w:spacing w:after="0" w:line="62" w:lineRule="exact"/>
        <w:rPr>
          <w:rFonts w:ascii="Arial" w:cs="Arial" w:eastAsia="Arial" w:hAnsi="Arial"/>
          <w:sz w:val="18"/>
          <w:szCs w:val="18"/>
          <w:color w:val="auto"/>
        </w:rPr>
      </w:pPr>
    </w:p>
    <w:p>
      <w:pPr>
        <w:ind w:left="4" w:right="400" w:firstLine="221"/>
        <w:spacing w:after="0" w:line="264" w:lineRule="auto"/>
        <w:tabs>
          <w:tab w:leader="none" w:pos="574"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Company is not an ineligible issuer and is a well-known seasoned issuer, in each case as defined under the Act, in each case at the times specified in the Act in connection with the offering of the Securities. The Company has paid the registration fee for this offering pursuant to Rule 457 under the Act.</w:t>
      </w:r>
    </w:p>
    <w:p>
      <w:pPr>
        <w:spacing w:after="0" w:line="154"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18" w:name="page19"/>
    <w:bookmarkEnd w:id="18"/>
    <w:p>
      <w:pPr>
        <w:ind w:left="800" w:hanging="339"/>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None of the Company, any of its subsidiaries or, to the knowledge of the Company, any director, officer, agent, employee or Affiliate of the</w:t>
      </w:r>
    </w:p>
    <w:p>
      <w:pPr>
        <w:spacing w:after="0" w:line="34" w:lineRule="exact"/>
        <w:rPr>
          <w:rFonts w:ascii="Arial" w:cs="Arial" w:eastAsia="Arial" w:hAnsi="Arial"/>
          <w:sz w:val="17"/>
          <w:szCs w:val="17"/>
          <w:color w:val="auto"/>
        </w:rPr>
      </w:pPr>
    </w:p>
    <w:p>
      <w:pPr>
        <w:ind w:left="240"/>
        <w:spacing w:after="0" w:line="288" w:lineRule="auto"/>
        <w:rPr>
          <w:rFonts w:ascii="Arial" w:cs="Arial" w:eastAsia="Arial" w:hAnsi="Arial"/>
          <w:sz w:val="17"/>
          <w:szCs w:val="17"/>
          <w:color w:val="auto"/>
        </w:rPr>
      </w:pPr>
      <w:r>
        <w:rPr>
          <w:rFonts w:ascii="Arial" w:cs="Arial" w:eastAsia="Arial" w:hAnsi="Arial"/>
          <w:sz w:val="16"/>
          <w:szCs w:val="16"/>
          <w:color w:val="auto"/>
        </w:rPr>
        <w:t>Company or any of its subsidiaries is aware of or has taken any action, directly or indirectly, that would result in a violation by such persons of the Foreign Corrupt Practices Act of 1977, as amended, and the rules and regulations thereunder (the “</w:t>
      </w:r>
      <w:r>
        <w:rPr>
          <w:rFonts w:ascii="Arial" w:cs="Arial" w:eastAsia="Arial" w:hAnsi="Arial"/>
          <w:sz w:val="16"/>
          <w:szCs w:val="16"/>
          <w:u w:val="single" w:color="auto"/>
          <w:color w:val="auto"/>
        </w:rPr>
        <w:t>FCPA</w:t>
      </w:r>
      <w:r>
        <w:rPr>
          <w:rFonts w:ascii="Arial" w:cs="Arial" w:eastAsia="Arial" w:hAnsi="Arial"/>
          <w:sz w:val="16"/>
          <w:szCs w:val="16"/>
          <w:color w:val="auto"/>
        </w:rPr>
        <w:t>”),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its subsidiaries and, to the knowledge of the Company, its Affiliates have conducted their businesses in compliance with the FCPA and have instituted and maintain policies and procedures designed to ensure, and which are reasonably expected to continue to ensure, continued compliance therewith.</w:t>
      </w:r>
    </w:p>
    <w:p>
      <w:pPr>
        <w:spacing w:after="0" w:line="60" w:lineRule="exact"/>
        <w:rPr>
          <w:rFonts w:ascii="Arial" w:cs="Arial" w:eastAsia="Arial" w:hAnsi="Arial"/>
          <w:sz w:val="17"/>
          <w:szCs w:val="17"/>
          <w:color w:val="auto"/>
        </w:rPr>
      </w:pPr>
    </w:p>
    <w:p>
      <w:pPr>
        <w:ind w:left="240" w:right="80" w:firstLine="221"/>
        <w:spacing w:after="0" w:line="257" w:lineRule="auto"/>
        <w:tabs>
          <w:tab w:leader="none" w:pos="75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None of the Company, any of its subsidiaries or, to the knowledge of the Company, any director, officer, agent, employee or Affiliate of the Company or any of its subsidiaries is currently subject to any U.S. sanctions administered by the Office of Foreign Assets Control of the U.S. Department of the Treasury (“</w:t>
      </w:r>
      <w:r>
        <w:rPr>
          <w:rFonts w:ascii="Arial" w:cs="Arial" w:eastAsia="Arial" w:hAnsi="Arial"/>
          <w:sz w:val="18"/>
          <w:szCs w:val="18"/>
          <w:u w:val="single" w:color="auto"/>
          <w:color w:val="auto"/>
        </w:rPr>
        <w:t>OFAC</w:t>
      </w:r>
      <w:r>
        <w:rPr>
          <w:rFonts w:ascii="Arial" w:cs="Arial" w:eastAsia="Arial" w:hAnsi="Arial"/>
          <w:sz w:val="18"/>
          <w:szCs w:val="18"/>
          <w:color w:val="auto"/>
        </w:rPr>
        <w:t>”); and the Company will not directly or indirectly use the proceeds of the offering of the Securities hereunder, or lend, contribute or otherwise make available such proceeds to any subsidiary, joint venture partner or other person or entity, for the purpose of financing the activities of any person currently subject to any U.S. sanctions administered by OFAC.</w:t>
      </w:r>
    </w:p>
    <w:p>
      <w:pPr>
        <w:spacing w:after="0" w:line="80" w:lineRule="exact"/>
        <w:rPr>
          <w:rFonts w:ascii="Arial" w:cs="Arial" w:eastAsia="Arial" w:hAnsi="Arial"/>
          <w:sz w:val="18"/>
          <w:szCs w:val="18"/>
          <w:color w:val="auto"/>
        </w:rPr>
      </w:pPr>
    </w:p>
    <w:p>
      <w:pPr>
        <w:ind w:left="240" w:right="20" w:firstLine="221"/>
        <w:spacing w:after="0" w:line="255" w:lineRule="auto"/>
        <w:tabs>
          <w:tab w:leader="none" w:pos="77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8"/>
          <w:szCs w:val="18"/>
          <w:u w:val="single" w:color="auto"/>
          <w:color w:val="auto"/>
        </w:rPr>
        <w:t>Money Laundering Laws</w:t>
      </w:r>
      <w:r>
        <w:rPr>
          <w:rFonts w:ascii="Arial" w:cs="Arial" w:eastAsia="Arial" w:hAnsi="Arial"/>
          <w:sz w:val="18"/>
          <w:szCs w:val="18"/>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85" w:lineRule="exact"/>
        <w:rPr>
          <w:sz w:val="20"/>
          <w:szCs w:val="20"/>
          <w:color w:val="auto"/>
        </w:rPr>
      </w:pPr>
    </w:p>
    <w:p>
      <w:pPr>
        <w:jc w:val="both"/>
        <w:ind w:right="80" w:firstLine="215"/>
        <w:spacing w:after="0" w:line="264" w:lineRule="auto"/>
        <w:rPr>
          <w:sz w:val="20"/>
          <w:szCs w:val="20"/>
          <w:color w:val="auto"/>
        </w:rPr>
      </w:pPr>
      <w:r>
        <w:rPr>
          <w:rFonts w:ascii="Arial" w:cs="Arial" w:eastAsia="Arial" w:hAnsi="Arial"/>
          <w:sz w:val="18"/>
          <w:szCs w:val="18"/>
          <w:color w:val="auto"/>
        </w:rPr>
        <w:t>Any certificate signed by any officer of the Company or Holdings and delivered to the Representatives or counsel for the Underwriters in connection with the offering of the Securities shall be deemed a representation and warranty by the Company or Holdings, as the case may be, as to matters covered thereby, to each Underwriter.</w:t>
      </w:r>
    </w:p>
    <w:p>
      <w:pPr>
        <w:spacing w:after="0" w:line="73" w:lineRule="exact"/>
        <w:rPr>
          <w:sz w:val="20"/>
          <w:szCs w:val="20"/>
          <w:color w:val="auto"/>
        </w:rPr>
      </w:pPr>
    </w:p>
    <w:p>
      <w:pPr>
        <w:ind w:right="40" w:firstLine="233"/>
        <w:spacing w:after="0" w:line="279" w:lineRule="auto"/>
        <w:tabs>
          <w:tab w:leader="none" w:pos="405"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Purchase and Sale</w:t>
      </w:r>
      <w:r>
        <w:rPr>
          <w:rFonts w:ascii="Arial" w:cs="Arial" w:eastAsia="Arial" w:hAnsi="Arial"/>
          <w:sz w:val="17"/>
          <w:szCs w:val="17"/>
          <w:color w:val="auto"/>
        </w:rPr>
        <w:t>. Subject to the terms and conditions and in reliance upon the representations and warranties herein set forth, the Company agrees to sell to each Underwriter, and each Underwriter agrees, severally and not jointly, to purchase from the Company, at a purchase price of 99.050% of the principal amount of the 6.375% Senior Notes due 2015 and at a purchase price of 99.232% of the principal amount of the 7.375% Senior Notes due 2019, the principal amount of each such series of Securities set forth opposite such Underwriter’s name in Schedule II hereto.</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9" w:name="page20"/>
    <w:bookmarkEnd w:id="19"/>
    <w:p>
      <w:pPr>
        <w:ind w:firstLine="222"/>
        <w:spacing w:after="0" w:line="271" w:lineRule="auto"/>
        <w:rPr>
          <w:sz w:val="20"/>
          <w:szCs w:val="20"/>
          <w:color w:val="auto"/>
        </w:rPr>
      </w:pPr>
      <w:r>
        <w:rPr>
          <w:rFonts w:ascii="Arial" w:cs="Arial" w:eastAsia="Arial" w:hAnsi="Arial"/>
          <w:sz w:val="17"/>
          <w:szCs w:val="17"/>
          <w:color w:val="auto"/>
        </w:rPr>
        <w:t>The Company acknowledges and agrees that the Underwriters are acting solely in the capacity of an arm’s length contractual counterparty to the Company with respect to the offering of Securities contemplated hereby (including in connection with determining the terms of the offering) and not as a financial advisor or a fiduciary to, or an agent of, the Company or any other person. Additionally, in connection with the offering of Securities hereby, neither the Representatives nor any other Underwriter is advising the Company or any other person as to any legal, tax, investment, accounting or regulatory matters in any jurisdiction.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71" w:lineRule="exact"/>
        <w:rPr>
          <w:sz w:val="20"/>
          <w:szCs w:val="20"/>
          <w:color w:val="auto"/>
        </w:rPr>
      </w:pPr>
    </w:p>
    <w:p>
      <w:pPr>
        <w:ind w:right="100" w:firstLine="233"/>
        <w:spacing w:after="0" w:line="272" w:lineRule="auto"/>
        <w:tabs>
          <w:tab w:leader="none" w:pos="405"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Delivery of and payment for the Securities shall be made on the date and at the time specified in Schedule I hereto or at such time on such later date not more than three Business Days after the foregoing date as the Representatives shall designate, which date and time may be postponed by agreement between the Representatives and the Company or as provided in Section 10 hereof (such date and time of delivery and payment for the Securities being herein called the “</w:t>
      </w:r>
      <w:r>
        <w:rPr>
          <w:rFonts w:ascii="Arial" w:cs="Arial" w:eastAsia="Arial" w:hAnsi="Arial"/>
          <w:sz w:val="17"/>
          <w:szCs w:val="17"/>
          <w:u w:val="single" w:color="auto"/>
          <w:color w:val="auto"/>
        </w:rPr>
        <w:t>Closing Date</w:t>
      </w:r>
      <w:r>
        <w:rPr>
          <w:rFonts w:ascii="Arial" w:cs="Arial" w:eastAsia="Arial" w:hAnsi="Arial"/>
          <w:sz w:val="17"/>
          <w:szCs w:val="17"/>
          <w:color w:val="auto"/>
        </w:rPr>
        <w:t>”). Delivery of the Securities shall be made to the Representatives for the respective accounts of the several Underwriters against payment by the several Underwriters through the Representatives of the purchase price thereof to or upon the order of the Company by wire transfer payable in same-day funds to an account specified by the Company. Delivery of the Securities shall be made through the facilities of The Depository Trust Company unless the Representatives shall otherwise instruct.</w:t>
      </w:r>
    </w:p>
    <w:p>
      <w:pPr>
        <w:spacing w:after="0" w:line="69" w:lineRule="exact"/>
        <w:rPr>
          <w:rFonts w:ascii="Arial" w:cs="Arial" w:eastAsia="Arial" w:hAnsi="Arial"/>
          <w:sz w:val="17"/>
          <w:szCs w:val="17"/>
          <w:color w:val="auto"/>
        </w:rPr>
      </w:pPr>
    </w:p>
    <w:p>
      <w:pPr>
        <w:ind w:right="780" w:firstLine="233"/>
        <w:spacing w:after="0" w:line="277" w:lineRule="auto"/>
        <w:tabs>
          <w:tab w:leader="none" w:pos="405"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Offering by Underwriters</w:t>
      </w:r>
      <w:r>
        <w:rPr>
          <w:rFonts w:ascii="Arial" w:cs="Arial" w:eastAsia="Arial" w:hAnsi="Arial"/>
          <w:sz w:val="18"/>
          <w:szCs w:val="18"/>
          <w:color w:val="auto"/>
        </w:rPr>
        <w:t>. It is understood that the several Underwriters propose to offer the Securities for sale to the public as set forth in the Registration Statement, the Time of Sale Information and the Final Prospectus.</w:t>
      </w:r>
    </w:p>
    <w:p>
      <w:pPr>
        <w:spacing w:after="0" w:line="62" w:lineRule="exact"/>
        <w:rPr>
          <w:rFonts w:ascii="Arial" w:cs="Arial" w:eastAsia="Arial" w:hAnsi="Arial"/>
          <w:sz w:val="18"/>
          <w:szCs w:val="18"/>
          <w:color w:val="auto"/>
        </w:rPr>
      </w:pPr>
    </w:p>
    <w:p>
      <w:pPr>
        <w:ind w:left="420" w:hanging="187"/>
        <w:spacing w:after="0"/>
        <w:tabs>
          <w:tab w:leader="none" w:pos="42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the several Underwriters that:</w:t>
      </w:r>
    </w:p>
    <w:p>
      <w:pPr>
        <w:spacing w:after="0" w:line="117" w:lineRule="exact"/>
        <w:rPr>
          <w:rFonts w:ascii="Arial" w:cs="Arial" w:eastAsia="Arial" w:hAnsi="Arial"/>
          <w:sz w:val="18"/>
          <w:szCs w:val="18"/>
          <w:color w:val="auto"/>
        </w:rPr>
      </w:pPr>
    </w:p>
    <w:p>
      <w:pPr>
        <w:ind w:left="240" w:firstLine="221"/>
        <w:spacing w:after="0" w:line="253" w:lineRule="auto"/>
        <w:tabs>
          <w:tab w:leader="none" w:pos="71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The Company will file the Final Prospectus with the Commission within the time periods specified by Rule 424(b) and Rule 430A, 430B or 430C under the Act, will file any Issuer Free Writing Prospectus (including the term sheet in the form of Schedule I hereto) to the extent required by Rule 433 under the Act; and will file promptly all reports and any definitive proxy or information statements required to be filed by the Company with the Commission pursuant to Section 13(a), 13(c), 14 or 15(d) of the Exchange Act subsequent to the date of the Final Prospectus and for so long as the delivery of a prospectus is required in connection with the offering or sale of the Securities; and the Company will furnish copies of the Final Prospectus and each Issuer Free Writing Prospectus (to the extent not previously delivered) to the Underwriters in New York City prior to 10:00 A.M., New York City time, on the business day next succeeding the date of this Agreement in such quantities as the Representatives may reasonably request. The Company has paid the registration fees for this offering within the time period required by Rule 456(b)(1)(i) under the Act (without giving effect to the proviso therein) and in any event prior to the Closing Date.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20" w:name="page21"/>
    <w:bookmarkEnd w:id="20"/>
    <w:p>
      <w:pPr>
        <w:ind w:right="40" w:firstLine="221"/>
        <w:spacing w:after="0" w:line="291" w:lineRule="auto"/>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Before making, preparing, using, authorizing, approving, referring to or filing any Issuer Free Writing Prospectus, and before filing any amendment or supplement to the Registration Statement or the Final Prospectus, the Company will furnish to the Representatives and counsel for the Underwriters a copy of the proposed Issuer Free Writing Prospectus, amendment or supplement for review and will not make, prepare, use, authorize, approve, refer to or file any such Issuer Free Writing Prospectus or file any such proposed amendment or supplement to which the Representatives reasonably object. Subject to the foregoing sentence, if the filing of the Final Prospectus is otherwise required under Rule 424(b), the Company will cause the Final Prospectus, properly completed, and any supplement thereto to be filed with the Commission pursuant to the applicable paragraph of Rule 424(b) within the time period prescribed and will provide evidence satisfactory to the Representatives of such timely filing.</w:t>
      </w:r>
    </w:p>
    <w:p>
      <w:pPr>
        <w:spacing w:after="0" w:line="59" w:lineRule="exact"/>
        <w:rPr>
          <w:rFonts w:ascii="Arial" w:cs="Arial" w:eastAsia="Arial" w:hAnsi="Arial"/>
          <w:sz w:val="16"/>
          <w:szCs w:val="16"/>
          <w:color w:val="auto"/>
        </w:rPr>
      </w:pPr>
    </w:p>
    <w:p>
      <w:pPr>
        <w:ind w:firstLine="221"/>
        <w:spacing w:after="0" w:line="287" w:lineRule="auto"/>
        <w:tabs>
          <w:tab w:leader="none" w:pos="47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Company will promptly advise the Representatives (1) when the Final Prospectus, and any supplement thereto, or any amendment to the Final Prospectus or any Issuer Free Writing Prospectus shall have been filed with the Commission pursuant to Rule 424(b) or when any Rule 462(b) Registration Statement shall have been filed with the Commission, (2) when, prior to termination of the offering of the Securities, any amendment to the Registration Statement shall have been filed or become effective, (3) of any request by the Commission or its staff for any amendment to the Registration Statement, or any Rule 462(b) Registration Statement, or for any supplement to the Final Prospectus or for any additional information, (4) of the issuance by the Commission of any stop order suspending the effectiveness of the Registration Statement or preventing or suspending the use of any Preliminary Prospectus or the Final Prospectus or the institution or threatening of any proceeding for that purpose or pursuant to Section 8A of the Act; (5) of the receipt by the Company of any notification with respect to the suspension of the qualification of the Securities for sale in any jurisdiction or the institution or threatening of any proceeding for such purpose, and (6) of the receipt by the Company of any notice of objection of the Commission to the use of the Registration Statement or any post-effective amendment thereto pursuant to Rule 401(g)(2) under the Act. The Company will use its best efforts to prevent the issuance of any such stop order or the suspension of any such qualification and, if issued, to obtain as soon as possible the withdrawal thereof.</w:t>
      </w:r>
    </w:p>
    <w:p>
      <w:pPr>
        <w:spacing w:after="0" w:line="64" w:lineRule="exact"/>
        <w:rPr>
          <w:rFonts w:ascii="Arial" w:cs="Arial" w:eastAsia="Arial" w:hAnsi="Arial"/>
          <w:sz w:val="16"/>
          <w:szCs w:val="16"/>
          <w:color w:val="auto"/>
        </w:rPr>
      </w:pPr>
    </w:p>
    <w:p>
      <w:pPr>
        <w:ind w:right="40" w:firstLine="221"/>
        <w:spacing w:after="0" w:line="293" w:lineRule="auto"/>
        <w:tabs>
          <w:tab w:leader="none" w:pos="4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during the Prospectus Delivery Period, (i) any event occurs as a result of which the Final Prospectus as then supplemented would include any untrue statement of a material fact or omit to state any material fact necessary to make the statements therein in the light of the circumstances under which they were made not misleading, or (ii) it shall be necessary to amend the Registration Statement or supplement the Final Prospectus to comply with the Act or the Exchange Act or the respective rules thereunder, the Company promptly will (1) notify the Representatives of such event, (2) prepare and file with the Commission, subject to the second sentence of paragraph (b) of this Section 5, an amendment or supplement which will correct such statement or omission or effect such compliance and (3) supply any supplemented Final Prospectus to you in such quantities as you may reasonably request.</w:t>
      </w:r>
    </w:p>
    <w:p>
      <w:pPr>
        <w:spacing w:after="0" w:line="138"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1" w:name="page22"/>
    <w:bookmarkEnd w:id="21"/>
    <w:p>
      <w:pPr>
        <w:ind w:right="40" w:firstLine="221"/>
        <w:spacing w:after="0" w:line="272" w:lineRule="auto"/>
        <w:tabs>
          <w:tab w:leader="none" w:pos="47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If at any time prior to the Closing Date (i) any event shall occur or condition shall exist as a result of which the Time of Sale Information as then amended or supplemented would include any untrue statement of a material fact or omit to state any material fact necessary in order to make the statements therein, in the light of the circumstances, not misleading or (ii) it is necessary to amend or supplement the Time of Sale Information to comply with law, the Company will immediately notify the Underwriters thereof and forthwith prepare and, subject to paragraph (b) of this Section 5, file with the Commission (to the extent required) and furnish to the Underwriters and to such dealers as the Representatives may designate, such amendments or supplements to the Time of Sale Information as may be necessary so that the statements in the Time of Sale Information as so amended or supplemented will not, in the light of the circumstances, be misleading or so that the Time of Sale Information will comply with law.</w:t>
      </w:r>
    </w:p>
    <w:p>
      <w:pPr>
        <w:spacing w:after="0" w:line="69" w:lineRule="exact"/>
        <w:rPr>
          <w:rFonts w:ascii="Arial" w:cs="Arial" w:eastAsia="Arial" w:hAnsi="Arial"/>
          <w:sz w:val="17"/>
          <w:szCs w:val="17"/>
          <w:color w:val="auto"/>
        </w:rPr>
      </w:pPr>
    </w:p>
    <w:p>
      <w:pPr>
        <w:ind w:right="540" w:firstLine="221"/>
        <w:spacing w:after="0" w:line="342" w:lineRule="auto"/>
        <w:tabs>
          <w:tab w:leader="none" w:pos="45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soon as practicable, the Company will make generally available to its security holders and to the Representatives an earnings statement or statements of the Company and its Subsidiaries which will satisfy the provisions of Section 11(a) of the Act and Rule 158 under the Act.</w:t>
      </w:r>
    </w:p>
    <w:p>
      <w:pPr>
        <w:spacing w:after="0" w:line="15" w:lineRule="exact"/>
        <w:rPr>
          <w:rFonts w:ascii="Arial" w:cs="Arial" w:eastAsia="Arial" w:hAnsi="Arial"/>
          <w:sz w:val="16"/>
          <w:szCs w:val="16"/>
          <w:color w:val="auto"/>
        </w:rPr>
      </w:pPr>
    </w:p>
    <w:p>
      <w:pPr>
        <w:ind w:firstLine="221"/>
        <w:spacing w:after="0" w:line="297" w:lineRule="auto"/>
        <w:tabs>
          <w:tab w:leader="none" w:pos="4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Company will furnish to the Representatives and counsel for the Underwriters, without charge, signed or conformed copies of the Registration Statement (including exhibits thereto and documents incorporated by reference therein) and to each other Underwriter a copy of the Registration Statement (without exhibits thereto) and, during the Prospectus Delivery Period, as many copies of the Final Prospectus, any amendment or supplement thereto and documents incorporated by reference therein, and each Issuer Free Writing Prospectus as the Representatives may reasonably request. The Company will pay the expenses of printing or other production of all documents relating to the offering.</w:t>
      </w:r>
    </w:p>
    <w:p>
      <w:pPr>
        <w:spacing w:after="0" w:line="50" w:lineRule="exact"/>
        <w:rPr>
          <w:rFonts w:ascii="Arial" w:cs="Arial" w:eastAsia="Arial" w:hAnsi="Arial"/>
          <w:sz w:val="16"/>
          <w:szCs w:val="16"/>
          <w:color w:val="auto"/>
        </w:rPr>
      </w:pPr>
    </w:p>
    <w:p>
      <w:pPr>
        <w:ind w:right="80" w:firstLine="221"/>
        <w:spacing w:after="0" w:line="276" w:lineRule="auto"/>
        <w:tabs>
          <w:tab w:leader="none" w:pos="4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The Company will arrange, if necessary, for the qualification of the Securities for sale under the laws of such jurisdictions as the Representatives may designate, will maintain such qualifications in effect so long as required for the distribution of the Securities and will pay any fee of the Financial Industry Regulatory Authority, in connection with its review of the offering;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the Company be obligated to qualify to do business in any jurisdiction where it is not now so qualified or to take any action that would subject it to tax or service of process in suits, other than those arising out of the offering or sale of the Securities, in any jurisdiction where it is not now so subject.</w:t>
      </w:r>
    </w:p>
    <w:p>
      <w:pPr>
        <w:spacing w:after="0" w:line="64" w:lineRule="exact"/>
        <w:rPr>
          <w:rFonts w:ascii="Arial" w:cs="Arial" w:eastAsia="Arial" w:hAnsi="Arial"/>
          <w:sz w:val="17"/>
          <w:szCs w:val="17"/>
          <w:color w:val="auto"/>
        </w:rPr>
      </w:pPr>
    </w:p>
    <w:p>
      <w:pPr>
        <w:ind w:right="40" w:firstLine="221"/>
        <w:spacing w:after="0" w:line="257"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will not, without the prior written consent of Barclays Capital Inc., Credit Suisse Securities (USA) LLC, Deutsche Bank Securities Inc. and Greenwich Capital Markets, Inc. offer, sell, contract to sell, pledge, or otherwise dispose of, (or enter into any transaction which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w:t>
      </w:r>
    </w:p>
    <w:p>
      <w:pPr>
        <w:spacing w:after="0" w:line="16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2" w:name="page23"/>
    <w:bookmarkEnd w:id="22"/>
    <w:p>
      <w:pPr>
        <w:ind w:left="240" w:right="60"/>
        <w:spacing w:after="0" w:line="286" w:lineRule="auto"/>
        <w:rPr>
          <w:sz w:val="20"/>
          <w:szCs w:val="20"/>
          <w:color w:val="auto"/>
        </w:rPr>
      </w:pPr>
      <w:r>
        <w:rPr>
          <w:rFonts w:ascii="Arial" w:cs="Arial" w:eastAsia="Arial" w:hAnsi="Arial"/>
          <w:sz w:val="17"/>
          <w:szCs w:val="17"/>
          <w:color w:val="auto"/>
        </w:rPr>
        <w:t>statement with the Commission in respect of, or establish or increase a put equivalent position or liquidate or decrease a call equivalent position within the meaning of Section 16 of the Exchange Act, any debt securities (excluding commercial paper or bank borrowings) issued or guaranteed by the Company (other than the Securities) or publicly announce an intention to effect any such transaction, until March 25, 2009.</w:t>
      </w:r>
    </w:p>
    <w:p>
      <w:pPr>
        <w:spacing w:after="0" w:line="57" w:lineRule="exact"/>
        <w:rPr>
          <w:sz w:val="20"/>
          <w:szCs w:val="20"/>
          <w:color w:val="auto"/>
        </w:rPr>
      </w:pPr>
    </w:p>
    <w:p>
      <w:pPr>
        <w:ind w:left="240" w:right="120" w:firstLine="221"/>
        <w:spacing w:after="0" w:line="264" w:lineRule="auto"/>
        <w:tabs>
          <w:tab w:leader="none" w:pos="680" w:val="left"/>
        </w:tabs>
        <w:numPr>
          <w:ilvl w:val="2"/>
          <w:numId w:val="21"/>
        </w:numPr>
        <w:rPr>
          <w:rFonts w:ascii="Arial" w:cs="Arial" w:eastAsia="Arial" w:hAnsi="Arial"/>
          <w:sz w:val="18"/>
          <w:szCs w:val="18"/>
          <w:color w:val="auto"/>
        </w:rPr>
      </w:pPr>
      <w:r>
        <w:rPr>
          <w:rFonts w:ascii="Arial" w:cs="Arial" w:eastAsia="Arial" w:hAnsi="Arial"/>
          <w:sz w:val="18"/>
          <w:szCs w:val="18"/>
          <w:color w:val="auto"/>
        </w:rPr>
        <w:t>Neither the Company nor Holdings will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73" w:lineRule="exact"/>
        <w:rPr>
          <w:rFonts w:ascii="Arial" w:cs="Arial" w:eastAsia="Arial" w:hAnsi="Arial"/>
          <w:sz w:val="18"/>
          <w:szCs w:val="18"/>
          <w:color w:val="auto"/>
        </w:rPr>
      </w:pPr>
    </w:p>
    <w:p>
      <w:pPr>
        <w:ind w:left="240" w:right="100" w:firstLine="221"/>
        <w:spacing w:after="0" w:line="277" w:lineRule="auto"/>
        <w:tabs>
          <w:tab w:leader="none" w:pos="720" w:val="left"/>
        </w:tabs>
        <w:numPr>
          <w:ilvl w:val="2"/>
          <w:numId w:val="21"/>
        </w:numPr>
        <w:rPr>
          <w:rFonts w:ascii="Arial" w:cs="Arial" w:eastAsia="Arial" w:hAnsi="Arial"/>
          <w:sz w:val="18"/>
          <w:szCs w:val="18"/>
          <w:color w:val="auto"/>
        </w:rPr>
      </w:pPr>
      <w:r>
        <w:rPr>
          <w:rFonts w:ascii="Arial" w:cs="Arial" w:eastAsia="Arial" w:hAnsi="Arial"/>
          <w:sz w:val="18"/>
          <w:szCs w:val="18"/>
          <w:color w:val="auto"/>
        </w:rPr>
        <w:t>The Company will, pursuant to reasonable procedures developed in good faith, retain copies of each Issuer Free Writing Prospectus that is not filed with the Commission in accordance with Rule 433 under the Act</w:t>
      </w:r>
    </w:p>
    <w:p>
      <w:pPr>
        <w:spacing w:after="0" w:line="62" w:lineRule="exact"/>
        <w:rPr>
          <w:rFonts w:ascii="Arial" w:cs="Arial" w:eastAsia="Arial" w:hAnsi="Arial"/>
          <w:sz w:val="18"/>
          <w:szCs w:val="18"/>
          <w:color w:val="auto"/>
        </w:rPr>
      </w:pPr>
    </w:p>
    <w:p>
      <w:pPr>
        <w:ind w:left="420" w:hanging="187"/>
        <w:spacing w:after="0"/>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Certain Agreements of the Underwriters</w:t>
      </w:r>
      <w:r>
        <w:rPr>
          <w:rFonts w:ascii="Arial" w:cs="Arial" w:eastAsia="Arial" w:hAnsi="Arial"/>
          <w:sz w:val="18"/>
          <w:szCs w:val="18"/>
          <w:color w:val="auto"/>
        </w:rPr>
        <w:t>. Each Underwriter hereby represents and agrees that:</w:t>
      </w:r>
    </w:p>
    <w:p>
      <w:pPr>
        <w:spacing w:after="0" w:line="117" w:lineRule="exact"/>
        <w:rPr>
          <w:rFonts w:ascii="Arial" w:cs="Arial" w:eastAsia="Arial" w:hAnsi="Arial"/>
          <w:sz w:val="18"/>
          <w:szCs w:val="18"/>
          <w:color w:val="auto"/>
        </w:rPr>
      </w:pPr>
    </w:p>
    <w:p>
      <w:pPr>
        <w:ind w:left="240" w:right="180" w:firstLine="221"/>
        <w:spacing w:after="0" w:line="284" w:lineRule="auto"/>
        <w:tabs>
          <w:tab w:leader="none" w:pos="710" w:val="left"/>
        </w:tabs>
        <w:numPr>
          <w:ilvl w:val="2"/>
          <w:numId w:val="22"/>
        </w:numPr>
        <w:rPr>
          <w:rFonts w:ascii="Arial" w:cs="Arial" w:eastAsia="Arial" w:hAnsi="Arial"/>
          <w:sz w:val="16"/>
          <w:szCs w:val="16"/>
          <w:color w:val="auto"/>
        </w:rPr>
      </w:pPr>
      <w:r>
        <w:rPr>
          <w:rFonts w:ascii="Arial" w:cs="Arial" w:eastAsia="Arial" w:hAnsi="Arial"/>
          <w:sz w:val="16"/>
          <w:szCs w:val="16"/>
          <w:color w:val="auto"/>
        </w:rPr>
        <w:t>It has not and will not use, authorize use of, refer to, or participate in the planning for use of, any “free writing prospectus,” as defined in Rule 405 under the Act (which term includes use of any written information furnished to the Commission by the Company and not incorporated by reference into the Registration Statement and any press release issued by the Company) other than (i) a free writing prospectus that, solely as a result of use by such Underwriter, would not trigger an obligation to file such free writing prospectus with the Commission pursuant to Rule 433, (ii) any Issuer Free Writing Prospectus listed on Annex A or prepared pursuant to Section 1(d) or Section 5(b) above (including any electronic road show), or (iii) any free writing prospectus prepared by such Underwriter and approved by the Company in advance in writing (each such free writing prospectus referred to in clauses</w:t>
      </w:r>
    </w:p>
    <w:p>
      <w:pPr>
        <w:spacing w:after="0" w:line="4" w:lineRule="exact"/>
        <w:rPr>
          <w:rFonts w:ascii="Arial" w:cs="Arial" w:eastAsia="Arial" w:hAnsi="Arial"/>
          <w:sz w:val="16"/>
          <w:szCs w:val="16"/>
          <w:color w:val="auto"/>
        </w:rPr>
      </w:pPr>
    </w:p>
    <w:p>
      <w:pPr>
        <w:ind w:left="240" w:right="160" w:hanging="4"/>
        <w:spacing w:after="0" w:line="261" w:lineRule="auto"/>
        <w:tabs>
          <w:tab w:leader="none" w:pos="455" w:val="left"/>
        </w:tabs>
        <w:numPr>
          <w:ilvl w:val="1"/>
          <w:numId w:val="22"/>
        </w:numPr>
        <w:rPr>
          <w:rFonts w:ascii="Arial" w:cs="Arial" w:eastAsia="Arial" w:hAnsi="Arial"/>
          <w:sz w:val="18"/>
          <w:szCs w:val="18"/>
          <w:color w:val="auto"/>
        </w:rPr>
      </w:pPr>
      <w:r>
        <w:rPr>
          <w:rFonts w:ascii="Arial" w:cs="Arial" w:eastAsia="Arial" w:hAnsi="Arial"/>
          <w:sz w:val="18"/>
          <w:szCs w:val="18"/>
          <w:color w:val="auto"/>
        </w:rPr>
        <w:t>or (iii), an “</w:t>
      </w:r>
      <w:r>
        <w:rPr>
          <w:rFonts w:ascii="Arial" w:cs="Arial" w:eastAsia="Arial" w:hAnsi="Arial"/>
          <w:sz w:val="18"/>
          <w:szCs w:val="18"/>
          <w:u w:val="single" w:color="auto"/>
          <w:color w:val="auto"/>
        </w:rPr>
        <w:t>Underwriter Free Writing Prospectus</w:t>
      </w:r>
      <w:r>
        <w:rPr>
          <w:rFonts w:ascii="Arial" w:cs="Arial" w:eastAsia="Arial" w:hAnsi="Arial"/>
          <w:sz w:val="18"/>
          <w:szCs w:val="18"/>
          <w:color w:val="auto"/>
        </w:rPr>
        <w:t>”). Notwithstanding the foregoing, the Underwriters may use a term sheet substantially in the form of Schedule I hereto without the consent of the Company.</w:t>
      </w:r>
    </w:p>
    <w:p>
      <w:pPr>
        <w:spacing w:after="0" w:line="75" w:lineRule="exact"/>
        <w:rPr>
          <w:rFonts w:ascii="Arial" w:cs="Arial" w:eastAsia="Arial" w:hAnsi="Arial"/>
          <w:sz w:val="18"/>
          <w:szCs w:val="18"/>
          <w:color w:val="auto"/>
        </w:rPr>
      </w:pPr>
    </w:p>
    <w:p>
      <w:pPr>
        <w:ind w:left="240" w:right="240" w:firstLine="221"/>
        <w:spacing w:after="0" w:line="277" w:lineRule="auto"/>
        <w:tabs>
          <w:tab w:leader="none" w:pos="720" w:val="left"/>
        </w:tabs>
        <w:numPr>
          <w:ilvl w:val="2"/>
          <w:numId w:val="23"/>
        </w:numPr>
        <w:rPr>
          <w:rFonts w:ascii="Arial" w:cs="Arial" w:eastAsia="Arial" w:hAnsi="Arial"/>
          <w:sz w:val="18"/>
          <w:szCs w:val="18"/>
          <w:color w:val="auto"/>
        </w:rPr>
      </w:pPr>
      <w:r>
        <w:rPr>
          <w:rFonts w:ascii="Arial" w:cs="Arial" w:eastAsia="Arial" w:hAnsi="Arial"/>
          <w:sz w:val="18"/>
          <w:szCs w:val="18"/>
          <w:color w:val="auto"/>
        </w:rPr>
        <w:t>It is not subject to any pending proceeding under Section 8A of the Act with respect to the offering (and will promptly notify the Company if any such proceeding against it is initiated during the Prospectus Delivery Period).</w:t>
      </w:r>
    </w:p>
    <w:p>
      <w:pPr>
        <w:spacing w:after="0" w:line="62" w:lineRule="exact"/>
        <w:rPr>
          <w:rFonts w:ascii="Arial" w:cs="Arial" w:eastAsia="Arial" w:hAnsi="Arial"/>
          <w:sz w:val="18"/>
          <w:szCs w:val="18"/>
          <w:color w:val="auto"/>
        </w:rPr>
      </w:pPr>
    </w:p>
    <w:p>
      <w:pPr>
        <w:jc w:val="both"/>
        <w:ind w:firstLine="233"/>
        <w:spacing w:after="0" w:line="259" w:lineRule="auto"/>
        <w:tabs>
          <w:tab w:leader="none" w:pos="40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obligations of the Underwriters to purchase the Securities shall be subject to the accuracy of the representations and warranties on the part of the Company and Holdings contained herein as of the Time of Sale and the Closing Date, to the accuracy of the statements of the Company and Holdings made in any certificates pursuant to the provisions hereof, to the performance by the Company and Holdings of their obligations hereunder and to the following additional conditions:</w:t>
      </w:r>
    </w:p>
    <w:p>
      <w:pPr>
        <w:spacing w:after="0" w:line="78" w:lineRule="exact"/>
        <w:rPr>
          <w:rFonts w:ascii="Arial" w:cs="Arial" w:eastAsia="Arial" w:hAnsi="Arial"/>
          <w:sz w:val="18"/>
          <w:szCs w:val="18"/>
          <w:color w:val="auto"/>
        </w:rPr>
      </w:pPr>
    </w:p>
    <w:p>
      <w:pPr>
        <w:ind w:left="240" w:right="120" w:firstLine="221"/>
        <w:spacing w:after="0" w:line="264" w:lineRule="auto"/>
        <w:tabs>
          <w:tab w:leader="none" w:pos="710" w:val="left"/>
        </w:tabs>
        <w:numPr>
          <w:ilvl w:val="2"/>
          <w:numId w:val="24"/>
        </w:numPr>
        <w:rPr>
          <w:rFonts w:ascii="Arial" w:cs="Arial" w:eastAsia="Arial" w:hAnsi="Arial"/>
          <w:sz w:val="18"/>
          <w:szCs w:val="18"/>
          <w:color w:val="auto"/>
        </w:rPr>
      </w:pPr>
      <w:r>
        <w:rPr>
          <w:rFonts w:ascii="Arial" w:cs="Arial" w:eastAsia="Arial" w:hAnsi="Arial"/>
          <w:sz w:val="18"/>
          <w:szCs w:val="18"/>
          <w:color w:val="auto"/>
        </w:rPr>
        <w:t>If the filing of the Final Prospectus, or any supplement thereto, is required pursuant to Rule 424(b), the Final Prospectus, and any such supplement, will be filed in the manner and within the time period required by Rule 424(b); no stop order suspending the effectiveness of the Registration Statement shall have been issued and no proceedings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ind w:right="120"/>
        <w:spacing w:after="0" w:line="286" w:lineRule="auto"/>
        <w:rPr>
          <w:sz w:val="20"/>
          <w:szCs w:val="20"/>
          <w:color w:val="auto"/>
        </w:rPr>
      </w:pPr>
      <w:r>
        <w:rPr>
          <w:rFonts w:ascii="Arial" w:cs="Arial" w:eastAsia="Arial" w:hAnsi="Arial"/>
          <w:sz w:val="17"/>
          <w:szCs w:val="17"/>
          <w:color w:val="auto"/>
        </w:rPr>
        <w:t>for that purpose, pursuant to Rule 401(g)(2) and Section 8A under the Act or otherwise, shall have been instituted or threatened; each Issuer Free Writing Prospectus shall have been timely filed with the Commission under the Act to the extent required by Rule 433 thereunder; and all requests by the Commission for additional information shall have been complied with to the reasonable satisfaction of the Representatives.</w:t>
      </w:r>
    </w:p>
    <w:p>
      <w:pPr>
        <w:spacing w:after="0" w:line="57" w:lineRule="exact"/>
        <w:rPr>
          <w:sz w:val="20"/>
          <w:szCs w:val="20"/>
          <w:color w:val="auto"/>
        </w:rPr>
      </w:pPr>
    </w:p>
    <w:p>
      <w:pPr>
        <w:ind w:right="40" w:firstLine="221"/>
        <w:spacing w:after="0" w:line="277"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shall have requested and caused Baker Botts L.L.P., counsel for the Company and Holdings, to have furnished to the Representatives their opinion, dated the Closing Date and addressed to the Representatives, to the effect that:</w:t>
      </w:r>
    </w:p>
    <w:p>
      <w:pPr>
        <w:spacing w:after="0" w:line="62" w:lineRule="exact"/>
        <w:rPr>
          <w:rFonts w:ascii="Arial" w:cs="Arial" w:eastAsia="Arial" w:hAnsi="Arial"/>
          <w:sz w:val="18"/>
          <w:szCs w:val="18"/>
          <w:color w:val="auto"/>
        </w:rPr>
      </w:pPr>
    </w:p>
    <w:p>
      <w:pPr>
        <w:ind w:left="220" w:right="200" w:firstLine="229"/>
        <w:spacing w:after="0" w:line="259" w:lineRule="auto"/>
        <w:tabs>
          <w:tab w:leader="none" w:pos="6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each of the Company and Holdings is a corporation duly incorporated and validly existing in good standing under the laws of the State of Delaware, with corporate power and authority under such laws to own, lease and operate its properties and to conduct its business as described in the Registration Statement, the Time of Sale Information and the Final Prospectus and to execute and deliver and perform its obligations under this Agreement;</w:t>
      </w:r>
    </w:p>
    <w:p>
      <w:pPr>
        <w:spacing w:after="0" w:line="78" w:lineRule="exact"/>
        <w:rPr>
          <w:rFonts w:ascii="Arial" w:cs="Arial" w:eastAsia="Arial" w:hAnsi="Arial"/>
          <w:sz w:val="18"/>
          <w:szCs w:val="18"/>
          <w:color w:val="auto"/>
        </w:rPr>
      </w:pPr>
    </w:p>
    <w:p>
      <w:pPr>
        <w:ind w:left="720" w:hanging="271"/>
        <w:spacing w:after="0"/>
        <w:tabs>
          <w:tab w:leader="none" w:pos="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 and Holdings;</w:t>
      </w:r>
    </w:p>
    <w:p>
      <w:pPr>
        <w:spacing w:after="0" w:line="117" w:lineRule="exact"/>
        <w:rPr>
          <w:rFonts w:ascii="Arial" w:cs="Arial" w:eastAsia="Arial" w:hAnsi="Arial"/>
          <w:sz w:val="18"/>
          <w:szCs w:val="18"/>
          <w:color w:val="auto"/>
        </w:rPr>
      </w:pPr>
    </w:p>
    <w:p>
      <w:pPr>
        <w:ind w:left="220" w:right="20" w:firstLine="229"/>
        <w:spacing w:after="0" w:line="276" w:lineRule="auto"/>
        <w:tabs>
          <w:tab w:leader="none" w:pos="760"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Indenture has been duly authorized, executed and delivered by the Company and (assuming the due authorization, execution and delivery thereof by the Trustee) constitutes a valid and binding agreement of the Company, enforceable against the Company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w:t>
      </w:r>
    </w:p>
    <w:p>
      <w:pPr>
        <w:spacing w:after="0" w:line="64" w:lineRule="exact"/>
        <w:rPr>
          <w:rFonts w:ascii="Arial" w:cs="Arial" w:eastAsia="Arial" w:hAnsi="Arial"/>
          <w:sz w:val="17"/>
          <w:szCs w:val="17"/>
          <w:color w:val="auto"/>
        </w:rPr>
      </w:pPr>
    </w:p>
    <w:p>
      <w:pPr>
        <w:ind w:left="220" w:firstLine="229"/>
        <w:spacing w:after="0" w:line="291" w:lineRule="auto"/>
        <w:tabs>
          <w:tab w:leader="none" w:pos="75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global certificate representing each series of Notes is in a form authorized by the Indenture, each series of Notes has been duly authorized by the Company and, assuming the global certificate representing each series of Notes has been authenticated and delivered by the Trustee in the manner provided for in the Indenture and delivered against payment of the consideration therefor as specified in this Agreement, the Notes constitute valid and binding obligations of the Company, enforceable against the Company in accordance with their respective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Each registered holder thereof is entitled to the benefits of the Indenture;</w:t>
      </w:r>
    </w:p>
    <w:p>
      <w:pPr>
        <w:spacing w:after="0" w:line="140"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4" w:name="page25"/>
    <w:bookmarkEnd w:id="24"/>
    <w:p>
      <w:pPr>
        <w:ind w:firstLine="229"/>
        <w:spacing w:after="0" w:line="255" w:lineRule="auto"/>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Guarantee Agreement has been duly authorized, executed and delivered by Holdings and constitutes a valid and binding agreement of Holdings, enforceable against Holdings in accordance with its terms, except to the extent the enforceability thereof may be limited by bankruptcy, insolvency, fraudulent transfer, reorganization, moratorium or similar laws relating to or affecting creditors’ rights and remedies generally and by general principles of equity (regardless of whether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85" w:lineRule="exact"/>
        <w:rPr>
          <w:rFonts w:ascii="Arial" w:cs="Arial" w:eastAsia="Arial" w:hAnsi="Arial"/>
          <w:sz w:val="18"/>
          <w:szCs w:val="18"/>
          <w:color w:val="auto"/>
        </w:rPr>
      </w:pPr>
    </w:p>
    <w:p>
      <w:pPr>
        <w:ind w:left="540" w:hanging="311"/>
        <w:spacing w:after="0"/>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Indenture has been duly qualified under the Trust Indenture Act;</w:t>
      </w:r>
    </w:p>
    <w:p>
      <w:pPr>
        <w:spacing w:after="0" w:line="117" w:lineRule="exact"/>
        <w:rPr>
          <w:rFonts w:ascii="Arial" w:cs="Arial" w:eastAsia="Arial" w:hAnsi="Arial"/>
          <w:sz w:val="18"/>
          <w:szCs w:val="18"/>
          <w:color w:val="auto"/>
        </w:rPr>
      </w:pPr>
    </w:p>
    <w:p>
      <w:pPr>
        <w:ind w:right="360" w:firstLine="229"/>
        <w:spacing w:after="0" w:line="277"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Securities and the Indenture conform as to legal matters in all material respects to the descriptions thereof contained in the Registration Statement, the Time of Sale Information and the Final Prospectus;</w:t>
      </w:r>
    </w:p>
    <w:p>
      <w:pPr>
        <w:spacing w:after="0" w:line="62" w:lineRule="exact"/>
        <w:rPr>
          <w:rFonts w:ascii="Arial" w:cs="Arial" w:eastAsia="Arial" w:hAnsi="Arial"/>
          <w:sz w:val="18"/>
          <w:szCs w:val="18"/>
          <w:color w:val="auto"/>
        </w:rPr>
      </w:pPr>
    </w:p>
    <w:p>
      <w:pPr>
        <w:ind w:right="40" w:firstLine="229"/>
        <w:spacing w:after="0" w:line="259" w:lineRule="auto"/>
        <w:tabs>
          <w:tab w:leader="none" w:pos="63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Registration Statement has become effective under the Act; any required filing of the Final Prospectus pursuant to Rule 424(b) has been made in the manner and within the time period required by Rule 424(b); and, to the best of such counsel’s knowledge, no stop order suspending the effectiveness of the Registration Statement has been issued and no proceedings for that purpose have been instituted or are pending or threatened under the Act;</w:t>
      </w:r>
    </w:p>
    <w:p>
      <w:pPr>
        <w:spacing w:after="0" w:line="78" w:lineRule="exact"/>
        <w:rPr>
          <w:rFonts w:ascii="Arial" w:cs="Arial" w:eastAsia="Arial" w:hAnsi="Arial"/>
          <w:sz w:val="18"/>
          <w:szCs w:val="18"/>
          <w:color w:val="auto"/>
        </w:rPr>
      </w:pPr>
    </w:p>
    <w:p>
      <w:pPr>
        <w:ind w:right="360" w:firstLine="229"/>
        <w:spacing w:after="0" w:line="286" w:lineRule="auto"/>
        <w:tabs>
          <w:tab w:leader="none" w:pos="53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 authorization, approval, consent or license of any regulatory body or authority (other than under the Act, the Trust Indenture Act and the securities or Blue Sky laws of the various states) and no approval of the stockholders of the Company or Holdings is required for the valid authorization, issuance, sale and delivery of the Securities by the Company or Holdings, or for the performance of the Indenture;</w:t>
      </w:r>
    </w:p>
    <w:p>
      <w:pPr>
        <w:spacing w:after="0" w:line="57" w:lineRule="exact"/>
        <w:rPr>
          <w:rFonts w:ascii="Arial" w:cs="Arial" w:eastAsia="Arial" w:hAnsi="Arial"/>
          <w:sz w:val="17"/>
          <w:szCs w:val="17"/>
          <w:color w:val="auto"/>
        </w:rPr>
      </w:pPr>
    </w:p>
    <w:p>
      <w:pPr>
        <w:ind w:right="60" w:firstLine="229"/>
        <w:spacing w:after="0" w:line="255" w:lineRule="auto"/>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execution and delivery of the Underwriting Agreement, the consummation of the transactions contemplated in the Underwriting Agreement and compliance with the terms of the Underwriting Agreement and the Indenture do not and will not conflict with or result in a breach of any of the terms or provisions of, or constitute a default under, the charter or by-laws of the Company, Holdings or Wheelabrator Technologies Inc., or any indenture, mortgage or other agreement or instrument to which the Company or its subsidiaries is a party or by which they or any of their property is bound which is filed as an exhibit to the Registration Statement or to any of the documents incorporated by reference in the Registration Statement, the Time of Sale Information and the Final Prospectus, or any existing applicable laws, rule, regulation (excluding any state securities or state or federal anti-fraud law, rule or regulation); and</w:t>
      </w:r>
    </w:p>
    <w:p>
      <w:pPr>
        <w:spacing w:after="0" w:line="16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700" w:top="935" w:right="259" w:bottom="1440" w:gutter="0" w:footer="0" w:header="0"/>
        </w:sectPr>
      </w:pPr>
    </w:p>
    <w:bookmarkStart w:id="25" w:name="page26"/>
    <w:bookmarkEnd w:id="25"/>
    <w:p>
      <w:pPr>
        <w:ind w:left="224" w:firstLine="229"/>
        <w:spacing w:after="0" w:line="277" w:lineRule="auto"/>
        <w:tabs>
          <w:tab w:leader="none" w:pos="7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neither the Company nor Holdings is an “investment company” or an entity “controlled” by an “investment company,” as such terms are defined in the 1940 Act.</w:t>
      </w:r>
    </w:p>
    <w:p>
      <w:pPr>
        <w:spacing w:after="0" w:line="62" w:lineRule="exact"/>
        <w:rPr>
          <w:sz w:val="20"/>
          <w:szCs w:val="20"/>
          <w:color w:val="auto"/>
        </w:rPr>
      </w:pPr>
    </w:p>
    <w:p>
      <w:pPr>
        <w:ind w:left="4" w:firstLine="225"/>
        <w:spacing w:after="0" w:line="297" w:lineRule="auto"/>
        <w:rPr>
          <w:sz w:val="20"/>
          <w:szCs w:val="20"/>
          <w:color w:val="auto"/>
        </w:rPr>
      </w:pPr>
      <w:r>
        <w:rPr>
          <w:rFonts w:ascii="Arial" w:cs="Arial" w:eastAsia="Arial" w:hAnsi="Arial"/>
          <w:sz w:val="16"/>
          <w:szCs w:val="16"/>
          <w:color w:val="auto"/>
        </w:rPr>
        <w:t>Such counsel shall state that the Registration Statement, the Time of Sale Information and the Final Prospectus, excluding the documents incorporated by reference therein and the financial statements and related notes and schedules thereto and the auditors’ reports thereon, management’s report on internal control over financial reporting and the other financial and accounting data included therein or omitted therefrom, the exhibits thereto, and the Trustee’s Statement of Eligibility on Form T-1 (the “</w:t>
      </w:r>
      <w:r>
        <w:rPr>
          <w:rFonts w:ascii="Arial" w:cs="Arial" w:eastAsia="Arial" w:hAnsi="Arial"/>
          <w:sz w:val="16"/>
          <w:szCs w:val="16"/>
          <w:u w:val="single" w:color="auto"/>
          <w:color w:val="auto"/>
        </w:rPr>
        <w:t>Form T-1</w:t>
      </w:r>
      <w:r>
        <w:rPr>
          <w:rFonts w:ascii="Arial" w:cs="Arial" w:eastAsia="Arial" w:hAnsi="Arial"/>
          <w:sz w:val="16"/>
          <w:szCs w:val="16"/>
          <w:color w:val="auto"/>
        </w:rPr>
        <w:t>”), as to which such counsel need not express a view, as of the date they became effective or issue dates, as the case may be, appear on their face to have been appropriately responsive in all material respects with the requirements of the Act.</w:t>
      </w:r>
    </w:p>
    <w:p>
      <w:pPr>
        <w:spacing w:after="0" w:line="50" w:lineRule="exact"/>
        <w:rPr>
          <w:sz w:val="20"/>
          <w:szCs w:val="20"/>
          <w:color w:val="auto"/>
        </w:rPr>
      </w:pPr>
    </w:p>
    <w:p>
      <w:pPr>
        <w:ind w:left="4" w:firstLine="225"/>
        <w:spacing w:after="0" w:line="284" w:lineRule="auto"/>
        <w:rPr>
          <w:sz w:val="20"/>
          <w:szCs w:val="20"/>
          <w:color w:val="auto"/>
        </w:rPr>
      </w:pPr>
      <w:r>
        <w:rPr>
          <w:rFonts w:ascii="Arial" w:cs="Arial" w:eastAsia="Arial" w:hAnsi="Arial"/>
          <w:sz w:val="16"/>
          <w:szCs w:val="16"/>
          <w:color w:val="auto"/>
        </w:rPr>
        <w:t>In addition, such counsel shall state that they have participated in conferences with officers and other representatives of the Company, counsel employed by the Company, representatives of the independent public accountants of the Company, representatives of the Underwriters and counsel to the Underwriters at which the contents of the Registration Statement, the Time of Sale Information and the Final Prospectus and related matters were discussed and, although such counsel did not independently verify such information and is not passing upon and does not assume any responsibility for the accuracy, completeness or fairness of the statements contained in the Registration Statement, the Time of Sale Information and the Final Prospectus (other than as set forth in paragraph (vii) above), on the basis of the foregoing, no facts have come to such counsel’s attention that led such counsel to believe</w:t>
      </w:r>
    </w:p>
    <w:p>
      <w:pPr>
        <w:spacing w:after="0" w:line="5" w:lineRule="exact"/>
        <w:rPr>
          <w:sz w:val="20"/>
          <w:szCs w:val="20"/>
          <w:color w:val="auto"/>
        </w:rPr>
      </w:pPr>
    </w:p>
    <w:p>
      <w:pPr>
        <w:ind w:left="4" w:right="20" w:hanging="4"/>
        <w:spacing w:after="0" w:line="268" w:lineRule="auto"/>
        <w:tabs>
          <w:tab w:leader="none" w:pos="21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that the Registration Statement (other than the financial statements, the related notes and schedules thereto and the auditors’ reports thereon, management’s report on internal control over financial reporting and the other financial and accounting data included or incorporated by reference therein, or omitted therefrom, the exhibits thereto, and the Form T-1, as to which such counsel need not comment) as of the Effective Date and the Closing Date contained an untrue statement of a material fact or omitted to state a material fact required to be stated therein or necessary in order to make the statements therein not misleading, or (ii) that (A) the Time of Sale Information, as of the Time of Sale and as of the Closing Date, contained or contains, or (B) the Final Prospectus, as of its date and as of the Closing Date, contained or contains (other than the financial statements, the related notes and schedules thereto and the auditors’ reports thereon, management’s report on internal control over financial reporting and the other financial and accounting data included or incorporated by reference therein, or omitted therefrom, as to which such counsel need not comment) an untrue statement of a material fact or omitted or omits to state a material fact necessary in order to make the statements therein, in the light of the circumstances under which they were made, not misleading.</w:t>
      </w:r>
    </w:p>
    <w:p>
      <w:pPr>
        <w:spacing w:after="0" w:line="72" w:lineRule="exact"/>
        <w:rPr>
          <w:sz w:val="20"/>
          <w:szCs w:val="20"/>
          <w:color w:val="auto"/>
        </w:rPr>
      </w:pPr>
    </w:p>
    <w:p>
      <w:pPr>
        <w:ind w:left="4" w:right="20" w:firstLine="225"/>
        <w:spacing w:after="0" w:line="264" w:lineRule="auto"/>
        <w:rPr>
          <w:sz w:val="20"/>
          <w:szCs w:val="20"/>
          <w:color w:val="auto"/>
        </w:rPr>
      </w:pPr>
      <w:r>
        <w:rPr>
          <w:rFonts w:ascii="Arial" w:cs="Arial" w:eastAsia="Arial" w:hAnsi="Arial"/>
          <w:sz w:val="18"/>
          <w:szCs w:val="18"/>
          <w:color w:val="auto"/>
        </w:rPr>
        <w:t>In rendering such opinions, such counsel may (A) state that the opinions are based on and limited to the contract law of the State of New York, the laws of the State of Texas, the General Corporation Law of Delaware and the Federal laws of the United States, and (B) rely, as to matters of fact, to the extent they deem proper, on certificates</w:t>
      </w:r>
    </w:p>
    <w:p>
      <w:pPr>
        <w:spacing w:after="0" w:line="154" w:lineRule="exact"/>
        <w:rPr>
          <w:sz w:val="20"/>
          <w:szCs w:val="20"/>
          <w:color w:val="auto"/>
        </w:rPr>
      </w:pPr>
    </w:p>
    <w:p>
      <w:pPr>
        <w:jc w:val="center"/>
        <w:ind w:right="196"/>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4"/>
          </w:cols>
          <w:pgMar w:left="476" w:top="935" w:right="259" w:bottom="1440" w:gutter="0" w:footer="0" w:header="0"/>
        </w:sectPr>
      </w:pPr>
    </w:p>
    <w:bookmarkStart w:id="26" w:name="page27"/>
    <w:bookmarkEnd w:id="26"/>
    <w:p>
      <w:pPr>
        <w:ind w:right="20"/>
        <w:spacing w:after="0" w:line="277" w:lineRule="auto"/>
        <w:rPr>
          <w:sz w:val="20"/>
          <w:szCs w:val="20"/>
          <w:color w:val="auto"/>
        </w:rPr>
      </w:pPr>
      <w:r>
        <w:rPr>
          <w:rFonts w:ascii="Arial" w:cs="Arial" w:eastAsia="Arial" w:hAnsi="Arial"/>
          <w:sz w:val="18"/>
          <w:szCs w:val="18"/>
          <w:color w:val="auto"/>
        </w:rPr>
        <w:t>of responsible officers of the Company and public officials. References to the Final Prospectus in this paragraph (b) include any supplements thereto at the Closing Date.</w:t>
      </w:r>
    </w:p>
    <w:p>
      <w:pPr>
        <w:spacing w:after="0" w:line="62" w:lineRule="exact"/>
        <w:rPr>
          <w:sz w:val="20"/>
          <w:szCs w:val="20"/>
          <w:color w:val="auto"/>
        </w:rPr>
      </w:pPr>
    </w:p>
    <w:p>
      <w:pPr>
        <w:ind w:firstLine="221"/>
        <w:spacing w:after="0" w:line="277" w:lineRule="auto"/>
        <w:tabs>
          <w:tab w:leader="none" w:pos="4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Rick L. Wittenbraker, Senior Vice President and General Counsel of the Company, shall have furnished to the Representatives his opinion, dated the Closing Date and addressed to the Representatives, to the effect that:</w:t>
      </w:r>
    </w:p>
    <w:p>
      <w:pPr>
        <w:spacing w:after="0" w:line="62" w:lineRule="exact"/>
        <w:rPr>
          <w:rFonts w:ascii="Arial" w:cs="Arial" w:eastAsia="Arial" w:hAnsi="Arial"/>
          <w:sz w:val="18"/>
          <w:szCs w:val="18"/>
          <w:color w:val="auto"/>
        </w:rPr>
      </w:pPr>
    </w:p>
    <w:p>
      <w:pPr>
        <w:ind w:left="220" w:right="20" w:firstLine="229"/>
        <w:spacing w:after="0" w:line="254" w:lineRule="auto"/>
        <w:tabs>
          <w:tab w:leader="none" w:pos="6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each of the corporate Subsidiaries organized under United States law is a corporation duly incorporated and validly existing in good standing under the laws of the jurisdiction of its incorporation, has corporate power and authority to own, lease and operate its properties and to conduct its business as described in the Registration Statement, the Time of Sale Information and the Final Prospectus, except as would not have a Material Adverse Effect; except as otherwise disclosed in the Registration Statement, the Time of Sale Information and the Final Prospectus, or set forth in the opinion, all of the issued and outstanding capital stock of each of the Subsidiaries is validly issued, fully paid and nonassessable and, to the best of such counsel’s knowledge, all of such shares of stock owned by the Company are owned free and clear of any security interest, mortgage, pledge, lien, encumbrance, claim or equity; none of the outstanding shares of capital stock of the Subsidiaries was issued in violation of the preemptive or similar rights of any security holder thereof;</w:t>
      </w:r>
    </w:p>
    <w:p>
      <w:pPr>
        <w:spacing w:after="0" w:line="84" w:lineRule="exact"/>
        <w:rPr>
          <w:rFonts w:ascii="Arial" w:cs="Arial" w:eastAsia="Arial" w:hAnsi="Arial"/>
          <w:sz w:val="18"/>
          <w:szCs w:val="18"/>
          <w:color w:val="auto"/>
        </w:rPr>
      </w:pPr>
    </w:p>
    <w:p>
      <w:pPr>
        <w:ind w:left="220" w:right="60" w:firstLine="229"/>
        <w:spacing w:after="0" w:line="276" w:lineRule="auto"/>
        <w:tabs>
          <w:tab w:leader="none" w:pos="71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documents incorporated by reference in the Registration Statement, the Time of Sale Information and the Final Prospectus (other than the financial statements, related schedules and other financial data included therein or omitted therefrom, as to which he need express no opinion, and except to the extent that any statement therein is modified or superseded in the Time of Sale Information and the Final Prospectus), as of the dates they became effective or were filed with the Commission, as the case may be, appear on their face to be appropriately responsive in all material respects to the requirements of the Exchange Act and the rules and regulations promulgated thereunder;</w:t>
      </w:r>
    </w:p>
    <w:p>
      <w:pPr>
        <w:spacing w:after="0" w:line="64" w:lineRule="exact"/>
        <w:rPr>
          <w:rFonts w:ascii="Arial" w:cs="Arial" w:eastAsia="Arial" w:hAnsi="Arial"/>
          <w:sz w:val="17"/>
          <w:szCs w:val="17"/>
          <w:color w:val="auto"/>
        </w:rPr>
      </w:pPr>
    </w:p>
    <w:p>
      <w:pPr>
        <w:ind w:left="220" w:right="160" w:firstLine="229"/>
        <w:spacing w:after="0" w:line="279" w:lineRule="auto"/>
        <w:tabs>
          <w:tab w:leader="none" w:pos="7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except as set forth in the Registration Statement, the Time of Sale Information and the Final Prospectus (or incorporated by reference therein), such counsel does not know of any action, suit, proceeding, inquiry or investigation pending or threatened against the Company or any of its subsidiaries, or to which the property of the Company or any of its subsidiaries is subject, before or brought by any court or governmental agency or body, domestic or foreign, in which there is a reasonable probability of a Material Adverse Effect;</w:t>
      </w:r>
    </w:p>
    <w:p>
      <w:pPr>
        <w:spacing w:after="0" w:line="63" w:lineRule="exact"/>
        <w:rPr>
          <w:rFonts w:ascii="Arial" w:cs="Arial" w:eastAsia="Arial" w:hAnsi="Arial"/>
          <w:sz w:val="17"/>
          <w:szCs w:val="17"/>
          <w:color w:val="auto"/>
        </w:rPr>
      </w:pPr>
    </w:p>
    <w:p>
      <w:pPr>
        <w:ind w:left="760" w:hanging="311"/>
        <w:spacing w:after="0"/>
        <w:tabs>
          <w:tab w:leader="none" w:pos="7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such counsel does not know of any statutes or regulations or any pending or threatened legal or governmental proceedings required to be</w:t>
      </w:r>
    </w:p>
    <w:p>
      <w:pPr>
        <w:spacing w:after="0" w:line="34" w:lineRule="exact"/>
        <w:rPr>
          <w:rFonts w:ascii="Arial" w:cs="Arial" w:eastAsia="Arial" w:hAnsi="Arial"/>
          <w:sz w:val="17"/>
          <w:szCs w:val="17"/>
          <w:color w:val="auto"/>
        </w:rPr>
      </w:pPr>
    </w:p>
    <w:p>
      <w:pPr>
        <w:jc w:val="both"/>
        <w:ind w:left="220" w:right="40"/>
        <w:spacing w:after="0" w:line="255" w:lineRule="auto"/>
        <w:rPr>
          <w:rFonts w:ascii="Arial" w:cs="Arial" w:eastAsia="Arial" w:hAnsi="Arial"/>
          <w:sz w:val="17"/>
          <w:szCs w:val="17"/>
          <w:color w:val="auto"/>
        </w:rPr>
      </w:pPr>
      <w:r>
        <w:rPr>
          <w:rFonts w:ascii="Arial" w:cs="Arial" w:eastAsia="Arial" w:hAnsi="Arial"/>
          <w:sz w:val="18"/>
          <w:szCs w:val="18"/>
          <w:color w:val="auto"/>
        </w:rPr>
        <w:t>described in the Registration Statement, the Time of Sale Information and the Final Prospectus which are not described as required, nor of any material contracts or documents of a character required to be described in the Registration Statement, the Time of Sale Information or the Final Prospectus or to be filed or incorporated</w:t>
      </w:r>
    </w:p>
    <w:p>
      <w:pPr>
        <w:spacing w:after="0" w:line="163"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7" w:name="page28"/>
    <w:bookmarkEnd w:id="27"/>
    <w:p>
      <w:pPr>
        <w:ind w:left="220"/>
        <w:spacing w:after="0"/>
        <w:rPr>
          <w:sz w:val="20"/>
          <w:szCs w:val="20"/>
          <w:color w:val="auto"/>
        </w:rPr>
      </w:pPr>
      <w:r>
        <w:rPr>
          <w:rFonts w:ascii="Arial" w:cs="Arial" w:eastAsia="Arial" w:hAnsi="Arial"/>
          <w:sz w:val="18"/>
          <w:szCs w:val="18"/>
          <w:color w:val="auto"/>
        </w:rPr>
        <w:t>as exhibits to the Registration Statement which are not described and filed or incorporated as required;</w:t>
      </w:r>
    </w:p>
    <w:p>
      <w:pPr>
        <w:spacing w:after="0" w:line="117" w:lineRule="exact"/>
        <w:rPr>
          <w:sz w:val="20"/>
          <w:szCs w:val="20"/>
          <w:color w:val="auto"/>
        </w:rPr>
      </w:pPr>
    </w:p>
    <w:p>
      <w:pPr>
        <w:ind w:left="220" w:right="80" w:firstLine="229"/>
        <w:spacing w:after="0" w:line="277" w:lineRule="auto"/>
        <w:tabs>
          <w:tab w:leader="none" w:pos="7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such counsel does not know of any holders of securities of the Company or Holdings that have rights to the registration of such securities under the Registration Statement; and</w:t>
      </w:r>
    </w:p>
    <w:p>
      <w:pPr>
        <w:spacing w:after="0" w:line="62" w:lineRule="exact"/>
        <w:rPr>
          <w:rFonts w:ascii="Arial" w:cs="Arial" w:eastAsia="Arial" w:hAnsi="Arial"/>
          <w:sz w:val="18"/>
          <w:szCs w:val="18"/>
          <w:color w:val="auto"/>
        </w:rPr>
      </w:pPr>
    </w:p>
    <w:p>
      <w:pPr>
        <w:ind w:left="220" w:right="260" w:firstLine="229"/>
        <w:spacing w:after="0" w:line="290" w:lineRule="auto"/>
        <w:tabs>
          <w:tab w:leader="none" w:pos="75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execution and delivery of the Underwriting Agreement, the Notes, the Guarantee Agreement and the execution and performance of the Indenture (the “</w:t>
      </w:r>
      <w:r>
        <w:rPr>
          <w:rFonts w:ascii="Arial" w:cs="Arial" w:eastAsia="Arial" w:hAnsi="Arial"/>
          <w:sz w:val="16"/>
          <w:szCs w:val="16"/>
          <w:u w:val="single" w:color="auto"/>
          <w:color w:val="auto"/>
        </w:rPr>
        <w:t>Operative Agreements</w:t>
      </w:r>
      <w:r>
        <w:rPr>
          <w:rFonts w:ascii="Arial" w:cs="Arial" w:eastAsia="Arial" w:hAnsi="Arial"/>
          <w:sz w:val="16"/>
          <w:szCs w:val="16"/>
          <w:color w:val="auto"/>
        </w:rPr>
        <w:t>”), the consummation of the transactions contemplated in the Operative Agreements and compliance with the terms of the Operative Agreement do not and will not conflict with or result in a breach of any of the terms or provisions of, or constitute a default under, the charter or by-laws of the Company or any of its Subsidiaries, or, to the knowledge of such counsel, any indenture, mortgage or other agreement or instrument to which the Company or its Subsidiaries is a party or by which they or any of their property is bound, or any existing applicable laws, rule, regulation (excluding any state securities or state or federal anti-fraud law, rule or regulation), or, to the knowledge of such counsel, any judgment, order or decree of any government, governmental instrumentality or court, domestic or foreign, having jurisdiction over the Company or its Subsidiaries or any of their properties, that in any case would have a Material Adverse Effect.</w:t>
      </w:r>
    </w:p>
    <w:p>
      <w:pPr>
        <w:spacing w:after="0" w:line="58" w:lineRule="exact"/>
        <w:rPr>
          <w:rFonts w:ascii="Arial" w:cs="Arial" w:eastAsia="Arial" w:hAnsi="Arial"/>
          <w:sz w:val="16"/>
          <w:szCs w:val="16"/>
          <w:color w:val="auto"/>
        </w:rPr>
      </w:pPr>
    </w:p>
    <w:p>
      <w:pPr>
        <w:jc w:val="both"/>
        <w:ind w:firstLine="221"/>
        <w:spacing w:after="0" w:line="302" w:lineRule="auto"/>
        <w:tabs>
          <w:tab w:leader="none" w:pos="4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Representatives shall have received from Vinson &amp; Elkins L.L.P., counsel for the Underwriters, such opinion or opinions, dated the Closing Date and addressed to the Representatives, with respect to the issuance and sale of the Securities, the Indenture, the Registration Statement, the Time of Sale Information and the Final Prospectus (together with any supplement thereto) and other related matters as the Representatives may reasonably require, and the Company shall have furnished to such counsel such documents as they request for the purpose of enabling them to pass upon such matters.</w:t>
      </w:r>
    </w:p>
    <w:p>
      <w:pPr>
        <w:spacing w:after="0" w:line="46" w:lineRule="exact"/>
        <w:rPr>
          <w:rFonts w:ascii="Arial" w:cs="Arial" w:eastAsia="Arial" w:hAnsi="Arial"/>
          <w:sz w:val="16"/>
          <w:szCs w:val="16"/>
          <w:color w:val="auto"/>
        </w:rPr>
      </w:pPr>
    </w:p>
    <w:p>
      <w:pPr>
        <w:ind w:right="120" w:firstLine="221"/>
        <w:spacing w:after="0" w:line="302" w:lineRule="auto"/>
        <w:tabs>
          <w:tab w:leader="none" w:pos="47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Each of the Company and Holdings shall have furnished to the Representatives a certificate, signed by the principal legal officer and the vice president and treasurer of the Company in the case of the Company, and signed by the vice president and treasurer of Holdings in the case of Holdings, dated the Closing Date, to the effect that the signers of such certificate have carefully examined the Registration Statement, the Time of Sale Information and the Final Prospectus, any supplements to the Time of Sale Information and the Final Prospectus, and this Agreement and that:</w:t>
      </w:r>
    </w:p>
    <w:p>
      <w:pPr>
        <w:spacing w:after="0" w:line="46" w:lineRule="exact"/>
        <w:rPr>
          <w:rFonts w:ascii="Arial" w:cs="Arial" w:eastAsia="Arial" w:hAnsi="Arial"/>
          <w:sz w:val="16"/>
          <w:szCs w:val="16"/>
          <w:color w:val="auto"/>
        </w:rPr>
      </w:pPr>
    </w:p>
    <w:p>
      <w:pPr>
        <w:ind w:left="220" w:right="40" w:firstLine="229"/>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case of Holdings, the representations and warranties of Holdings in this Agreement are true and correct on and as of the Closing Date with the same effect as if made on the Closing Date;</w:t>
      </w:r>
    </w:p>
    <w:p>
      <w:pPr>
        <w:spacing w:after="0" w:line="62" w:lineRule="exact"/>
        <w:rPr>
          <w:rFonts w:ascii="Arial" w:cs="Arial" w:eastAsia="Arial" w:hAnsi="Arial"/>
          <w:sz w:val="18"/>
          <w:szCs w:val="18"/>
          <w:color w:val="auto"/>
        </w:rPr>
      </w:pPr>
    </w:p>
    <w:p>
      <w:pPr>
        <w:ind w:left="220" w:right="140" w:firstLine="229"/>
        <w:spacing w:after="0" w:line="277" w:lineRule="auto"/>
        <w:tabs>
          <w:tab w:leader="none" w:pos="71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 the case of the Company, the representations and warranties of the Company in this Agreement are true and correct on and as of the Closing Date with the same effect as if made on the Closing Date and the Company has</w:t>
      </w:r>
    </w:p>
    <w:p>
      <w:pPr>
        <w:spacing w:after="0" w:line="1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80" w:top="935" w:right="299" w:bottom="1440" w:gutter="0" w:footer="0" w:header="0"/>
        </w:sectPr>
      </w:pPr>
    </w:p>
    <w:bookmarkStart w:id="28" w:name="page29"/>
    <w:bookmarkEnd w:id="28"/>
    <w:p>
      <w:pPr>
        <w:ind w:left="220"/>
        <w:spacing w:after="0"/>
        <w:rPr>
          <w:sz w:val="20"/>
          <w:szCs w:val="20"/>
          <w:color w:val="auto"/>
        </w:rPr>
      </w:pPr>
      <w:r>
        <w:rPr>
          <w:rFonts w:ascii="Arial" w:cs="Arial" w:eastAsia="Arial" w:hAnsi="Arial"/>
          <w:sz w:val="18"/>
          <w:szCs w:val="18"/>
          <w:color w:val="auto"/>
        </w:rPr>
        <w:t>complied with all the agreements and satisfied all the conditions on its part to be performed or satisfied at or prior to the Closing Date;</w:t>
      </w:r>
    </w:p>
    <w:p>
      <w:pPr>
        <w:spacing w:after="0" w:line="117" w:lineRule="exact"/>
        <w:rPr>
          <w:sz w:val="20"/>
          <w:szCs w:val="20"/>
          <w:color w:val="auto"/>
        </w:rPr>
      </w:pPr>
    </w:p>
    <w:p>
      <w:pPr>
        <w:ind w:left="220" w:right="640" w:firstLine="229"/>
        <w:spacing w:after="0" w:line="277" w:lineRule="auto"/>
        <w:tabs>
          <w:tab w:leader="none" w:pos="760"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has been issued and no proceedings for that purpose have been instituted or, to the Company’s knowledge, threatened; and</w:t>
      </w:r>
    </w:p>
    <w:p>
      <w:pPr>
        <w:spacing w:after="0" w:line="62" w:lineRule="exact"/>
        <w:rPr>
          <w:rFonts w:ascii="Arial" w:cs="Arial" w:eastAsia="Arial" w:hAnsi="Arial"/>
          <w:sz w:val="18"/>
          <w:szCs w:val="18"/>
          <w:color w:val="auto"/>
        </w:rPr>
      </w:pPr>
    </w:p>
    <w:p>
      <w:pPr>
        <w:ind w:left="220" w:right="60" w:firstLine="229"/>
        <w:spacing w:after="0" w:line="257" w:lineRule="auto"/>
        <w:tabs>
          <w:tab w:leader="none" w:pos="750" w:val="left"/>
        </w:tabs>
        <w:numPr>
          <w:ilvl w:val="1"/>
          <w:numId w:val="32"/>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or incorporated by reference in the Time of Sale Information and the Final Prospectus (exclusive of any amendment or supplement thereto), there has been no material adverse effect on the condition (financial or otherwise), prospects,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w:t>
      </w:r>
    </w:p>
    <w:p>
      <w:pPr>
        <w:spacing w:after="0" w:line="80" w:lineRule="exact"/>
        <w:rPr>
          <w:rFonts w:ascii="Arial" w:cs="Arial" w:eastAsia="Arial" w:hAnsi="Arial"/>
          <w:sz w:val="18"/>
          <w:szCs w:val="18"/>
          <w:color w:val="auto"/>
        </w:rPr>
      </w:pPr>
    </w:p>
    <w:p>
      <w:pPr>
        <w:ind w:firstLine="221"/>
        <w:spacing w:after="0" w:line="257" w:lineRule="auto"/>
        <w:tabs>
          <w:tab w:leader="none" w:pos="45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 shall have requested and caused Ernst &amp; Young LLP to have furnished to the Representatives, at the Time of Sale and at the Closing Date, letters (which may refer to letters previously delivered to one or more of the Representatives), dated respectively as of the Time of Sale and as of the Closing Date, in form and substance satisfactory to the Representatives, confirming that they are independent accountants within the meaning of the Act and the Exchange Act and the respective applicable rules and regulations adopted by the Commission thereunder, and stating in effect, among other things, that:</w:t>
      </w:r>
    </w:p>
    <w:p>
      <w:pPr>
        <w:spacing w:after="0" w:line="80" w:lineRule="exact"/>
        <w:rPr>
          <w:rFonts w:ascii="Arial" w:cs="Arial" w:eastAsia="Arial" w:hAnsi="Arial"/>
          <w:sz w:val="18"/>
          <w:szCs w:val="18"/>
          <w:color w:val="auto"/>
        </w:rPr>
      </w:pPr>
    </w:p>
    <w:p>
      <w:pPr>
        <w:ind w:left="220" w:right="480" w:firstLine="229"/>
        <w:spacing w:after="0" w:line="312" w:lineRule="auto"/>
        <w:tabs>
          <w:tab w:leader="none" w:pos="660"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 their opinion the audited financial statements and financial statement schedules included or incorporated by reference in the Registration Statement, the Time of Sale Information and the Final Prospectus and reported on by them comply as to form in all material respects with the applicable accounting requirements of the Act and the Exchange Act and the related rules and regulations adopted by the Commission;</w:t>
      </w:r>
    </w:p>
    <w:p>
      <w:pPr>
        <w:spacing w:after="0" w:line="38" w:lineRule="exact"/>
        <w:rPr>
          <w:rFonts w:ascii="Arial" w:cs="Arial" w:eastAsia="Arial" w:hAnsi="Arial"/>
          <w:sz w:val="16"/>
          <w:szCs w:val="16"/>
          <w:color w:val="auto"/>
        </w:rPr>
      </w:pPr>
    </w:p>
    <w:p>
      <w:pPr>
        <w:ind w:left="220" w:right="520" w:firstLine="229"/>
        <w:spacing w:after="0" w:line="264" w:lineRule="auto"/>
        <w:tabs>
          <w:tab w:leader="none" w:pos="71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information included or incorporated by reference in the Registration Statement, the Time of Sale Information and Final Prospectus in response to Regulation S-K, Item 301 (Selected Financial Data) and Item 503(d) (Ratio of Earnings to Fixed Charges) is in conformity with the applicable disclosure requirements of Regulation S-K; and</w:t>
      </w:r>
    </w:p>
    <w:p>
      <w:pPr>
        <w:spacing w:after="0" w:line="73" w:lineRule="exact"/>
        <w:rPr>
          <w:rFonts w:ascii="Arial" w:cs="Arial" w:eastAsia="Arial" w:hAnsi="Arial"/>
          <w:sz w:val="18"/>
          <w:szCs w:val="18"/>
          <w:color w:val="auto"/>
        </w:rPr>
      </w:pPr>
    </w:p>
    <w:p>
      <w:pPr>
        <w:ind w:left="220" w:firstLine="229"/>
        <w:spacing w:after="0" w:line="276" w:lineRule="auto"/>
        <w:tabs>
          <w:tab w:leader="none" w:pos="760" w:val="left"/>
        </w:tabs>
        <w:numPr>
          <w:ilvl w:val="1"/>
          <w:numId w:val="33"/>
        </w:numPr>
        <w:rPr>
          <w:rFonts w:ascii="Arial" w:cs="Arial" w:eastAsia="Arial" w:hAnsi="Arial"/>
          <w:sz w:val="17"/>
          <w:szCs w:val="17"/>
          <w:color w:val="auto"/>
        </w:rPr>
      </w:pPr>
      <w:r>
        <w:rPr>
          <w:rFonts w:ascii="Arial" w:cs="Arial" w:eastAsia="Arial" w:hAnsi="Arial"/>
          <w:sz w:val="17"/>
          <w:szCs w:val="17"/>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and its consolidated subsidiaries) set forth in the Registration Statement, the Time of Sale Information and the Final Prospectus and in Exhibit 12 to the Registration Statement, the information included or incorporated by reference in the Company’s Annual Report on Form 10-K for the year ended December 31, 2008, incorporated by reference in the Registration Statement, the Time of Sale</w:t>
      </w:r>
    </w:p>
    <w:p>
      <w:pPr>
        <w:spacing w:after="0" w:line="146"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29" w:name="page30"/>
    <w:bookmarkEnd w:id="29"/>
    <w:p>
      <w:pPr>
        <w:ind w:left="460" w:right="80"/>
        <w:spacing w:after="0" w:line="342" w:lineRule="auto"/>
        <w:rPr>
          <w:sz w:val="20"/>
          <w:szCs w:val="20"/>
          <w:color w:val="auto"/>
        </w:rPr>
      </w:pPr>
      <w:r>
        <w:rPr>
          <w:rFonts w:ascii="Arial" w:cs="Arial" w:eastAsia="Arial" w:hAnsi="Arial"/>
          <w:sz w:val="16"/>
          <w:szCs w:val="16"/>
          <w:color w:val="auto"/>
        </w:rPr>
        <w:t>Information and the Final Prospectus, and the information included in the “Management’s Discussion and Analysis of Financial Condition and Results of Operations” agrees with the accounting records of the Company and its consolidated subsidiaries, excluding any questions of legal interpretation.</w:t>
      </w:r>
    </w:p>
    <w:p>
      <w:pPr>
        <w:spacing w:after="0" w:line="16" w:lineRule="exact"/>
        <w:rPr>
          <w:sz w:val="20"/>
          <w:szCs w:val="20"/>
          <w:color w:val="auto"/>
        </w:rPr>
      </w:pPr>
    </w:p>
    <w:p>
      <w:pPr>
        <w:ind w:left="240" w:right="80" w:firstLine="225"/>
        <w:spacing w:after="0" w:line="277" w:lineRule="auto"/>
        <w:rPr>
          <w:sz w:val="20"/>
          <w:szCs w:val="20"/>
          <w:color w:val="auto"/>
        </w:rPr>
      </w:pPr>
      <w:r>
        <w:rPr>
          <w:rFonts w:ascii="Arial" w:cs="Arial" w:eastAsia="Arial" w:hAnsi="Arial"/>
          <w:sz w:val="18"/>
          <w:szCs w:val="18"/>
          <w:color w:val="auto"/>
        </w:rPr>
        <w:t>References to the Final Prospectus in this paragraph (f) of this Section 7 include any supplement thereto at the date of the letter. The letter delivered on the Closing Date shall use a “cut-off” date no more than three business days prior to the Closing Date.</w:t>
      </w:r>
    </w:p>
    <w:p>
      <w:pPr>
        <w:spacing w:after="0" w:line="62" w:lineRule="exact"/>
        <w:rPr>
          <w:sz w:val="20"/>
          <w:szCs w:val="20"/>
          <w:color w:val="auto"/>
        </w:rPr>
      </w:pPr>
    </w:p>
    <w:p>
      <w:pPr>
        <w:ind w:left="240" w:right="20" w:firstLine="221"/>
        <w:spacing w:after="0" w:line="270" w:lineRule="auto"/>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Subsequent to the Time of Sale or, if earlier, the dates as of which information is given in the Registration Statement (exclusive of any amendment thereof) and the Time of Sale Information and the Final Prospectus (exclusive of any amendment or supplement thereto), there shall not have been (i) any change or decrease specified in the letter or letters referred to in paragraph (f) of this Section 7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or contemplated in the Time of Sale Information and the Final Prospectus (exclusive of any amendment or supplement thereto) the effect of which, in any case referred to in clause (i) or (ii) above, is, in the sole judgment of the Representatives, so material and adverse as to make it impractical or inadvisable to proceed with the offering or delivery of the Securities as contemplated by the Registration Statement (exclusive of any amendment thereof) and the Time of Sale Information and the Final Prospectus (exclusive of any amendment or supplement thereto).</w:t>
      </w:r>
    </w:p>
    <w:p>
      <w:pPr>
        <w:spacing w:after="0" w:line="73" w:lineRule="exact"/>
        <w:rPr>
          <w:rFonts w:ascii="Arial" w:cs="Arial" w:eastAsia="Arial" w:hAnsi="Arial"/>
          <w:sz w:val="17"/>
          <w:szCs w:val="17"/>
          <w:color w:val="auto"/>
        </w:rPr>
      </w:pPr>
    </w:p>
    <w:p>
      <w:pPr>
        <w:ind w:left="240" w:right="60" w:firstLine="221"/>
        <w:spacing w:after="0" w:line="286" w:lineRule="auto"/>
        <w:tabs>
          <w:tab w:leader="none" w:pos="7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Subsequent to the Time of Sale, there shall not have been any decrease in the rating of any of the Company’s debt securities by any “nationally recognized statistical rating organization” (as defined for purposes of Rule 436(g) under the Act) or any notice given of any intended or potential decrease in any such rating or of a possible change in any such rating that does not indicate the direction of the possible change.</w:t>
      </w:r>
    </w:p>
    <w:p>
      <w:pPr>
        <w:spacing w:after="0" w:line="57" w:lineRule="exact"/>
        <w:rPr>
          <w:rFonts w:ascii="Arial" w:cs="Arial" w:eastAsia="Arial" w:hAnsi="Arial"/>
          <w:sz w:val="17"/>
          <w:szCs w:val="17"/>
          <w:color w:val="auto"/>
        </w:rPr>
      </w:pPr>
    </w:p>
    <w:p>
      <w:pPr>
        <w:ind w:left="240" w:right="740" w:firstLine="221"/>
        <w:spacing w:after="0" w:line="277" w:lineRule="auto"/>
        <w:tabs>
          <w:tab w:leader="none" w:pos="6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Prior to the Closing Date, the Company and Holdings shall have furnished to the Representatives such further information, certificates and documents as the Representatives may reasonably request.</w:t>
      </w:r>
    </w:p>
    <w:p>
      <w:pPr>
        <w:spacing w:after="0" w:line="62"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If any of the conditions specified in this Section 7 shall not have been fulfilled in all material respects when and as provided in this Agreement, or if any of the opinions and certificates mentioned above or elsewhere in this Agreement shall not be in all material respects reasonably satisfactory in form and substance to the Representatives and counsel for the Underwriters, this Agreement and all obligations of the Underwriters hereunder may be canceled at, or at any time prior to, the Closing Date by the Representatives. Notice of such cancellation shall be given to the Company in writing or by telephone or facsimile confirmed in writing.</w:t>
      </w:r>
    </w:p>
    <w:p>
      <w:pPr>
        <w:spacing w:after="0" w:line="80" w:lineRule="exact"/>
        <w:rPr>
          <w:sz w:val="20"/>
          <w:szCs w:val="20"/>
          <w:color w:val="auto"/>
        </w:rPr>
      </w:pPr>
    </w:p>
    <w:p>
      <w:pPr>
        <w:ind w:right="400" w:firstLine="222"/>
        <w:spacing w:after="0" w:line="277" w:lineRule="auto"/>
        <w:rPr>
          <w:sz w:val="20"/>
          <w:szCs w:val="20"/>
          <w:color w:val="auto"/>
        </w:rPr>
      </w:pPr>
      <w:r>
        <w:rPr>
          <w:rFonts w:ascii="Arial" w:cs="Arial" w:eastAsia="Arial" w:hAnsi="Arial"/>
          <w:sz w:val="18"/>
          <w:szCs w:val="18"/>
          <w:color w:val="auto"/>
        </w:rPr>
        <w:t>The documents required to be delivered by this Section 7 shall be delivered at the office of Baker Botts L.L.P., counsel for the Company, at One Shell Plaza, 910 Louisiana Street, Houston, Texas 77002, on the Closing Date.</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0" w:name="page31"/>
    <w:bookmarkEnd w:id="30"/>
    <w:p>
      <w:pPr>
        <w:ind w:left="-20" w:right="20" w:firstLine="233"/>
        <w:spacing w:after="0" w:line="255" w:lineRule="auto"/>
        <w:tabs>
          <w:tab w:leader="none" w:pos="38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Reimbursement of Underwriters’ Expenses</w:t>
      </w:r>
      <w:r>
        <w:rPr>
          <w:rFonts w:ascii="Arial" w:cs="Arial" w:eastAsia="Arial" w:hAnsi="Arial"/>
          <w:sz w:val="18"/>
          <w:szCs w:val="18"/>
          <w:color w:val="auto"/>
        </w:rPr>
        <w:t>. If the sale of the Securities provided for herein is not consummated because any condition to the obligations of the Underwriters set forth in Section 7 hereof is not satisfied, because of any termination pursuant to Section 11 hereof (other than as a result of the occurrence of the circumstances in Sections 11(ii) and 11(iii)) or because of any refusal, inability or failure on the part of the Company to perform any agreement herein or comply with any provision hereof other than by reason of a default by any of the Underwriters, the Company will reimburse the Underwriters severally through Barclays Capital Inc., Credit Suisse Securities (USA) LLC, Deutsche Bank Securities Inc. and Greenwich Capital Markets, Inc. on demand for all out-of-pocket expenses (including reasonable fees and disbursements of counsel) that shall have been incurred by them in connection with the proposed purchase and sale of the Securities.</w:t>
      </w:r>
    </w:p>
    <w:p>
      <w:pPr>
        <w:spacing w:after="0" w:line="81" w:lineRule="exact"/>
        <w:rPr>
          <w:rFonts w:ascii="Arial" w:cs="Arial" w:eastAsia="Arial" w:hAnsi="Arial"/>
          <w:sz w:val="18"/>
          <w:szCs w:val="18"/>
          <w:color w:val="auto"/>
        </w:rPr>
      </w:pPr>
    </w:p>
    <w:p>
      <w:pPr>
        <w:ind w:left="-20" w:firstLine="233"/>
        <w:spacing w:after="0" w:line="286" w:lineRule="auto"/>
        <w:tabs>
          <w:tab w:leader="none" w:pos="385"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Indemnification and Contribution</w:t>
      </w:r>
      <w:r>
        <w:rPr>
          <w:rFonts w:ascii="Arial" w:cs="Arial" w:eastAsia="Arial" w:hAnsi="Arial"/>
          <w:sz w:val="16"/>
          <w:szCs w:val="16"/>
          <w:color w:val="auto"/>
        </w:rPr>
        <w:t xml:space="preserve">. (a) Each of the Company and Holdings, jointly and severally, agrees to indemnify and hold harmless each Underwriter, the directors, officers, employees and agents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(i) arise out of or are based upon any untrue statement or alleged untrue statement of a material fact contained in the Registration Statement or in any amendment thereof, or arise out of or are based upon the omission or alleged omission to state therein a material fact required to be stated therein or necessary to make the statements therein not misleading, or (ii) arise out of or are based upon any untrue statement or alleged untrue statement of a material fact contained in the Final Prospectus (or any amendment or supplement thereto), any Issuer Free Writing Prospectus or the Time of Sale Information, or arise out of or are based upon any omission or alleged omission to state therein a material fact necessary in order to make the statements therein, in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neither the Company nor Holdings will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This indemnity agreement will be in addition to any liability that the Company or Holdings may otherwise have.</w:t>
      </w:r>
    </w:p>
    <w:p>
      <w:pPr>
        <w:spacing w:after="0" w:line="60" w:lineRule="exact"/>
        <w:rPr>
          <w:rFonts w:ascii="Arial" w:cs="Arial" w:eastAsia="Arial" w:hAnsi="Arial"/>
          <w:sz w:val="16"/>
          <w:szCs w:val="16"/>
          <w:color w:val="auto"/>
        </w:rPr>
      </w:pPr>
    </w:p>
    <w:p>
      <w:pPr>
        <w:ind w:left="-20" w:right="200" w:firstLine="458"/>
        <w:spacing w:after="0" w:line="273" w:lineRule="auto"/>
        <w:tabs>
          <w:tab w:leader="none" w:pos="685" w:val="left"/>
        </w:tabs>
        <w:numPr>
          <w:ilvl w:val="1"/>
          <w:numId w:val="35"/>
        </w:numPr>
        <w:rPr>
          <w:rFonts w:ascii="Arial" w:cs="Arial" w:eastAsia="Arial" w:hAnsi="Arial"/>
          <w:sz w:val="17"/>
          <w:szCs w:val="17"/>
          <w:color w:val="auto"/>
        </w:rPr>
      </w:pPr>
      <w:r>
        <w:rPr>
          <w:rFonts w:ascii="Arial" w:cs="Arial" w:eastAsia="Arial" w:hAnsi="Arial"/>
          <w:sz w:val="17"/>
          <w:szCs w:val="17"/>
          <w:color w:val="auto"/>
        </w:rPr>
        <w:t>Each Underwriter, severally and not jointly, agrees to indemnify and hold harmless the Company and Holdings, each of their respective directors, each of their respective officers who signs the Registration Statement, and each person who controls either the Company or Holdings within the meaning of either the Act or the Exchange Act, to the same extent as the foregoing indemnity from the Company or Holdings to each Underwriter, but only with reference to written information relating to such Underwriter furnished to the Company by or on behalf of such Underwriter through the Representatives specifically for inclusion in the documents referred to in the foregoing indemnity. This indemnity agreement will be in addition to any liability which any Underwriter may otherwise have. Each of the Company and Holdings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935"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color w:val="auto"/>
        </w:rPr>
        <w:t>acknowledges that the statements set forth in the last paragraph of the cover page regarding delivery of the Securities and, under the heading “Underwriting”,</w:t>
      </w:r>
    </w:p>
    <w:p>
      <w:pPr>
        <w:spacing w:after="0" w:line="46" w:lineRule="exact"/>
        <w:rPr>
          <w:sz w:val="20"/>
          <w:szCs w:val="20"/>
          <w:color w:val="auto"/>
        </w:rPr>
      </w:pPr>
    </w:p>
    <w:p>
      <w:pPr>
        <w:ind w:right="140" w:firstLine="8"/>
        <w:spacing w:after="0" w:line="254" w:lineRule="auto"/>
        <w:tabs>
          <w:tab w:leader="none" w:pos="2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list of Underwriters and their respective participation in the sale of the Securities, (ii) the sentences related to concessions and reallowances, (iii) the paragraph related to stabilization, syndicate covering transactions and penalty bids and (iv) the paragraph relating to internet distribution of the Securities in the Time of Sale Information and the Final Prospectus constitute the only information furnished in writing by or on behalf of the several Underwriters for inclusion in the Time of Sale Information and the Final Prospectus.</w:t>
      </w:r>
    </w:p>
    <w:p>
      <w:pPr>
        <w:spacing w:after="0" w:line="81" w:lineRule="exact"/>
        <w:rPr>
          <w:rFonts w:ascii="Arial" w:cs="Arial" w:eastAsia="Arial" w:hAnsi="Arial"/>
          <w:sz w:val="18"/>
          <w:szCs w:val="18"/>
          <w:color w:val="auto"/>
        </w:rPr>
      </w:pPr>
    </w:p>
    <w:p>
      <w:pPr>
        <w:ind w:firstLine="458"/>
        <w:spacing w:after="0" w:line="285" w:lineRule="auto"/>
        <w:tabs>
          <w:tab w:leader="none" w:pos="695" w:val="left"/>
        </w:tabs>
        <w:numPr>
          <w:ilvl w:val="1"/>
          <w:numId w:val="36"/>
        </w:numPr>
        <w:rPr>
          <w:rFonts w:ascii="Arial" w:cs="Arial" w:eastAsia="Arial" w:hAnsi="Arial"/>
          <w:sz w:val="16"/>
          <w:szCs w:val="16"/>
          <w:color w:val="auto"/>
        </w:rPr>
      </w:pPr>
      <w:r>
        <w:rPr>
          <w:rFonts w:ascii="Arial" w:cs="Arial" w:eastAsia="Arial" w:hAnsi="Arial"/>
          <w:sz w:val="16"/>
          <w:szCs w:val="16"/>
          <w:color w:val="auto"/>
        </w:rPr>
        <w:t>Promptly after receipt by an indemnified party under this Section 9 of notice of the commencement of any action, such indemnified party will, if a claim in respect thereof is to be made against the indemnifying party under this Section 9,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w:t>
      </w:r>
    </w:p>
    <w:p>
      <w:pPr>
        <w:spacing w:after="0" w:line="2" w:lineRule="exact"/>
        <w:rPr>
          <w:rFonts w:ascii="Arial" w:cs="Arial" w:eastAsia="Arial" w:hAnsi="Arial"/>
          <w:sz w:val="16"/>
          <w:szCs w:val="16"/>
          <w:color w:val="auto"/>
        </w:rPr>
      </w:pPr>
    </w:p>
    <w:p>
      <w:pPr>
        <w:ind w:firstLine="8"/>
        <w:spacing w:after="0" w:line="284" w:lineRule="auto"/>
        <w:tabs>
          <w:tab w:leader="none" w:pos="2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 xml:space="preserve">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counsel shall be reasonably satisfactory to the indemnified party and shall not, without the consent of the indemnified party, be counsel to the indemnifying party. Notwithstanding the indemnifying party’s election to appoint counsel to represent the indemnified party in an action, the indemnified party shall have the right to employ a separate counsel (including a local counsel), and the indemnifying party shall bear the reasonable fees, costs and expenses of such separate counsel if (i) the indemnifying party shall not have employed counsel reasonably satisfactory to the indemnified party to represent the indemnified party within a reasonable time after notice of the institution of such action or (ii)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 statement as to or an admission of fault, culpability or a failure to act by or on behalf of an indemnified party. An indemnifying party shall not be liable under this Section 9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2" w:name="page33"/>
    <w:bookmarkEnd w:id="32"/>
    <w:p>
      <w:pPr>
        <w:ind w:left="-20" w:firstLine="458"/>
        <w:spacing w:after="0" w:line="284" w:lineRule="auto"/>
        <w:tabs>
          <w:tab w:leader="none" w:pos="685" w:val="left"/>
        </w:tabs>
        <w:numPr>
          <w:ilvl w:val="1"/>
          <w:numId w:val="38"/>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or (b) of this Section 9 is unavailable to or insufficient to hold harmless an indemnified party for any reason, the Company, Holdings and the Underwriters severally agree to contribute to the aggregate losses, claims, damages and liabilities (including legal or other expenses reasonably incurred in connection with investigating or defending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the Company, Holdings and one or more of the Underwriters may be subject in such proportion as is appropriate to reflect the relative benefits received by the Company and Holdings on the one hand and by the Underwriters on the other from the offering of the Securities;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case shall any Underwriter (except as may be provided in any agreement among underwriters relating to the offering of the Securities) be responsible for any amount in excess of the underwriting discount or commission applicable to the Securities purchased by such Underwriter hereunder. If the allocation provided by the immediately preceding sentence is unavailable for any reason, the Company, Holdings and the Underwriters severally shall contribute in such proportion as is appropriate to reflect not only such relative benefits but also the relative fault of the Company and Holdings on the one hand and of the Underwriters on the other in connection with the statements or omissions which resulted in such Losses as well as any other relevant equitable considerations. Benefits received by the Company and Holdings shall be deemed to be equal to the total net proceeds from the offering (before deducting expenses) received by the Company, and benefits received by the Underwriters shall be deemed to be equal to the total underwriting discounts and commissions, in each case as set forth on the cover page of the Final Prospectus. Relative fault shall be determined by reference to, among other things, whether any untrue or any alleged untrue statement of a material fact or the omission or alleged omission to state a material fact relates to information provided by the Company and Holdings on the one hand or the Underwriters on the other, the intent of the parties and their relative knowledge, access to information and opportunity to correct or prevent such untrue statement or omission. The Company, Holdings and the Underwriters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The Underwriters’ obligations in this paragraph (d) to contribute are several in proportion to their respective underwriting obligations and not joint. For purposes of this Section 9, each person who controls an Underwriter within the meaning of either the Act or the Exchange Act and each director, officer, employee and agent of an Underwriter shall have the same rights to contribution as such Underwriter, and each person who controls the Company or Holdings within the meaning of either the Act or the Exchange Act, each officer of the Company or Holdings who shall have signed the Registration Statement and each director of the Company or Holdings shall have the same rights to contribution as the Company or Holdings, subject in each case to the applicable terms and conditions of this paragraph (d).</w:t>
      </w:r>
    </w:p>
    <w:p>
      <w:pPr>
        <w:spacing w:after="0" w:line="68" w:lineRule="exact"/>
        <w:rPr>
          <w:rFonts w:ascii="Arial" w:cs="Arial" w:eastAsia="Arial" w:hAnsi="Arial"/>
          <w:sz w:val="16"/>
          <w:szCs w:val="16"/>
          <w:color w:val="auto"/>
        </w:rPr>
      </w:pPr>
    </w:p>
    <w:p>
      <w:pPr>
        <w:ind w:left="-20" w:right="40" w:firstLine="233"/>
        <w:spacing w:after="0" w:line="279" w:lineRule="auto"/>
        <w:tabs>
          <w:tab w:leader="none" w:pos="475"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which the principal amount of Notes set forth opposite their names in Schedule II hereto bears to the aggregate principal amount of Notes set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33" w:name="page34"/>
    <w:bookmarkEnd w:id="33"/>
    <w:p>
      <w:pPr>
        <w:spacing w:after="0" w:line="270" w:lineRule="auto"/>
        <w:rPr>
          <w:sz w:val="20"/>
          <w:szCs w:val="20"/>
          <w:color w:val="auto"/>
        </w:rPr>
      </w:pPr>
      <w:r>
        <w:rPr>
          <w:rFonts w:ascii="Arial" w:cs="Arial" w:eastAsia="Arial" w:hAnsi="Arial"/>
          <w:sz w:val="17"/>
          <w:szCs w:val="17"/>
          <w:color w:val="auto"/>
        </w:rPr>
        <w:t xml:space="preserve">forth opposite the names of all the remaining Underwriters) the Securities which the defaulting Underwriter or Underwriters agreed but failed to purchase; </w:t>
      </w:r>
      <w:r>
        <w:rPr>
          <w:rFonts w:ascii="Arial" w:cs="Arial" w:eastAsia="Arial" w:hAnsi="Arial"/>
          <w:sz w:val="17"/>
          <w:szCs w:val="17"/>
          <w:i w:val="1"/>
          <w:iCs w:val="1"/>
          <w:color w:val="auto"/>
        </w:rPr>
        <w:t xml:space="preserve">provided, however, </w:t>
      </w:r>
      <w:r>
        <w:rPr>
          <w:rFonts w:ascii="Arial" w:cs="Arial" w:eastAsia="Arial" w:hAnsi="Arial"/>
          <w:sz w:val="17"/>
          <w:szCs w:val="17"/>
          <w:color w:val="auto"/>
        </w:rPr>
        <w:t>that in the event that the aggregate principal amount of Notes which the defaulting Underwriter or Underwriters agreed but failed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shall exceed 10% of the aggregate principal amount of Notes set forth in Schedule II hereto, the remaining Underwriters shall have the right to purchase all, but shall not be under any obligation to purchase any, of the Securities, and if such nondefaulting Underwriters do not purchase all the Securities, this Agreement will terminate without liability to any nondefaulting Underwriter, the Company or Holdings. In the event of a default by any Underwriter as set forth in this Section 10, the Closing Date shall be postponed for such period, not exceeding five Business Days, as the Representatives shall determine in order that the required changes in the Registration Statement, the Time of Sale Information and the Final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74" w:lineRule="exact"/>
        <w:rPr>
          <w:sz w:val="20"/>
          <w:szCs w:val="20"/>
          <w:color w:val="auto"/>
        </w:rPr>
      </w:pPr>
    </w:p>
    <w:p>
      <w:pPr>
        <w:ind w:right="100" w:firstLine="233"/>
        <w:spacing w:after="0" w:line="270" w:lineRule="auto"/>
        <w:tabs>
          <w:tab w:leader="none" w:pos="488"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be subject to termination in the absolute discretion of the Representatives, by notice given to the Company prior to delivery of and payment for the Securities, if at any time prior to such time (i) trading in the Company’s Common Stock shall have been suspended by the Commission, (ii) trading in securities generally on the New York Stock Exchange shall have been suspended or limited or minimum prices shall have been established on such Exchange, (iii) a banking moratorium shall have been declared either by Federal, New York State or State of Texas authorities or a material disruption in commercial banking or securities settlement or clearance services in the United States or (iv) there shall have occurred any material change in the financial markets or any outbreak or escalation of hostilities, insurrection or armed conflict, declaration by the United States of a national emergency or war, or other calamity or crisis the effect of which on financial markets is such as to make it, in the sole judgment of the Representatives, impractical or inadvisable to proceed with the offering or delivery of the Securities as contemplated by this Agreement, the Time of Sale Information and the Final Prospectus (exclusive of any amendment or supplement thereto).</w:t>
      </w:r>
    </w:p>
    <w:p>
      <w:pPr>
        <w:spacing w:after="0" w:line="73" w:lineRule="exact"/>
        <w:rPr>
          <w:rFonts w:ascii="Arial" w:cs="Arial" w:eastAsia="Arial" w:hAnsi="Arial"/>
          <w:sz w:val="17"/>
          <w:szCs w:val="17"/>
          <w:color w:val="auto"/>
        </w:rPr>
      </w:pPr>
    </w:p>
    <w:p>
      <w:pPr>
        <w:ind w:right="20" w:firstLine="233"/>
        <w:spacing w:after="0" w:line="257" w:lineRule="auto"/>
        <w:tabs>
          <w:tab w:leader="none" w:pos="49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and Holdings or their respective officers and of the Underwriters set forth in or made pursuant to this Agreement will remain in full force and effect, regardless of any investigation made by or on behalf of any Underwriter, the Company or Holdings or any of the officers, directors, employees, agents or controlling persons referred to in Section 9 hereof, and will survive delivery of and payment for the Securities. The provisions of Sections 8 and 9 hereof shall survive the termination or cancellation of this Agreement.</w:t>
      </w:r>
    </w:p>
    <w:p>
      <w:pPr>
        <w:spacing w:after="0" w:line="80" w:lineRule="exact"/>
        <w:rPr>
          <w:rFonts w:ascii="Arial" w:cs="Arial" w:eastAsia="Arial" w:hAnsi="Arial"/>
          <w:sz w:val="18"/>
          <w:szCs w:val="18"/>
          <w:color w:val="auto"/>
        </w:rPr>
      </w:pPr>
    </w:p>
    <w:p>
      <w:pPr>
        <w:ind w:right="60" w:firstLine="233"/>
        <w:spacing w:after="0" w:line="257" w:lineRule="auto"/>
        <w:tabs>
          <w:tab w:leader="none" w:pos="495"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Representatives, will be mailed, delivered or telefaxed to: (1) Barclays Capital Inc., 200 Park Avenue, New York, NY 10166, Attn: Fixed Income Syndicate (fax: 212-412-7305); (2) Credit Suisse Securities (USA) LLC, 11 Madison Avenue, New York, NY 10010 (fax: 212-743-5041); (3) Deutsche Bank Securities Inc., 60 Wall Street, New York, NY 10005, Attention: Debt Capital Markets — Syndicate Desk (fax: 212-797-2202) with a copy to the same address, Attention: General Counsel (fax: 212-797-4561); and (4) Greenwich Capital Markets,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Inc., 600 Steamboat Road, Greenwich, CT 06830, Attn: Debt Capital Markets Syndicate (fax no.: 203-422-4534); or, if sent to the Company or Holdings, will</w:t>
      </w:r>
    </w:p>
    <w:p>
      <w:pPr>
        <w:spacing w:after="0" w:line="4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be mailed, delivered or telefaxed to the Waste Management, Inc. General Counsel (fax no.: 713-209-9710) and confirmed to it at 1001 Fannin, Suite 4000, Houston, Texas 77002, attention of the Legal Department.</w:t>
      </w:r>
    </w:p>
    <w:p>
      <w:pPr>
        <w:spacing w:after="0" w:line="76" w:lineRule="exact"/>
        <w:rPr>
          <w:sz w:val="20"/>
          <w:szCs w:val="20"/>
          <w:color w:val="auto"/>
        </w:rPr>
      </w:pPr>
    </w:p>
    <w:p>
      <w:pPr>
        <w:ind w:right="660" w:firstLine="233"/>
        <w:spacing w:after="0" w:line="342" w:lineRule="auto"/>
        <w:tabs>
          <w:tab w:leader="none" w:pos="495"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will inure to the benefit of and be binding upon the parties hereto and their respective successors and the officers, directors, employees, agents and controlling persons referred to in Section 9 hereof, and no other person will have any right or obligation hereunder.</w:t>
      </w:r>
    </w:p>
    <w:p>
      <w:pPr>
        <w:spacing w:after="0" w:line="15" w:lineRule="exact"/>
        <w:rPr>
          <w:rFonts w:ascii="Arial" w:cs="Arial" w:eastAsia="Arial" w:hAnsi="Arial"/>
          <w:sz w:val="16"/>
          <w:szCs w:val="16"/>
          <w:color w:val="auto"/>
        </w:rPr>
      </w:pPr>
    </w:p>
    <w:p>
      <w:pPr>
        <w:ind w:right="400" w:firstLine="233"/>
        <w:spacing w:after="0" w:line="277" w:lineRule="auto"/>
        <w:tabs>
          <w:tab w:leader="none" w:pos="49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62" w:lineRule="exact"/>
        <w:rPr>
          <w:rFonts w:ascii="Arial" w:cs="Arial" w:eastAsia="Arial" w:hAnsi="Arial"/>
          <w:sz w:val="18"/>
          <w:szCs w:val="18"/>
          <w:color w:val="auto"/>
        </w:rPr>
      </w:pPr>
    </w:p>
    <w:p>
      <w:pPr>
        <w:ind w:right="320" w:firstLine="233"/>
        <w:spacing w:after="0" w:line="277" w:lineRule="auto"/>
        <w:tabs>
          <w:tab w:leader="none" w:pos="49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62" w:lineRule="exact"/>
        <w:rPr>
          <w:rFonts w:ascii="Arial" w:cs="Arial" w:eastAsia="Arial" w:hAnsi="Arial"/>
          <w:sz w:val="18"/>
          <w:szCs w:val="18"/>
          <w:color w:val="auto"/>
        </w:rPr>
      </w:pPr>
    </w:p>
    <w:p>
      <w:pPr>
        <w:ind w:left="500" w:hanging="267"/>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117" w:lineRule="exact"/>
        <w:rPr>
          <w:rFonts w:ascii="Arial" w:cs="Arial" w:eastAsia="Arial" w:hAnsi="Arial"/>
          <w:sz w:val="18"/>
          <w:szCs w:val="18"/>
          <w:color w:val="auto"/>
        </w:rPr>
      </w:pPr>
    </w:p>
    <w:p>
      <w:pPr>
        <w:ind w:left="500" w:hanging="267"/>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 shall mean the Securities Act of 1933, as amended, and the rules and regulations of the Commission promulgated thereunder.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“Basic Prospectus” shall mean the prospectus referred to in paragraph 1(a) above contained in the Registration Statement at the Effective Date.</w:t>
      </w:r>
    </w:p>
    <w:p>
      <w:pPr>
        <w:spacing w:after="0" w:line="129" w:lineRule="exact"/>
        <w:rPr>
          <w:sz w:val="20"/>
          <w:szCs w:val="20"/>
          <w:color w:val="auto"/>
        </w:rPr>
      </w:pPr>
    </w:p>
    <w:p>
      <w:pPr>
        <w:ind w:left="240" w:right="300" w:firstLine="225"/>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banking institutions or trust companies are authorized or obligated by law to close in New York City or Houston, Texas.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117" w:lineRule="exact"/>
        <w:rPr>
          <w:sz w:val="20"/>
          <w:szCs w:val="20"/>
          <w:color w:val="auto"/>
        </w:rPr>
      </w:pPr>
    </w:p>
    <w:p>
      <w:pPr>
        <w:ind w:left="240" w:right="300" w:firstLine="225"/>
        <w:spacing w:after="0" w:line="342" w:lineRule="auto"/>
        <w:rPr>
          <w:sz w:val="20"/>
          <w:szCs w:val="20"/>
          <w:color w:val="auto"/>
        </w:rPr>
      </w:pPr>
      <w:r>
        <w:rPr>
          <w:rFonts w:ascii="Arial" w:cs="Arial" w:eastAsia="Arial" w:hAnsi="Arial"/>
          <w:sz w:val="16"/>
          <w:szCs w:val="16"/>
          <w:color w:val="auto"/>
        </w:rPr>
        <w:t>“Effective Date” shall mean each date and time that the Registration Statement, any post-effective amendment or amendments thereto and any Rule 462(b) Registration Statement became or become effective or are deemed to become effective under Rule 430A, Rule 430B and Rule 430C.</w:t>
      </w:r>
    </w:p>
    <w:p>
      <w:pPr>
        <w:spacing w:after="0" w:line="16" w:lineRule="exact"/>
        <w:rPr>
          <w:sz w:val="20"/>
          <w:szCs w:val="20"/>
          <w:color w:val="auto"/>
        </w:rPr>
      </w:pPr>
    </w:p>
    <w:p>
      <w:pPr>
        <w:ind w:left="240" w:right="800" w:firstLine="225"/>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62" w:lineRule="exact"/>
        <w:rPr>
          <w:sz w:val="20"/>
          <w:szCs w:val="20"/>
          <w:color w:val="auto"/>
        </w:rPr>
      </w:pPr>
    </w:p>
    <w:p>
      <w:pPr>
        <w:ind w:left="240" w:right="240" w:firstLine="225"/>
        <w:spacing w:after="0" w:line="277" w:lineRule="auto"/>
        <w:rPr>
          <w:sz w:val="20"/>
          <w:szCs w:val="20"/>
          <w:color w:val="auto"/>
        </w:rPr>
      </w:pPr>
      <w:r>
        <w:rPr>
          <w:rFonts w:ascii="Arial" w:cs="Arial" w:eastAsia="Arial" w:hAnsi="Arial"/>
          <w:sz w:val="18"/>
          <w:szCs w:val="18"/>
          <w:color w:val="auto"/>
        </w:rPr>
        <w:t>“Final Prospectus” shall mean the prospectus supplement relating to the Securities that was first filed pursuant to Rule 424(b) after the Time of Sale, together with the Basic Prospectus.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35" w:name="page36"/>
    <w:bookmarkEnd w:id="35"/>
    <w:p>
      <w:pPr>
        <w:ind w:left="440"/>
        <w:spacing w:after="0"/>
        <w:rPr>
          <w:sz w:val="20"/>
          <w:szCs w:val="20"/>
          <w:color w:val="auto"/>
        </w:rPr>
      </w:pPr>
      <w:r>
        <w:rPr>
          <w:rFonts w:ascii="Arial" w:cs="Arial" w:eastAsia="Arial" w:hAnsi="Arial"/>
          <w:sz w:val="18"/>
          <w:szCs w:val="18"/>
          <w:color w:val="auto"/>
        </w:rPr>
        <w:t>“1940 Act” shall mean the Investment Company Act of 1940, as amended.</w:t>
      </w:r>
    </w:p>
    <w:p>
      <w:pPr>
        <w:spacing w:after="0" w:line="117" w:lineRule="exact"/>
        <w:rPr>
          <w:sz w:val="20"/>
          <w:szCs w:val="20"/>
          <w:color w:val="auto"/>
        </w:rPr>
      </w:pPr>
    </w:p>
    <w:p>
      <w:pPr>
        <w:ind w:left="220" w:right="200" w:firstLine="225"/>
        <w:spacing w:after="0" w:line="277" w:lineRule="auto"/>
        <w:rPr>
          <w:sz w:val="20"/>
          <w:szCs w:val="20"/>
          <w:color w:val="auto"/>
        </w:rPr>
      </w:pPr>
      <w:r>
        <w:rPr>
          <w:rFonts w:ascii="Arial" w:cs="Arial" w:eastAsia="Arial" w:hAnsi="Arial"/>
          <w:sz w:val="18"/>
          <w:szCs w:val="18"/>
          <w:color w:val="auto"/>
        </w:rPr>
        <w:t>“Preliminary Prospectus” shall mean the preliminary prospectus supplement relating to the Securities dated February 23, 2009 that was filed with the Commission pursuant to Rule 424(b) prior to the Time of Sale, together with the Basic Prospectus.</w:t>
      </w:r>
    </w:p>
    <w:p>
      <w:pPr>
        <w:spacing w:after="0" w:line="62" w:lineRule="exact"/>
        <w:rPr>
          <w:sz w:val="20"/>
          <w:szCs w:val="20"/>
          <w:color w:val="auto"/>
        </w:rPr>
      </w:pPr>
    </w:p>
    <w:p>
      <w:pPr>
        <w:jc w:val="both"/>
        <w:ind w:left="220" w:right="160" w:firstLine="225"/>
        <w:spacing w:after="0" w:line="264" w:lineRule="auto"/>
        <w:rPr>
          <w:sz w:val="20"/>
          <w:szCs w:val="20"/>
          <w:color w:val="auto"/>
        </w:rPr>
      </w:pPr>
      <w:r>
        <w:rPr>
          <w:rFonts w:ascii="Arial" w:cs="Arial" w:eastAsia="Arial" w:hAnsi="Arial"/>
          <w:sz w:val="18"/>
          <w:szCs w:val="18"/>
          <w:color w:val="auto"/>
        </w:rPr>
        <w:t>“Prospectus Delivery Period” shall mean such period of time after the first date of the public offering of the Securities as in the opinion of counsel for the Underwriters a prospectus relating to the Securities is required by law to be delivered (or required to be delivered but for Rule 172 under the Act) in connection with sales of the Securities by any Underwriter or dealer.</w:t>
      </w:r>
    </w:p>
    <w:p>
      <w:pPr>
        <w:spacing w:after="0" w:line="73" w:lineRule="exact"/>
        <w:rPr>
          <w:sz w:val="20"/>
          <w:szCs w:val="20"/>
          <w:color w:val="auto"/>
        </w:rPr>
      </w:pPr>
    </w:p>
    <w:p>
      <w:pPr>
        <w:ind w:left="220" w:right="140" w:firstLine="225"/>
        <w:spacing w:after="0" w:line="276" w:lineRule="auto"/>
        <w:rPr>
          <w:sz w:val="20"/>
          <w:szCs w:val="20"/>
          <w:color w:val="auto"/>
        </w:rPr>
      </w:pPr>
      <w:r>
        <w:rPr>
          <w:rFonts w:ascii="Arial" w:cs="Arial" w:eastAsia="Arial" w:hAnsi="Arial"/>
          <w:sz w:val="17"/>
          <w:szCs w:val="17"/>
          <w:color w:val="auto"/>
        </w:rPr>
        <w:t>“Registration Statement” shall mean the registration statement referred to in paragraph 1(a) above, including exhibits and financial statements, as amended at the Time of Sale (or, if not effective at the Time of Sale, in the form in which it shall become effective) and, in the event any post-effective amendment thereto or any Rule 462(b) Registration Statement becomes effective prior to the Closing Date, shall also mean such registration statement as so amended or such Rule 462(b) Registration Statement, as the case may be. Such term shall include any Rule 430 Information deemed to be included therein at the Effective Date as provided by Rule 430A, Rule 430B or Rule 430C.</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“Rule 415,” “Rule 424,” “Rule 430A,” “Rule 430B,” “Rule 430C” and “Rule 462” refer to such rules under the Act.</w:t>
      </w:r>
    </w:p>
    <w:p>
      <w:pPr>
        <w:spacing w:after="0" w:line="117" w:lineRule="exact"/>
        <w:rPr>
          <w:sz w:val="20"/>
          <w:szCs w:val="20"/>
          <w:color w:val="auto"/>
        </w:rPr>
      </w:pPr>
    </w:p>
    <w:p>
      <w:pPr>
        <w:ind w:left="220" w:firstLine="225"/>
        <w:spacing w:after="0" w:line="264" w:lineRule="auto"/>
        <w:rPr>
          <w:sz w:val="20"/>
          <w:szCs w:val="20"/>
          <w:color w:val="auto"/>
        </w:rPr>
      </w:pPr>
      <w:r>
        <w:rPr>
          <w:rFonts w:ascii="Arial" w:cs="Arial" w:eastAsia="Arial" w:hAnsi="Arial"/>
          <w:sz w:val="18"/>
          <w:szCs w:val="18"/>
          <w:color w:val="auto"/>
        </w:rPr>
        <w:t>“Rule 430 Information” shall mean information with respect to the Securities and the offering thereof permitted to be omitted from the Registration Statement when it becomes effective pursuant to Rule 430A, Rule 430B or Rule 430C that is deemed to be part of the Registration Statement at the time of its effectiveness.</w:t>
      </w:r>
    </w:p>
    <w:p>
      <w:pPr>
        <w:spacing w:after="0" w:line="73" w:lineRule="exact"/>
        <w:rPr>
          <w:sz w:val="20"/>
          <w:szCs w:val="20"/>
          <w:color w:val="auto"/>
        </w:rPr>
      </w:pPr>
    </w:p>
    <w:p>
      <w:pPr>
        <w:ind w:left="220" w:right="400" w:firstLine="225"/>
        <w:spacing w:after="0" w:line="277" w:lineRule="auto"/>
        <w:rPr>
          <w:sz w:val="20"/>
          <w:szCs w:val="20"/>
          <w:color w:val="auto"/>
        </w:rPr>
      </w:pPr>
      <w:r>
        <w:rPr>
          <w:rFonts w:ascii="Arial" w:cs="Arial" w:eastAsia="Arial" w:hAnsi="Arial"/>
          <w:sz w:val="18"/>
          <w:szCs w:val="18"/>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“Time of Sale” shall mean 3:05 PM New York time on February 23, 2009, the time when sales of the Securities were first made.</w:t>
      </w:r>
    </w:p>
    <w:p>
      <w:pPr>
        <w:spacing w:after="0" w:line="117" w:lineRule="exact"/>
        <w:rPr>
          <w:sz w:val="20"/>
          <w:szCs w:val="20"/>
          <w:color w:val="auto"/>
        </w:rPr>
      </w:pPr>
    </w:p>
    <w:p>
      <w:pPr>
        <w:ind w:left="220" w:right="800" w:firstLine="225"/>
        <w:spacing w:after="0" w:line="277" w:lineRule="auto"/>
        <w:rPr>
          <w:sz w:val="20"/>
          <w:szCs w:val="20"/>
          <w:color w:val="auto"/>
        </w:rPr>
      </w:pPr>
      <w:r>
        <w:rPr>
          <w:rFonts w:ascii="Arial" w:cs="Arial" w:eastAsia="Arial" w:hAnsi="Arial"/>
          <w:sz w:val="18"/>
          <w:szCs w:val="18"/>
          <w:color w:val="auto"/>
        </w:rPr>
        <w:t>“Trust Indenture Act” shall mean the Trust Indenture Act of 1939, as amended and the rules and regulations of the Commission promulgated thereunder.</w:t>
      </w:r>
    </w:p>
    <w:p>
      <w:pPr>
        <w:spacing w:after="0" w:line="62" w:lineRule="exact"/>
        <w:rPr>
          <w:sz w:val="20"/>
          <w:szCs w:val="20"/>
          <w:color w:val="auto"/>
        </w:rPr>
      </w:pPr>
    </w:p>
    <w:p>
      <w:pPr>
        <w:ind w:left="-20" w:right="460" w:firstLine="233"/>
        <w:spacing w:after="0" w:line="312" w:lineRule="auto"/>
        <w:tabs>
          <w:tab w:leader="none" w:pos="475"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Consent to Representation</w:t>
      </w:r>
      <w:r>
        <w:rPr>
          <w:rFonts w:ascii="Arial" w:cs="Arial" w:eastAsia="Arial" w:hAnsi="Arial"/>
          <w:sz w:val="16"/>
          <w:szCs w:val="16"/>
          <w:color w:val="auto"/>
        </w:rPr>
        <w:t>. The Company and the Underwriters acknowledge that Vinson &amp; Elkins L.L.P., which is acting as counsel to the Underwriters in connection with the offer and sale of the Securities, also acts as counsel from time to time to the Company and certain of its affiliates in connection with unrelated matters. The Company and the Underwriters consent to Vinson &amp; Elkins L.L.P. so acting as counsel to the Underwriters.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935" w:right="259" w:bottom="1440" w:gutter="0" w:footer="0" w:header="0"/>
        </w:sectPr>
      </w:pPr>
    </w:p>
    <w:bookmarkStart w:id="36" w:name="page37"/>
    <w:bookmarkEnd w:id="36"/>
    <w:p>
      <w:pPr>
        <w:ind w:firstLine="225"/>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letter and your acceptance shall represent a binding agreement among the Company, Holdings and the several Underwriters.</w:t>
      </w:r>
    </w:p>
    <w:p>
      <w:pPr>
        <w:spacing w:after="0" w:line="14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Cherie C. Rice</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-130810</wp:posOffset>
            </wp:positionV>
            <wp:extent cx="27787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8"/>
          <w:szCs w:val="18"/>
          <w:color w:val="auto"/>
        </w:rPr>
        <w:t>Title:</w:t>
        <w:tab/>
        <w:t>Vice President-Finance &amp; Treasurer</w:t>
      </w:r>
    </w:p>
    <w:p>
      <w:pPr>
        <w:spacing w:after="0" w:line="211"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Amanda K. Maki</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 Amanda K. Maki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3452495</wp:posOffset>
            </wp:positionH>
            <wp:positionV relativeFrom="paragraph">
              <wp:posOffset>-130810</wp:posOffset>
            </wp:positionV>
            <wp:extent cx="277876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3" w:lineRule="exact"/>
        <w:rPr>
          <w:sz w:val="20"/>
          <w:szCs w:val="20"/>
          <w:color w:val="auto"/>
        </w:rPr>
      </w:pPr>
    </w:p>
    <w:p>
      <w:pPr>
        <w:ind w:left="5440"/>
        <w:spacing w:after="0"/>
        <w:tabs>
          <w:tab w:leader="none" w:pos="6000" w:val="left"/>
        </w:tabs>
        <w:rPr>
          <w:sz w:val="20"/>
          <w:szCs w:val="20"/>
          <w:color w:val="auto"/>
        </w:rPr>
      </w:pPr>
      <w:r>
        <w:rPr>
          <w:rFonts w:ascii="Arial" w:cs="Arial" w:eastAsia="Arial" w:hAnsi="Arial"/>
          <w:sz w:val="18"/>
          <w:szCs w:val="18"/>
          <w:color w:val="auto"/>
        </w:rPr>
        <w:t>Title:</w:t>
        <w:tab/>
        <w:t>Assistant Secretary</w:t>
      </w:r>
    </w:p>
    <w:p>
      <w:pPr>
        <w:spacing w:after="0" w:line="200" w:lineRule="exact"/>
        <w:rPr>
          <w:sz w:val="20"/>
          <w:szCs w:val="20"/>
          <w:color w:val="auto"/>
        </w:rPr>
      </w:pPr>
    </w:p>
    <w:p>
      <w:pPr>
        <w:spacing w:after="0" w:line="335" w:lineRule="exact"/>
        <w:rPr>
          <w:sz w:val="20"/>
          <w:szCs w:val="20"/>
          <w:color w:val="auto"/>
        </w:rPr>
      </w:pPr>
    </w:p>
    <w:p>
      <w:pPr>
        <w:jc w:val="center"/>
        <w:ind w:right="-379"/>
        <w:spacing w:after="0"/>
        <w:rPr>
          <w:sz w:val="20"/>
          <w:szCs w:val="20"/>
          <w:color w:val="auto"/>
        </w:rPr>
      </w:pPr>
      <w:r>
        <w:rPr>
          <w:rFonts w:ascii="Arial" w:cs="Arial" w:eastAsia="Arial" w:hAnsi="Arial"/>
          <w:sz w:val="18"/>
          <w:szCs w:val="18"/>
          <w:i w:val="1"/>
          <w:iCs w:val="1"/>
          <w:color w:val="auto"/>
        </w:rPr>
        <w:t>Signature Page to Underwriting Agreement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935" w:right="6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The foregoing Agreement is hereby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confirmed and accepted as of the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set forth above.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GREENWICH CAPITAL MARKETS, INC.</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BARCLAYS CAPITAL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Pamela Kendall</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Pamela Kendall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7527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CREDIT SUISSE SECURITIES (USA)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Signature Illegible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Signature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7527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color w:val="auto"/>
        </w:rPr>
        <w:t>Title:</w:t>
        <w:tab/>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DEUTSCHE BANK SECURITIES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Signature Illegible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Signature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7527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F. Scott Flieger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F. Scott Flieger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7527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color w:val="auto"/>
        </w:rPr>
        <w:t>Title:</w:t>
        <w:tab/>
        <w:t>Managing Director/Debt Capital Markets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GREENWICH CAPITAL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Thomas Bausano</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Thomas Bausano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-130810</wp:posOffset>
            </wp:positionV>
            <wp:extent cx="27527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360"/>
        <w:spacing w:after="0"/>
        <w:tabs>
          <w:tab w:leader="none" w:pos="92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the other several Underwriters, if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named in Schedule II to the foregoing Agreement.</w:t>
      </w:r>
    </w:p>
    <w:p>
      <w:pPr>
        <w:spacing w:after="0" w:line="200" w:lineRule="exact"/>
        <w:rPr>
          <w:sz w:val="20"/>
          <w:szCs w:val="20"/>
          <w:color w:val="auto"/>
        </w:rPr>
      </w:pPr>
    </w:p>
    <w:p>
      <w:pPr>
        <w:spacing w:after="0" w:line="335" w:lineRule="exact"/>
        <w:rPr>
          <w:sz w:val="20"/>
          <w:szCs w:val="20"/>
          <w:color w:val="auto"/>
        </w:rPr>
      </w:pPr>
    </w:p>
    <w:p>
      <w:pPr>
        <w:jc w:val="right"/>
        <w:ind w:right="2819"/>
        <w:spacing w:after="0"/>
        <w:rPr>
          <w:sz w:val="20"/>
          <w:szCs w:val="20"/>
          <w:color w:val="auto"/>
        </w:rPr>
      </w:pPr>
      <w:r>
        <w:rPr>
          <w:rFonts w:ascii="Arial" w:cs="Arial" w:eastAsia="Arial" w:hAnsi="Arial"/>
          <w:sz w:val="18"/>
          <w:szCs w:val="18"/>
          <w:i w:val="1"/>
          <w:iCs w:val="1"/>
          <w:color w:val="auto"/>
        </w:rPr>
        <w:t>Signature Page to Underwriting Agreement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48" w:right="1440" w:bottom="1440" w:gutter="0" w:footer="0" w:header="0"/>
        </w:sectPr>
      </w:pPr>
    </w:p>
    <w:bookmarkStart w:id="38" w:name="page39"/>
    <w:bookmarkEnd w:id="38"/>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Issuer Free Writing Prospectus dated February 23, 2009 Relating to</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Preliminary Prospectus Supplement dated February 23, 2009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to Prospectus dated September 22, 2006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Registration Statement No. 333-137526</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1480"/>
              <w:spacing w:after="0"/>
              <w:rPr>
                <w:sz w:val="20"/>
                <w:szCs w:val="20"/>
                <w:color w:val="auto"/>
              </w:rPr>
            </w:pPr>
            <w:r>
              <w:rPr>
                <w:rFonts w:ascii="Arial" w:cs="Arial" w:eastAsia="Arial" w:hAnsi="Arial"/>
                <w:sz w:val="18"/>
                <w:szCs w:val="18"/>
                <w:b w:val="1"/>
                <w:bCs w:val="1"/>
                <w:color w:val="auto"/>
              </w:rPr>
              <w:t>Final Pricing Term Sheet</w:t>
            </w:r>
          </w:p>
        </w:tc>
      </w:tr>
      <w:tr>
        <w:trPr>
          <w:trHeight w:val="216"/>
        </w:trPr>
        <w:tc>
          <w:tcPr>
            <w:tcW w:w="2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160" w:type="dxa"/>
            <w:vAlign w:val="bottom"/>
          </w:tcPr>
          <w:p>
            <w:pPr>
              <w:ind w:left="1280"/>
              <w:spacing w:after="0"/>
              <w:rPr>
                <w:sz w:val="20"/>
                <w:szCs w:val="20"/>
                <w:color w:val="auto"/>
              </w:rPr>
            </w:pPr>
            <w:r>
              <w:rPr>
                <w:rFonts w:ascii="Arial" w:cs="Arial" w:eastAsia="Arial" w:hAnsi="Arial"/>
                <w:sz w:val="18"/>
                <w:szCs w:val="18"/>
                <w:b w:val="1"/>
                <w:bCs w:val="1"/>
                <w:color w:val="auto"/>
              </w:rPr>
              <w:t>6.375% Senior Notes due 2015</w:t>
            </w:r>
          </w:p>
        </w:tc>
      </w:tr>
      <w:tr>
        <w:trPr>
          <w:trHeight w:val="234"/>
        </w:trPr>
        <w:tc>
          <w:tcPr>
            <w:tcW w:w="2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160" w:type="dxa"/>
            <w:vAlign w:val="bottom"/>
          </w:tcPr>
          <w:p>
            <w:pPr>
              <w:ind w:left="1280"/>
              <w:spacing w:after="0"/>
              <w:rPr>
                <w:sz w:val="20"/>
                <w:szCs w:val="20"/>
                <w:color w:val="auto"/>
              </w:rPr>
            </w:pPr>
            <w:r>
              <w:rPr>
                <w:rFonts w:ascii="Arial" w:cs="Arial" w:eastAsia="Arial" w:hAnsi="Arial"/>
                <w:sz w:val="18"/>
                <w:szCs w:val="18"/>
                <w:b w:val="1"/>
                <w:bCs w:val="1"/>
                <w:color w:val="auto"/>
              </w:rPr>
              <w:t>7.375% Senior Notes due 2019</w:t>
            </w:r>
          </w:p>
        </w:tc>
      </w:tr>
      <w:tr>
        <w:trPr>
          <w:trHeight w:val="432"/>
        </w:trPr>
        <w:tc>
          <w:tcPr>
            <w:tcW w:w="2580" w:type="dxa"/>
            <w:vAlign w:val="bottom"/>
          </w:tcPr>
          <w:p>
            <w:pPr>
              <w:spacing w:after="0"/>
              <w:rPr>
                <w:sz w:val="20"/>
                <w:szCs w:val="20"/>
                <w:color w:val="auto"/>
              </w:rPr>
            </w:pPr>
            <w:r>
              <w:rPr>
                <w:rFonts w:ascii="Arial" w:cs="Arial" w:eastAsia="Arial" w:hAnsi="Arial"/>
                <w:sz w:val="18"/>
                <w:szCs w:val="18"/>
                <w:color w:val="auto"/>
              </w:rPr>
              <w:t>Issuer:</w:t>
            </w:r>
          </w:p>
        </w:tc>
        <w:tc>
          <w:tcPr>
            <w:tcW w:w="8840" w:type="dxa"/>
            <w:vAlign w:val="bottom"/>
            <w:gridSpan w:val="2"/>
          </w:tcPr>
          <w:p>
            <w:pPr>
              <w:ind w:left="300"/>
              <w:spacing w:after="0"/>
              <w:rPr>
                <w:sz w:val="20"/>
                <w:szCs w:val="20"/>
                <w:color w:val="auto"/>
              </w:rPr>
            </w:pPr>
            <w:r>
              <w:rPr>
                <w:rFonts w:ascii="Arial" w:cs="Arial" w:eastAsia="Arial" w:hAnsi="Arial"/>
                <w:sz w:val="18"/>
                <w:szCs w:val="18"/>
                <w:color w:val="auto"/>
              </w:rPr>
              <w:t>Waste Management, Inc.</w:t>
            </w:r>
          </w:p>
        </w:tc>
      </w:tr>
      <w:tr>
        <w:trPr>
          <w:trHeight w:val="432"/>
        </w:trPr>
        <w:tc>
          <w:tcPr>
            <w:tcW w:w="2580" w:type="dxa"/>
            <w:vAlign w:val="bottom"/>
          </w:tcPr>
          <w:p>
            <w:pPr>
              <w:spacing w:after="0"/>
              <w:rPr>
                <w:sz w:val="20"/>
                <w:szCs w:val="20"/>
                <w:color w:val="auto"/>
              </w:rPr>
            </w:pPr>
            <w:r>
              <w:rPr>
                <w:rFonts w:ascii="Arial" w:cs="Arial" w:eastAsia="Arial" w:hAnsi="Arial"/>
                <w:sz w:val="18"/>
                <w:szCs w:val="18"/>
                <w:color w:val="auto"/>
              </w:rPr>
              <w:t>Guarantor:</w:t>
            </w:r>
          </w:p>
        </w:tc>
        <w:tc>
          <w:tcPr>
            <w:tcW w:w="8840" w:type="dxa"/>
            <w:vAlign w:val="bottom"/>
            <w:gridSpan w:val="2"/>
          </w:tcPr>
          <w:p>
            <w:pPr>
              <w:ind w:left="300"/>
              <w:spacing w:after="0"/>
              <w:rPr>
                <w:sz w:val="20"/>
                <w:szCs w:val="20"/>
                <w:color w:val="auto"/>
              </w:rPr>
            </w:pPr>
            <w:r>
              <w:rPr>
                <w:rFonts w:ascii="Arial" w:cs="Arial" w:eastAsia="Arial" w:hAnsi="Arial"/>
                <w:sz w:val="18"/>
                <w:szCs w:val="18"/>
                <w:color w:val="auto"/>
              </w:rPr>
              <w:t>Waste Management Holdings, Inc.</w:t>
            </w:r>
          </w:p>
        </w:tc>
      </w:tr>
      <w:tr>
        <w:trPr>
          <w:trHeight w:val="418"/>
        </w:trPr>
        <w:tc>
          <w:tcPr>
            <w:tcW w:w="2580" w:type="dxa"/>
            <w:vAlign w:val="bottom"/>
          </w:tcPr>
          <w:p>
            <w:pPr>
              <w:spacing w:after="0"/>
              <w:rPr>
                <w:sz w:val="20"/>
                <w:szCs w:val="20"/>
                <w:color w:val="auto"/>
              </w:rPr>
            </w:pPr>
            <w:r>
              <w:rPr>
                <w:rFonts w:ascii="Arial" w:cs="Arial" w:eastAsia="Arial" w:hAnsi="Arial"/>
                <w:sz w:val="18"/>
                <w:szCs w:val="18"/>
                <w:color w:val="auto"/>
              </w:rPr>
              <w:t>Size:</w:t>
            </w:r>
          </w:p>
        </w:tc>
        <w:tc>
          <w:tcPr>
            <w:tcW w:w="8840" w:type="dxa"/>
            <w:vAlign w:val="bottom"/>
            <w:gridSpan w:val="2"/>
          </w:tcPr>
          <w:p>
            <w:pPr>
              <w:ind w:left="300"/>
              <w:spacing w:after="0"/>
              <w:rPr>
                <w:sz w:val="20"/>
                <w:szCs w:val="20"/>
                <w:color w:val="auto"/>
              </w:rPr>
            </w:pPr>
            <w:r>
              <w:rPr>
                <w:rFonts w:ascii="Arial" w:cs="Arial" w:eastAsia="Arial" w:hAnsi="Arial"/>
                <w:sz w:val="18"/>
                <w:szCs w:val="18"/>
                <w:color w:val="auto"/>
                <w:w w:val="95"/>
              </w:rPr>
              <w:t>$800,000,000 (including $350,000,000 aggregate principal amount of the 6.375% Senior Notes due 2015 (“2015</w:t>
            </w:r>
          </w:p>
        </w:tc>
      </w:tr>
      <w:tr>
        <w:trPr>
          <w:trHeight w:val="230"/>
        </w:trPr>
        <w:tc>
          <w:tcPr>
            <w:tcW w:w="2580" w:type="dxa"/>
            <w:vAlign w:val="bottom"/>
          </w:tcPr>
          <w:p>
            <w:pPr>
              <w:spacing w:after="0"/>
              <w:rPr>
                <w:sz w:val="20"/>
                <w:szCs w:val="20"/>
                <w:color w:val="auto"/>
              </w:rPr>
            </w:pPr>
          </w:p>
        </w:tc>
        <w:tc>
          <w:tcPr>
            <w:tcW w:w="8840" w:type="dxa"/>
            <w:vAlign w:val="bottom"/>
            <w:gridSpan w:val="2"/>
          </w:tcPr>
          <w:p>
            <w:pPr>
              <w:ind w:left="300"/>
              <w:spacing w:after="0"/>
              <w:rPr>
                <w:sz w:val="20"/>
                <w:szCs w:val="20"/>
                <w:color w:val="auto"/>
              </w:rPr>
            </w:pPr>
            <w:r>
              <w:rPr>
                <w:rFonts w:ascii="Arial" w:cs="Arial" w:eastAsia="Arial" w:hAnsi="Arial"/>
                <w:sz w:val="18"/>
                <w:szCs w:val="18"/>
                <w:color w:val="auto"/>
                <w:w w:val="98"/>
              </w:rPr>
              <w:t>Notes”) and $450,000,000 aggregate principal amount of the 7.375% Senior Notes due 2019 (“2019 Notes”))</w:t>
            </w:r>
          </w:p>
        </w:tc>
      </w:tr>
      <w:tr>
        <w:trPr>
          <w:trHeight w:val="418"/>
        </w:trPr>
        <w:tc>
          <w:tcPr>
            <w:tcW w:w="2580" w:type="dxa"/>
            <w:vAlign w:val="bottom"/>
          </w:tcPr>
          <w:p>
            <w:pPr>
              <w:spacing w:after="0"/>
              <w:rPr>
                <w:sz w:val="20"/>
                <w:szCs w:val="20"/>
                <w:color w:val="auto"/>
              </w:rPr>
            </w:pPr>
            <w:r>
              <w:rPr>
                <w:rFonts w:ascii="Arial" w:cs="Arial" w:eastAsia="Arial" w:hAnsi="Arial"/>
                <w:sz w:val="18"/>
                <w:szCs w:val="18"/>
                <w:color w:val="auto"/>
              </w:rPr>
              <w:t>Maturity:</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2015</w:t>
            </w:r>
          </w:p>
        </w:tc>
        <w:tc>
          <w:tcPr>
            <w:tcW w:w="8160" w:type="dxa"/>
            <w:vAlign w:val="bottom"/>
          </w:tcPr>
          <w:p>
            <w:pPr>
              <w:ind w:left="20"/>
              <w:spacing w:after="0"/>
              <w:rPr>
                <w:sz w:val="20"/>
                <w:szCs w:val="20"/>
                <w:color w:val="auto"/>
              </w:rPr>
            </w:pPr>
            <w:r>
              <w:rPr>
                <w:rFonts w:ascii="Arial" w:cs="Arial" w:eastAsia="Arial" w:hAnsi="Arial"/>
                <w:sz w:val="18"/>
                <w:szCs w:val="18"/>
                <w:color w:val="auto"/>
              </w:rPr>
              <w:t>Notes — March 11, 2015</w:t>
            </w:r>
          </w:p>
        </w:tc>
      </w:tr>
      <w:tr>
        <w:trPr>
          <w:trHeight w:val="230"/>
        </w:trPr>
        <w:tc>
          <w:tcPr>
            <w:tcW w:w="2580" w:type="dxa"/>
            <w:vAlign w:val="bottom"/>
          </w:tcPr>
          <w:p>
            <w:pPr>
              <w:spacing w:after="0"/>
              <w:rPr>
                <w:sz w:val="20"/>
                <w:szCs w:val="20"/>
                <w:color w:val="auto"/>
              </w:rPr>
            </w:pPr>
          </w:p>
        </w:tc>
        <w:tc>
          <w:tcPr>
            <w:tcW w:w="8840" w:type="dxa"/>
            <w:vAlign w:val="bottom"/>
            <w:gridSpan w:val="2"/>
          </w:tcPr>
          <w:p>
            <w:pPr>
              <w:ind w:left="300"/>
              <w:spacing w:after="0"/>
              <w:rPr>
                <w:sz w:val="20"/>
                <w:szCs w:val="20"/>
                <w:color w:val="auto"/>
              </w:rPr>
            </w:pPr>
            <w:r>
              <w:rPr>
                <w:rFonts w:ascii="Arial" w:cs="Arial" w:eastAsia="Arial" w:hAnsi="Arial"/>
                <w:sz w:val="18"/>
                <w:szCs w:val="18"/>
                <w:color w:val="auto"/>
              </w:rPr>
              <w:t>2019 Notes — March 11, 2019</w:t>
            </w:r>
          </w:p>
        </w:tc>
      </w:tr>
      <w:tr>
        <w:trPr>
          <w:trHeight w:val="418"/>
        </w:trPr>
        <w:tc>
          <w:tcPr>
            <w:tcW w:w="2580" w:type="dxa"/>
            <w:vAlign w:val="bottom"/>
          </w:tcPr>
          <w:p>
            <w:pPr>
              <w:spacing w:after="0"/>
              <w:rPr>
                <w:sz w:val="20"/>
                <w:szCs w:val="20"/>
                <w:color w:val="auto"/>
              </w:rPr>
            </w:pPr>
            <w:r>
              <w:rPr>
                <w:rFonts w:ascii="Arial" w:cs="Arial" w:eastAsia="Arial" w:hAnsi="Arial"/>
                <w:sz w:val="18"/>
                <w:szCs w:val="18"/>
                <w:color w:val="auto"/>
              </w:rPr>
              <w:t>Coupon:</w:t>
            </w:r>
          </w:p>
        </w:tc>
        <w:tc>
          <w:tcPr>
            <w:tcW w:w="8840" w:type="dxa"/>
            <w:vAlign w:val="bottom"/>
            <w:gridSpan w:val="2"/>
          </w:tcPr>
          <w:p>
            <w:pPr>
              <w:ind w:left="300"/>
              <w:spacing w:after="0"/>
              <w:rPr>
                <w:sz w:val="20"/>
                <w:szCs w:val="20"/>
                <w:color w:val="auto"/>
              </w:rPr>
            </w:pPr>
            <w:r>
              <w:rPr>
                <w:rFonts w:ascii="Arial" w:cs="Arial" w:eastAsia="Arial" w:hAnsi="Arial"/>
                <w:sz w:val="18"/>
                <w:szCs w:val="18"/>
                <w:color w:val="auto"/>
              </w:rPr>
              <w:t>2015 Notes — 6.375%</w:t>
            </w:r>
          </w:p>
        </w:tc>
      </w:tr>
      <w:tr>
        <w:trPr>
          <w:trHeight w:val="230"/>
        </w:trPr>
        <w:tc>
          <w:tcPr>
            <w:tcW w:w="2580" w:type="dxa"/>
            <w:vAlign w:val="bottom"/>
          </w:tcPr>
          <w:p>
            <w:pPr>
              <w:spacing w:after="0"/>
              <w:rPr>
                <w:sz w:val="20"/>
                <w:szCs w:val="20"/>
                <w:color w:val="auto"/>
              </w:rPr>
            </w:pPr>
          </w:p>
        </w:tc>
        <w:tc>
          <w:tcPr>
            <w:tcW w:w="8840" w:type="dxa"/>
            <w:vAlign w:val="bottom"/>
            <w:gridSpan w:val="2"/>
          </w:tcPr>
          <w:p>
            <w:pPr>
              <w:ind w:left="300"/>
              <w:spacing w:after="0"/>
              <w:rPr>
                <w:sz w:val="20"/>
                <w:szCs w:val="20"/>
                <w:color w:val="auto"/>
              </w:rPr>
            </w:pPr>
            <w:r>
              <w:rPr>
                <w:rFonts w:ascii="Arial" w:cs="Arial" w:eastAsia="Arial" w:hAnsi="Arial"/>
                <w:sz w:val="18"/>
                <w:szCs w:val="18"/>
                <w:color w:val="auto"/>
              </w:rPr>
              <w:t>2019 Notes — 7.375%</w:t>
            </w:r>
          </w:p>
        </w:tc>
      </w:tr>
      <w:tr>
        <w:trPr>
          <w:trHeight w:val="418"/>
        </w:trPr>
        <w:tc>
          <w:tcPr>
            <w:tcW w:w="2580" w:type="dxa"/>
            <w:vAlign w:val="bottom"/>
          </w:tcPr>
          <w:p>
            <w:pPr>
              <w:spacing w:after="0"/>
              <w:rPr>
                <w:sz w:val="20"/>
                <w:szCs w:val="20"/>
                <w:color w:val="auto"/>
              </w:rPr>
            </w:pPr>
            <w:r>
              <w:rPr>
                <w:rFonts w:ascii="Arial" w:cs="Arial" w:eastAsia="Arial" w:hAnsi="Arial"/>
                <w:sz w:val="18"/>
                <w:szCs w:val="18"/>
                <w:color w:val="auto"/>
              </w:rPr>
              <w:t>Price to Public:</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2015</w:t>
            </w:r>
          </w:p>
        </w:tc>
        <w:tc>
          <w:tcPr>
            <w:tcW w:w="8160" w:type="dxa"/>
            <w:vAlign w:val="bottom"/>
          </w:tcPr>
          <w:p>
            <w:pPr>
              <w:ind w:left="20"/>
              <w:spacing w:after="0"/>
              <w:rPr>
                <w:sz w:val="20"/>
                <w:szCs w:val="20"/>
                <w:color w:val="auto"/>
              </w:rPr>
            </w:pPr>
            <w:r>
              <w:rPr>
                <w:rFonts w:ascii="Arial" w:cs="Arial" w:eastAsia="Arial" w:hAnsi="Arial"/>
                <w:sz w:val="18"/>
                <w:szCs w:val="18"/>
                <w:color w:val="auto"/>
              </w:rPr>
              <w:t>Notes — 99.650% of face amount</w:t>
            </w:r>
          </w:p>
        </w:tc>
      </w:tr>
      <w:tr>
        <w:trPr>
          <w:trHeight w:val="230"/>
        </w:trPr>
        <w:tc>
          <w:tcPr>
            <w:tcW w:w="258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89"/>
              </w:rPr>
              <w:t>2019</w:t>
            </w:r>
          </w:p>
        </w:tc>
        <w:tc>
          <w:tcPr>
            <w:tcW w:w="8160" w:type="dxa"/>
            <w:vAlign w:val="bottom"/>
          </w:tcPr>
          <w:p>
            <w:pPr>
              <w:ind w:left="20"/>
              <w:spacing w:after="0"/>
              <w:rPr>
                <w:sz w:val="20"/>
                <w:szCs w:val="20"/>
                <w:color w:val="auto"/>
              </w:rPr>
            </w:pPr>
            <w:r>
              <w:rPr>
                <w:rFonts w:ascii="Arial" w:cs="Arial" w:eastAsia="Arial" w:hAnsi="Arial"/>
                <w:sz w:val="18"/>
                <w:szCs w:val="18"/>
                <w:color w:val="auto"/>
              </w:rPr>
              <w:t>Notes — 99.882% of face amount</w:t>
            </w:r>
          </w:p>
        </w:tc>
      </w:tr>
      <w:tr>
        <w:trPr>
          <w:trHeight w:val="418"/>
        </w:trPr>
        <w:tc>
          <w:tcPr>
            <w:tcW w:w="2580" w:type="dxa"/>
            <w:vAlign w:val="bottom"/>
          </w:tcPr>
          <w:p>
            <w:pPr>
              <w:spacing w:after="0"/>
              <w:rPr>
                <w:sz w:val="20"/>
                <w:szCs w:val="20"/>
                <w:color w:val="auto"/>
              </w:rPr>
            </w:pPr>
            <w:r>
              <w:rPr>
                <w:rFonts w:ascii="Arial" w:cs="Arial" w:eastAsia="Arial" w:hAnsi="Arial"/>
                <w:sz w:val="18"/>
                <w:szCs w:val="18"/>
                <w:color w:val="auto"/>
              </w:rPr>
              <w:t>Underwriting Discount:</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2015</w:t>
            </w:r>
          </w:p>
        </w:tc>
        <w:tc>
          <w:tcPr>
            <w:tcW w:w="8160" w:type="dxa"/>
            <w:vAlign w:val="bottom"/>
          </w:tcPr>
          <w:p>
            <w:pPr>
              <w:ind w:left="20"/>
              <w:spacing w:after="0"/>
              <w:rPr>
                <w:sz w:val="20"/>
                <w:szCs w:val="20"/>
                <w:color w:val="auto"/>
              </w:rPr>
            </w:pPr>
            <w:r>
              <w:rPr>
                <w:rFonts w:ascii="Arial" w:cs="Arial" w:eastAsia="Arial" w:hAnsi="Arial"/>
                <w:sz w:val="18"/>
                <w:szCs w:val="18"/>
                <w:color w:val="auto"/>
              </w:rPr>
              <w:t>Notes — 0.60% of face amount</w:t>
            </w:r>
          </w:p>
        </w:tc>
      </w:tr>
      <w:tr>
        <w:trPr>
          <w:trHeight w:val="230"/>
        </w:trPr>
        <w:tc>
          <w:tcPr>
            <w:tcW w:w="258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89"/>
              </w:rPr>
              <w:t>2019</w:t>
            </w:r>
          </w:p>
        </w:tc>
        <w:tc>
          <w:tcPr>
            <w:tcW w:w="8160" w:type="dxa"/>
            <w:vAlign w:val="bottom"/>
          </w:tcPr>
          <w:p>
            <w:pPr>
              <w:ind w:left="20"/>
              <w:spacing w:after="0"/>
              <w:rPr>
                <w:sz w:val="20"/>
                <w:szCs w:val="20"/>
                <w:color w:val="auto"/>
              </w:rPr>
            </w:pPr>
            <w:r>
              <w:rPr>
                <w:rFonts w:ascii="Arial" w:cs="Arial" w:eastAsia="Arial" w:hAnsi="Arial"/>
                <w:sz w:val="18"/>
                <w:szCs w:val="18"/>
                <w:color w:val="auto"/>
              </w:rPr>
              <w:t>Notes — 0.65% of face amount</w:t>
            </w:r>
          </w:p>
        </w:tc>
      </w:tr>
      <w:tr>
        <w:trPr>
          <w:trHeight w:val="418"/>
        </w:trPr>
        <w:tc>
          <w:tcPr>
            <w:tcW w:w="2580" w:type="dxa"/>
            <w:vAlign w:val="bottom"/>
          </w:tcPr>
          <w:p>
            <w:pPr>
              <w:spacing w:after="0"/>
              <w:rPr>
                <w:sz w:val="20"/>
                <w:szCs w:val="20"/>
                <w:color w:val="auto"/>
              </w:rPr>
            </w:pPr>
            <w:r>
              <w:rPr>
                <w:rFonts w:ascii="Arial" w:cs="Arial" w:eastAsia="Arial" w:hAnsi="Arial"/>
                <w:sz w:val="18"/>
                <w:szCs w:val="18"/>
                <w:color w:val="auto"/>
              </w:rPr>
              <w:t>Yield to maturity:</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2015</w:t>
            </w:r>
          </w:p>
        </w:tc>
        <w:tc>
          <w:tcPr>
            <w:tcW w:w="8160" w:type="dxa"/>
            <w:vAlign w:val="bottom"/>
          </w:tcPr>
          <w:p>
            <w:pPr>
              <w:ind w:left="20"/>
              <w:spacing w:after="0"/>
              <w:rPr>
                <w:sz w:val="20"/>
                <w:szCs w:val="20"/>
                <w:color w:val="auto"/>
              </w:rPr>
            </w:pPr>
            <w:r>
              <w:rPr>
                <w:rFonts w:ascii="Arial" w:cs="Arial" w:eastAsia="Arial" w:hAnsi="Arial"/>
                <w:sz w:val="18"/>
                <w:szCs w:val="18"/>
                <w:color w:val="auto"/>
              </w:rPr>
              <w:t>Notes — 6.445%</w:t>
            </w:r>
          </w:p>
        </w:tc>
      </w:tr>
      <w:tr>
        <w:trPr>
          <w:trHeight w:val="230"/>
        </w:trPr>
        <w:tc>
          <w:tcPr>
            <w:tcW w:w="2580" w:type="dxa"/>
            <w:vAlign w:val="bottom"/>
          </w:tcPr>
          <w:p>
            <w:pPr>
              <w:spacing w:after="0"/>
              <w:rPr>
                <w:sz w:val="20"/>
                <w:szCs w:val="20"/>
                <w:color w:val="auto"/>
              </w:rPr>
            </w:pPr>
          </w:p>
        </w:tc>
        <w:tc>
          <w:tcPr>
            <w:tcW w:w="8840" w:type="dxa"/>
            <w:vAlign w:val="bottom"/>
            <w:gridSpan w:val="2"/>
          </w:tcPr>
          <w:p>
            <w:pPr>
              <w:ind w:left="300"/>
              <w:spacing w:after="0"/>
              <w:rPr>
                <w:sz w:val="20"/>
                <w:szCs w:val="20"/>
                <w:color w:val="auto"/>
              </w:rPr>
            </w:pPr>
            <w:r>
              <w:rPr>
                <w:rFonts w:ascii="Arial" w:cs="Arial" w:eastAsia="Arial" w:hAnsi="Arial"/>
                <w:sz w:val="18"/>
                <w:szCs w:val="18"/>
                <w:color w:val="auto"/>
              </w:rPr>
              <w:t>2019 Notes — 7.391%</w:t>
            </w:r>
          </w:p>
        </w:tc>
      </w:tr>
      <w:tr>
        <w:trPr>
          <w:trHeight w:val="418"/>
        </w:trPr>
        <w:tc>
          <w:tcPr>
            <w:tcW w:w="258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2015</w:t>
            </w:r>
          </w:p>
        </w:tc>
        <w:tc>
          <w:tcPr>
            <w:tcW w:w="8160" w:type="dxa"/>
            <w:vAlign w:val="bottom"/>
          </w:tcPr>
          <w:p>
            <w:pPr>
              <w:ind w:left="20"/>
              <w:spacing w:after="0"/>
              <w:rPr>
                <w:sz w:val="20"/>
                <w:szCs w:val="20"/>
                <w:color w:val="auto"/>
              </w:rPr>
            </w:pPr>
            <w:r>
              <w:rPr>
                <w:rFonts w:ascii="Arial" w:cs="Arial" w:eastAsia="Arial" w:hAnsi="Arial"/>
                <w:sz w:val="18"/>
                <w:szCs w:val="18"/>
                <w:color w:val="auto"/>
              </w:rPr>
              <w:t>Notes — 4.625%</w:t>
            </w:r>
          </w:p>
        </w:tc>
      </w:tr>
      <w:tr>
        <w:trPr>
          <w:trHeight w:val="230"/>
        </w:trPr>
        <w:tc>
          <w:tcPr>
            <w:tcW w:w="2580" w:type="dxa"/>
            <w:vAlign w:val="bottom"/>
          </w:tcPr>
          <w:p>
            <w:pPr>
              <w:spacing w:after="0"/>
              <w:rPr>
                <w:sz w:val="20"/>
                <w:szCs w:val="20"/>
                <w:color w:val="auto"/>
              </w:rPr>
            </w:pPr>
          </w:p>
        </w:tc>
        <w:tc>
          <w:tcPr>
            <w:tcW w:w="8840" w:type="dxa"/>
            <w:vAlign w:val="bottom"/>
            <w:gridSpan w:val="2"/>
          </w:tcPr>
          <w:p>
            <w:pPr>
              <w:ind w:left="300"/>
              <w:spacing w:after="0"/>
              <w:rPr>
                <w:sz w:val="20"/>
                <w:szCs w:val="20"/>
                <w:color w:val="auto"/>
              </w:rPr>
            </w:pPr>
            <w:r>
              <w:rPr>
                <w:rFonts w:ascii="Arial" w:cs="Arial" w:eastAsia="Arial" w:hAnsi="Arial"/>
                <w:sz w:val="18"/>
                <w:szCs w:val="18"/>
                <w:color w:val="auto"/>
              </w:rPr>
              <w:t>2019 Notes — 4.625%</w:t>
            </w:r>
          </w:p>
        </w:tc>
      </w:tr>
      <w:tr>
        <w:trPr>
          <w:trHeight w:val="418"/>
        </w:trPr>
        <w:tc>
          <w:tcPr>
            <w:tcW w:w="2580" w:type="dxa"/>
            <w:vAlign w:val="bottom"/>
          </w:tcPr>
          <w:p>
            <w:pPr>
              <w:spacing w:after="0"/>
              <w:rPr>
                <w:sz w:val="20"/>
                <w:szCs w:val="20"/>
                <w:color w:val="auto"/>
              </w:rPr>
            </w:pPr>
            <w:r>
              <w:rPr>
                <w:rFonts w:ascii="Arial" w:cs="Arial" w:eastAsia="Arial" w:hAnsi="Arial"/>
                <w:sz w:val="18"/>
                <w:szCs w:val="18"/>
                <w:color w:val="auto"/>
              </w:rPr>
              <w:t>Benchmark Treasury:</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2015</w:t>
            </w:r>
          </w:p>
        </w:tc>
        <w:tc>
          <w:tcPr>
            <w:tcW w:w="8160" w:type="dxa"/>
            <w:vAlign w:val="bottom"/>
          </w:tcPr>
          <w:p>
            <w:pPr>
              <w:ind w:left="20"/>
              <w:spacing w:after="0"/>
              <w:rPr>
                <w:sz w:val="20"/>
                <w:szCs w:val="20"/>
                <w:color w:val="auto"/>
              </w:rPr>
            </w:pPr>
            <w:r>
              <w:rPr>
                <w:rFonts w:ascii="Arial" w:cs="Arial" w:eastAsia="Arial" w:hAnsi="Arial"/>
                <w:sz w:val="18"/>
                <w:szCs w:val="18"/>
                <w:color w:val="auto"/>
              </w:rPr>
              <w:t>Notes — 1.75% 1/31/14</w:t>
            </w:r>
          </w:p>
        </w:tc>
      </w:tr>
      <w:tr>
        <w:trPr>
          <w:trHeight w:val="230"/>
        </w:trPr>
        <w:tc>
          <w:tcPr>
            <w:tcW w:w="2580" w:type="dxa"/>
            <w:vAlign w:val="bottom"/>
          </w:tcPr>
          <w:p>
            <w:pPr>
              <w:spacing w:after="0"/>
              <w:rPr>
                <w:sz w:val="20"/>
                <w:szCs w:val="20"/>
                <w:color w:val="auto"/>
              </w:rPr>
            </w:pPr>
          </w:p>
        </w:tc>
        <w:tc>
          <w:tcPr>
            <w:tcW w:w="680" w:type="dxa"/>
            <w:vAlign w:val="bottom"/>
          </w:tcPr>
          <w:p>
            <w:pPr>
              <w:ind w:left="300"/>
              <w:spacing w:after="0"/>
              <w:rPr>
                <w:sz w:val="20"/>
                <w:szCs w:val="20"/>
                <w:color w:val="auto"/>
              </w:rPr>
            </w:pPr>
            <w:r>
              <w:rPr>
                <w:rFonts w:ascii="Arial" w:cs="Arial" w:eastAsia="Arial" w:hAnsi="Arial"/>
                <w:sz w:val="18"/>
                <w:szCs w:val="18"/>
                <w:color w:val="auto"/>
                <w:w w:val="89"/>
              </w:rPr>
              <w:t>2019</w:t>
            </w:r>
          </w:p>
        </w:tc>
        <w:tc>
          <w:tcPr>
            <w:tcW w:w="8160" w:type="dxa"/>
            <w:vAlign w:val="bottom"/>
          </w:tcPr>
          <w:p>
            <w:pPr>
              <w:ind w:left="20"/>
              <w:spacing w:after="0"/>
              <w:rPr>
                <w:sz w:val="20"/>
                <w:szCs w:val="20"/>
                <w:color w:val="auto"/>
              </w:rPr>
            </w:pPr>
            <w:r>
              <w:rPr>
                <w:rFonts w:ascii="Arial" w:cs="Arial" w:eastAsia="Arial" w:hAnsi="Arial"/>
                <w:sz w:val="18"/>
                <w:szCs w:val="18"/>
                <w:color w:val="auto"/>
              </w:rPr>
              <w:t>Notes — 2.75% 2/15/19</w:t>
            </w:r>
          </w:p>
        </w:tc>
      </w:tr>
      <w:tr>
        <w:trPr>
          <w:trHeight w:val="418"/>
        </w:trPr>
        <w:tc>
          <w:tcPr>
            <w:tcW w:w="2580" w:type="dxa"/>
            <w:vAlign w:val="bottom"/>
          </w:tcPr>
          <w:p>
            <w:pPr>
              <w:spacing w:after="0"/>
              <w:rPr>
                <w:sz w:val="20"/>
                <w:szCs w:val="20"/>
                <w:color w:val="auto"/>
              </w:rPr>
            </w:pPr>
            <w:r>
              <w:rPr>
                <w:rFonts w:ascii="Arial" w:cs="Arial" w:eastAsia="Arial" w:hAnsi="Arial"/>
                <w:sz w:val="18"/>
                <w:szCs w:val="18"/>
                <w:color w:val="auto"/>
              </w:rPr>
              <w:t>Benchmark Treasury Price and</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2015</w:t>
            </w:r>
          </w:p>
        </w:tc>
        <w:tc>
          <w:tcPr>
            <w:tcW w:w="8160" w:type="dxa"/>
            <w:vAlign w:val="bottom"/>
          </w:tcPr>
          <w:p>
            <w:pPr>
              <w:ind w:left="20"/>
              <w:spacing w:after="0"/>
              <w:rPr>
                <w:sz w:val="20"/>
                <w:szCs w:val="20"/>
                <w:color w:val="auto"/>
              </w:rPr>
            </w:pPr>
            <w:r>
              <w:rPr>
                <w:rFonts w:ascii="Arial" w:cs="Arial" w:eastAsia="Arial" w:hAnsi="Arial"/>
                <w:sz w:val="18"/>
                <w:szCs w:val="18"/>
                <w:color w:val="auto"/>
              </w:rPr>
              <w:t>Notes — 99-21+ 1.820%</w:t>
            </w: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Yield:</w:t>
            </w:r>
          </w:p>
        </w:tc>
        <w:tc>
          <w:tcPr>
            <w:tcW w:w="680" w:type="dxa"/>
            <w:vAlign w:val="bottom"/>
          </w:tcPr>
          <w:p>
            <w:pPr>
              <w:ind w:left="300"/>
              <w:spacing w:after="0"/>
              <w:rPr>
                <w:sz w:val="20"/>
                <w:szCs w:val="20"/>
                <w:color w:val="auto"/>
              </w:rPr>
            </w:pPr>
            <w:r>
              <w:rPr>
                <w:rFonts w:ascii="Arial" w:cs="Arial" w:eastAsia="Arial" w:hAnsi="Arial"/>
                <w:sz w:val="18"/>
                <w:szCs w:val="18"/>
                <w:color w:val="auto"/>
                <w:w w:val="89"/>
              </w:rPr>
              <w:t>2019</w:t>
            </w:r>
          </w:p>
        </w:tc>
        <w:tc>
          <w:tcPr>
            <w:tcW w:w="8160" w:type="dxa"/>
            <w:vAlign w:val="bottom"/>
          </w:tcPr>
          <w:p>
            <w:pPr>
              <w:ind w:left="20"/>
              <w:spacing w:after="0"/>
              <w:rPr>
                <w:sz w:val="20"/>
                <w:szCs w:val="20"/>
                <w:color w:val="auto"/>
              </w:rPr>
            </w:pPr>
            <w:r>
              <w:rPr>
                <w:rFonts w:ascii="Arial" w:cs="Arial" w:eastAsia="Arial" w:hAnsi="Arial"/>
                <w:sz w:val="18"/>
                <w:szCs w:val="18"/>
                <w:color w:val="auto"/>
              </w:rPr>
              <w:t>Notes — 99-27+ 2.766%</w:t>
            </w:r>
          </w:p>
        </w:tc>
      </w:tr>
      <w:tr>
        <w:trPr>
          <w:trHeight w:val="632"/>
        </w:trPr>
        <w:tc>
          <w:tcPr>
            <w:tcW w:w="258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8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Interest Payment Dates:</w:t>
            </w:r>
          </w:p>
        </w:tc>
        <w:tc>
          <w:tcPr>
            <w:tcW w:w="8900" w:type="dxa"/>
            <w:vAlign w:val="bottom"/>
          </w:tcPr>
          <w:p>
            <w:pPr>
              <w:ind w:left="360"/>
              <w:spacing w:after="0"/>
              <w:rPr>
                <w:sz w:val="20"/>
                <w:szCs w:val="20"/>
                <w:color w:val="auto"/>
              </w:rPr>
            </w:pPr>
            <w:r>
              <w:rPr>
                <w:rFonts w:ascii="Arial" w:cs="Arial" w:eastAsia="Arial" w:hAnsi="Arial"/>
                <w:sz w:val="18"/>
                <w:szCs w:val="18"/>
                <w:color w:val="auto"/>
              </w:rPr>
              <w:t>Semi-annually on March 11 and September 11, commencing September 11, 2009</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Redemption Provisions:</w:t>
            </w:r>
          </w:p>
        </w:tc>
        <w:tc>
          <w:tcPr>
            <w:tcW w:w="8900" w:type="dxa"/>
            <w:vAlign w:val="bottom"/>
          </w:tcPr>
          <w:p>
            <w:pPr>
              <w:spacing w:after="0"/>
              <w:rPr>
                <w:sz w:val="24"/>
                <w:szCs w:val="24"/>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Optional Redemption:</w:t>
            </w:r>
          </w:p>
        </w:tc>
        <w:tc>
          <w:tcPr>
            <w:tcW w:w="8900" w:type="dxa"/>
            <w:vAlign w:val="bottom"/>
          </w:tcPr>
          <w:p>
            <w:pPr>
              <w:ind w:left="360"/>
              <w:spacing w:after="0"/>
              <w:rPr>
                <w:sz w:val="20"/>
                <w:szCs w:val="20"/>
                <w:color w:val="auto"/>
              </w:rPr>
            </w:pPr>
            <w:r>
              <w:rPr>
                <w:rFonts w:ascii="Arial" w:cs="Arial" w:eastAsia="Arial" w:hAnsi="Arial"/>
                <w:sz w:val="18"/>
                <w:szCs w:val="18"/>
                <w:color w:val="auto"/>
                <w:w w:val="91"/>
              </w:rPr>
              <w:t>At any time for an amount equal to the greater of (1) 100% of the principal amount of the notes redeemed and repaid,</w:t>
            </w:r>
          </w:p>
        </w:tc>
      </w:tr>
      <w:tr>
        <w:trPr>
          <w:trHeight w:val="216"/>
        </w:trPr>
        <w:tc>
          <w:tcPr>
            <w:tcW w:w="2520" w:type="dxa"/>
            <w:vAlign w:val="bottom"/>
          </w:tcPr>
          <w:p>
            <w:pPr>
              <w:spacing w:after="0"/>
              <w:rPr>
                <w:sz w:val="18"/>
                <w:szCs w:val="18"/>
                <w:color w:val="auto"/>
              </w:rPr>
            </w:pPr>
          </w:p>
        </w:tc>
        <w:tc>
          <w:tcPr>
            <w:tcW w:w="8900" w:type="dxa"/>
            <w:vAlign w:val="bottom"/>
          </w:tcPr>
          <w:p>
            <w:pPr>
              <w:ind w:left="360"/>
              <w:spacing w:after="0"/>
              <w:rPr>
                <w:sz w:val="20"/>
                <w:szCs w:val="20"/>
                <w:color w:val="auto"/>
              </w:rPr>
            </w:pPr>
            <w:r>
              <w:rPr>
                <w:rFonts w:ascii="Arial" w:cs="Arial" w:eastAsia="Arial" w:hAnsi="Arial"/>
                <w:sz w:val="18"/>
                <w:szCs w:val="18"/>
                <w:color w:val="auto"/>
                <w:w w:val="95"/>
              </w:rPr>
              <w:t>or (2) the sum of the present values of the remaining scheduled payments of principal and interest on such notes</w:t>
            </w:r>
          </w:p>
        </w:tc>
      </w:tr>
      <w:tr>
        <w:trPr>
          <w:trHeight w:val="230"/>
        </w:trPr>
        <w:tc>
          <w:tcPr>
            <w:tcW w:w="252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Arial" w:cs="Arial" w:eastAsia="Arial" w:hAnsi="Arial"/>
                <w:sz w:val="18"/>
                <w:szCs w:val="18"/>
                <w:color w:val="auto"/>
              </w:rPr>
              <w:t>discounted to the redemption date at the applicable Treasury Yield plus 50 basis points.</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Change of Control Put:</w:t>
            </w:r>
          </w:p>
        </w:tc>
        <w:tc>
          <w:tcPr>
            <w:tcW w:w="8900" w:type="dxa"/>
            <w:vAlign w:val="bottom"/>
          </w:tcPr>
          <w:p>
            <w:pPr>
              <w:ind w:left="360"/>
              <w:spacing w:after="0"/>
              <w:rPr>
                <w:sz w:val="20"/>
                <w:szCs w:val="20"/>
                <w:color w:val="auto"/>
              </w:rPr>
            </w:pPr>
            <w:r>
              <w:rPr>
                <w:rFonts w:ascii="Arial" w:cs="Arial" w:eastAsia="Arial" w:hAnsi="Arial"/>
                <w:sz w:val="18"/>
                <w:szCs w:val="18"/>
                <w:color w:val="auto"/>
                <w:w w:val="94"/>
              </w:rPr>
              <w:t>A put right upon the occurrence of a change of control triggering event as described in the Preliminary Prospectus</w:t>
            </w:r>
          </w:p>
        </w:tc>
      </w:tr>
      <w:tr>
        <w:trPr>
          <w:trHeight w:val="230"/>
        </w:trPr>
        <w:tc>
          <w:tcPr>
            <w:tcW w:w="252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Arial" w:cs="Arial" w:eastAsia="Arial" w:hAnsi="Arial"/>
                <w:sz w:val="18"/>
                <w:szCs w:val="18"/>
                <w:color w:val="auto"/>
              </w:rPr>
              <w:t>dated February 23, 2009.</w:t>
            </w:r>
          </w:p>
        </w:tc>
      </w:tr>
      <w:tr>
        <w:trPr>
          <w:trHeight w:val="432"/>
        </w:trPr>
        <w:tc>
          <w:tcPr>
            <w:tcW w:w="2520" w:type="dxa"/>
            <w:vAlign w:val="bottom"/>
          </w:tcPr>
          <w:p>
            <w:pPr>
              <w:spacing w:after="0"/>
              <w:rPr>
                <w:sz w:val="20"/>
                <w:szCs w:val="20"/>
                <w:color w:val="auto"/>
              </w:rPr>
            </w:pPr>
            <w:r>
              <w:rPr>
                <w:rFonts w:ascii="Arial" w:cs="Arial" w:eastAsia="Arial" w:hAnsi="Arial"/>
                <w:sz w:val="18"/>
                <w:szCs w:val="18"/>
                <w:color w:val="auto"/>
              </w:rPr>
              <w:t>Settlement:</w:t>
            </w:r>
          </w:p>
        </w:tc>
        <w:tc>
          <w:tcPr>
            <w:tcW w:w="8900" w:type="dxa"/>
            <w:vAlign w:val="bottom"/>
          </w:tcPr>
          <w:p>
            <w:pPr>
              <w:ind w:left="360"/>
              <w:spacing w:after="0"/>
              <w:rPr>
                <w:sz w:val="20"/>
                <w:szCs w:val="20"/>
                <w:color w:val="auto"/>
              </w:rPr>
            </w:pPr>
            <w:r>
              <w:rPr>
                <w:rFonts w:ascii="Arial" w:cs="Arial" w:eastAsia="Arial" w:hAnsi="Arial"/>
                <w:sz w:val="18"/>
                <w:szCs w:val="18"/>
                <w:color w:val="auto"/>
              </w:rPr>
              <w:t>T+3; February 26, 2009</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CUSIP:</w:t>
            </w:r>
          </w:p>
        </w:tc>
        <w:tc>
          <w:tcPr>
            <w:tcW w:w="8900" w:type="dxa"/>
            <w:vAlign w:val="bottom"/>
          </w:tcPr>
          <w:p>
            <w:pPr>
              <w:ind w:left="360"/>
              <w:spacing w:after="0"/>
              <w:rPr>
                <w:sz w:val="20"/>
                <w:szCs w:val="20"/>
                <w:color w:val="auto"/>
              </w:rPr>
            </w:pPr>
            <w:r>
              <w:rPr>
                <w:rFonts w:ascii="Arial" w:cs="Arial" w:eastAsia="Arial" w:hAnsi="Arial"/>
                <w:sz w:val="18"/>
                <w:szCs w:val="18"/>
                <w:color w:val="auto"/>
              </w:rPr>
              <w:t>2015 Notes — 94106LAT6</w:t>
            </w:r>
          </w:p>
        </w:tc>
      </w:tr>
      <w:tr>
        <w:trPr>
          <w:trHeight w:val="230"/>
        </w:trPr>
        <w:tc>
          <w:tcPr>
            <w:tcW w:w="252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Arial" w:cs="Arial" w:eastAsia="Arial" w:hAnsi="Arial"/>
                <w:sz w:val="18"/>
                <w:szCs w:val="18"/>
                <w:color w:val="auto"/>
              </w:rPr>
              <w:t>2019 Notes — 94106LAU3</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Joint Book-Running and Joint</w:t>
            </w:r>
          </w:p>
        </w:tc>
        <w:tc>
          <w:tcPr>
            <w:tcW w:w="8900" w:type="dxa"/>
            <w:vAlign w:val="bottom"/>
          </w:tcPr>
          <w:p>
            <w:pPr>
              <w:ind w:left="360"/>
              <w:spacing w:after="0"/>
              <w:rPr>
                <w:sz w:val="20"/>
                <w:szCs w:val="20"/>
                <w:color w:val="auto"/>
              </w:rPr>
            </w:pPr>
            <w:r>
              <w:rPr>
                <w:rFonts w:ascii="Arial" w:cs="Arial" w:eastAsia="Arial" w:hAnsi="Arial"/>
                <w:sz w:val="18"/>
                <w:szCs w:val="18"/>
                <w:color w:val="auto"/>
              </w:rPr>
              <w:t>Barclays Capital Inc.</w:t>
            </w: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Lead Managers</w:t>
            </w:r>
          </w:p>
        </w:tc>
        <w:tc>
          <w:tcPr>
            <w:tcW w:w="8900" w:type="dxa"/>
            <w:vAlign w:val="bottom"/>
          </w:tcPr>
          <w:p>
            <w:pPr>
              <w:ind w:left="360"/>
              <w:spacing w:after="0"/>
              <w:rPr>
                <w:sz w:val="20"/>
                <w:szCs w:val="20"/>
                <w:color w:val="auto"/>
              </w:rPr>
            </w:pPr>
            <w:r>
              <w:rPr>
                <w:rFonts w:ascii="Arial" w:cs="Arial" w:eastAsia="Arial" w:hAnsi="Arial"/>
                <w:sz w:val="18"/>
                <w:szCs w:val="18"/>
                <w:color w:val="auto"/>
              </w:rPr>
              <w:t>Credit Suisse Securities (USA) LLC,</w:t>
            </w:r>
          </w:p>
        </w:tc>
      </w:tr>
      <w:tr>
        <w:trPr>
          <w:trHeight w:val="216"/>
        </w:trPr>
        <w:tc>
          <w:tcPr>
            <w:tcW w:w="2520" w:type="dxa"/>
            <w:vAlign w:val="bottom"/>
          </w:tcPr>
          <w:p>
            <w:pPr>
              <w:spacing w:after="0"/>
              <w:rPr>
                <w:sz w:val="18"/>
                <w:szCs w:val="18"/>
                <w:color w:val="auto"/>
              </w:rPr>
            </w:pPr>
          </w:p>
        </w:tc>
        <w:tc>
          <w:tcPr>
            <w:tcW w:w="8900" w:type="dxa"/>
            <w:vAlign w:val="bottom"/>
          </w:tcPr>
          <w:p>
            <w:pPr>
              <w:ind w:left="360"/>
              <w:spacing w:after="0"/>
              <w:rPr>
                <w:sz w:val="20"/>
                <w:szCs w:val="20"/>
                <w:color w:val="auto"/>
              </w:rPr>
            </w:pPr>
            <w:r>
              <w:rPr>
                <w:rFonts w:ascii="Arial" w:cs="Arial" w:eastAsia="Arial" w:hAnsi="Arial"/>
                <w:sz w:val="18"/>
                <w:szCs w:val="18"/>
                <w:color w:val="auto"/>
              </w:rPr>
              <w:t>Deutsche Bank Securities Inc.</w:t>
            </w:r>
          </w:p>
        </w:tc>
      </w:tr>
      <w:tr>
        <w:trPr>
          <w:trHeight w:val="230"/>
        </w:trPr>
        <w:tc>
          <w:tcPr>
            <w:tcW w:w="252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Arial" w:cs="Arial" w:eastAsia="Arial" w:hAnsi="Arial"/>
                <w:sz w:val="18"/>
                <w:szCs w:val="18"/>
                <w:color w:val="auto"/>
              </w:rPr>
              <w:t>Greenwich Capital Markets, Inc.</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Co-Managers</w:t>
            </w:r>
          </w:p>
        </w:tc>
        <w:tc>
          <w:tcPr>
            <w:tcW w:w="8900" w:type="dxa"/>
            <w:vAlign w:val="bottom"/>
          </w:tcPr>
          <w:p>
            <w:pPr>
              <w:ind w:left="360"/>
              <w:spacing w:after="0"/>
              <w:rPr>
                <w:sz w:val="20"/>
                <w:szCs w:val="20"/>
                <w:color w:val="auto"/>
              </w:rPr>
            </w:pPr>
            <w:r>
              <w:rPr>
                <w:rFonts w:ascii="Arial" w:cs="Arial" w:eastAsia="Arial" w:hAnsi="Arial"/>
                <w:sz w:val="18"/>
                <w:szCs w:val="18"/>
                <w:color w:val="auto"/>
              </w:rPr>
              <w:t>2015 Notes -</w:t>
            </w:r>
          </w:p>
        </w:tc>
      </w:tr>
      <w:tr>
        <w:trPr>
          <w:trHeight w:val="216"/>
        </w:trPr>
        <w:tc>
          <w:tcPr>
            <w:tcW w:w="2520" w:type="dxa"/>
            <w:vAlign w:val="bottom"/>
          </w:tcPr>
          <w:p>
            <w:pPr>
              <w:spacing w:after="0"/>
              <w:rPr>
                <w:sz w:val="18"/>
                <w:szCs w:val="18"/>
                <w:color w:val="auto"/>
              </w:rPr>
            </w:pPr>
          </w:p>
        </w:tc>
        <w:tc>
          <w:tcPr>
            <w:tcW w:w="8900" w:type="dxa"/>
            <w:vAlign w:val="bottom"/>
          </w:tcPr>
          <w:p>
            <w:pPr>
              <w:ind w:left="360"/>
              <w:spacing w:after="0"/>
              <w:rPr>
                <w:sz w:val="20"/>
                <w:szCs w:val="20"/>
                <w:color w:val="auto"/>
              </w:rPr>
            </w:pPr>
            <w:r>
              <w:rPr>
                <w:rFonts w:ascii="Arial" w:cs="Arial" w:eastAsia="Arial" w:hAnsi="Arial"/>
                <w:sz w:val="18"/>
                <w:szCs w:val="18"/>
                <w:color w:val="auto"/>
              </w:rPr>
              <w:t>BNP Paribas Securities Corp</w:t>
            </w:r>
          </w:p>
        </w:tc>
      </w:tr>
      <w:tr>
        <w:trPr>
          <w:trHeight w:val="216"/>
        </w:trPr>
        <w:tc>
          <w:tcPr>
            <w:tcW w:w="2520" w:type="dxa"/>
            <w:vAlign w:val="bottom"/>
          </w:tcPr>
          <w:p>
            <w:pPr>
              <w:spacing w:after="0"/>
              <w:rPr>
                <w:sz w:val="18"/>
                <w:szCs w:val="18"/>
                <w:color w:val="auto"/>
              </w:rPr>
            </w:pPr>
          </w:p>
        </w:tc>
        <w:tc>
          <w:tcPr>
            <w:tcW w:w="8900" w:type="dxa"/>
            <w:vAlign w:val="bottom"/>
          </w:tcPr>
          <w:p>
            <w:pPr>
              <w:ind w:left="360"/>
              <w:spacing w:after="0"/>
              <w:rPr>
                <w:sz w:val="20"/>
                <w:szCs w:val="20"/>
                <w:color w:val="auto"/>
              </w:rPr>
            </w:pPr>
            <w:r>
              <w:rPr>
                <w:rFonts w:ascii="Arial" w:cs="Arial" w:eastAsia="Arial" w:hAnsi="Arial"/>
                <w:sz w:val="18"/>
                <w:szCs w:val="18"/>
                <w:color w:val="auto"/>
              </w:rPr>
              <w:t>BNY Mellon Capital Markets LLC</w:t>
            </w:r>
          </w:p>
        </w:tc>
      </w:tr>
      <w:tr>
        <w:trPr>
          <w:trHeight w:val="216"/>
        </w:trPr>
        <w:tc>
          <w:tcPr>
            <w:tcW w:w="2520" w:type="dxa"/>
            <w:vAlign w:val="bottom"/>
          </w:tcPr>
          <w:p>
            <w:pPr>
              <w:spacing w:after="0"/>
              <w:rPr>
                <w:sz w:val="18"/>
                <w:szCs w:val="18"/>
                <w:color w:val="auto"/>
              </w:rPr>
            </w:pPr>
          </w:p>
        </w:tc>
        <w:tc>
          <w:tcPr>
            <w:tcW w:w="8900" w:type="dxa"/>
            <w:vAlign w:val="bottom"/>
          </w:tcPr>
          <w:p>
            <w:pPr>
              <w:ind w:left="360"/>
              <w:spacing w:after="0"/>
              <w:rPr>
                <w:sz w:val="20"/>
                <w:szCs w:val="20"/>
                <w:color w:val="auto"/>
              </w:rPr>
            </w:pPr>
            <w:r>
              <w:rPr>
                <w:rFonts w:ascii="Arial" w:cs="Arial" w:eastAsia="Arial" w:hAnsi="Arial"/>
                <w:sz w:val="18"/>
                <w:szCs w:val="18"/>
                <w:color w:val="auto"/>
              </w:rPr>
              <w:t>Calyon Securities (USA) Inc.</w:t>
            </w:r>
          </w:p>
        </w:tc>
      </w:tr>
      <w:tr>
        <w:trPr>
          <w:trHeight w:val="216"/>
        </w:trPr>
        <w:tc>
          <w:tcPr>
            <w:tcW w:w="2520" w:type="dxa"/>
            <w:vAlign w:val="bottom"/>
          </w:tcPr>
          <w:p>
            <w:pPr>
              <w:spacing w:after="0"/>
              <w:rPr>
                <w:sz w:val="18"/>
                <w:szCs w:val="18"/>
                <w:color w:val="auto"/>
              </w:rPr>
            </w:pPr>
          </w:p>
        </w:tc>
        <w:tc>
          <w:tcPr>
            <w:tcW w:w="8900" w:type="dxa"/>
            <w:vAlign w:val="bottom"/>
          </w:tcPr>
          <w:p>
            <w:pPr>
              <w:ind w:left="360"/>
              <w:spacing w:after="0"/>
              <w:rPr>
                <w:sz w:val="20"/>
                <w:szCs w:val="20"/>
                <w:color w:val="auto"/>
              </w:rPr>
            </w:pPr>
            <w:r>
              <w:rPr>
                <w:rFonts w:ascii="Arial" w:cs="Arial" w:eastAsia="Arial" w:hAnsi="Arial"/>
                <w:sz w:val="18"/>
                <w:szCs w:val="18"/>
                <w:color w:val="auto"/>
              </w:rPr>
              <w:t>PNC Capital Markets LLC</w:t>
            </w:r>
          </w:p>
        </w:tc>
      </w:tr>
      <w:tr>
        <w:trPr>
          <w:trHeight w:val="216"/>
        </w:trPr>
        <w:tc>
          <w:tcPr>
            <w:tcW w:w="2520" w:type="dxa"/>
            <w:vAlign w:val="bottom"/>
          </w:tcPr>
          <w:p>
            <w:pPr>
              <w:spacing w:after="0"/>
              <w:rPr>
                <w:sz w:val="18"/>
                <w:szCs w:val="18"/>
                <w:color w:val="auto"/>
              </w:rPr>
            </w:pPr>
          </w:p>
        </w:tc>
        <w:tc>
          <w:tcPr>
            <w:tcW w:w="8900" w:type="dxa"/>
            <w:vAlign w:val="bottom"/>
          </w:tcPr>
          <w:p>
            <w:pPr>
              <w:ind w:left="360"/>
              <w:spacing w:after="0"/>
              <w:rPr>
                <w:sz w:val="20"/>
                <w:szCs w:val="20"/>
                <w:color w:val="auto"/>
              </w:rPr>
            </w:pPr>
            <w:r>
              <w:rPr>
                <w:rFonts w:ascii="Arial" w:cs="Arial" w:eastAsia="Arial" w:hAnsi="Arial"/>
                <w:sz w:val="18"/>
                <w:szCs w:val="18"/>
                <w:color w:val="auto"/>
              </w:rPr>
              <w:t>Scotia Capital (USA) Inc.</w:t>
            </w:r>
          </w:p>
        </w:tc>
      </w:tr>
      <w:tr>
        <w:trPr>
          <w:trHeight w:val="230"/>
        </w:trPr>
        <w:tc>
          <w:tcPr>
            <w:tcW w:w="252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Arial" w:cs="Arial" w:eastAsia="Arial" w:hAnsi="Arial"/>
                <w:sz w:val="18"/>
                <w:szCs w:val="18"/>
                <w:color w:val="auto"/>
              </w:rPr>
              <w:t>Wells Fargo Securities LLC</w:t>
            </w:r>
          </w:p>
        </w:tc>
      </w:tr>
      <w:tr>
        <w:trPr>
          <w:trHeight w:val="418"/>
        </w:trPr>
        <w:tc>
          <w:tcPr>
            <w:tcW w:w="2520" w:type="dxa"/>
            <w:vAlign w:val="bottom"/>
          </w:tcPr>
          <w:p>
            <w:pPr>
              <w:spacing w:after="0"/>
              <w:rPr>
                <w:sz w:val="24"/>
                <w:szCs w:val="24"/>
                <w:color w:val="auto"/>
              </w:rPr>
            </w:pPr>
          </w:p>
        </w:tc>
        <w:tc>
          <w:tcPr>
            <w:tcW w:w="8900" w:type="dxa"/>
            <w:vAlign w:val="bottom"/>
          </w:tcPr>
          <w:p>
            <w:pPr>
              <w:ind w:left="360"/>
              <w:spacing w:after="0"/>
              <w:rPr>
                <w:sz w:val="20"/>
                <w:szCs w:val="20"/>
                <w:color w:val="auto"/>
              </w:rPr>
            </w:pPr>
            <w:r>
              <w:rPr>
                <w:rFonts w:ascii="Arial" w:cs="Arial" w:eastAsia="Arial" w:hAnsi="Arial"/>
                <w:sz w:val="18"/>
                <w:szCs w:val="18"/>
                <w:color w:val="auto"/>
              </w:rPr>
              <w:t>2019 Notes - BNP Paribas Securities Corp</w:t>
            </w:r>
          </w:p>
        </w:tc>
      </w:tr>
      <w:tr>
        <w:trPr>
          <w:trHeight w:val="216"/>
        </w:trPr>
        <w:tc>
          <w:tcPr>
            <w:tcW w:w="2520" w:type="dxa"/>
            <w:vAlign w:val="bottom"/>
          </w:tcPr>
          <w:p>
            <w:pPr>
              <w:spacing w:after="0"/>
              <w:rPr>
                <w:sz w:val="18"/>
                <w:szCs w:val="18"/>
                <w:color w:val="auto"/>
              </w:rPr>
            </w:pPr>
          </w:p>
        </w:tc>
        <w:tc>
          <w:tcPr>
            <w:tcW w:w="8900" w:type="dxa"/>
            <w:vAlign w:val="bottom"/>
          </w:tcPr>
          <w:p>
            <w:pPr>
              <w:ind w:left="360"/>
              <w:spacing w:after="0"/>
              <w:rPr>
                <w:sz w:val="20"/>
                <w:szCs w:val="20"/>
                <w:color w:val="auto"/>
              </w:rPr>
            </w:pPr>
            <w:r>
              <w:rPr>
                <w:rFonts w:ascii="Arial" w:cs="Arial" w:eastAsia="Arial" w:hAnsi="Arial"/>
                <w:sz w:val="18"/>
                <w:szCs w:val="18"/>
                <w:color w:val="auto"/>
              </w:rPr>
              <w:t>Goldman, Sachs &amp; Co.</w:t>
            </w:r>
          </w:p>
        </w:tc>
      </w:tr>
      <w:tr>
        <w:trPr>
          <w:trHeight w:val="216"/>
        </w:trPr>
        <w:tc>
          <w:tcPr>
            <w:tcW w:w="2520" w:type="dxa"/>
            <w:vAlign w:val="bottom"/>
          </w:tcPr>
          <w:p>
            <w:pPr>
              <w:spacing w:after="0"/>
              <w:rPr>
                <w:sz w:val="18"/>
                <w:szCs w:val="18"/>
                <w:color w:val="auto"/>
              </w:rPr>
            </w:pPr>
          </w:p>
        </w:tc>
        <w:tc>
          <w:tcPr>
            <w:tcW w:w="8900" w:type="dxa"/>
            <w:vAlign w:val="bottom"/>
          </w:tcPr>
          <w:p>
            <w:pPr>
              <w:ind w:left="360"/>
              <w:spacing w:after="0"/>
              <w:rPr>
                <w:sz w:val="20"/>
                <w:szCs w:val="20"/>
                <w:color w:val="auto"/>
              </w:rPr>
            </w:pPr>
            <w:r>
              <w:rPr>
                <w:rFonts w:ascii="Arial" w:cs="Arial" w:eastAsia="Arial" w:hAnsi="Arial"/>
                <w:sz w:val="18"/>
                <w:szCs w:val="18"/>
                <w:color w:val="auto"/>
              </w:rPr>
              <w:t>Mizuho Securities USA Inc.</w:t>
            </w:r>
          </w:p>
        </w:tc>
      </w:tr>
      <w:tr>
        <w:trPr>
          <w:trHeight w:val="216"/>
        </w:trPr>
        <w:tc>
          <w:tcPr>
            <w:tcW w:w="2520" w:type="dxa"/>
            <w:vAlign w:val="bottom"/>
          </w:tcPr>
          <w:p>
            <w:pPr>
              <w:spacing w:after="0"/>
              <w:rPr>
                <w:sz w:val="18"/>
                <w:szCs w:val="18"/>
                <w:color w:val="auto"/>
              </w:rPr>
            </w:pPr>
          </w:p>
        </w:tc>
        <w:tc>
          <w:tcPr>
            <w:tcW w:w="8900" w:type="dxa"/>
            <w:vAlign w:val="bottom"/>
          </w:tcPr>
          <w:p>
            <w:pPr>
              <w:ind w:left="360"/>
              <w:spacing w:after="0"/>
              <w:rPr>
                <w:sz w:val="20"/>
                <w:szCs w:val="20"/>
                <w:color w:val="auto"/>
              </w:rPr>
            </w:pPr>
            <w:r>
              <w:rPr>
                <w:rFonts w:ascii="Arial" w:cs="Arial" w:eastAsia="Arial" w:hAnsi="Arial"/>
                <w:sz w:val="18"/>
                <w:szCs w:val="18"/>
                <w:color w:val="auto"/>
              </w:rPr>
              <w:t>Morgan Keegan &amp; Company, Inc.</w:t>
            </w:r>
          </w:p>
        </w:tc>
      </w:tr>
      <w:tr>
        <w:trPr>
          <w:trHeight w:val="216"/>
        </w:trPr>
        <w:tc>
          <w:tcPr>
            <w:tcW w:w="2520" w:type="dxa"/>
            <w:vAlign w:val="bottom"/>
          </w:tcPr>
          <w:p>
            <w:pPr>
              <w:spacing w:after="0"/>
              <w:rPr>
                <w:sz w:val="18"/>
                <w:szCs w:val="18"/>
                <w:color w:val="auto"/>
              </w:rPr>
            </w:pPr>
          </w:p>
        </w:tc>
        <w:tc>
          <w:tcPr>
            <w:tcW w:w="8900" w:type="dxa"/>
            <w:vAlign w:val="bottom"/>
          </w:tcPr>
          <w:p>
            <w:pPr>
              <w:ind w:left="360"/>
              <w:spacing w:after="0"/>
              <w:rPr>
                <w:sz w:val="20"/>
                <w:szCs w:val="20"/>
                <w:color w:val="auto"/>
              </w:rPr>
            </w:pPr>
            <w:r>
              <w:rPr>
                <w:rFonts w:ascii="Arial" w:cs="Arial" w:eastAsia="Arial" w:hAnsi="Arial"/>
                <w:sz w:val="18"/>
                <w:szCs w:val="18"/>
                <w:color w:val="auto"/>
              </w:rPr>
              <w:t>Scotia Capital (USA) Inc.</w:t>
            </w:r>
          </w:p>
        </w:tc>
      </w:tr>
      <w:tr>
        <w:trPr>
          <w:trHeight w:val="230"/>
        </w:trPr>
        <w:tc>
          <w:tcPr>
            <w:tcW w:w="252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Arial" w:cs="Arial" w:eastAsia="Arial" w:hAnsi="Arial"/>
                <w:sz w:val="18"/>
                <w:szCs w:val="18"/>
                <w:color w:val="auto"/>
              </w:rPr>
              <w:t>SunTrust Robinson Humphrey, Inc.</w:t>
            </w:r>
          </w:p>
        </w:tc>
      </w:tr>
      <w:tr>
        <w:trPr>
          <w:trHeight w:val="418"/>
        </w:trPr>
        <w:tc>
          <w:tcPr>
            <w:tcW w:w="2520" w:type="dxa"/>
            <w:vAlign w:val="bottom"/>
          </w:tcPr>
          <w:p>
            <w:pPr>
              <w:spacing w:after="0"/>
              <w:rPr>
                <w:sz w:val="20"/>
                <w:szCs w:val="20"/>
                <w:color w:val="auto"/>
              </w:rPr>
            </w:pPr>
            <w:r>
              <w:rPr>
                <w:rFonts w:ascii="Arial" w:cs="Arial" w:eastAsia="Arial" w:hAnsi="Arial"/>
                <w:sz w:val="18"/>
                <w:szCs w:val="18"/>
                <w:color w:val="auto"/>
              </w:rPr>
              <w:t>Anticipated Ratings:</w:t>
            </w:r>
          </w:p>
        </w:tc>
        <w:tc>
          <w:tcPr>
            <w:tcW w:w="8900" w:type="dxa"/>
            <w:vAlign w:val="bottom"/>
          </w:tcPr>
          <w:p>
            <w:pPr>
              <w:ind w:left="360"/>
              <w:spacing w:after="0"/>
              <w:rPr>
                <w:sz w:val="20"/>
                <w:szCs w:val="20"/>
                <w:color w:val="auto"/>
              </w:rPr>
            </w:pPr>
            <w:r>
              <w:rPr>
                <w:rFonts w:ascii="Arial" w:cs="Arial" w:eastAsia="Arial" w:hAnsi="Arial"/>
                <w:sz w:val="18"/>
                <w:szCs w:val="18"/>
                <w:color w:val="auto"/>
              </w:rPr>
              <w:t>Moody’s: Baa3 (Stable)</w:t>
            </w:r>
          </w:p>
        </w:tc>
      </w:tr>
      <w:tr>
        <w:trPr>
          <w:trHeight w:val="216"/>
        </w:trPr>
        <w:tc>
          <w:tcPr>
            <w:tcW w:w="2520" w:type="dxa"/>
            <w:vAlign w:val="bottom"/>
          </w:tcPr>
          <w:p>
            <w:pPr>
              <w:spacing w:after="0"/>
              <w:rPr>
                <w:sz w:val="18"/>
                <w:szCs w:val="18"/>
                <w:color w:val="auto"/>
              </w:rPr>
            </w:pPr>
          </w:p>
        </w:tc>
        <w:tc>
          <w:tcPr>
            <w:tcW w:w="8900" w:type="dxa"/>
            <w:vAlign w:val="bottom"/>
          </w:tcPr>
          <w:p>
            <w:pPr>
              <w:ind w:left="360"/>
              <w:spacing w:after="0"/>
              <w:rPr>
                <w:sz w:val="20"/>
                <w:szCs w:val="20"/>
                <w:color w:val="auto"/>
              </w:rPr>
            </w:pPr>
            <w:r>
              <w:rPr>
                <w:rFonts w:ascii="Arial" w:cs="Arial" w:eastAsia="Arial" w:hAnsi="Arial"/>
                <w:sz w:val="18"/>
                <w:szCs w:val="18"/>
                <w:color w:val="auto"/>
              </w:rPr>
              <w:t>S&amp;P: BBB (Stable)</w:t>
            </w:r>
          </w:p>
        </w:tc>
      </w:tr>
      <w:tr>
        <w:trPr>
          <w:trHeight w:val="230"/>
        </w:trPr>
        <w:tc>
          <w:tcPr>
            <w:tcW w:w="2520" w:type="dxa"/>
            <w:vAlign w:val="bottom"/>
          </w:tcPr>
          <w:p>
            <w:pPr>
              <w:spacing w:after="0"/>
              <w:rPr>
                <w:sz w:val="20"/>
                <w:szCs w:val="20"/>
                <w:color w:val="auto"/>
              </w:rPr>
            </w:pPr>
          </w:p>
        </w:tc>
        <w:tc>
          <w:tcPr>
            <w:tcW w:w="8900" w:type="dxa"/>
            <w:vAlign w:val="bottom"/>
          </w:tcPr>
          <w:p>
            <w:pPr>
              <w:ind w:left="360"/>
              <w:spacing w:after="0"/>
              <w:rPr>
                <w:sz w:val="20"/>
                <w:szCs w:val="20"/>
                <w:color w:val="auto"/>
              </w:rPr>
            </w:pPr>
            <w:r>
              <w:rPr>
                <w:rFonts w:ascii="Arial" w:cs="Arial" w:eastAsia="Arial" w:hAnsi="Arial"/>
                <w:sz w:val="18"/>
                <w:szCs w:val="18"/>
                <w:color w:val="auto"/>
              </w:rPr>
              <w:t>Fitch: BBB (Stable)</w:t>
            </w:r>
          </w:p>
        </w:tc>
      </w:tr>
      <w:tr>
        <w:trPr>
          <w:trHeight w:val="632"/>
        </w:trPr>
        <w:tc>
          <w:tcPr>
            <w:tcW w:w="2520" w:type="dxa"/>
            <w:vAlign w:val="bottom"/>
            <w:tcBorders>
              <w:bottom w:val="single" w:sz="8" w:color="808080"/>
            </w:tcBorders>
          </w:tcPr>
          <w:p>
            <w:pPr>
              <w:spacing w:after="0"/>
              <w:rPr>
                <w:sz w:val="24"/>
                <w:szCs w:val="24"/>
                <w:color w:val="auto"/>
              </w:rPr>
            </w:pPr>
          </w:p>
        </w:tc>
        <w:tc>
          <w:tcPr>
            <w:tcW w:w="8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113" w:lineRule="exact"/>
        <w:rPr>
          <w:sz w:val="20"/>
          <w:szCs w:val="20"/>
          <w:color w:val="auto"/>
        </w:rPr>
      </w:pPr>
    </w:p>
    <w:p>
      <w:pPr>
        <w:spacing w:after="0" w:line="295" w:lineRule="auto"/>
        <w:rPr>
          <w:sz w:val="20"/>
          <w:szCs w:val="20"/>
          <w:color w:val="auto"/>
        </w:rPr>
      </w:pPr>
      <w:r>
        <w:rPr>
          <w:rFonts w:ascii="Arial" w:cs="Arial" w:eastAsia="Arial" w:hAnsi="Arial"/>
          <w:sz w:val="16"/>
          <w:szCs w:val="16"/>
          <w:b w:val="1"/>
          <w:bCs w:val="1"/>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calling Barclays Capital Inc. toll-free at 1-888-227-2275, Ext. 2663</w:t>
      </w:r>
      <w:r>
        <w:rPr>
          <w:rFonts w:ascii="Arial" w:cs="Arial" w:eastAsia="Arial" w:hAnsi="Arial"/>
          <w:sz w:val="16"/>
          <w:szCs w:val="16"/>
          <w:color w:val="auto"/>
        </w:rPr>
        <w:t>,</w:t>
      </w:r>
      <w:r>
        <w:rPr>
          <w:rFonts w:ascii="Arial" w:cs="Arial" w:eastAsia="Arial" w:hAnsi="Arial"/>
          <w:sz w:val="16"/>
          <w:szCs w:val="16"/>
          <w:b w:val="1"/>
          <w:bCs w:val="1"/>
          <w:color w:val="auto"/>
        </w:rPr>
        <w:t xml:space="preserve"> Credit Suisse Securities (USA) LLC at 212-325-3225, Deutsche Bank Inc. toll-free at 1-800-503-4611 or Greenwich Capital Markets, Inc. toll-free at 1-866-884-2071.</w:t>
      </w:r>
    </w:p>
    <w:p>
      <w:pPr>
        <w:spacing w:after="0" w:line="5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were automatically generated as a result of this communication being sent via email or another communication system</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260" w:type="dxa"/>
            <w:vAlign w:val="bottom"/>
            <w:gridSpan w:val="3"/>
          </w:tcPr>
          <w:p>
            <w:pPr>
              <w:ind w:left="1240"/>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392"/>
        </w:trPr>
        <w:tc>
          <w:tcPr>
            <w:tcW w:w="3880" w:type="dxa"/>
            <w:vAlign w:val="bottom"/>
            <w:gridSpan w:val="2"/>
          </w:tcPr>
          <w:p>
            <w:pPr>
              <w:spacing w:after="0"/>
              <w:rPr>
                <w:sz w:val="20"/>
                <w:szCs w:val="20"/>
                <w:color w:val="auto"/>
              </w:rPr>
            </w:pPr>
            <w:r>
              <w:rPr>
                <w:rFonts w:ascii="Arial" w:cs="Arial" w:eastAsia="Arial" w:hAnsi="Arial"/>
                <w:sz w:val="18"/>
                <w:szCs w:val="18"/>
                <w:b w:val="1"/>
                <w:bCs w:val="1"/>
                <w:color w:val="auto"/>
              </w:rPr>
              <w:t>Representatives</w:t>
            </w:r>
          </w:p>
        </w:tc>
        <w:tc>
          <w:tcPr>
            <w:tcW w:w="2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388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2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Credit Suisse Securities (USA) LLC</w:t>
            </w:r>
          </w:p>
        </w:tc>
        <w:tc>
          <w:tcPr>
            <w:tcW w:w="2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29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gridSpan w:val="2"/>
          </w:tcPr>
          <w:p>
            <w:pPr>
              <w:spacing w:after="0"/>
              <w:rPr>
                <w:sz w:val="20"/>
                <w:szCs w:val="20"/>
                <w:color w:val="auto"/>
              </w:rPr>
            </w:pPr>
            <w:r>
              <w:rPr>
                <w:rFonts w:ascii="Arial" w:cs="Arial" w:eastAsia="Arial" w:hAnsi="Arial"/>
                <w:sz w:val="18"/>
                <w:szCs w:val="18"/>
                <w:color w:val="auto"/>
              </w:rPr>
              <w:t>Greenwich Capital Markets, Inc.</w:t>
            </w:r>
          </w:p>
        </w:tc>
        <w:tc>
          <w:tcPr>
            <w:tcW w:w="2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2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Amount</w:t>
            </w:r>
          </w:p>
        </w:tc>
        <w:tc>
          <w:tcPr>
            <w:tcW w:w="0" w:type="dxa"/>
            <w:vAlign w:val="bottom"/>
          </w:tcPr>
          <w:p>
            <w:pPr>
              <w:spacing w:after="0"/>
              <w:rPr>
                <w:sz w:val="1"/>
                <w:szCs w:val="1"/>
                <w:color w:val="auto"/>
              </w:rPr>
            </w:pPr>
          </w:p>
        </w:tc>
      </w:tr>
      <w:tr>
        <w:trPr>
          <w:trHeight w:val="149"/>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Underwriters</w:t>
            </w:r>
          </w:p>
        </w:tc>
        <w:tc>
          <w:tcPr>
            <w:tcW w:w="2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Notes due 2015</w:t>
            </w:r>
          </w:p>
        </w:tc>
        <w:tc>
          <w:tcPr>
            <w:tcW w:w="0" w:type="dxa"/>
            <w:vAlign w:val="bottom"/>
          </w:tcPr>
          <w:p>
            <w:pPr>
              <w:spacing w:after="0"/>
              <w:rPr>
                <w:sz w:val="1"/>
                <w:szCs w:val="1"/>
                <w:color w:val="auto"/>
              </w:rPr>
            </w:pPr>
          </w:p>
        </w:tc>
      </w:tr>
      <w:tr>
        <w:trPr>
          <w:trHeight w:val="171"/>
        </w:trPr>
        <w:tc>
          <w:tcPr>
            <w:tcW w:w="3880" w:type="dxa"/>
            <w:vAlign w:val="bottom"/>
            <w:tcBorders>
              <w:bottom w:val="single" w:sz="8" w:color="auto"/>
            </w:tcBorders>
            <w:gridSpan w:val="2"/>
            <w:vMerge w:val="continue"/>
          </w:tcPr>
          <w:p>
            <w:pPr>
              <w:spacing w:after="0"/>
              <w:rPr>
                <w:sz w:val="14"/>
                <w:szCs w:val="14"/>
                <w:color w:val="auto"/>
              </w:rPr>
            </w:pPr>
          </w:p>
        </w:tc>
        <w:tc>
          <w:tcPr>
            <w:tcW w:w="298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Purchased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Amount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of Notes due 2019</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to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3810</wp:posOffset>
            </wp:positionV>
            <wp:extent cx="115760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19" w:lineRule="exact"/>
        <w:rPr>
          <w:sz w:val="20"/>
          <w:szCs w:val="20"/>
          <w:color w:val="auto"/>
        </w:rPr>
      </w:pPr>
    </w:p>
    <w:p>
      <w:pPr>
        <w:sectPr>
          <w:pgSz w:w="11900" w:h="16838" w:orient="portrait"/>
          <w:cols w:equalWidth="0" w:num="2">
            <w:col w:w="9240" w:space="720"/>
            <w:col w:w="1460"/>
          </w:cols>
          <w:pgMar w:left="240" w:top="959" w:right="239" w:bottom="1440" w:gutter="0" w:footer="0" w:header="0"/>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Barclays Capital Inc.</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70,000,000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90,000,000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Credit Suisse Securities (USA) LLC</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70,000,000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90,000,000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70,000,000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90,000,000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Greenwich Capital Markets, Inc.</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70,000,000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90,000,000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11,667,000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15,000,000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BNY Mellon Capital Markets LLC</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11,667,000</w:t>
            </w:r>
          </w:p>
        </w:tc>
        <w:tc>
          <w:tcPr>
            <w:tcW w:w="7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Calyon Securities (USA) Inc.</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11,667,000</w:t>
            </w:r>
          </w:p>
        </w:tc>
        <w:tc>
          <w:tcPr>
            <w:tcW w:w="7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Goldman, Sachs &amp; Co.</w:t>
            </w:r>
          </w:p>
        </w:tc>
        <w:tc>
          <w:tcPr>
            <w:tcW w:w="262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15,000,000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Mizuho Securities USA Inc.</w:t>
            </w:r>
          </w:p>
        </w:tc>
        <w:tc>
          <w:tcPr>
            <w:tcW w:w="26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15,000,000</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Morgan Keegan &amp; Company, Inc.</w:t>
            </w:r>
          </w:p>
        </w:tc>
        <w:tc>
          <w:tcPr>
            <w:tcW w:w="2620" w:type="dxa"/>
            <w:vAlign w:val="bottom"/>
          </w:tcPr>
          <w:p>
            <w:pPr>
              <w:spacing w:after="0"/>
              <w:rPr>
                <w:sz w:val="18"/>
                <w:szCs w:val="18"/>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15,000,000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PNC Capital Markets LLC</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11,667,000</w:t>
            </w:r>
          </w:p>
        </w:tc>
        <w:tc>
          <w:tcPr>
            <w:tcW w:w="7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Scotia Capital (USA) Inc.</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11,666,000</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15,000,000</w:t>
            </w: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2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15,000,000</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Wells Fargo Securities LLC</w:t>
            </w:r>
          </w:p>
        </w:tc>
        <w:tc>
          <w:tcPr>
            <w:tcW w:w="262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w w:val="97"/>
              </w:rPr>
              <w:t>11,666,000</w:t>
            </w:r>
          </w:p>
        </w:tc>
        <w:tc>
          <w:tcPr>
            <w:tcW w:w="740" w:type="dxa"/>
            <w:vAlign w:val="bottom"/>
          </w:tcPr>
          <w:p>
            <w:pPr>
              <w:spacing w:after="0"/>
              <w:rPr>
                <w:sz w:val="20"/>
                <w:szCs w:val="20"/>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r>
      <w:tr>
        <w:trPr>
          <w:trHeight w:val="202"/>
        </w:trPr>
        <w:tc>
          <w:tcPr>
            <w:tcW w:w="51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216"/>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7"/>
              </w:rPr>
              <w:t>350,000,000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450,000,000</w:t>
            </w:r>
          </w:p>
        </w:tc>
      </w:tr>
      <w:tr>
        <w:trPr>
          <w:trHeight w:val="639"/>
        </w:trPr>
        <w:tc>
          <w:tcPr>
            <w:tcW w:w="5160" w:type="dxa"/>
            <w:vAlign w:val="bottom"/>
            <w:tcBorders>
              <w:bottom w:val="single" w:sz="8" w:color="808080"/>
            </w:tcBorders>
          </w:tcPr>
          <w:p>
            <w:pPr>
              <w:spacing w:after="0"/>
              <w:rPr>
                <w:sz w:val="24"/>
                <w:szCs w:val="24"/>
                <w:color w:val="auto"/>
              </w:rPr>
            </w:pPr>
          </w:p>
        </w:tc>
        <w:tc>
          <w:tcPr>
            <w:tcW w:w="2620" w:type="dxa"/>
            <w:vAlign w:val="bottom"/>
            <w:tcBorders>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900" w:type="dxa"/>
            <w:vAlign w:val="bottom"/>
            <w:tcBorders>
              <w:top w:val="single" w:sz="8" w:color="auto"/>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type w:val="continuous"/>
        </w:sectPr>
      </w:pPr>
    </w:p>
    <w:bookmarkStart w:id="42" w:name="page43"/>
    <w:bookmarkEnd w:id="42"/>
    <w:p>
      <w:pPr>
        <w:jc w:val="center"/>
        <w:ind w:right="-1220"/>
        <w:spacing w:after="0"/>
        <w:rPr>
          <w:sz w:val="20"/>
          <w:szCs w:val="20"/>
          <w:color w:val="auto"/>
        </w:rPr>
      </w:pPr>
      <w:r>
        <w:rPr>
          <w:rFonts w:ascii="Arial" w:cs="Arial" w:eastAsia="Arial" w:hAnsi="Arial"/>
          <w:sz w:val="18"/>
          <w:szCs w:val="18"/>
          <w:b w:val="1"/>
          <w:bCs w:val="1"/>
          <w:color w:val="auto"/>
        </w:rPr>
        <w:t>ANNEX A</w:t>
      </w:r>
    </w:p>
    <w:p>
      <w:pPr>
        <w:spacing w:after="0" w:line="121" w:lineRule="exact"/>
        <w:rPr>
          <w:sz w:val="20"/>
          <w:szCs w:val="20"/>
          <w:color w:val="auto"/>
        </w:rPr>
      </w:pPr>
    </w:p>
    <w:p>
      <w:pPr>
        <w:jc w:val="center"/>
        <w:ind w:right="-1220"/>
        <w:spacing w:after="0"/>
        <w:rPr>
          <w:sz w:val="20"/>
          <w:szCs w:val="20"/>
          <w:color w:val="auto"/>
        </w:rPr>
      </w:pPr>
      <w:r>
        <w:rPr>
          <w:rFonts w:ascii="Arial" w:cs="Arial" w:eastAsia="Arial" w:hAnsi="Arial"/>
          <w:sz w:val="16"/>
          <w:szCs w:val="16"/>
          <w:color w:val="auto"/>
        </w:rPr>
        <w:t>FREE WRITING PROSPECTUSES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Schedule I attached to this Underwriting Agreement.</w:t>
      </w:r>
    </w:p>
    <w:p>
      <w:pPr>
        <w:sectPr>
          <w:pgSz w:w="11900" w:h="16838" w:orient="portrait"/>
          <w:cols w:equalWidth="0" w:num="1">
            <w:col w:w="10219"/>
          </w:cols>
          <w:pgMar w:left="240" w:top="959" w:right="1440"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4.2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103"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undersigned, the Vice President — Finance and Treasurer, and the Corporate Secretary of Waste Management, Inc. (the “Company”), hereby certify that:</w:t>
      </w:r>
    </w:p>
    <w:p>
      <w:pPr>
        <w:spacing w:after="0" w:line="62" w:lineRule="exact"/>
        <w:rPr>
          <w:sz w:val="20"/>
          <w:szCs w:val="20"/>
          <w:color w:val="auto"/>
        </w:rPr>
      </w:pPr>
    </w:p>
    <w:p>
      <w:pPr>
        <w:ind w:right="60" w:firstLine="233"/>
        <w:spacing w:after="0" w:line="279" w:lineRule="auto"/>
        <w:tabs>
          <w:tab w:leader="none" w:pos="402"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February 26, 2009 (the “Order”) for the authentication and delivery by the Trustee of $350,000,000 aggregate principal amount of 6.375% Notes due 2015 (the “Notes”).</w:t>
      </w:r>
    </w:p>
    <w:p>
      <w:pPr>
        <w:spacing w:after="0" w:line="63" w:lineRule="exact"/>
        <w:rPr>
          <w:rFonts w:ascii="Arial" w:cs="Arial" w:eastAsia="Arial" w:hAnsi="Arial"/>
          <w:sz w:val="17"/>
          <w:szCs w:val="17"/>
          <w:color w:val="auto"/>
        </w:rPr>
      </w:pPr>
    </w:p>
    <w:p>
      <w:pPr>
        <w:ind w:left="400" w:hanging="167"/>
        <w:spacing w:after="0"/>
        <w:tabs>
          <w:tab w:leader="none" w:pos="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undersigned have read Sections 102, 103, 301 and 303 of the Indenture and the definitions in the Indenture relating thereto.</w:t>
      </w:r>
    </w:p>
    <w:p>
      <w:pPr>
        <w:spacing w:after="0" w:line="117" w:lineRule="exact"/>
        <w:rPr>
          <w:rFonts w:ascii="Arial" w:cs="Arial" w:eastAsia="Arial" w:hAnsi="Arial"/>
          <w:sz w:val="18"/>
          <w:szCs w:val="18"/>
          <w:color w:val="auto"/>
        </w:rPr>
      </w:pPr>
    </w:p>
    <w:p>
      <w:pPr>
        <w:ind w:right="360" w:firstLine="233"/>
        <w:spacing w:after="0" w:line="342" w:lineRule="auto"/>
        <w:tabs>
          <w:tab w:leader="none" w:pos="40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5" w:lineRule="exact"/>
        <w:rPr>
          <w:rFonts w:ascii="Arial" w:cs="Arial" w:eastAsia="Arial" w:hAnsi="Arial"/>
          <w:sz w:val="16"/>
          <w:szCs w:val="16"/>
          <w:color w:val="auto"/>
        </w:rPr>
      </w:pPr>
    </w:p>
    <w:p>
      <w:pPr>
        <w:ind w:left="400" w:hanging="167"/>
        <w:spacing w:after="0"/>
        <w:tabs>
          <w:tab w:leader="none" w:pos="4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undersigned have examined the Order, and they have examined the covenants, conditions and provisions of the Indenture relating thereto.</w:t>
      </w:r>
    </w:p>
    <w:p>
      <w:pPr>
        <w:spacing w:after="0" w:line="128" w:lineRule="exact"/>
        <w:rPr>
          <w:rFonts w:ascii="Arial" w:cs="Arial" w:eastAsia="Arial" w:hAnsi="Arial"/>
          <w:sz w:val="17"/>
          <w:szCs w:val="17"/>
          <w:color w:val="auto"/>
        </w:rPr>
      </w:pPr>
    </w:p>
    <w:p>
      <w:pPr>
        <w:ind w:right="360" w:firstLine="233"/>
        <w:spacing w:after="0" w:line="308" w:lineRule="auto"/>
        <w:tabs>
          <w:tab w:leader="none" w:pos="405"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the opinion of the persons making this Certificate, they have made such examination or investigation as is necessary to enable them to express an informed opinion as to whether or not all conditions provided for in the Indenture with respect to the Order have been complied with.</w:t>
      </w:r>
    </w:p>
    <w:p>
      <w:pPr>
        <w:spacing w:after="0" w:line="38" w:lineRule="exact"/>
        <w:rPr>
          <w:rFonts w:ascii="Arial" w:cs="Arial" w:eastAsia="Arial" w:hAnsi="Arial"/>
          <w:sz w:val="17"/>
          <w:szCs w:val="17"/>
          <w:color w:val="auto"/>
        </w:rPr>
      </w:pPr>
    </w:p>
    <w:p>
      <w:pPr>
        <w:ind w:right="120" w:firstLine="233"/>
        <w:spacing w:after="0" w:line="277" w:lineRule="auto"/>
        <w:tabs>
          <w:tab w:leader="none" w:pos="395"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conditions precedent provided in the Indenture to the authentication by the Trustee of $350,000,000 aggregate principal amount of Notes have been complied with, and such Notes may be delivered in accordance with the Order as provided in the Indenture.</w:t>
      </w:r>
    </w:p>
    <w:p>
      <w:pPr>
        <w:spacing w:after="0" w:line="62" w:lineRule="exact"/>
        <w:rPr>
          <w:rFonts w:ascii="Arial" w:cs="Arial" w:eastAsia="Arial" w:hAnsi="Arial"/>
          <w:sz w:val="18"/>
          <w:szCs w:val="18"/>
          <w:color w:val="auto"/>
        </w:rPr>
      </w:pPr>
    </w:p>
    <w:p>
      <w:pPr>
        <w:jc w:val="both"/>
        <w:ind w:firstLine="233"/>
        <w:spacing w:after="0" w:line="264" w:lineRule="auto"/>
        <w:tabs>
          <w:tab w:leader="none" w:pos="4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terms of the Notes (including the Form of Note) as set forth in Annex A to this Officers’ Certificate have been approved by officers of the Company as duly authorized by resolutions of the Board of Directors of the Company as of August 25, 2006 and such resolutions, copies of which are attached hereto as Annex B, are in full force and effect as of the date hereof.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t>IN WITNESS WHEREOF, the undersigned has hereunto executed this Certificate as of February 26, 2009.</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-130175</wp:posOffset>
            </wp:positionV>
            <wp:extent cx="268414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Vice President — Finance and Treasurer</w:t>
      </w:r>
    </w:p>
    <w:p>
      <w:pPr>
        <w:spacing w:after="0" w:line="200" w:lineRule="exact"/>
        <w:rPr>
          <w:sz w:val="20"/>
          <w:szCs w:val="20"/>
          <w:color w:val="auto"/>
        </w:rPr>
      </w:pPr>
    </w:p>
    <w:p>
      <w:pPr>
        <w:spacing w:after="0" w:line="2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Linda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-130175</wp:posOffset>
            </wp:positionV>
            <wp:extent cx="26841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Corporate Secretary</w:t>
      </w:r>
    </w:p>
    <w:p>
      <w:pPr>
        <w:spacing w:after="0" w:line="400"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5" w:right="1440"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Annex A</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Notes</w:t>
      </w:r>
    </w:p>
    <w:p>
      <w:pPr>
        <w:spacing w:after="0" w:line="121"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Pursuant to authority granted by the Board of Directors of the Company on August 25, 2006 and the Sole Director of Waste Management Holdings, Inc. on October 30, 2009 and February 17, 2009,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50"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title of the series of Securities shall be “6.375% Senior Notes due 2015” (the “Notes”).</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130" w:lineRule="exact"/>
        <w:rPr>
          <w:rFonts w:ascii="Arial" w:cs="Arial" w:eastAsia="Arial" w:hAnsi="Arial"/>
          <w:sz w:val="18"/>
          <w:szCs w:val="18"/>
          <w:color w:val="auto"/>
        </w:rPr>
      </w:pPr>
    </w:p>
    <w:p>
      <w:pPr>
        <w:ind w:left="340" w:right="120" w:hanging="332"/>
        <w:spacing w:after="0" w:line="279"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initial aggregate principal amount of the Notes that may be authenticated and delivered under the Indenture shall be $350,000,000 (except for Notes authenticated and delivered upon registration of transfer of, or in exchange for, or in lieu of, other Notes pursuant to Section 304, 305, 306, 907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76" w:lineRule="exact"/>
        <w:rPr>
          <w:rFonts w:ascii="Arial" w:cs="Arial" w:eastAsia="Arial" w:hAnsi="Arial"/>
          <w:sz w:val="17"/>
          <w:szCs w:val="17"/>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March 11, 2015.</w:t>
      </w:r>
    </w:p>
    <w:p>
      <w:pPr>
        <w:spacing w:after="0" w:line="130" w:lineRule="exact"/>
        <w:rPr>
          <w:rFonts w:ascii="Arial" w:cs="Arial" w:eastAsia="Arial" w:hAnsi="Arial"/>
          <w:sz w:val="18"/>
          <w:szCs w:val="18"/>
          <w:color w:val="auto"/>
        </w:rPr>
      </w:pPr>
    </w:p>
    <w:p>
      <w:pPr>
        <w:ind w:left="340" w:right="200" w:hanging="332"/>
        <w:spacing w:after="0" w:line="302" w:lineRule="auto"/>
        <w:tabs>
          <w:tab w:leader="none" w:pos="3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Each Note shall bear interest from February 26, 2009 at the fixed rate of 6.375% per annum; the Interest Payment Dates on which such interest shall be payable shall be March 11 and September 11, of each year, commencing September 11, 2009, until maturity unless such date falls on a day that is not a Business Day, in which case, such payment shall be made on the next day that is a Business Day. The Regular Record Date for the determination of Holders to whom interest is payable shall be March 1 or September 1, respectively, immediately preceding such date, as the case may be.</w:t>
      </w:r>
    </w:p>
    <w:p>
      <w:pPr>
        <w:spacing w:after="0" w:line="59" w:lineRule="exact"/>
        <w:rPr>
          <w:rFonts w:ascii="Arial" w:cs="Arial" w:eastAsia="Arial" w:hAnsi="Arial"/>
          <w:sz w:val="16"/>
          <w:szCs w:val="16"/>
          <w:color w:val="auto"/>
        </w:rPr>
      </w:pPr>
    </w:p>
    <w:p>
      <w:pPr>
        <w:ind w:left="340" w:right="140" w:hanging="332"/>
        <w:spacing w:after="0" w:line="264"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us to purchase all or a portion of such Holder’s Notes at a price equal to 101% of the principal amount, plus accrued interest, if any, to the date of purchase, on the terms and subject to the conditions set forth in the Notes.</w:t>
      </w:r>
    </w:p>
    <w:p>
      <w:pPr>
        <w:spacing w:after="0" w:line="86" w:lineRule="exact"/>
        <w:rPr>
          <w:rFonts w:ascii="Arial" w:cs="Arial" w:eastAsia="Arial" w:hAnsi="Arial"/>
          <w:sz w:val="18"/>
          <w:szCs w:val="18"/>
          <w:color w:val="auto"/>
        </w:rPr>
      </w:pPr>
    </w:p>
    <w:p>
      <w:pPr>
        <w:ind w:left="340" w:right="20" w:hanging="332"/>
        <w:spacing w:after="0" w:line="259"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p>
      <w:pPr>
        <w:ind w:left="412" w:right="200" w:hanging="412"/>
        <w:spacing w:after="0" w:line="259" w:lineRule="auto"/>
        <w:tabs>
          <w:tab w:leader="none" w:pos="4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92" w:lineRule="exact"/>
        <w:rPr>
          <w:rFonts w:ascii="Arial" w:cs="Arial" w:eastAsia="Arial" w:hAnsi="Arial"/>
          <w:sz w:val="18"/>
          <w:szCs w:val="18"/>
          <w:color w:val="auto"/>
        </w:rPr>
      </w:pPr>
    </w:p>
    <w:p>
      <w:pPr>
        <w:ind w:left="412" w:hanging="412"/>
        <w:spacing w:after="0" w:line="297" w:lineRule="auto"/>
        <w:tabs>
          <w:tab w:leader="none" w:pos="41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Notes will be redeemable, at the option of the Company, at any time in whole, or from time to time in part, at a Redemption Price equal to the greater of (i) 100% of the principal amount of the Notes to be redeemed or (ii) the sum of the present value of the remaining scheduled payments of principal and interest (at the rate in effect on the date of calculation of the Redemption Price) thereon (exclusive of interest accrued to the Redemption Date (as defined in the Notes)) discounted to the Redemption Date on a semiannual basis (assuming a 360 day year consisting of twelve 30-day months) at the applicable Treasury Yield (as defined in the Notes) plus 50 basis points; plus, in either case, accrued interest to the Redemption Date.</w:t>
      </w:r>
    </w:p>
    <w:p>
      <w:pPr>
        <w:spacing w:after="0" w:line="63" w:lineRule="exact"/>
        <w:rPr>
          <w:rFonts w:ascii="Arial" w:cs="Arial" w:eastAsia="Arial" w:hAnsi="Arial"/>
          <w:sz w:val="16"/>
          <w:szCs w:val="16"/>
          <w:color w:val="auto"/>
        </w:rPr>
      </w:pPr>
    </w:p>
    <w:p>
      <w:pPr>
        <w:ind w:left="412" w:right="520" w:hanging="412"/>
        <w:spacing w:after="0" w:line="277" w:lineRule="auto"/>
        <w:tabs>
          <w:tab w:leader="none" w:pos="4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75" w:lineRule="exact"/>
        <w:rPr>
          <w:rFonts w:ascii="Arial" w:cs="Arial" w:eastAsia="Arial" w:hAnsi="Arial"/>
          <w:sz w:val="18"/>
          <w:szCs w:val="18"/>
          <w:color w:val="auto"/>
        </w:rPr>
      </w:pPr>
    </w:p>
    <w:p>
      <w:pPr>
        <w:ind w:left="412" w:hanging="412"/>
        <w:spacing w:after="0" w:line="277" w:lineRule="auto"/>
        <w:tabs>
          <w:tab w:leader="none" w:pos="4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75" w:lineRule="exact"/>
        <w:rPr>
          <w:rFonts w:ascii="Arial" w:cs="Arial" w:eastAsia="Arial" w:hAnsi="Arial"/>
          <w:sz w:val="18"/>
          <w:szCs w:val="18"/>
          <w:color w:val="auto"/>
        </w:rPr>
      </w:pPr>
    </w:p>
    <w:p>
      <w:pPr>
        <w:ind w:left="412" w:hanging="412"/>
        <w:spacing w:after="0"/>
        <w:tabs>
          <w:tab w:leader="none" w:pos="4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130" w:lineRule="exact"/>
        <w:rPr>
          <w:rFonts w:ascii="Arial" w:cs="Arial" w:eastAsia="Arial" w:hAnsi="Arial"/>
          <w:sz w:val="18"/>
          <w:szCs w:val="18"/>
          <w:color w:val="auto"/>
        </w:rPr>
      </w:pPr>
    </w:p>
    <w:p>
      <w:pPr>
        <w:ind w:left="412" w:right="400" w:hanging="412"/>
        <w:spacing w:after="0" w:line="277" w:lineRule="auto"/>
        <w:tabs>
          <w:tab w:leader="none" w:pos="4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Bank of New York Mellon, on behalf (for the benefit) of The Bank of New York Mellon Trust Company, N.A., shall serve initially as Security Registrar for the Notes.</w:t>
      </w:r>
    </w:p>
    <w:p>
      <w:pPr>
        <w:spacing w:after="0" w:line="75" w:lineRule="exact"/>
        <w:rPr>
          <w:rFonts w:ascii="Arial" w:cs="Arial" w:eastAsia="Arial" w:hAnsi="Arial"/>
          <w:sz w:val="18"/>
          <w:szCs w:val="18"/>
          <w:color w:val="auto"/>
        </w:rPr>
      </w:pPr>
    </w:p>
    <w:p>
      <w:pPr>
        <w:ind w:left="412" w:hanging="412"/>
        <w:spacing w:after="0"/>
        <w:tabs>
          <w:tab w:leader="none" w:pos="4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130" w:lineRule="exact"/>
        <w:rPr>
          <w:rFonts w:ascii="Arial" w:cs="Arial" w:eastAsia="Arial" w:hAnsi="Arial"/>
          <w:sz w:val="18"/>
          <w:szCs w:val="18"/>
          <w:color w:val="auto"/>
        </w:rPr>
      </w:pPr>
    </w:p>
    <w:p>
      <w:pPr>
        <w:ind w:left="412" w:right="180" w:hanging="412"/>
        <w:spacing w:after="0" w:line="302" w:lineRule="auto"/>
        <w:tabs>
          <w:tab w:leader="none" w:pos="41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Notes will be fully and unconditionally guaranteed on a senior basis by the Company’s wholly-owned subsidiary, Waste Management Holdings, Inc., pursuant to the terms and conditions of a Guarantee Agreement dated February 26, 2009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6" w:right="2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ANNEX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BOOK-ENTRY SECURITY</w:t>
      </w:r>
    </w:p>
    <w:p>
      <w:pPr>
        <w:spacing w:after="0" w:line="117" w:lineRule="exact"/>
        <w:rPr>
          <w:sz w:val="20"/>
          <w:szCs w:val="20"/>
          <w:color w:val="auto"/>
        </w:rPr>
      </w:pPr>
    </w:p>
    <w:p>
      <w:pPr>
        <w:ind w:right="260" w:firstLine="222"/>
        <w:spacing w:after="0" w:line="273"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7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RGN-1</w:t>
            </w:r>
          </w:p>
        </w:tc>
        <w:tc>
          <w:tcPr>
            <w:tcW w:w="3060" w:type="dxa"/>
            <w:vAlign w:val="bottom"/>
          </w:tcPr>
          <w:p>
            <w:pPr>
              <w:jc w:val="right"/>
              <w:spacing w:after="0"/>
              <w:rPr>
                <w:sz w:val="20"/>
                <w:szCs w:val="20"/>
                <w:color w:val="auto"/>
              </w:rPr>
            </w:pPr>
            <w:r>
              <w:rPr>
                <w:rFonts w:ascii="Arial" w:cs="Arial" w:eastAsia="Arial" w:hAnsi="Arial"/>
                <w:sz w:val="18"/>
                <w:szCs w:val="18"/>
                <w:color w:val="auto"/>
              </w:rPr>
              <w:t>Principal Amount</w:t>
            </w:r>
          </w:p>
        </w:tc>
      </w:tr>
      <w:tr>
        <w:trPr>
          <w:trHeight w:val="418"/>
        </w:trPr>
        <w:tc>
          <w:tcPr>
            <w:tcW w:w="8360" w:type="dxa"/>
            <w:vAlign w:val="bottom"/>
          </w:tcPr>
          <w:p>
            <w:pPr>
              <w:spacing w:after="0"/>
              <w:rPr>
                <w:sz w:val="24"/>
                <w:szCs w:val="24"/>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U.S. $350,000,000,</w:t>
            </w:r>
          </w:p>
        </w:tc>
      </w:tr>
      <w:tr>
        <w:trPr>
          <w:trHeight w:val="216"/>
        </w:trPr>
        <w:tc>
          <w:tcPr>
            <w:tcW w:w="8360" w:type="dxa"/>
            <w:vAlign w:val="bottom"/>
          </w:tcPr>
          <w:p>
            <w:pPr>
              <w:spacing w:after="0"/>
              <w:rPr>
                <w:sz w:val="18"/>
                <w:szCs w:val="18"/>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which may be decreased</w:t>
            </w:r>
          </w:p>
        </w:tc>
      </w:tr>
      <w:tr>
        <w:trPr>
          <w:trHeight w:val="216"/>
        </w:trPr>
        <w:tc>
          <w:tcPr>
            <w:tcW w:w="8360" w:type="dxa"/>
            <w:vAlign w:val="bottom"/>
          </w:tcPr>
          <w:p>
            <w:pPr>
              <w:spacing w:after="0"/>
              <w:rPr>
                <w:sz w:val="18"/>
                <w:szCs w:val="18"/>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by the Schedule of</w:t>
            </w:r>
          </w:p>
        </w:tc>
      </w:tr>
      <w:tr>
        <w:trPr>
          <w:trHeight w:val="216"/>
        </w:trPr>
        <w:tc>
          <w:tcPr>
            <w:tcW w:w="8360" w:type="dxa"/>
            <w:vAlign w:val="bottom"/>
          </w:tcPr>
          <w:p>
            <w:pPr>
              <w:spacing w:after="0"/>
              <w:rPr>
                <w:sz w:val="18"/>
                <w:szCs w:val="18"/>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Exchanges of Definitive</w:t>
            </w:r>
          </w:p>
        </w:tc>
      </w:tr>
      <w:tr>
        <w:trPr>
          <w:trHeight w:val="230"/>
        </w:trPr>
        <w:tc>
          <w:tcPr>
            <w:tcW w:w="8360" w:type="dxa"/>
            <w:vAlign w:val="bottom"/>
          </w:tcPr>
          <w:p>
            <w:pPr>
              <w:jc w:val="center"/>
              <w:ind w:left="2970"/>
              <w:spacing w:after="0"/>
              <w:rPr>
                <w:sz w:val="20"/>
                <w:szCs w:val="20"/>
                <w:color w:val="auto"/>
              </w:rPr>
            </w:pPr>
            <w:r>
              <w:rPr>
                <w:rFonts w:ascii="Arial" w:cs="Arial" w:eastAsia="Arial" w:hAnsi="Arial"/>
                <w:sz w:val="18"/>
                <w:szCs w:val="18"/>
                <w:color w:val="auto"/>
                <w:w w:val="97"/>
              </w:rPr>
              <w:t>WASTE MANAGEMENT, INC.</w:t>
            </w:r>
          </w:p>
        </w:tc>
        <w:tc>
          <w:tcPr>
            <w:tcW w:w="3060" w:type="dxa"/>
            <w:vAlign w:val="bottom"/>
          </w:tcPr>
          <w:p>
            <w:pPr>
              <w:jc w:val="right"/>
              <w:spacing w:after="0"/>
              <w:rPr>
                <w:sz w:val="20"/>
                <w:szCs w:val="20"/>
                <w:color w:val="auto"/>
              </w:rPr>
            </w:pPr>
            <w:r>
              <w:rPr>
                <w:rFonts w:ascii="Arial" w:cs="Arial" w:eastAsia="Arial" w:hAnsi="Arial"/>
                <w:sz w:val="18"/>
                <w:szCs w:val="18"/>
                <w:color w:val="auto"/>
              </w:rPr>
              <w:t>Security attached hereto</w:t>
            </w:r>
          </w:p>
        </w:tc>
      </w:tr>
      <w:tr>
        <w:trPr>
          <w:trHeight w:val="432"/>
        </w:trPr>
        <w:tc>
          <w:tcPr>
            <w:tcW w:w="8360" w:type="dxa"/>
            <w:vAlign w:val="bottom"/>
          </w:tcPr>
          <w:p>
            <w:pPr>
              <w:jc w:val="center"/>
              <w:ind w:left="2970"/>
              <w:spacing w:after="0"/>
              <w:rPr>
                <w:sz w:val="20"/>
                <w:szCs w:val="20"/>
                <w:color w:val="auto"/>
              </w:rPr>
            </w:pPr>
            <w:r>
              <w:rPr>
                <w:rFonts w:ascii="Arial" w:cs="Arial" w:eastAsia="Arial" w:hAnsi="Arial"/>
                <w:sz w:val="18"/>
                <w:szCs w:val="18"/>
                <w:color w:val="auto"/>
                <w:w w:val="93"/>
              </w:rPr>
              <w:t>6.375% SENIOR NOTES DUE 2015</w:t>
            </w:r>
          </w:p>
        </w:tc>
        <w:tc>
          <w:tcPr>
            <w:tcW w:w="3060" w:type="dxa"/>
            <w:vAlign w:val="bottom"/>
          </w:tcPr>
          <w:p>
            <w:pPr>
              <w:spacing w:after="0"/>
              <w:rPr>
                <w:sz w:val="24"/>
                <w:szCs w:val="24"/>
                <w:color w:val="auto"/>
              </w:rPr>
            </w:pPr>
          </w:p>
        </w:tc>
      </w:tr>
      <w:tr>
        <w:trPr>
          <w:trHeight w:val="432"/>
        </w:trPr>
        <w:tc>
          <w:tcPr>
            <w:tcW w:w="8360" w:type="dxa"/>
            <w:vAlign w:val="bottom"/>
          </w:tcPr>
          <w:p>
            <w:pPr>
              <w:spacing w:after="0"/>
              <w:rPr>
                <w:sz w:val="24"/>
                <w:szCs w:val="24"/>
                <w:color w:val="auto"/>
              </w:rPr>
            </w:pPr>
          </w:p>
        </w:tc>
        <w:tc>
          <w:tcPr>
            <w:tcW w:w="3060" w:type="dxa"/>
            <w:vAlign w:val="bottom"/>
          </w:tcPr>
          <w:p>
            <w:pPr>
              <w:jc w:val="right"/>
              <w:spacing w:after="0"/>
              <w:rPr>
                <w:sz w:val="20"/>
                <w:szCs w:val="20"/>
                <w:color w:val="auto"/>
              </w:rPr>
            </w:pPr>
            <w:r>
              <w:rPr>
                <w:rFonts w:ascii="Arial" w:cs="Arial" w:eastAsia="Arial" w:hAnsi="Arial"/>
                <w:sz w:val="18"/>
                <w:szCs w:val="18"/>
                <w:color w:val="auto"/>
              </w:rPr>
              <w:t>CUSIP 94106LAT6</w:t>
            </w:r>
          </w:p>
        </w:tc>
      </w:tr>
    </w:tbl>
    <w:p>
      <w:pPr>
        <w:spacing w:after="0" w:line="94" w:lineRule="exact"/>
        <w:rPr>
          <w:sz w:val="20"/>
          <w:szCs w:val="20"/>
          <w:color w:val="auto"/>
        </w:rPr>
      </w:pPr>
    </w:p>
    <w:p>
      <w:pPr>
        <w:ind w:right="260" w:firstLine="222"/>
        <w:spacing w:after="0" w:line="264" w:lineRule="auto"/>
        <w:rPr>
          <w:sz w:val="20"/>
          <w:szCs w:val="20"/>
          <w:color w:val="auto"/>
        </w:rPr>
      </w:pPr>
      <w:r>
        <w:rPr>
          <w:rFonts w:ascii="Arial" w:cs="Arial" w:eastAsia="Arial" w:hAnsi="Arial"/>
          <w:sz w:val="18"/>
          <w:szCs w:val="18"/>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 Three Hundred Fifty Million ($350,000,000) U.S. dollars, or such lesser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48" w:name="page49"/>
    <w:bookmarkEnd w:id="48"/>
    <w:p>
      <w:pPr>
        <w:spacing w:after="0" w:line="257" w:lineRule="auto"/>
        <w:rPr>
          <w:sz w:val="20"/>
          <w:szCs w:val="20"/>
          <w:color w:val="auto"/>
        </w:rPr>
      </w:pPr>
      <w:r>
        <w:rPr>
          <w:rFonts w:ascii="Arial" w:cs="Arial" w:eastAsia="Arial" w:hAnsi="Arial"/>
          <w:sz w:val="18"/>
          <w:szCs w:val="18"/>
          <w:color w:val="auto"/>
        </w:rPr>
        <w:t>principal sum as is shown on the attached Schedule of Exchanges of Definitive Security, on March 11, 2015 in such coin or currency of the United States of America as at the time of payment shall be legal tender for the payment of public and private debts, and to pay interest at an annual rate of 6.375% payable on March 11 and September 11 of each year, to the person in whose name this Security is registered at the close of business on the record date for such interest, which shall be the preceding March 1 or September 1, respectively, payable commencing September 11, 2009, with interest consisting of interest accrued from February 26, 2009.</w:t>
      </w:r>
    </w:p>
    <w:p>
      <w:pPr>
        <w:spacing w:after="0" w:line="80"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62"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62"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This Security is issued in respect of a series of Securities of an initial aggregate of U.S. $350,000,000 in principal amount designated as the 6.375% Senior Notes due 2015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85"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7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 charge.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49" w:name="page50"/>
    <w:bookmarkEnd w:id="49"/>
    <w:p>
      <w:pPr>
        <w:ind w:right="40" w:firstLine="222"/>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Dated: February 26, 2009</w:t>
            </w: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WASTE MANAGEMENT, INC.,</w:t>
            </w:r>
          </w:p>
        </w:tc>
      </w:tr>
      <w:tr>
        <w:trPr>
          <w:trHeight w:val="230"/>
        </w:trPr>
        <w:tc>
          <w:tcPr>
            <w:tcW w:w="3600" w:type="dxa"/>
            <w:vAlign w:val="bottom"/>
          </w:tcPr>
          <w:p>
            <w:pPr>
              <w:spacing w:after="0"/>
              <w:rPr>
                <w:sz w:val="20"/>
                <w:szCs w:val="20"/>
                <w:color w:val="auto"/>
              </w:rPr>
            </w:pP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a Delaware corporation</w:t>
            </w:r>
          </w:p>
        </w:tc>
      </w:tr>
      <w:tr>
        <w:trPr>
          <w:trHeight w:val="432"/>
        </w:trPr>
        <w:tc>
          <w:tcPr>
            <w:tcW w:w="3600" w:type="dxa"/>
            <w:vAlign w:val="bottom"/>
          </w:tcPr>
          <w:p>
            <w:pPr>
              <w:spacing w:after="0"/>
              <w:rPr>
                <w:sz w:val="24"/>
                <w:szCs w:val="24"/>
                <w:color w:val="auto"/>
              </w:rPr>
            </w:pP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By:</w:t>
            </w:r>
          </w:p>
        </w:tc>
      </w:tr>
      <w:tr>
        <w:trPr>
          <w:trHeight w:val="195"/>
        </w:trPr>
        <w:tc>
          <w:tcPr>
            <w:tcW w:w="36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Cherie C. Rice</w:t>
            </w:r>
          </w:p>
        </w:tc>
      </w:tr>
      <w:tr>
        <w:trPr>
          <w:trHeight w:val="230"/>
        </w:trPr>
        <w:tc>
          <w:tcPr>
            <w:tcW w:w="3600" w:type="dxa"/>
            <w:vAlign w:val="bottom"/>
          </w:tcPr>
          <w:p>
            <w:pPr>
              <w:spacing w:after="0"/>
              <w:rPr>
                <w:sz w:val="20"/>
                <w:szCs w:val="20"/>
                <w:color w:val="auto"/>
              </w:rPr>
            </w:pPr>
          </w:p>
        </w:tc>
        <w:tc>
          <w:tcPr>
            <w:tcW w:w="6140" w:type="dxa"/>
            <w:vAlign w:val="bottom"/>
            <w:gridSpan w:val="2"/>
          </w:tcPr>
          <w:p>
            <w:pPr>
              <w:ind w:left="2100"/>
              <w:spacing w:after="0"/>
              <w:rPr>
                <w:sz w:val="20"/>
                <w:szCs w:val="20"/>
                <w:color w:val="auto"/>
              </w:rPr>
            </w:pPr>
            <w:r>
              <w:rPr>
                <w:rFonts w:ascii="Arial" w:cs="Arial" w:eastAsia="Arial" w:hAnsi="Arial"/>
                <w:sz w:val="18"/>
                <w:szCs w:val="18"/>
                <w:color w:val="auto"/>
              </w:rPr>
              <w:t>Vice President and Treasurer</w:t>
            </w:r>
          </w:p>
        </w:tc>
      </w:tr>
      <w:tr>
        <w:trPr>
          <w:trHeight w:val="432"/>
        </w:trPr>
        <w:tc>
          <w:tcPr>
            <w:tcW w:w="3600" w:type="dxa"/>
            <w:vAlign w:val="bottom"/>
          </w:tcPr>
          <w:p>
            <w:pPr>
              <w:spacing w:after="0"/>
              <w:rPr>
                <w:sz w:val="24"/>
                <w:szCs w:val="24"/>
                <w:color w:val="auto"/>
              </w:rPr>
            </w:pP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Attest:</w:t>
            </w:r>
          </w:p>
        </w:tc>
      </w:tr>
      <w:tr>
        <w:trPr>
          <w:trHeight w:val="432"/>
        </w:trPr>
        <w:tc>
          <w:tcPr>
            <w:tcW w:w="3600" w:type="dxa"/>
            <w:vAlign w:val="bottom"/>
          </w:tcPr>
          <w:p>
            <w:pPr>
              <w:spacing w:after="0"/>
              <w:rPr>
                <w:sz w:val="24"/>
                <w:szCs w:val="24"/>
                <w:color w:val="auto"/>
              </w:rPr>
            </w:pP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By:</w:t>
            </w:r>
          </w:p>
        </w:tc>
      </w:tr>
      <w:tr>
        <w:trPr>
          <w:trHeight w:val="195"/>
        </w:trPr>
        <w:tc>
          <w:tcPr>
            <w:tcW w:w="36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r>
      <w:tr>
        <w:trPr>
          <w:trHeight w:val="230"/>
        </w:trPr>
        <w:tc>
          <w:tcPr>
            <w:tcW w:w="3600" w:type="dxa"/>
            <w:vAlign w:val="bottom"/>
          </w:tcPr>
          <w:p>
            <w:pPr>
              <w:spacing w:after="0"/>
              <w:rPr>
                <w:sz w:val="20"/>
                <w:szCs w:val="20"/>
                <w:color w:val="auto"/>
              </w:rPr>
            </w:pPr>
          </w:p>
        </w:tc>
        <w:tc>
          <w:tcPr>
            <w:tcW w:w="6140" w:type="dxa"/>
            <w:vAlign w:val="bottom"/>
            <w:gridSpan w:val="2"/>
          </w:tcPr>
          <w:p>
            <w:pPr>
              <w:ind w:left="2100"/>
              <w:spacing w:after="0"/>
              <w:rPr>
                <w:sz w:val="20"/>
                <w:szCs w:val="20"/>
                <w:color w:val="auto"/>
              </w:rPr>
            </w:pPr>
            <w:r>
              <w:rPr>
                <w:rFonts w:ascii="Arial" w:cs="Arial" w:eastAsia="Arial" w:hAnsi="Arial"/>
                <w:sz w:val="18"/>
                <w:szCs w:val="18"/>
                <w:color w:val="auto"/>
              </w:rPr>
              <w:t>Assistant Secretary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AUTHENTICATION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Date of Authentication: February 26, 2009</w:t>
            </w:r>
          </w:p>
        </w:tc>
        <w:tc>
          <w:tcPr>
            <w:tcW w:w="5520" w:type="dxa"/>
            <w:vAlign w:val="bottom"/>
            <w:gridSpan w:val="2"/>
          </w:tcPr>
          <w:p>
            <w:pPr>
              <w:ind w:left="1140"/>
              <w:spacing w:after="0"/>
              <w:rPr>
                <w:sz w:val="20"/>
                <w:szCs w:val="20"/>
                <w:color w:val="auto"/>
              </w:rPr>
            </w:pPr>
            <w:r>
              <w:rPr>
                <w:rFonts w:ascii="Arial" w:cs="Arial" w:eastAsia="Arial" w:hAnsi="Arial"/>
                <w:sz w:val="18"/>
                <w:szCs w:val="18"/>
                <w:color w:val="auto"/>
              </w:rPr>
              <w:t>The Bank of New York Mellon Trust</w:t>
            </w:r>
          </w:p>
        </w:tc>
        <w:tc>
          <w:tcPr>
            <w:tcW w:w="168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p>
        </w:tc>
        <w:tc>
          <w:tcPr>
            <w:tcW w:w="5520" w:type="dxa"/>
            <w:vAlign w:val="bottom"/>
            <w:gridSpan w:val="2"/>
          </w:tcPr>
          <w:p>
            <w:pPr>
              <w:ind w:left="1140"/>
              <w:spacing w:after="0"/>
              <w:rPr>
                <w:sz w:val="20"/>
                <w:szCs w:val="20"/>
                <w:color w:val="auto"/>
              </w:rPr>
            </w:pPr>
            <w:r>
              <w:rPr>
                <w:rFonts w:ascii="Arial" w:cs="Arial" w:eastAsia="Arial" w:hAnsi="Arial"/>
                <w:sz w:val="18"/>
                <w:szCs w:val="18"/>
                <w:color w:val="auto"/>
              </w:rPr>
              <w:t>Company N.A., as Trustee</w:t>
            </w:r>
          </w:p>
        </w:tc>
        <w:tc>
          <w:tcPr>
            <w:tcW w:w="1680" w:type="dxa"/>
            <w:vAlign w:val="bottom"/>
          </w:tcPr>
          <w:p>
            <w:pPr>
              <w:spacing w:after="0"/>
              <w:rPr>
                <w:sz w:val="20"/>
                <w:szCs w:val="20"/>
                <w:color w:val="auto"/>
              </w:rPr>
            </w:pPr>
          </w:p>
        </w:tc>
      </w:tr>
      <w:tr>
        <w:trPr>
          <w:trHeight w:val="432"/>
        </w:trPr>
        <w:tc>
          <w:tcPr>
            <w:tcW w:w="4220" w:type="dxa"/>
            <w:vAlign w:val="bottom"/>
          </w:tcPr>
          <w:p>
            <w:pPr>
              <w:spacing w:after="0"/>
              <w:rPr>
                <w:sz w:val="24"/>
                <w:szCs w:val="24"/>
                <w:color w:val="auto"/>
              </w:rPr>
            </w:pPr>
          </w:p>
        </w:tc>
        <w:tc>
          <w:tcPr>
            <w:tcW w:w="5520" w:type="dxa"/>
            <w:vAlign w:val="bottom"/>
            <w:gridSpan w:val="2"/>
          </w:tcPr>
          <w:p>
            <w:pPr>
              <w:ind w:left="1140"/>
              <w:spacing w:after="0"/>
              <w:rPr>
                <w:sz w:val="20"/>
                <w:szCs w:val="20"/>
                <w:color w:val="auto"/>
              </w:rPr>
            </w:pPr>
            <w:r>
              <w:rPr>
                <w:rFonts w:ascii="Arial" w:cs="Arial" w:eastAsia="Arial" w:hAnsi="Arial"/>
                <w:sz w:val="18"/>
                <w:szCs w:val="18"/>
                <w:color w:val="auto"/>
              </w:rPr>
              <w:t>By:</w:t>
            </w:r>
          </w:p>
        </w:tc>
        <w:tc>
          <w:tcPr>
            <w:tcW w:w="1680" w:type="dxa"/>
            <w:vAlign w:val="bottom"/>
          </w:tcPr>
          <w:p>
            <w:pPr>
              <w:spacing w:after="0"/>
              <w:rPr>
                <w:sz w:val="24"/>
                <w:szCs w:val="24"/>
                <w:color w:val="auto"/>
              </w:rPr>
            </w:pPr>
          </w:p>
        </w:tc>
      </w:tr>
      <w:tr>
        <w:trPr>
          <w:trHeight w:val="195"/>
        </w:trPr>
        <w:tc>
          <w:tcPr>
            <w:tcW w:w="4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Marcella Burgess</w:t>
            </w:r>
          </w:p>
        </w:tc>
        <w:tc>
          <w:tcPr>
            <w:tcW w:w="1680" w:type="dxa"/>
            <w:vAlign w:val="bottom"/>
          </w:tcPr>
          <w:p>
            <w:pPr>
              <w:spacing w:after="0"/>
              <w:rPr>
                <w:sz w:val="16"/>
                <w:szCs w:val="16"/>
                <w:color w:val="auto"/>
              </w:rPr>
            </w:pPr>
          </w:p>
        </w:tc>
      </w:tr>
      <w:tr>
        <w:trPr>
          <w:trHeight w:val="230"/>
        </w:trPr>
        <w:tc>
          <w:tcPr>
            <w:tcW w:w="4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Assistant Vice President</w:t>
            </w:r>
          </w:p>
        </w:tc>
        <w:tc>
          <w:tcPr>
            <w:tcW w:w="1680" w:type="dxa"/>
            <w:vAlign w:val="bottom"/>
          </w:tcPr>
          <w:p>
            <w:pPr>
              <w:spacing w:after="0"/>
              <w:rPr>
                <w:sz w:val="20"/>
                <w:szCs w:val="20"/>
                <w:color w:val="auto"/>
              </w:rPr>
            </w:pPr>
          </w:p>
        </w:tc>
      </w:tr>
      <w:tr>
        <w:trPr>
          <w:trHeight w:val="621"/>
        </w:trPr>
        <w:tc>
          <w:tcPr>
            <w:tcW w:w="4220" w:type="dxa"/>
            <w:vAlign w:val="bottom"/>
          </w:tcPr>
          <w:p>
            <w:pPr>
              <w:spacing w:after="0"/>
              <w:rPr>
                <w:sz w:val="24"/>
                <w:szCs w:val="24"/>
                <w:color w:val="auto"/>
              </w:rPr>
            </w:pPr>
          </w:p>
        </w:tc>
        <w:tc>
          <w:tcPr>
            <w:tcW w:w="5520" w:type="dxa"/>
            <w:vAlign w:val="bottom"/>
            <w:gridSpan w:val="2"/>
          </w:tcPr>
          <w:p>
            <w:pPr>
              <w:jc w:val="right"/>
              <w:ind w:right="3890"/>
              <w:spacing w:after="0"/>
              <w:rPr>
                <w:sz w:val="20"/>
                <w:szCs w:val="20"/>
                <w:color w:val="auto"/>
              </w:rPr>
            </w:pPr>
            <w:r>
              <w:rPr>
                <w:rFonts w:ascii="Arial" w:cs="Arial" w:eastAsia="Arial" w:hAnsi="Arial"/>
                <w:sz w:val="18"/>
                <w:szCs w:val="18"/>
                <w:color w:val="auto"/>
              </w:rPr>
              <w:t>7</w:t>
            </w:r>
          </w:p>
        </w:tc>
        <w:tc>
          <w:tcPr>
            <w:tcW w:w="1680" w:type="dxa"/>
            <w:vAlign w:val="bottom"/>
          </w:tcPr>
          <w:p>
            <w:pPr>
              <w:spacing w:after="0"/>
              <w:rPr>
                <w:sz w:val="24"/>
                <w:szCs w:val="24"/>
                <w:color w:val="auto"/>
              </w:rPr>
            </w:pPr>
          </w:p>
        </w:tc>
      </w:tr>
      <w:tr>
        <w:trPr>
          <w:trHeight w:val="226"/>
        </w:trPr>
        <w:tc>
          <w:tcPr>
            <w:tcW w:w="422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0" w:name="page51"/>
    <w:bookmarkEnd w:id="50"/>
    <w:p>
      <w:pPr>
        <w:jc w:val="center"/>
        <w:ind w:right="-19"/>
        <w:spacing w:after="0"/>
        <w:rPr>
          <w:sz w:val="20"/>
          <w:szCs w:val="20"/>
          <w:color w:val="auto"/>
        </w:rPr>
      </w:pPr>
      <w:r>
        <w:rPr>
          <w:rFonts w:ascii="Arial" w:cs="Arial" w:eastAsia="Arial" w:hAnsi="Arial"/>
          <w:sz w:val="18"/>
          <w:szCs w:val="18"/>
          <w:color w:val="auto"/>
        </w:rPr>
        <w:t>REVERSE OF BOOK-ENTRY SECURITY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6.375% SENIOR NOTES DUE 2015</w:t>
      </w:r>
    </w:p>
    <w:p>
      <w:pPr>
        <w:spacing w:after="0" w:line="117"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6.375% Senior Notes due 2015 of the Company, in initial aggregate principal amount of $350,000,000 (the “Securities”).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 Interest.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promises to pay interest on the principal amount of this Security at the rate of 6.375% per annum.</w:t>
      </w:r>
    </w:p>
    <w:p>
      <w:pPr>
        <w:spacing w:after="0" w:line="117"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The Company will pay interest semi-annually on March 11 and September 11 of each year (each an “Interest Payment Date”), commencing September 11, 2009. Interest on the Securities will accrue from the most recent date to which interest has been paid or, if no interest has been paid on the Securities, from February 26, 2009.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6.375% per annum, in each case to the extent lawful.</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 Method of Payment.</w:t>
      </w:r>
    </w:p>
    <w:p>
      <w:pPr>
        <w:spacing w:after="0" w:line="117"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3" w:right="239" w:bottom="1440" w:gutter="0" w:footer="0" w:header="0"/>
        </w:sectPr>
      </w:pPr>
    </w:p>
    <w:bookmarkStart w:id="51" w:name="page52"/>
    <w:bookmarkEnd w:id="51"/>
    <w:p>
      <w:pPr>
        <w:ind w:right="40"/>
        <w:spacing w:after="0" w:line="257" w:lineRule="auto"/>
        <w:rPr>
          <w:sz w:val="20"/>
          <w:szCs w:val="20"/>
          <w:color w:val="auto"/>
        </w:rPr>
      </w:pPr>
      <w:r>
        <w:rPr>
          <w:rFonts w:ascii="Arial" w:cs="Arial" w:eastAsia="Arial" w:hAnsi="Arial"/>
          <w:sz w:val="18"/>
          <w:szCs w:val="18"/>
          <w:color w:val="auto"/>
        </w:rPr>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 Paying Agent and Registrar.</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Initially, The Bank of New York Mellon, on behalf (for the benefit) of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 Indenture.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Security is one of a duly authorized issue of Debt Securities of the Company issued and to be issued in one or more series under the Indenture.</w:t>
      </w:r>
    </w:p>
    <w:p>
      <w:pPr>
        <w:spacing w:after="0" w:line="129"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25, 2006 (the “Resolutions”) and the written consents of the sole Director of Waste Management Holdings, Inc. on October 30, 2008 and February 17, 2009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$350,000,000.</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 Redemption.</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Securities will be redeemable,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(at the rate in effect on the date of calculation of the Redemption Price) on the Securities (exclusive of interest accrued to the Redemption Date) discounted to the Redemption Date on a semi-annual basis (assuming a 360-day year consisting of twelve 30-day months) at the applicable Treasury Yield plus 50 basis points; plus, in either case, accrued interest to the Redemption Date.</w:t>
      </w:r>
    </w:p>
    <w:p>
      <w:pPr>
        <w:spacing w:after="0" w:line="64"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2" w:name="page53"/>
    <w:bookmarkEnd w:id="52"/>
    <w:p>
      <w:pPr>
        <w:ind w:right="20"/>
        <w:spacing w:after="0" w:line="279" w:lineRule="auto"/>
        <w:rPr>
          <w:sz w:val="20"/>
          <w:szCs w:val="20"/>
          <w:color w:val="auto"/>
        </w:rPr>
      </w:pPr>
      <w:r>
        <w:rPr>
          <w:rFonts w:ascii="Arial" w:cs="Arial" w:eastAsia="Arial" w:hAnsi="Arial"/>
          <w:sz w:val="17"/>
          <w:szCs w:val="17"/>
          <w:color w:val="auto"/>
        </w:rPr>
        <w:t>redeemed, the Redemption Date,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117"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39"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that would be utilized, at the time of selection and in accordance with customary financial practice, in pricing new issues of corporate debt securities of comparable maturity to the remaining term of the Securities.</w:t>
      </w:r>
    </w:p>
    <w:p>
      <w:pPr>
        <w:spacing w:after="0" w:line="73"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“Independent Investment Banker” means any of Barclays Capital Inc., Credit Suisse Securities (USA) LLC, Deutsche Bank Securities Inc. and Greenwich Capital Markets, Inc. (and their respective successors), or, if all of such firms are unwilling or unable to select the applicable Comparable Treasury Issue, an independent investment banking institution of national standing appointed by the Trustee and reasonably acceptable to the Company.</w:t>
      </w:r>
    </w:p>
    <w:p>
      <w:pPr>
        <w:spacing w:after="0" w:line="39"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“Comparable Treasury Price” means, with respect to any Redemption Date, (i) the bid price for the Comparable Treasury Issue (expressed as a percentage of its principal amount) at 4:00 p.m., New York City time, on the third Business Day preceding such Redemption Date, as set forth on “Telerate Page 500” (or such other page as may replace Telerate Page 500), or (ii) if such page (or any successor page) is not displayed or does not contain such bid prices at such time (a) the average of the Reference Treasury Dealer Quotations obtained by the Trustee for such Redemption Date, after excluding the highest and lowest of all Reference Treasury Dealer Quotations obtained, or (b) if the Trustee obtains fewer than four such Reference Treasury Dealer Quotations, the average of all Reference Treasury Dealer Quotations obtained by the Trustee.</w:t>
      </w:r>
    </w:p>
    <w:p>
      <w:pPr>
        <w:spacing w:after="0" w:line="70"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“Reference Treasury Dealer” means (i) each of Barclays Capital Inc., Credit Suisse Securities (USA) LLC, Deutsche Bank Securities Inc. and Greenwich Capital Markets, Inc.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3" w:name="page54"/>
    <w:bookmarkEnd w:id="53"/>
    <w:p>
      <w:pPr>
        <w:ind w:firstLine="225"/>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Securities, an average, as determined by the Trustee, of the bid and asked prices for the Comparable Treasury Issue for the Securities (expressed in each case as a percentage of its principal amount) quoted in writing to the Trustee by such Reference Treasury Dealer at 5:00 p.m., New York City time, on the third Business Day preceding such Redemption Date.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Except as set forth above, the Securities will not be redeemable prior to their Stated Maturity and will not be entitled to the benefit of any sinking fund.</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Securities may be redeemed in part in a minimum principal amount of $2,000, or any integral of $1,000 in excess thereof.</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6. Change of Control Offer</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85" w:lineRule="exact"/>
        <w:rPr>
          <w:sz w:val="20"/>
          <w:szCs w:val="20"/>
          <w:color w:val="auto"/>
        </w:rPr>
      </w:pPr>
    </w:p>
    <w:p>
      <w:pPr>
        <w:ind w:right="340" w:firstLine="222"/>
        <w:spacing w:after="0" w:line="293"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117" w:lineRule="exact"/>
        <w:rPr>
          <w:sz w:val="20"/>
          <w:szCs w:val="20"/>
          <w:color w:val="auto"/>
        </w:rPr>
      </w:pPr>
    </w:p>
    <w:p>
      <w:pPr>
        <w:ind w:left="660" w:hanging="436"/>
        <w:spacing w:after="0"/>
        <w:tabs>
          <w:tab w:leader="none" w:pos="660" w:val="left"/>
        </w:tabs>
        <w:numPr>
          <w:ilvl w:val="0"/>
          <w:numId w:val="46"/>
        </w:numPr>
        <w:rPr>
          <w:rFonts w:ascii="Arial" w:cs="Arial" w:eastAsia="Arial" w:hAnsi="Arial"/>
          <w:sz w:val="17"/>
          <w:szCs w:val="17"/>
          <w:b w:val="1"/>
          <w:bCs w:val="1"/>
          <w:color w:val="auto"/>
        </w:rPr>
      </w:pPr>
      <w:r>
        <w:rPr>
          <w:rFonts w:ascii="Arial" w:cs="Arial" w:eastAsia="Arial" w:hAnsi="Arial"/>
          <w:sz w:val="17"/>
          <w:szCs w:val="17"/>
          <w:color w:val="auto"/>
        </w:rPr>
        <w:t>accept for payment all Securities or portions of Securities properly tendered and not withdrawn pursuant to the Change of Control Offer;</w:t>
      </w:r>
    </w:p>
    <w:p>
      <w:pPr>
        <w:spacing w:after="0" w:line="142" w:lineRule="exact"/>
        <w:rPr>
          <w:rFonts w:ascii="Arial" w:cs="Arial" w:eastAsia="Arial" w:hAnsi="Arial"/>
          <w:sz w:val="17"/>
          <w:szCs w:val="17"/>
          <w:b w:val="1"/>
          <w:bCs w:val="1"/>
          <w:color w:val="auto"/>
        </w:rPr>
      </w:pPr>
    </w:p>
    <w:p>
      <w:pPr>
        <w:ind w:left="660" w:right="400" w:hanging="436"/>
        <w:spacing w:after="0" w:line="277" w:lineRule="auto"/>
        <w:tabs>
          <w:tab w:leader="none" w:pos="66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54" w:name="page55"/>
    <w:bookmarkEnd w:id="54"/>
    <w:p>
      <w:pPr>
        <w:ind w:left="660" w:right="160" w:hanging="436"/>
        <w:spacing w:after="0" w:line="277" w:lineRule="auto"/>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62"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80"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may comply with those securities laws and regulations and, if so, will not be deemed to have breached its obligations under the Change of Control Offer provisions of this Security by virtue of any such conflict.</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117" w:lineRule="exact"/>
        <w:rPr>
          <w:sz w:val="20"/>
          <w:szCs w:val="20"/>
          <w:color w:val="auto"/>
        </w:rPr>
      </w:pPr>
    </w:p>
    <w:p>
      <w:pPr>
        <w:ind w:right="80" w:firstLine="225"/>
        <w:spacing w:after="0" w:line="268" w:lineRule="auto"/>
        <w:rPr>
          <w:sz w:val="20"/>
          <w:szCs w:val="20"/>
          <w:color w:val="auto"/>
        </w:rPr>
      </w:pPr>
      <w:r>
        <w:rPr>
          <w:rFonts w:ascii="Arial" w:cs="Arial" w:eastAsia="Arial" w:hAnsi="Arial"/>
          <w:sz w:val="17"/>
          <w:szCs w:val="17"/>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the Board of Directors of the Company are not Continuing Directors; or (5) the adoption of a plan relating to the liquidation or dissolution of the Company.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55" w:name="page56"/>
    <w:bookmarkEnd w:id="55"/>
    <w:p>
      <w:pPr>
        <w:ind w:right="400" w:firstLine="225"/>
        <w:spacing w:after="0" w:line="288"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w:t>
      </w:r>
    </w:p>
    <w:p>
      <w:pPr>
        <w:ind w:right="260" w:firstLine="8"/>
        <w:spacing w:after="0" w:line="255" w:lineRule="auto"/>
        <w:tabs>
          <w:tab w:leader="none" w:pos="285" w:val="left"/>
        </w:tabs>
        <w:numPr>
          <w:ilvl w:val="0"/>
          <w:numId w:val="48"/>
        </w:numPr>
        <w:rPr>
          <w:rFonts w:ascii="Arial" w:cs="Arial" w:eastAsia="Arial" w:hAnsi="Arial"/>
          <w:sz w:val="18"/>
          <w:szCs w:val="18"/>
          <w:color w:val="auto"/>
        </w:rPr>
      </w:pPr>
      <w:r>
        <w:rPr>
          <w:rFonts w:ascii="Arial" w:cs="Arial" w:eastAsia="Arial" w:hAnsi="Arial"/>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“Continuing Directors” means, as of any date of determination, any member of the Board of Directors of the Company who (1) was a member of such Board of Directors on the date the Securities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“Fitch” means Fitch Inc. and its successors.</w:t>
      </w:r>
    </w:p>
    <w:p>
      <w:pPr>
        <w:spacing w:after="0" w:line="117" w:lineRule="exact"/>
        <w:rPr>
          <w:sz w:val="20"/>
          <w:szCs w:val="20"/>
          <w:color w:val="auto"/>
        </w:rPr>
      </w:pPr>
    </w:p>
    <w:p>
      <w:pPr>
        <w:ind w:right="60" w:firstLine="225"/>
        <w:spacing w:after="0" w:line="342" w:lineRule="auto"/>
        <w:rPr>
          <w:sz w:val="20"/>
          <w:szCs w:val="20"/>
          <w:color w:val="auto"/>
        </w:rPr>
      </w:pPr>
      <w:r>
        <w:rPr>
          <w:rFonts w:ascii="Arial" w:cs="Arial" w:eastAsia="Arial" w:hAnsi="Arial"/>
          <w:sz w:val="16"/>
          <w:szCs w:val="16"/>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117"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Rule 15c3-1(c)(2)(vi)(F) under the Exchange Act selected by the Company (as certified by a resolution of our Board of Directors) as a replacement agency for Fitch, Moody’s or S&amp;P, or all of them, as the case may be.</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“S&amp;P” means Standard &amp; Poor’s Ratings Services, a division of The McGraw-Hill Companies, Inc., and its successors.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6" w:name="page57"/>
    <w:bookmarkEnd w:id="56"/>
    <w:p>
      <w:pPr>
        <w:ind w:right="380" w:firstLine="225"/>
        <w:spacing w:after="0" w:line="277" w:lineRule="auto"/>
        <w:rPr>
          <w:sz w:val="20"/>
          <w:szCs w:val="20"/>
          <w:color w:val="auto"/>
        </w:rPr>
      </w:pPr>
      <w:r>
        <w:rPr>
          <w:rFonts w:ascii="Arial" w:cs="Arial" w:eastAsia="Arial" w:hAnsi="Arial"/>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7. Denominations; Transfer; Exchange.</w:t>
      </w:r>
    </w:p>
    <w:p>
      <w:pPr>
        <w:spacing w:after="0" w:line="117" w:lineRule="exact"/>
        <w:rPr>
          <w:sz w:val="20"/>
          <w:szCs w:val="20"/>
          <w:color w:val="auto"/>
        </w:rPr>
      </w:pPr>
    </w:p>
    <w:p>
      <w:pPr>
        <w:ind w:right="60" w:firstLine="222"/>
        <w:spacing w:after="0" w:line="312" w:lineRule="auto"/>
        <w:rPr>
          <w:sz w:val="20"/>
          <w:szCs w:val="20"/>
          <w:color w:val="auto"/>
        </w:rPr>
      </w:pPr>
      <w:r>
        <w:rPr>
          <w:rFonts w:ascii="Arial" w:cs="Arial" w:eastAsia="Arial" w:hAnsi="Arial"/>
          <w:sz w:val="16"/>
          <w:szCs w:val="16"/>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8. Person Deemed Owners.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9. Amendment; Supplement; Waiver.</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 Defaults and Remedies.</w:t>
      </w:r>
    </w:p>
    <w:p>
      <w:pPr>
        <w:spacing w:after="0" w:line="117" w:lineRule="exact"/>
        <w:rPr>
          <w:sz w:val="20"/>
          <w:szCs w:val="20"/>
          <w:color w:val="auto"/>
        </w:rPr>
      </w:pPr>
    </w:p>
    <w:p>
      <w:pPr>
        <w:ind w:right="100" w:firstLine="225"/>
        <w:spacing w:after="0" w:line="284"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w:t>
      </w:r>
    </w:p>
    <w:p>
      <w:pPr>
        <w:spacing w:after="0" w:line="1" w:lineRule="exact"/>
        <w:rPr>
          <w:sz w:val="20"/>
          <w:szCs w:val="20"/>
          <w:color w:val="auto"/>
        </w:rPr>
      </w:pPr>
    </w:p>
    <w:p>
      <w:pPr>
        <w:ind w:right="160" w:firstLine="8"/>
        <w:spacing w:after="0" w:line="261" w:lineRule="auto"/>
        <w:tabs>
          <w:tab w:leader="none" w:pos="295"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sums paid or advanced by the Trustee and the reasonable compensation, expenses, disbursements and advances of the Trustee, its agents and counsel and (2) all Events of Default under the Indenture with respect to the Securities, other than the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7" w:name="page58"/>
    <w:bookmarkEnd w:id="57"/>
    <w:p>
      <w:pPr>
        <w:jc w:val="both"/>
        <w:ind w:right="40"/>
        <w:spacing w:after="0" w:line="288" w:lineRule="auto"/>
        <w:rPr>
          <w:sz w:val="20"/>
          <w:szCs w:val="20"/>
          <w:color w:val="auto"/>
        </w:rPr>
      </w:pPr>
      <w:r>
        <w:rPr>
          <w:rFonts w:ascii="Arial" w:cs="Arial" w:eastAsia="Arial" w:hAnsi="Arial"/>
          <w:sz w:val="16"/>
          <w:szCs w:val="16"/>
          <w:color w:val="auto"/>
        </w:rPr>
        <w:t>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w:t>
      </w:r>
    </w:p>
    <w:p>
      <w:pPr>
        <w:ind w:right="160"/>
        <w:spacing w:after="0" w:line="261" w:lineRule="auto"/>
        <w:rPr>
          <w:sz w:val="20"/>
          <w:szCs w:val="20"/>
          <w:color w:val="auto"/>
        </w:rPr>
      </w:pPr>
      <w:r>
        <w:rPr>
          <w:rFonts w:ascii="Arial" w:cs="Arial" w:eastAsia="Arial" w:hAnsi="Arial"/>
          <w:sz w:val="18"/>
          <w:szCs w:val="18"/>
          <w:color w:val="auto"/>
        </w:rPr>
        <w:t>Subject to certain limitations, Holders of a majority in aggregate principal amount of the Securities then outstanding may direct the Trustee in its exercise of any trust or power.</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11. Trustee Dealings with Company.</w:t>
      </w:r>
    </w:p>
    <w:p>
      <w:pPr>
        <w:spacing w:after="0" w:line="117" w:lineRule="exact"/>
        <w:rPr>
          <w:sz w:val="20"/>
          <w:szCs w:val="20"/>
          <w:color w:val="auto"/>
        </w:rPr>
      </w:pPr>
    </w:p>
    <w:p>
      <w:pPr>
        <w:ind w:right="220" w:firstLine="222"/>
        <w:spacing w:after="0" w:line="342" w:lineRule="auto"/>
        <w:rPr>
          <w:sz w:val="20"/>
          <w:szCs w:val="20"/>
          <w:color w:val="auto"/>
        </w:rPr>
      </w:pPr>
      <w:r>
        <w:rPr>
          <w:rFonts w:ascii="Arial" w:cs="Arial" w:eastAsia="Arial" w:hAnsi="Arial"/>
          <w:sz w:val="16"/>
          <w:szCs w:val="16"/>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12. Authentication.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Security shall not be valid until the Trustee or authenticating agent signs the certificate of authentication on the other side of this Security.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13. Abbreviations and Defined Terms.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14. CUSIP Numbers.</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15. Absolute Obligation.</w:t>
      </w:r>
    </w:p>
    <w:p>
      <w:pPr>
        <w:spacing w:after="0" w:line="11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16. No Recourse.</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8" w:name="page59"/>
    <w:bookmarkEnd w:id="58"/>
    <w:p>
      <w:pPr>
        <w:spacing w:after="0" w:line="264" w:lineRule="auto"/>
        <w:rPr>
          <w:sz w:val="20"/>
          <w:szCs w:val="20"/>
          <w:color w:val="auto"/>
        </w:rPr>
      </w:pPr>
      <w:r>
        <w:rPr>
          <w:rFonts w:ascii="Arial" w:cs="Arial" w:eastAsia="Arial" w:hAnsi="Arial"/>
          <w:sz w:val="18"/>
          <w:szCs w:val="18"/>
          <w:color w:val="auto"/>
        </w:rPr>
        <w:t>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17. Governing Law.</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18. Guarantee.</w:t>
      </w:r>
    </w:p>
    <w:p>
      <w:pPr>
        <w:spacing w:after="0" w:line="117" w:lineRule="exact"/>
        <w:rPr>
          <w:sz w:val="20"/>
          <w:szCs w:val="20"/>
          <w:color w:val="auto"/>
        </w:rPr>
      </w:pPr>
    </w:p>
    <w:p>
      <w:pPr>
        <w:ind w:right="60" w:firstLine="222"/>
        <w:spacing w:after="0" w:line="302"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wholly-owned subsidiary, Waste Management Holdings, Inc., pursuant to the terms and conditions of a Guarantee Agreement dated February 26, 2009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59" w:name="page60"/>
    <w:bookmarkEnd w:id="59"/>
    <w:p>
      <w:pPr>
        <w:ind w:left="220" w:right="3400" w:firstLine="3187"/>
        <w:spacing w:after="0" w:line="440" w:lineRule="auto"/>
        <w:rPr>
          <w:sz w:val="20"/>
          <w:szCs w:val="20"/>
          <w:color w:val="auto"/>
        </w:rPr>
      </w:pPr>
      <w:r>
        <w:rPr>
          <w:rFonts w:ascii="Arial" w:cs="Arial" w:eastAsia="Arial" w:hAnsi="Arial"/>
          <w:sz w:val="17"/>
          <w:szCs w:val="17"/>
          <w:color w:val="auto"/>
        </w:rPr>
        <w:t>SCHEDULE OF EXCHANGES OF DEFINITIVE SECURITY The following exchanges of a part of this Book-Entry Security for definitive Securities have been made: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Amount of decrease</w:t>
            </w:r>
          </w:p>
        </w:tc>
        <w:tc>
          <w:tcPr>
            <w:tcW w:w="700" w:type="dxa"/>
            <w:vAlign w:val="bottom"/>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Amount of increase</w:t>
            </w:r>
          </w:p>
        </w:tc>
        <w:tc>
          <w:tcPr>
            <w:tcW w:w="7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Amount of</w:t>
            </w:r>
          </w:p>
        </w:tc>
        <w:tc>
          <w:tcPr>
            <w:tcW w:w="720" w:type="dxa"/>
            <w:vAlign w:val="bottom"/>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this Book-Entry</w:t>
            </w:r>
          </w:p>
        </w:tc>
        <w:tc>
          <w:tcPr>
            <w:tcW w:w="72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 Principal Amount</w:t>
            </w:r>
          </w:p>
        </w:tc>
        <w:tc>
          <w:tcPr>
            <w:tcW w:w="7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 Principal Amount</w:t>
            </w:r>
          </w:p>
        </w:tc>
        <w:tc>
          <w:tcPr>
            <w:tcW w:w="7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Security following</w:t>
            </w:r>
          </w:p>
        </w:tc>
        <w:tc>
          <w:tcPr>
            <w:tcW w:w="7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 officer</w:t>
            </w:r>
          </w:p>
        </w:tc>
        <w:tc>
          <w:tcPr>
            <w:tcW w:w="0" w:type="dxa"/>
            <w:vAlign w:val="bottom"/>
          </w:tcPr>
          <w:p>
            <w:pPr>
              <w:spacing w:after="0"/>
              <w:rPr>
                <w:sz w:val="1"/>
                <w:szCs w:val="1"/>
                <w:color w:val="auto"/>
              </w:rPr>
            </w:pPr>
          </w:p>
        </w:tc>
      </w:tr>
      <w:tr>
        <w:trPr>
          <w:trHeight w:val="149"/>
        </w:trPr>
        <w:tc>
          <w:tcPr>
            <w:tcW w:w="170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Date of Exchange</w:t>
            </w:r>
          </w:p>
        </w:tc>
        <w:tc>
          <w:tcPr>
            <w:tcW w:w="72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70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7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7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Trustee or</w:t>
            </w:r>
          </w:p>
        </w:tc>
        <w:tc>
          <w:tcPr>
            <w:tcW w:w="0" w:type="dxa"/>
            <w:vAlign w:val="bottom"/>
          </w:tcPr>
          <w:p>
            <w:pPr>
              <w:spacing w:after="0"/>
              <w:rPr>
                <w:sz w:val="1"/>
                <w:szCs w:val="1"/>
                <w:color w:val="auto"/>
              </w:rPr>
            </w:pPr>
          </w:p>
        </w:tc>
      </w:tr>
      <w:tr>
        <w:trPr>
          <w:trHeight w:val="171"/>
        </w:trPr>
        <w:tc>
          <w:tcPr>
            <w:tcW w:w="1700" w:type="dxa"/>
            <w:vAlign w:val="bottom"/>
            <w:tcBorders>
              <w:bottom w:val="single" w:sz="8" w:color="auto"/>
            </w:tcBorders>
            <w:vMerge w:val="continue"/>
          </w:tcPr>
          <w:p>
            <w:pPr>
              <w:spacing w:after="0"/>
              <w:rPr>
                <w:sz w:val="14"/>
                <w:szCs w:val="14"/>
                <w:color w:val="auto"/>
              </w:rPr>
            </w:pPr>
          </w:p>
        </w:tc>
        <w:tc>
          <w:tcPr>
            <w:tcW w:w="7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70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72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720" w:type="dxa"/>
            <w:vAlign w:val="bottom"/>
          </w:tcPr>
          <w:p>
            <w:pPr>
              <w:spacing w:after="0"/>
              <w:rPr>
                <w:sz w:val="14"/>
                <w:szCs w:val="14"/>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Security Custodian</w:t>
            </w:r>
          </w:p>
        </w:tc>
        <w:tc>
          <w:tcPr>
            <w:tcW w:w="0" w:type="dxa"/>
            <w:vAlign w:val="bottom"/>
          </w:tcPr>
          <w:p>
            <w:pPr>
              <w:spacing w:after="0"/>
              <w:rPr>
                <w:sz w:val="1"/>
                <w:szCs w:val="1"/>
                <w:color w:val="auto"/>
              </w:rPr>
            </w:pP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8"/>
          <w:szCs w:val="18"/>
          <w:b w:val="1"/>
          <w:bCs w:val="1"/>
          <w:color w:val="auto"/>
        </w:rPr>
        <w:t>ANNEX 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NOTES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Waste Management, Inc.)</w:t>
      </w:r>
    </w:p>
    <w:p>
      <w:pPr>
        <w:spacing w:after="0" w:line="99"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July 2005, the Securities and Exchange Commission (the “SEC”) issued final rules known as the “Securities Offering Reform,” such rules</w:t>
      </w:r>
      <w:r>
        <w:rPr>
          <w:rFonts w:ascii="Arial" w:cs="Arial" w:eastAsia="Arial" w:hAnsi="Arial"/>
          <w:sz w:val="18"/>
          <w:szCs w:val="18"/>
          <w:b w:val="1"/>
          <w:bCs w:val="1"/>
          <w:color w:val="auto"/>
        </w:rPr>
        <w:t xml:space="preserve"> </w:t>
      </w:r>
      <w:r>
        <w:rPr>
          <w:rFonts w:ascii="Arial" w:cs="Arial" w:eastAsia="Arial" w:hAnsi="Arial"/>
          <w:sz w:val="18"/>
          <w:szCs w:val="18"/>
          <w:color w:val="auto"/>
        </w:rPr>
        <w:t>to be effective as of December 1, 2005;</w:t>
      </w:r>
    </w:p>
    <w:p>
      <w:pPr>
        <w:spacing w:after="0" w:line="54"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Securities Offering Reform provides for a new form of registration statement known as an “automatic shelf registration statement”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things, facilitates offerings of securities by issuers eligible to use such form by providing for automatic effectiveness of the registration statement and any post-effective amendments thereto;</w:t>
      </w:r>
    </w:p>
    <w:p>
      <w:pPr>
        <w:spacing w:after="0" w:line="68" w:lineRule="exact"/>
        <w:rPr>
          <w:sz w:val="20"/>
          <w:szCs w:val="20"/>
          <w:color w:val="auto"/>
        </w:rPr>
      </w:pPr>
    </w:p>
    <w:p>
      <w:pPr>
        <w:ind w:right="16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previously filed with the SEC a universal shelf registration statement on Form S-3, which registered the offer and sale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of up to an aggregate of $3 billion of senior and subordinated debt and common stock; and</w:t>
      </w:r>
    </w:p>
    <w:p>
      <w:pPr>
        <w:spacing w:after="0" w:line="54"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and finds it in the best interests of the Company, to file a registration statement on Form S-3 that will be designated as</w:t>
      </w:r>
      <w:r>
        <w:rPr>
          <w:rFonts w:ascii="Arial" w:cs="Arial" w:eastAsia="Arial" w:hAnsi="Arial"/>
          <w:sz w:val="18"/>
          <w:szCs w:val="18"/>
          <w:b w:val="1"/>
          <w:bCs w:val="1"/>
          <w:color w:val="auto"/>
        </w:rPr>
        <w:t xml:space="preserve"> </w:t>
      </w:r>
      <w:r>
        <w:rPr>
          <w:rFonts w:ascii="Arial" w:cs="Arial" w:eastAsia="Arial" w:hAnsi="Arial"/>
          <w:sz w:val="18"/>
          <w:szCs w:val="18"/>
          <w:color w:val="auto"/>
        </w:rPr>
        <w:t>an “automatic shelf registration statement” in order to facilitate any future offerings of securities by the Company or any selling security holders and, pursuant to Rule 457(p) of the Securities Act of 1933, as amended (the “Securities Act”), apply the unused amount of filing fees paid in connection with the universal shelf registration statement to the registration of the automatic shelf.</w:t>
      </w:r>
    </w:p>
    <w:p>
      <w:pPr>
        <w:spacing w:after="0" w:line="72" w:lineRule="exact"/>
        <w:rPr>
          <w:sz w:val="20"/>
          <w:szCs w:val="20"/>
          <w:color w:val="auto"/>
        </w:rPr>
      </w:pPr>
    </w:p>
    <w:p>
      <w:pPr>
        <w:ind w:right="140" w:firstLine="225"/>
        <w:spacing w:after="0" w:line="288" w:lineRule="auto"/>
        <w:rPr>
          <w:sz w:val="20"/>
          <w:szCs w:val="20"/>
          <w:color w:val="auto"/>
        </w:rPr>
      </w:pPr>
      <w:r>
        <w:rPr>
          <w:rFonts w:ascii="Arial" w:cs="Arial" w:eastAsia="Arial" w:hAnsi="Arial"/>
          <w:sz w:val="16"/>
          <w:szCs w:val="16"/>
          <w:b w:val="1"/>
          <w:bCs w:val="1"/>
          <w:color w:val="auto"/>
        </w:rPr>
        <w:t xml:space="preserve">NOW, THEREFORE, BE IT RESOLVED, </w:t>
      </w:r>
      <w:r>
        <w:rPr>
          <w:rFonts w:ascii="Arial" w:cs="Arial" w:eastAsia="Arial" w:hAnsi="Arial"/>
          <w:sz w:val="16"/>
          <w:szCs w:val="16"/>
          <w:color w:val="auto"/>
        </w:rPr>
        <w:t>that the Company is hereby authorized to prepare and file with the SEC an automatic shelf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on Form S-3 (the “Automatic Shelf”), pursuant to the Securities Act and the rules and regulations promulgated thereunder, which Automatic Shelf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Waste Management Holdings, Inc., a wholly-owned subsidiary of the Company; and any units consisting of one or more of the foregoing (the Debt Securities, Common Stock, warrants, preferred stock, guarantees and units collectively referred to herein as the “Securities”), to be issued from time to time at the discretion of any of the proper officers (as established pursuant to these resolutions), to be offered from time to time by the Company, the initial offering prices of which Securities may not, without approval of the Board of Directors, exceed the amount of Debt Securities and Common Stock remaining available for issuance under the Company’s Registration Statement on Form S-3 Registration No. 333-97697 on the date of the filing of the Automatic Shelf with the SEC;</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61" w:name="page62"/>
    <w:bookmarkEnd w:id="61"/>
    <w:p>
      <w:pPr>
        <w:ind w:right="40" w:firstLine="225"/>
        <w:spacing w:after="0" w:line="25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and the authorized employees (as established pursuant to these resolutions) be, and each of them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is, authorized, in the name and on behalf of the Company, to execute and cause to be filed with the SEC any and all amendments (including, without limitation, post-effective amendments) or supplements to the Automatic Shelf and any prospectus included therein and any additional documents which such officer or employee may deem necessary or desirable with respect to the registration and offering of the Securities, and such amendments, supplements, registration statements and documents to be in such form as the officer or employee executing the same may approve, as conclusively evidenced by his execution thereof;</w:t>
      </w:r>
    </w:p>
    <w:p>
      <w:pPr>
        <w:spacing w:after="0" w:line="80" w:lineRule="exact"/>
        <w:rPr>
          <w:sz w:val="20"/>
          <w:szCs w:val="20"/>
          <w:color w:val="auto"/>
        </w:rPr>
      </w:pPr>
    </w:p>
    <w:p>
      <w:pPr>
        <w:ind w:right="40" w:firstLine="225"/>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General Counsel of the Company be, and he hereby is, designated and appointed the agent for service of process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the Securities Act in connection with the Automatic Shelf and any and all amendments and supplements thereto, with all powers incident to such appointment;</w:t>
      </w:r>
    </w:p>
    <w:p>
      <w:pPr>
        <w:spacing w:after="0" w:line="68"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and authorized employees be and hereby are authorized and directed in the name and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take any and all action which they may deem 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81"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form of any additional resolutions required in connection with the appropriate qualification or registration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with the same force and effect as if set out verbatim herein;</w:t>
      </w:r>
    </w:p>
    <w:p>
      <w:pPr>
        <w:spacing w:after="0" w:line="76" w:lineRule="exact"/>
        <w:rPr>
          <w:sz w:val="20"/>
          <w:szCs w:val="20"/>
          <w:color w:val="auto"/>
        </w:rPr>
      </w:pPr>
    </w:p>
    <w:p>
      <w:pPr>
        <w:ind w:right="100" w:firstLine="225"/>
        <w:spacing w:after="0" w:line="295"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any of the proper officers or authorized employees be, and each of them hereby is, authorized to approve at any time and</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one or more forms of underwriting 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62" w:name="page63"/>
    <w:bookmarkEnd w:id="62"/>
    <w:p>
      <w:pPr>
        <w:ind w:right="40"/>
        <w:spacing w:after="0" w:line="277" w:lineRule="auto"/>
        <w:rPr>
          <w:sz w:val="20"/>
          <w:szCs w:val="20"/>
          <w:color w:val="auto"/>
        </w:rPr>
      </w:pPr>
      <w:r>
        <w:rPr>
          <w:rFonts w:ascii="Arial" w:cs="Arial" w:eastAsia="Arial" w:hAnsi="Arial"/>
          <w:sz w:val="18"/>
          <w:szCs w:val="18"/>
          <w:color w:val="auto"/>
        </w:rPr>
        <w:t>referred to above, it shall not be necessary for any of the proper officers to approve any individual agreement pursuant to which Securities are to be sold if the form thereof has previously been approved as provided in this resolution;</w:t>
      </w:r>
    </w:p>
    <w:p>
      <w:pPr>
        <w:spacing w:after="0" w:line="58"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 the proper officers be, and each of them hereby is, authorized, at any time and from time to time,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 to determine, within any limits that may be set by the Board of Directors, the number of shares of Common Stock, preferred stock or other equity securities to be offered and sold by the Company pursuant to the Automatic Shelf, including any shares underlying warrants or convertible Debt Securities, (ii) 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Automatic Shelf and the applicable purchase agreement, which action could be taken or which things could be done by the Board of Directors of the Company;</w:t>
      </w:r>
    </w:p>
    <w:p>
      <w:pPr>
        <w:spacing w:after="0" w:line="81"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 the proper officers may, at any time and from time to time, on behalf of the Company, authorize the issuance of one</w:t>
      </w:r>
      <w:r>
        <w:rPr>
          <w:rFonts w:ascii="Arial" w:cs="Arial" w:eastAsia="Arial" w:hAnsi="Arial"/>
          <w:sz w:val="18"/>
          <w:szCs w:val="18"/>
          <w:b w:val="1"/>
          <w:bCs w:val="1"/>
          <w:color w:val="auto"/>
        </w:rPr>
        <w:t xml:space="preserve"> </w:t>
      </w:r>
      <w:r>
        <w:rPr>
          <w:rFonts w:ascii="Arial" w:cs="Arial" w:eastAsia="Arial" w:hAnsi="Arial"/>
          <w:sz w:val="18"/>
          <w:szCs w:val="18"/>
          <w:color w:val="auto"/>
        </w:rPr>
        <w:t>or more series of Securities under the Company’s 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76" w:lineRule="exact"/>
        <w:rPr>
          <w:sz w:val="20"/>
          <w:szCs w:val="20"/>
          <w:color w:val="auto"/>
        </w:rPr>
      </w:pPr>
    </w:p>
    <w:p>
      <w:pPr>
        <w:ind w:right="160" w:firstLine="225"/>
        <w:spacing w:after="0" w:line="298"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any such series of Securities (but without limiting the authority hereinafter in these resolutions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with respect to the issuance of Securities of a series which 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pacing w:after="0" w:line="46" w:lineRule="exact"/>
        <w:rPr>
          <w:sz w:val="20"/>
          <w:szCs w:val="20"/>
          <w:color w:val="auto"/>
        </w:rPr>
      </w:pPr>
    </w:p>
    <w:p>
      <w:pPr>
        <w:jc w:val="both"/>
        <w:ind w:right="140" w:firstLine="225"/>
        <w:spacing w:after="0" w:line="314"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the issuance of Securities of any series which may not be originally issued at one time (except as may</w:t>
      </w:r>
      <w:r>
        <w:rPr>
          <w:rFonts w:ascii="Arial" w:cs="Arial" w:eastAsia="Arial" w:hAnsi="Arial"/>
          <w:sz w:val="16"/>
          <w:szCs w:val="16"/>
          <w:b w:val="1"/>
          <w:bCs w:val="1"/>
          <w:color w:val="auto"/>
        </w:rPr>
        <w:t xml:space="preserve"> </w:t>
      </w:r>
      <w:r>
        <w:rPr>
          <w:rFonts w:ascii="Arial" w:cs="Arial" w:eastAsia="Arial" w:hAnsi="Arial"/>
          <w:sz w:val="16"/>
          <w:szCs w:val="16"/>
          <w:color w:val="auto"/>
        </w:rPr>
        <w:t>be inconsistent with any action taken by any of the proper officers, as hereinabove provided, in connection with such series), any of the proper officers may delegate any of its authority pursuant to these resolutions to any officer of the Company, including authority to fix the terms of such Securities;</w:t>
      </w:r>
    </w:p>
    <w:p>
      <w:pPr>
        <w:spacing w:after="0" w:line="34" w:lineRule="exact"/>
        <w:rPr>
          <w:sz w:val="20"/>
          <w:szCs w:val="20"/>
          <w:color w:val="auto"/>
        </w:rPr>
      </w:pPr>
    </w:p>
    <w:p>
      <w:pPr>
        <w:ind w:right="140" w:firstLine="225"/>
        <w:spacing w:after="0" w:line="314"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in connection with any such series of Securities, any of the proper officers is authorized to approve any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 or supplement to the Company’s indentures and that any proper officer be, and each of them hereby is, authorized to execute and deliver, in the name and on behalf of the Company, any such amendment, modification or supplement, substantially in the form approved by any proper officer;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3" w:name="page64"/>
    <w:bookmarkEnd w:id="63"/>
    <w:p>
      <w:pPr>
        <w:ind w:right="100" w:firstLine="225"/>
        <w:spacing w:after="0" w:line="303"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and authorized employees be, and each of them hereby is, authorized, in the name and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43" w:lineRule="exact"/>
        <w:rPr>
          <w:sz w:val="20"/>
          <w:szCs w:val="20"/>
          <w:color w:val="auto"/>
        </w:rPr>
      </w:pPr>
    </w:p>
    <w:p>
      <w:pPr>
        <w:ind w:right="20" w:firstLine="225"/>
        <w:spacing w:after="0" w:line="274"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be, and each of them hereby is, authorized, subject to and in accordance with the Company’s indentures</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action taken by any of the proper officers in 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66"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and authorized employees be, and each of them hereby is, authorized, in the name and on behalf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 make application to such securities exchange or 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70" w:lineRule="exact"/>
        <w:rPr>
          <w:sz w:val="20"/>
          <w:szCs w:val="20"/>
          <w:color w:val="auto"/>
        </w:rPr>
      </w:pPr>
    </w:p>
    <w:p>
      <w:pPr>
        <w:ind w:right="20" w:firstLine="225"/>
        <w:spacing w:after="0" w:line="277"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be, and each of them hereby is, authorized, in the name and on behalf of the Company, to make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 to the SEC for registration of any series of the Securities 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2" w:right="279" w:bottom="1440" w:gutter="0" w:footer="0" w:header="0"/>
        </w:sectPr>
      </w:pPr>
    </w:p>
    <w:bookmarkStart w:id="64" w:name="page65"/>
    <w:bookmarkEnd w:id="64"/>
    <w:p>
      <w:pPr>
        <w:ind w:firstLine="225"/>
        <w:spacing w:after="0" w:line="25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officers and authorized employees of the Company be, and each of them hereby is, authorized to take, or cause to be</w:t>
      </w:r>
      <w:r>
        <w:rPr>
          <w:rFonts w:ascii="Arial" w:cs="Arial" w:eastAsia="Arial" w:hAnsi="Arial"/>
          <w:sz w:val="18"/>
          <w:szCs w:val="18"/>
          <w:b w:val="1"/>
          <w:bCs w:val="1"/>
          <w:color w:val="auto"/>
        </w:rPr>
        <w:t xml:space="preserve"> </w:t>
      </w:r>
      <w:r>
        <w:rPr>
          <w:rFonts w:ascii="Arial" w:cs="Arial" w:eastAsia="Arial" w:hAnsi="Arial"/>
          <w:sz w:val="18"/>
          <w:szCs w:val="18"/>
          <w:color w:val="auto"/>
        </w:rPr>
        <w:t>taken, any and all action which any such officer may deem necessary or desirable in order to carry out the purpose and intent of the foregoing resolutions or in order to perform, or cause to be performed, the obligations of the Company under the Securities and any Shelf Indenture, purchase agreement, shelf registration statement, Automatic Shelf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may deem necessary or appropriate;</w:t>
      </w:r>
    </w:p>
    <w:p>
      <w:pPr>
        <w:spacing w:after="0" w:line="80" w:lineRule="exact"/>
        <w:rPr>
          <w:sz w:val="20"/>
          <w:szCs w:val="20"/>
          <w:color w:val="auto"/>
        </w:rPr>
      </w:pPr>
    </w:p>
    <w:p>
      <w:pPr>
        <w:jc w:val="both"/>
        <w:ind w:right="140" w:firstLine="225"/>
        <w:spacing w:after="0" w:line="314"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for purposes of these resolutions, the term “proper officer” shall mean any or all of the Chief Executive Officer,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the General Counsel, the Secretary, the Chief Accounting Officer and the Treasurer of the Company and the term “authorized employees” shall mean either or both of the Vice President and Assistant General Counsel — Corporate and Securities and the Corporate Counsel of the Company;</w:t>
      </w:r>
    </w:p>
    <w:p>
      <w:pPr>
        <w:spacing w:after="0" w:line="34" w:lineRule="exact"/>
        <w:rPr>
          <w:sz w:val="20"/>
          <w:szCs w:val="20"/>
          <w:color w:val="auto"/>
        </w:rPr>
      </w:pPr>
    </w:p>
    <w:p>
      <w:pPr>
        <w:ind w:right="60" w:firstLine="225"/>
        <w:spacing w:after="0" w:line="281"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form of any additional resolutions required in connection with the foregoing resolutions be and hereby is approved and</w:t>
      </w:r>
      <w:r>
        <w:rPr>
          <w:rFonts w:ascii="Arial" w:cs="Arial" w:eastAsia="Arial" w:hAnsi="Arial"/>
          <w:sz w:val="17"/>
          <w:szCs w:val="17"/>
          <w:b w:val="1"/>
          <w:bCs w:val="1"/>
          <w:color w:val="auto"/>
        </w:rPr>
        <w:t xml:space="preserve"> </w:t>
      </w:r>
      <w:r>
        <w:rPr>
          <w:rFonts w:ascii="Arial" w:cs="Arial" w:eastAsia="Arial" w:hAnsi="Arial"/>
          <w:sz w:val="17"/>
          <w:szCs w:val="17"/>
          <w:color w:val="auto"/>
        </w:rPr>
        <w:t>adopted, provided the proper officers of the Company, on 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with the same force and effect as if set out verbatim herein; and</w:t>
      </w:r>
    </w:p>
    <w:p>
      <w:pPr>
        <w:spacing w:after="0" w:line="57" w:lineRule="exact"/>
        <w:rPr>
          <w:sz w:val="20"/>
          <w:szCs w:val="20"/>
          <w:color w:val="auto"/>
        </w:rPr>
      </w:pPr>
    </w:p>
    <w:p>
      <w:pPr>
        <w:ind w:right="200" w:firstLine="225"/>
        <w:spacing w:after="0" w:line="261"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officer of the Company is hereby authorized and directed to make, provide, execute, and deliver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applications, certificates, representations, payments, notices, receipts, and other instruments and documents and take any and all other actions which in the opinion of such officer is or may be necessary or appropriate in connection with or to consummate any of the matters covered by the foregoing resolutions.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32"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4.3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Officers’ Certificate Delivered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301 of the Indenture dated as of September 10, 1997</w:t>
      </w:r>
    </w:p>
    <w:p>
      <w:pPr>
        <w:spacing w:after="0" w:line="103" w:lineRule="exact"/>
        <w:rPr>
          <w:sz w:val="20"/>
          <w:szCs w:val="20"/>
          <w:color w:val="auto"/>
        </w:rPr>
      </w:pPr>
    </w:p>
    <w:p>
      <w:pPr>
        <w:ind w:right="220" w:firstLine="222"/>
        <w:spacing w:after="0" w:line="277" w:lineRule="auto"/>
        <w:rPr>
          <w:sz w:val="20"/>
          <w:szCs w:val="20"/>
          <w:color w:val="auto"/>
        </w:rPr>
      </w:pPr>
      <w:r>
        <w:rPr>
          <w:rFonts w:ascii="Arial" w:cs="Arial" w:eastAsia="Arial" w:hAnsi="Arial"/>
          <w:sz w:val="18"/>
          <w:szCs w:val="18"/>
          <w:color w:val="auto"/>
        </w:rPr>
        <w:t>The undersigned, the Vice President — Finance and Treasurer, and the Corporate Secretary of Waste Management, Inc. (the “Company”), hereby certify that:</w:t>
      </w:r>
    </w:p>
    <w:p>
      <w:pPr>
        <w:spacing w:after="0" w:line="62" w:lineRule="exact"/>
        <w:rPr>
          <w:sz w:val="20"/>
          <w:szCs w:val="20"/>
          <w:color w:val="auto"/>
        </w:rPr>
      </w:pPr>
    </w:p>
    <w:p>
      <w:pPr>
        <w:ind w:right="60" w:firstLine="233"/>
        <w:spacing w:after="0" w:line="279" w:lineRule="auto"/>
        <w:tabs>
          <w:tab w:leader="none" w:pos="402"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This Certificate is delivered to The Bank of New York Mellon Trust Company, N.A. (the current successor to Texas Commerce Bank National Association), as trustee (the “Trustee”), pursuant to Sections 102 and 301 of the Indenture dated as of September 10, 1997 between the Company, formerly known as USA Waste Services, Inc., and the Trustee in connection with the Company Order dated February 26, 2009 (the “Order”) for the authentication and delivery by the Trustee of $450,000,000 aggregate principal amount of 7.375% Notes due 2019 (the “Notes”).</w:t>
      </w:r>
    </w:p>
    <w:p>
      <w:pPr>
        <w:spacing w:after="0" w:line="63" w:lineRule="exact"/>
        <w:rPr>
          <w:rFonts w:ascii="Arial" w:cs="Arial" w:eastAsia="Arial" w:hAnsi="Arial"/>
          <w:sz w:val="17"/>
          <w:szCs w:val="17"/>
          <w:color w:val="auto"/>
        </w:rPr>
      </w:pPr>
    </w:p>
    <w:p>
      <w:pPr>
        <w:ind w:left="400" w:hanging="167"/>
        <w:spacing w:after="0"/>
        <w:tabs>
          <w:tab w:leader="none" w:pos="4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undersigned have read Sections 102, 103, 301 and 303 of the Indenture and the definitions in the Indenture relating thereto.</w:t>
      </w:r>
    </w:p>
    <w:p>
      <w:pPr>
        <w:spacing w:after="0" w:line="117" w:lineRule="exact"/>
        <w:rPr>
          <w:rFonts w:ascii="Arial" w:cs="Arial" w:eastAsia="Arial" w:hAnsi="Arial"/>
          <w:sz w:val="18"/>
          <w:szCs w:val="18"/>
          <w:color w:val="auto"/>
        </w:rPr>
      </w:pPr>
    </w:p>
    <w:p>
      <w:pPr>
        <w:ind w:right="360" w:firstLine="233"/>
        <w:spacing w:after="0" w:line="342" w:lineRule="auto"/>
        <w:tabs>
          <w:tab w:leader="none" w:pos="402"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statements made herein are based either upon the personal knowledge of the persons making this Certificate or on information, data and reports furnished to such persons by the officers, counsel, department heads or employees of the Company who have knowledge of the facts involved.</w:t>
      </w:r>
    </w:p>
    <w:p>
      <w:pPr>
        <w:spacing w:after="0" w:line="15" w:lineRule="exact"/>
        <w:rPr>
          <w:rFonts w:ascii="Arial" w:cs="Arial" w:eastAsia="Arial" w:hAnsi="Arial"/>
          <w:sz w:val="16"/>
          <w:szCs w:val="16"/>
          <w:color w:val="auto"/>
        </w:rPr>
      </w:pPr>
    </w:p>
    <w:p>
      <w:pPr>
        <w:ind w:left="400" w:hanging="167"/>
        <w:spacing w:after="0"/>
        <w:tabs>
          <w:tab w:leader="none" w:pos="4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undersigned have examined the Order, and they have examined the covenants, conditions and provisions of the Indenture relating thereto.</w:t>
      </w:r>
    </w:p>
    <w:p>
      <w:pPr>
        <w:spacing w:after="0" w:line="128" w:lineRule="exact"/>
        <w:rPr>
          <w:rFonts w:ascii="Arial" w:cs="Arial" w:eastAsia="Arial" w:hAnsi="Arial"/>
          <w:sz w:val="17"/>
          <w:szCs w:val="17"/>
          <w:color w:val="auto"/>
        </w:rPr>
      </w:pPr>
    </w:p>
    <w:p>
      <w:pPr>
        <w:ind w:right="360" w:firstLine="233"/>
        <w:spacing w:after="0" w:line="308" w:lineRule="auto"/>
        <w:tabs>
          <w:tab w:leader="none" w:pos="405"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 the opinion of the persons making this Certificate, they have made such examination or investigation as is necessary to enable them to express an informed opinion as to whether or not all conditions provided for in the Indenture with respect to the Order have been complied with.</w:t>
      </w:r>
    </w:p>
    <w:p>
      <w:pPr>
        <w:spacing w:after="0" w:line="38" w:lineRule="exact"/>
        <w:rPr>
          <w:rFonts w:ascii="Arial" w:cs="Arial" w:eastAsia="Arial" w:hAnsi="Arial"/>
          <w:sz w:val="17"/>
          <w:szCs w:val="17"/>
          <w:color w:val="auto"/>
        </w:rPr>
      </w:pPr>
    </w:p>
    <w:p>
      <w:pPr>
        <w:ind w:right="120" w:firstLine="233"/>
        <w:spacing w:after="0" w:line="277" w:lineRule="auto"/>
        <w:tabs>
          <w:tab w:leader="none" w:pos="395"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conditions precedent provided in the Indenture to the authentication by the Trustee of $450,000,000 aggregate principal amount of Notes have been complied with, and such Notes may be delivered in accordance with the Order as provided in the Indenture.</w:t>
      </w:r>
    </w:p>
    <w:p>
      <w:pPr>
        <w:spacing w:after="0" w:line="62" w:lineRule="exact"/>
        <w:rPr>
          <w:rFonts w:ascii="Arial" w:cs="Arial" w:eastAsia="Arial" w:hAnsi="Arial"/>
          <w:sz w:val="18"/>
          <w:szCs w:val="18"/>
          <w:color w:val="auto"/>
        </w:rPr>
      </w:pPr>
    </w:p>
    <w:p>
      <w:pPr>
        <w:jc w:val="both"/>
        <w:ind w:firstLine="233"/>
        <w:spacing w:after="0" w:line="264" w:lineRule="auto"/>
        <w:tabs>
          <w:tab w:leader="none" w:pos="402"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terms of the Notes (including the Form of Note) as set forth in Annex A to this Officers’ Certificate have been approved by officers of the Company as duly authorized by resolutions of the Board of Directors of the Company as of August 25, 2006 and such resolutions, copies of which are attached hereto as Annex B, are in full force and effect as of the date hereof.</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6" w:name="page67"/>
    <w:bookmarkEnd w:id="66"/>
    <w:p>
      <w:pPr>
        <w:spacing w:after="0"/>
        <w:rPr>
          <w:sz w:val="20"/>
          <w:szCs w:val="20"/>
          <w:color w:val="auto"/>
        </w:rPr>
      </w:pPr>
      <w:r>
        <w:rPr>
          <w:rFonts w:ascii="Arial" w:cs="Arial" w:eastAsia="Arial" w:hAnsi="Arial"/>
          <w:sz w:val="17"/>
          <w:szCs w:val="17"/>
          <w:color w:val="auto"/>
        </w:rPr>
        <w:t>IN WITNESS WHEREOF, the undersigned has hereunto executed this Certificate as of February 26, 2009.</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-130175</wp:posOffset>
            </wp:positionV>
            <wp:extent cx="26841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Vice President — Finance and Treasurer</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Linda J.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-130175</wp:posOffset>
            </wp:positionV>
            <wp:extent cx="26841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Corporate Secretary</w:t>
      </w:r>
    </w:p>
    <w:p>
      <w:pPr>
        <w:spacing w:after="0" w:line="184"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79"/>
          </w:cols>
          <w:pgMar w:left="480" w:top="935" w:right="1440"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Annex A</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the Notes</w:t>
      </w:r>
    </w:p>
    <w:p>
      <w:pPr>
        <w:spacing w:after="0" w:line="121"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color w:val="auto"/>
        </w:rPr>
        <w:t>Pursuant to authority granted by the Board of Directors of the Company on August 25, 2006 and the Sole Director of Waste Management Holdings, Inc. on October 30, 2009 and February 17, 2009, the Company has approved the establishment, issuance, execution and delivery of a new series of Securities (as defined in the Indenture) to be issued under the Indenture dated as of September 10, 1997 (the “Indenture”), between the Company, formerly known as USA Waste Services, Inc., and The Bank of New York Mellon Trust Company, N.A. (the current successor to Texas Commerce Bank National Association), as trustee (the “Trustee”), the terms of which are set forth below. Capitalized terms used but not defined herein are used herein as defined in the Indenture.</w:t>
      </w:r>
    </w:p>
    <w:p>
      <w:pPr>
        <w:spacing w:after="0" w:line="50"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title of the series of Securities shall be “7.375% Senior Notes due 2019” (the “Notes”).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Notes shall be general unsecured, senior obligations of the Company.</w:t>
      </w:r>
    </w:p>
    <w:p>
      <w:pPr>
        <w:spacing w:after="0" w:line="130" w:lineRule="exact"/>
        <w:rPr>
          <w:rFonts w:ascii="Arial" w:cs="Arial" w:eastAsia="Arial" w:hAnsi="Arial"/>
          <w:sz w:val="18"/>
          <w:szCs w:val="18"/>
          <w:color w:val="auto"/>
        </w:rPr>
      </w:pPr>
    </w:p>
    <w:p>
      <w:pPr>
        <w:ind w:left="460" w:right="180" w:hanging="452"/>
        <w:spacing w:after="0" w:line="279" w:lineRule="auto"/>
        <w:tabs>
          <w:tab w:leader="none" w:pos="46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initial aggregate principal amount of the Notes that may be authenticated and delivered under the Indenture shall be $450,000,000 (except for Notes authenticated and delivered upon registration of transfer of, or in exchange for, or in lieu of, other Notes pursuant to Section 304, 305, 306, 907 or 1107 of the Indenture); provided, however, that the authorized aggregate principal amount of such series may be increased before or after the issuance of any Notes of such series by a Board Resolution (or action pursuant to a Board Resolution) to such effect.</w:t>
      </w:r>
    </w:p>
    <w:p>
      <w:pPr>
        <w:spacing w:after="0" w:line="76" w:lineRule="exact"/>
        <w:rPr>
          <w:rFonts w:ascii="Arial" w:cs="Arial" w:eastAsia="Arial" w:hAnsi="Arial"/>
          <w:sz w:val="17"/>
          <w:szCs w:val="17"/>
          <w:color w:val="auto"/>
        </w:rPr>
      </w:pPr>
    </w:p>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principal amount of each Note shall be payable on March 11, 2019.</w:t>
      </w:r>
    </w:p>
    <w:p>
      <w:pPr>
        <w:spacing w:after="0" w:line="130" w:lineRule="exact"/>
        <w:rPr>
          <w:rFonts w:ascii="Arial" w:cs="Arial" w:eastAsia="Arial" w:hAnsi="Arial"/>
          <w:sz w:val="18"/>
          <w:szCs w:val="18"/>
          <w:color w:val="auto"/>
        </w:rPr>
      </w:pPr>
    </w:p>
    <w:p>
      <w:pPr>
        <w:ind w:left="460" w:right="60" w:hanging="452"/>
        <w:spacing w:after="0" w:line="302" w:lineRule="auto"/>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Each Note shall bear interest from February 26, 2009 at the fixed rate of 7.375% per annum; the Interest Payment Dates on which such interest shall be payable shall be March 11 and September 11, of each year, commencing September 11, 2009, until maturity unless such date falls on a day that is not a Business Day, in which case, such payment shall be made on the next day that is a Business Day. The Regular Record Date for the determination of Holders to whom interest is payable shall be March 1 or September 1, respectively, immediately preceding such date, as the case may be.</w:t>
      </w:r>
    </w:p>
    <w:p>
      <w:pPr>
        <w:spacing w:after="0" w:line="59" w:lineRule="exact"/>
        <w:rPr>
          <w:rFonts w:ascii="Arial" w:cs="Arial" w:eastAsia="Arial" w:hAnsi="Arial"/>
          <w:sz w:val="16"/>
          <w:szCs w:val="16"/>
          <w:color w:val="auto"/>
        </w:rPr>
      </w:pPr>
    </w:p>
    <w:p>
      <w:pPr>
        <w:ind w:left="460" w:right="20" w:hanging="452"/>
        <w:spacing w:after="0" w:line="264"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 “Change of Control Triggering Event” (as defined in the Notes) occurs, each Holder of the Notes may require us to purchase all or a portion of such Holder’s Notes at a price equal to 101% of the principal amount, plus accrued interest, if any, to the date of purchase, on the terms and subject to the conditions set forth in the Notes.</w:t>
      </w:r>
    </w:p>
    <w:p>
      <w:pPr>
        <w:spacing w:after="0" w:line="86" w:lineRule="exact"/>
        <w:rPr>
          <w:rFonts w:ascii="Arial" w:cs="Arial" w:eastAsia="Arial" w:hAnsi="Arial"/>
          <w:sz w:val="18"/>
          <w:szCs w:val="18"/>
          <w:color w:val="auto"/>
        </w:rPr>
      </w:pPr>
    </w:p>
    <w:p>
      <w:pPr>
        <w:ind w:left="460" w:right="240" w:hanging="452"/>
        <w:spacing w:after="0" w:line="259"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Notes are to be issued as Registered Securities only. Each Note is to be issued as a book-entry note (“Book-Entry Note”) but in certain circumstances may be represented by Notes in definitive form. The Book-Entry Notes shall be issued, in whole or in part, in the form of one or more Notes in global form as contemplated by Section 203 of the Indenture. The Depositary with respect to the Book-Entry Notes shall be The Depository Trust Company, New York, New York.</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68" w:right="239" w:bottom="1440" w:gutter="0" w:footer="0" w:header="0"/>
        </w:sectPr>
      </w:pPr>
    </w:p>
    <w:bookmarkStart w:id="68" w:name="page69"/>
    <w:bookmarkEnd w:id="68"/>
    <w:p>
      <w:pPr>
        <w:ind w:left="452" w:right="20" w:hanging="452"/>
        <w:spacing w:after="0" w:line="259" w:lineRule="auto"/>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Payments of principal of, premium, if any, and interest due on the Notes representing Book-Entry Notes on any Interest Payment Date or at maturity will be made available to the Trustee by 11:00 a.m., New York City time, on such date, unless such date falls on a day which is not a Business Day, in which case such payments will be made available to the Trustee by 11:00 a.m., New York City time, on the next Business Day. As soon as possible thereafter, the Trustee will make such payments to the Depositary.</w:t>
      </w:r>
    </w:p>
    <w:p>
      <w:pPr>
        <w:spacing w:after="0" w:line="92" w:lineRule="exact"/>
        <w:rPr>
          <w:rFonts w:ascii="Arial" w:cs="Arial" w:eastAsia="Arial" w:hAnsi="Arial"/>
          <w:sz w:val="18"/>
          <w:szCs w:val="18"/>
          <w:color w:val="auto"/>
        </w:rPr>
      </w:pPr>
    </w:p>
    <w:p>
      <w:pPr>
        <w:ind w:left="452" w:hanging="452"/>
        <w:spacing w:after="0" w:line="297" w:lineRule="auto"/>
        <w:tabs>
          <w:tab w:leader="none" w:pos="45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Notes will be redeemable, at the option of the Company, at any time in whole, or from time to time in part, at a Redemption Price equal to the greater of (i) 100% of the principal amount of the Notes to be redeemed or (ii) the sum of the present value of the remaining scheduled payments of principal and interest (at the rate in effect on the date of calculation of the Redemption Price) thereon (exclusive of interest accrued to the Redemption Date (as defined in the Notes)) discounted to the Redemption Date on a semiannual basis (assuming a 360 day year consisting of twelve 30-day months) at the applicable Treasury Yield (as defined in the Notes) plus 50 basis points; plus, in either case, accrued interest to the Redemption Date.</w:t>
      </w:r>
    </w:p>
    <w:p>
      <w:pPr>
        <w:spacing w:after="0" w:line="63" w:lineRule="exact"/>
        <w:rPr>
          <w:rFonts w:ascii="Arial" w:cs="Arial" w:eastAsia="Arial" w:hAnsi="Arial"/>
          <w:sz w:val="16"/>
          <w:szCs w:val="16"/>
          <w:color w:val="auto"/>
        </w:rPr>
      </w:pPr>
    </w:p>
    <w:p>
      <w:pPr>
        <w:ind w:left="452" w:right="360" w:hanging="452"/>
        <w:spacing w:after="0" w:line="277" w:lineRule="auto"/>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shall have no obligation to redeem, purchase or repay the Notes pursuant to any mandatory redemption, sinking fund or analogous provisions or at the option of a Holder thereof.</w:t>
      </w:r>
    </w:p>
    <w:p>
      <w:pPr>
        <w:spacing w:after="0" w:line="75" w:lineRule="exact"/>
        <w:rPr>
          <w:rFonts w:ascii="Arial" w:cs="Arial" w:eastAsia="Arial" w:hAnsi="Arial"/>
          <w:sz w:val="18"/>
          <w:szCs w:val="18"/>
          <w:color w:val="auto"/>
        </w:rPr>
      </w:pPr>
    </w:p>
    <w:p>
      <w:pPr>
        <w:ind w:left="452" w:right="820" w:hanging="452"/>
        <w:spacing w:after="0" w:line="277" w:lineRule="auto"/>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Notes will be subject to defeasance and discharge as contemplated by Section 1302 of the Indenture and to covenant defeasance under Section 1303 of the Indenture.</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Notes shall be entitled to the benefit of the covenants contained in Sections 1008 and 1009 of the Indenture.</w:t>
      </w:r>
    </w:p>
    <w:p>
      <w:pPr>
        <w:spacing w:after="0" w:line="130" w:lineRule="exact"/>
        <w:rPr>
          <w:rFonts w:ascii="Arial" w:cs="Arial" w:eastAsia="Arial" w:hAnsi="Arial"/>
          <w:sz w:val="18"/>
          <w:szCs w:val="18"/>
          <w:color w:val="auto"/>
        </w:rPr>
      </w:pPr>
    </w:p>
    <w:p>
      <w:pPr>
        <w:ind w:left="452" w:right="240" w:hanging="452"/>
        <w:spacing w:after="0" w:line="277" w:lineRule="auto"/>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Bank of New York Mellon, on behalf (for the benefit) of The Bank of New York Mellon Trust Company, N.A., shall serve initially as Security Registrar for the Notes.</w:t>
      </w:r>
    </w:p>
    <w:p>
      <w:pPr>
        <w:spacing w:after="0" w:line="75" w:lineRule="exact"/>
        <w:rPr>
          <w:rFonts w:ascii="Arial" w:cs="Arial" w:eastAsia="Arial" w:hAnsi="Arial"/>
          <w:sz w:val="18"/>
          <w:szCs w:val="18"/>
          <w:color w:val="auto"/>
        </w:rPr>
      </w:pPr>
    </w:p>
    <w:p>
      <w:pPr>
        <w:ind w:left="452" w:hanging="452"/>
        <w:spacing w:after="0"/>
        <w:tabs>
          <w:tab w:leader="none" w:pos="45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Notes shall be substantially in the form of Exhibit A hereto.</w:t>
      </w:r>
    </w:p>
    <w:p>
      <w:pPr>
        <w:spacing w:after="0" w:line="130" w:lineRule="exact"/>
        <w:rPr>
          <w:rFonts w:ascii="Arial" w:cs="Arial" w:eastAsia="Arial" w:hAnsi="Arial"/>
          <w:sz w:val="18"/>
          <w:szCs w:val="18"/>
          <w:color w:val="auto"/>
        </w:rPr>
      </w:pPr>
    </w:p>
    <w:p>
      <w:pPr>
        <w:ind w:left="452" w:hanging="452"/>
        <w:spacing w:after="0" w:line="302" w:lineRule="auto"/>
        <w:tabs>
          <w:tab w:leader="none" w:pos="452"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Notes will be fully and unconditionally guaranteed on a senior basis by the Company’s wholly-owned subsidiary, Waste Management Holdings, Inc., pursuant to the terms and conditions of a Guarantee Agreement dated February 26, 2009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Notes until release thereof as set forth in Section 6 of the Guarantee.</w:t>
      </w:r>
    </w:p>
    <w:p>
      <w:pPr>
        <w:spacing w:after="0" w:line="127" w:lineRule="exact"/>
        <w:rPr>
          <w:sz w:val="20"/>
          <w:szCs w:val="20"/>
          <w:color w:val="auto"/>
        </w:rPr>
      </w:pPr>
    </w:p>
    <w:p>
      <w:pPr>
        <w:jc w:val="center"/>
        <w:ind w:right="-15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2"/>
          </w:cols>
          <w:pgMar w:left="248" w:top="1044" w:right="39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ANNEX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NOTES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Note)</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BOOK-ENTRY SECURITY</w:t>
      </w:r>
    </w:p>
    <w:p>
      <w:pPr>
        <w:spacing w:after="0" w:line="117" w:lineRule="exact"/>
        <w:rPr>
          <w:sz w:val="20"/>
          <w:szCs w:val="20"/>
          <w:color w:val="auto"/>
        </w:rPr>
      </w:pPr>
    </w:p>
    <w:p>
      <w:pPr>
        <w:ind w:right="260" w:firstLine="222"/>
        <w:spacing w:after="0" w:line="273" w:lineRule="auto"/>
        <w:rPr>
          <w:sz w:val="20"/>
          <w:szCs w:val="20"/>
          <w:color w:val="auto"/>
        </w:rPr>
      </w:pPr>
      <w:r>
        <w:rPr>
          <w:rFonts w:ascii="Arial" w:cs="Arial" w:eastAsia="Arial" w:hAnsi="Arial"/>
          <w:sz w:val="17"/>
          <w:szCs w:val="17"/>
          <w:color w:val="auto"/>
        </w:rPr>
        <w:t>THIS SECURITY IS A BOOK-ENTRY SECURITY WITHIN THE MEANING OF THE INDENTURE HEREINAFTER REFERRED TO AND IS REGISTERED IN THE NAME OF A DEPOSITORY OR A NOMINEE OF A DEPOSITORY. THIS SECURITY IS EXCHANGEABLE FOR SECURITIES REGISTERED IN THE NAME OF A PERSON OTHER THAN THE DEPOSITORY OR ITS NOMINEE ONLY IN THE LIMITED CIRCUMSTANCES DESCRIBED IN THE INDENTURE, AND NO TRANSFER OF THIS SECURITY (OTHER THAN A TRANSFER OF THIS SECURITY AS A WHOLE BY THE DEPOSITORY TO A NOMINEE OF THE DEPOSITORY OR BY A NOMINEE OF THE DEPOSITORY TO THE DEPOSITORY OR ANOTHER NOMINEE OF THE DEPOSITORY) MAY BE REGISTERED EXCEPT IN SUCH LIMITED CIRCUMSTANCES.</w:t>
      </w:r>
    </w:p>
    <w:p>
      <w:pPr>
        <w:spacing w:after="0" w:line="70" w:lineRule="exact"/>
        <w:rPr>
          <w:sz w:val="20"/>
          <w:szCs w:val="20"/>
          <w:color w:val="auto"/>
        </w:rPr>
      </w:pPr>
    </w:p>
    <w:p>
      <w:pPr>
        <w:ind w:right="60" w:firstLine="225"/>
        <w:spacing w:after="0" w:line="255" w:lineRule="auto"/>
        <w:rPr>
          <w:sz w:val="20"/>
          <w:szCs w:val="20"/>
          <w:color w:val="auto"/>
        </w:rPr>
      </w:pPr>
      <w:r>
        <w:rPr>
          <w:rFonts w:ascii="Arial" w:cs="Arial" w:eastAsia="Arial" w:hAnsi="Arial"/>
          <w:sz w:val="18"/>
          <w:szCs w:val="18"/>
          <w:color w:val="auto"/>
        </w:rPr>
        <w:t>UNLESS THIS CERTIFICATE IS PRESENTED BY AN AUTHORIZED REPRESENTATIVE OF THE DEPOSITORY TRUST COMPANY, A NEW YORK CORPORATION (“DTC”), TO THE COMPANY (AS DEFINED BELOW) OR ITS AGENT FOR REGISTRATION FOR TRANSFER, EXCHANGE OR PAYMENT, AND ANY CERTIFICATE ISSUED IS REGISTERED IN THE NAME OF CEDE &amp; CO. OR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spacing w:after="0"/>
        <w:tabs>
          <w:tab w:leader="none" w:pos="10120" w:val="left"/>
        </w:tabs>
        <w:rPr>
          <w:sz w:val="20"/>
          <w:szCs w:val="20"/>
          <w:color w:val="auto"/>
        </w:rPr>
      </w:pPr>
      <w:r>
        <w:rPr>
          <w:rFonts w:ascii="Arial" w:cs="Arial" w:eastAsia="Arial" w:hAnsi="Arial"/>
          <w:sz w:val="18"/>
          <w:szCs w:val="18"/>
          <w:color w:val="auto"/>
        </w:rPr>
        <w:t>RGN-1</w:t>
      </w:r>
      <w:r>
        <w:rPr>
          <w:sz w:val="20"/>
          <w:szCs w:val="20"/>
          <w:color w:val="auto"/>
        </w:rPr>
        <w:tab/>
      </w:r>
      <w:r>
        <w:rPr>
          <w:rFonts w:ascii="Arial" w:cs="Arial" w:eastAsia="Arial" w:hAnsi="Arial"/>
          <w:sz w:val="16"/>
          <w:szCs w:val="16"/>
          <w:color w:val="auto"/>
        </w:rPr>
        <w:t>Principal Amount</w:t>
      </w:r>
    </w:p>
    <w:p>
      <w:pPr>
        <w:spacing w:after="0" w:line="225"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U.S. $450,000,000,</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which may be decreased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the Schedule of</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Exchanges of Definitive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Security attached hereto</w:t>
      </w:r>
    </w:p>
    <w:p>
      <w:pPr>
        <w:spacing w:after="0" w:line="31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7.375% SENIOR NOTES DUE 2019</w:t>
      </w:r>
    </w:p>
    <w:p>
      <w:pPr>
        <w:spacing w:after="0" w:line="225" w:lineRule="exact"/>
        <w:rPr>
          <w:sz w:val="20"/>
          <w:szCs w:val="20"/>
          <w:color w:val="auto"/>
        </w:rPr>
      </w:pPr>
    </w:p>
    <w:p>
      <w:pPr>
        <w:ind w:left="9960"/>
        <w:spacing w:after="0"/>
        <w:rPr>
          <w:sz w:val="20"/>
          <w:szCs w:val="20"/>
          <w:color w:val="auto"/>
        </w:rPr>
      </w:pPr>
      <w:r>
        <w:rPr>
          <w:rFonts w:ascii="Arial" w:cs="Arial" w:eastAsia="Arial" w:hAnsi="Arial"/>
          <w:sz w:val="16"/>
          <w:szCs w:val="16"/>
          <w:color w:val="auto"/>
        </w:rPr>
        <w:t>CUSIP 94106LAU3</w:t>
      </w:r>
    </w:p>
    <w:p>
      <w:pPr>
        <w:spacing w:after="0" w:line="140" w:lineRule="exact"/>
        <w:rPr>
          <w:sz w:val="20"/>
          <w:szCs w:val="20"/>
          <w:color w:val="auto"/>
        </w:rPr>
      </w:pPr>
    </w:p>
    <w:p>
      <w:pPr>
        <w:ind w:right="260" w:firstLine="222"/>
        <w:spacing w:after="0" w:line="264" w:lineRule="auto"/>
        <w:rPr>
          <w:sz w:val="20"/>
          <w:szCs w:val="20"/>
          <w:color w:val="auto"/>
        </w:rPr>
      </w:pPr>
      <w:r>
        <w:rPr>
          <w:rFonts w:ascii="Arial" w:cs="Arial" w:eastAsia="Arial" w:hAnsi="Arial"/>
          <w:sz w:val="18"/>
          <w:szCs w:val="18"/>
          <w:color w:val="auto"/>
        </w:rPr>
        <w:t>WASTE MANAGEMENT, INC., a Delaware corporation (the “Company,” which term includes any successors under the Indenture hereinafter referred to), for value received, hereby promises to pay to CEDE &amp; CO. or registered assigns, at the office or agency of the Company, the principal sum of Four Hundred Fifty Million ($450,000,000) U.S. dollars, or such lesser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6" w:right="239" w:bottom="1440" w:gutter="0" w:footer="0" w:header="0"/>
        </w:sectPr>
      </w:pPr>
    </w:p>
    <w:bookmarkStart w:id="70" w:name="page71"/>
    <w:bookmarkEnd w:id="70"/>
    <w:p>
      <w:pPr>
        <w:spacing w:after="0" w:line="257" w:lineRule="auto"/>
        <w:rPr>
          <w:sz w:val="20"/>
          <w:szCs w:val="20"/>
          <w:color w:val="auto"/>
        </w:rPr>
      </w:pPr>
      <w:r>
        <w:rPr>
          <w:rFonts w:ascii="Arial" w:cs="Arial" w:eastAsia="Arial" w:hAnsi="Arial"/>
          <w:sz w:val="18"/>
          <w:szCs w:val="18"/>
          <w:color w:val="auto"/>
        </w:rPr>
        <w:t>principal sum as is shown on the attached Schedule of Exchanges of Definitive Security, on March 11, 2019 in such coin or currency of the United States of America as at the time of payment shall be legal tender for the payment of public and private debts, and to pay interest at an annual rate of 7.375% payable on March 11 and September 11 of each year, to the person in whose name this Security is registered at the close of business on the record date for such interest, which shall be the preceding March 1 or September 1, respectively, payable commencing September 11, 2009, with interest consisting of interest accrued from February 26, 2009.</w:t>
      </w:r>
    </w:p>
    <w:p>
      <w:pPr>
        <w:spacing w:after="0" w:line="80" w:lineRule="exact"/>
        <w:rPr>
          <w:sz w:val="20"/>
          <w:szCs w:val="20"/>
          <w:color w:val="auto"/>
        </w:rPr>
      </w:pPr>
    </w:p>
    <w:p>
      <w:pPr>
        <w:ind w:right="320" w:firstLine="225"/>
        <w:spacing w:after="0" w:line="277" w:lineRule="auto"/>
        <w:rPr>
          <w:sz w:val="20"/>
          <w:szCs w:val="20"/>
          <w:color w:val="auto"/>
        </w:rPr>
      </w:pPr>
      <w:r>
        <w:rPr>
          <w:rFonts w:ascii="Arial" w:cs="Arial" w:eastAsia="Arial" w:hAnsi="Arial"/>
          <w:sz w:val="18"/>
          <w:szCs w:val="18"/>
          <w:color w:val="auto"/>
        </w:rPr>
        <w:t>Reference is made to the further provisions of this Security set forth on the reverse hereof. Such further provisions shall for all purposes have the same effect as though fully set forth at this place.</w:t>
      </w:r>
    </w:p>
    <w:p>
      <w:pPr>
        <w:spacing w:after="0" w:line="62" w:lineRule="exact"/>
        <w:rPr>
          <w:sz w:val="20"/>
          <w:szCs w:val="20"/>
          <w:color w:val="auto"/>
        </w:rPr>
      </w:pPr>
    </w:p>
    <w:p>
      <w:pPr>
        <w:ind w:right="140" w:firstLine="222"/>
        <w:spacing w:after="0" w:line="277" w:lineRule="auto"/>
        <w:rPr>
          <w:sz w:val="20"/>
          <w:szCs w:val="20"/>
          <w:color w:val="auto"/>
        </w:rPr>
      </w:pPr>
      <w:r>
        <w:rPr>
          <w:rFonts w:ascii="Arial" w:cs="Arial" w:eastAsia="Arial" w:hAnsi="Arial"/>
          <w:sz w:val="18"/>
          <w:szCs w:val="18"/>
          <w:color w:val="auto"/>
        </w:rPr>
        <w:t>The statements in the legends set forth above are an integral part of the terms of this Security and by acceptance hereof the Holder of this Security agrees to be subject to, and bound by, the terms and provisions set forth in each such legend.</w:t>
      </w:r>
    </w:p>
    <w:p>
      <w:pPr>
        <w:spacing w:after="0" w:line="62"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This Security is issued in respect of a series of Securities of an initial aggregate of U.S. $450,000,000 in principal amount designated as the 7.375% Senior Notes due 2019 of the Company and is governed by the Indenture dated as of September 10, 1997, duly executed and delivered by the Company, formerly known as USA Waste Services, Inc., to The Bank of New York Mellon Trust Company N.A. (the current successor to Texas Commerce Bank National Association) as trustee (the “Trustee”), as supplemented by Board Resolutions (as defined in the Indenture) (such Indenture and Board Resolutions, collectively, the “Indenture”). The terms of the Indenture are incorporated herein by reference. This Security shall in all respects be entitled to the same benefits as definitive Securities under the Indenture.</w:t>
      </w:r>
    </w:p>
    <w:p>
      <w:pPr>
        <w:spacing w:after="0" w:line="85" w:lineRule="exact"/>
        <w:rPr>
          <w:sz w:val="20"/>
          <w:szCs w:val="20"/>
          <w:color w:val="auto"/>
        </w:rPr>
      </w:pPr>
    </w:p>
    <w:p>
      <w:pPr>
        <w:jc w:val="both"/>
        <w:ind w:right="40" w:firstLine="225"/>
        <w:spacing w:after="0" w:line="264" w:lineRule="auto"/>
        <w:rPr>
          <w:sz w:val="20"/>
          <w:szCs w:val="20"/>
          <w:color w:val="auto"/>
        </w:rPr>
      </w:pPr>
      <w:r>
        <w:rPr>
          <w:rFonts w:ascii="Arial" w:cs="Arial" w:eastAsia="Arial" w:hAnsi="Arial"/>
          <w:sz w:val="18"/>
          <w:szCs w:val="18"/>
          <w:color w:val="auto"/>
        </w:rPr>
        <w:t>If and to the extent that any provision of the Indenture limits, qualifies or conflicts with any other provision of the Indenture that is required to be included in the Indenture or is deemed applicable to the Indenture by virtue of the provisions of the Trust Indenture Act of 1939, as amended, such required provision shall control.</w:t>
      </w:r>
    </w:p>
    <w:p>
      <w:pPr>
        <w:spacing w:after="0" w:line="7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Company hereby irrevocably undertakes to the Holder hereof to exchange this Security in accordance with the terms of the Indenture without charge.</w:t>
      </w: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1" w:name="page72"/>
    <w:bookmarkEnd w:id="71"/>
    <w:p>
      <w:pPr>
        <w:ind w:right="40" w:firstLine="222"/>
        <w:spacing w:after="0" w:line="277" w:lineRule="auto"/>
        <w:rPr>
          <w:sz w:val="20"/>
          <w:szCs w:val="20"/>
          <w:color w:val="auto"/>
        </w:rPr>
      </w:pPr>
      <w:r>
        <w:rPr>
          <w:rFonts w:ascii="Arial" w:cs="Arial" w:eastAsia="Arial" w:hAnsi="Arial"/>
          <w:sz w:val="18"/>
          <w:szCs w:val="18"/>
          <w:color w:val="auto"/>
        </w:rPr>
        <w:t>This Security shall not be valid or become obligatory for any purpose until the Certificate of Authentication hereon shall have been manually signed by the Trustee under the Indenture.</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Company has caused this instrument to be duly executed under its corporate seal.</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Dated: February 26, 2009</w:t>
            </w: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WASTE MANAGEMENT, INC.,</w:t>
            </w:r>
          </w:p>
        </w:tc>
      </w:tr>
      <w:tr>
        <w:trPr>
          <w:trHeight w:val="230"/>
        </w:trPr>
        <w:tc>
          <w:tcPr>
            <w:tcW w:w="3600" w:type="dxa"/>
            <w:vAlign w:val="bottom"/>
          </w:tcPr>
          <w:p>
            <w:pPr>
              <w:spacing w:after="0"/>
              <w:rPr>
                <w:sz w:val="20"/>
                <w:szCs w:val="20"/>
                <w:color w:val="auto"/>
              </w:rPr>
            </w:pP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a Delaware corporation</w:t>
            </w:r>
          </w:p>
        </w:tc>
      </w:tr>
      <w:tr>
        <w:trPr>
          <w:trHeight w:val="432"/>
        </w:trPr>
        <w:tc>
          <w:tcPr>
            <w:tcW w:w="3600" w:type="dxa"/>
            <w:vAlign w:val="bottom"/>
          </w:tcPr>
          <w:p>
            <w:pPr>
              <w:spacing w:after="0"/>
              <w:rPr>
                <w:sz w:val="24"/>
                <w:szCs w:val="24"/>
                <w:color w:val="auto"/>
              </w:rPr>
            </w:pP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By:</w:t>
            </w:r>
          </w:p>
        </w:tc>
      </w:tr>
      <w:tr>
        <w:trPr>
          <w:trHeight w:val="195"/>
        </w:trPr>
        <w:tc>
          <w:tcPr>
            <w:tcW w:w="36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Cherie C. Rice</w:t>
            </w:r>
          </w:p>
        </w:tc>
      </w:tr>
      <w:tr>
        <w:trPr>
          <w:trHeight w:val="230"/>
        </w:trPr>
        <w:tc>
          <w:tcPr>
            <w:tcW w:w="3600" w:type="dxa"/>
            <w:vAlign w:val="bottom"/>
          </w:tcPr>
          <w:p>
            <w:pPr>
              <w:spacing w:after="0"/>
              <w:rPr>
                <w:sz w:val="20"/>
                <w:szCs w:val="20"/>
                <w:color w:val="auto"/>
              </w:rPr>
            </w:pPr>
          </w:p>
        </w:tc>
        <w:tc>
          <w:tcPr>
            <w:tcW w:w="6140" w:type="dxa"/>
            <w:vAlign w:val="bottom"/>
            <w:gridSpan w:val="2"/>
          </w:tcPr>
          <w:p>
            <w:pPr>
              <w:ind w:left="2100"/>
              <w:spacing w:after="0"/>
              <w:rPr>
                <w:sz w:val="20"/>
                <w:szCs w:val="20"/>
                <w:color w:val="auto"/>
              </w:rPr>
            </w:pPr>
            <w:r>
              <w:rPr>
                <w:rFonts w:ascii="Arial" w:cs="Arial" w:eastAsia="Arial" w:hAnsi="Arial"/>
                <w:sz w:val="18"/>
                <w:szCs w:val="18"/>
                <w:color w:val="auto"/>
              </w:rPr>
              <w:t>Vice President and Treasurer</w:t>
            </w:r>
          </w:p>
        </w:tc>
      </w:tr>
      <w:tr>
        <w:trPr>
          <w:trHeight w:val="432"/>
        </w:trPr>
        <w:tc>
          <w:tcPr>
            <w:tcW w:w="3600" w:type="dxa"/>
            <w:vAlign w:val="bottom"/>
          </w:tcPr>
          <w:p>
            <w:pPr>
              <w:spacing w:after="0"/>
              <w:rPr>
                <w:sz w:val="24"/>
                <w:szCs w:val="24"/>
                <w:color w:val="auto"/>
              </w:rPr>
            </w:pP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Attest:</w:t>
            </w:r>
          </w:p>
        </w:tc>
      </w:tr>
      <w:tr>
        <w:trPr>
          <w:trHeight w:val="432"/>
        </w:trPr>
        <w:tc>
          <w:tcPr>
            <w:tcW w:w="3600" w:type="dxa"/>
            <w:vAlign w:val="bottom"/>
          </w:tcPr>
          <w:p>
            <w:pPr>
              <w:spacing w:after="0"/>
              <w:rPr>
                <w:sz w:val="24"/>
                <w:szCs w:val="24"/>
                <w:color w:val="auto"/>
              </w:rPr>
            </w:pPr>
          </w:p>
        </w:tc>
        <w:tc>
          <w:tcPr>
            <w:tcW w:w="6140" w:type="dxa"/>
            <w:vAlign w:val="bottom"/>
            <w:gridSpan w:val="2"/>
          </w:tcPr>
          <w:p>
            <w:pPr>
              <w:ind w:left="1760"/>
              <w:spacing w:after="0"/>
              <w:rPr>
                <w:sz w:val="20"/>
                <w:szCs w:val="20"/>
                <w:color w:val="auto"/>
              </w:rPr>
            </w:pPr>
            <w:r>
              <w:rPr>
                <w:rFonts w:ascii="Arial" w:cs="Arial" w:eastAsia="Arial" w:hAnsi="Arial"/>
                <w:sz w:val="18"/>
                <w:szCs w:val="18"/>
                <w:color w:val="auto"/>
              </w:rPr>
              <w:t>By:</w:t>
            </w:r>
          </w:p>
        </w:tc>
      </w:tr>
      <w:tr>
        <w:trPr>
          <w:trHeight w:val="195"/>
        </w:trPr>
        <w:tc>
          <w:tcPr>
            <w:tcW w:w="36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r>
      <w:tr>
        <w:trPr>
          <w:trHeight w:val="230"/>
        </w:trPr>
        <w:tc>
          <w:tcPr>
            <w:tcW w:w="3600" w:type="dxa"/>
            <w:vAlign w:val="bottom"/>
          </w:tcPr>
          <w:p>
            <w:pPr>
              <w:spacing w:after="0"/>
              <w:rPr>
                <w:sz w:val="20"/>
                <w:szCs w:val="20"/>
                <w:color w:val="auto"/>
              </w:rPr>
            </w:pPr>
          </w:p>
        </w:tc>
        <w:tc>
          <w:tcPr>
            <w:tcW w:w="6140" w:type="dxa"/>
            <w:vAlign w:val="bottom"/>
            <w:gridSpan w:val="2"/>
          </w:tcPr>
          <w:p>
            <w:pPr>
              <w:ind w:left="2100"/>
              <w:spacing w:after="0"/>
              <w:rPr>
                <w:sz w:val="20"/>
                <w:szCs w:val="20"/>
                <w:color w:val="auto"/>
              </w:rPr>
            </w:pPr>
            <w:r>
              <w:rPr>
                <w:rFonts w:ascii="Arial" w:cs="Arial" w:eastAsia="Arial" w:hAnsi="Arial"/>
                <w:sz w:val="18"/>
                <w:szCs w:val="18"/>
                <w:color w:val="auto"/>
              </w:rPr>
              <w:t>Assistant Secretary</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AUTHENTICATION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Date of Authentication: February 26, 2009</w:t>
            </w:r>
          </w:p>
        </w:tc>
        <w:tc>
          <w:tcPr>
            <w:tcW w:w="5520" w:type="dxa"/>
            <w:vAlign w:val="bottom"/>
            <w:gridSpan w:val="2"/>
          </w:tcPr>
          <w:p>
            <w:pPr>
              <w:ind w:left="1140"/>
              <w:spacing w:after="0"/>
              <w:rPr>
                <w:sz w:val="20"/>
                <w:szCs w:val="20"/>
                <w:color w:val="auto"/>
              </w:rPr>
            </w:pPr>
            <w:r>
              <w:rPr>
                <w:rFonts w:ascii="Arial" w:cs="Arial" w:eastAsia="Arial" w:hAnsi="Arial"/>
                <w:sz w:val="18"/>
                <w:szCs w:val="18"/>
                <w:color w:val="auto"/>
              </w:rPr>
              <w:t>The Bank of New York Mellon Trust</w:t>
            </w:r>
          </w:p>
        </w:tc>
        <w:tc>
          <w:tcPr>
            <w:tcW w:w="1680" w:type="dxa"/>
            <w:vAlign w:val="bottom"/>
          </w:tcPr>
          <w:p>
            <w:pPr>
              <w:spacing w:after="0"/>
              <w:rPr>
                <w:sz w:val="18"/>
                <w:szCs w:val="18"/>
                <w:color w:val="auto"/>
              </w:rPr>
            </w:pPr>
          </w:p>
        </w:tc>
      </w:tr>
      <w:tr>
        <w:trPr>
          <w:trHeight w:val="230"/>
        </w:trPr>
        <w:tc>
          <w:tcPr>
            <w:tcW w:w="4220" w:type="dxa"/>
            <w:vAlign w:val="bottom"/>
          </w:tcPr>
          <w:p>
            <w:pPr>
              <w:spacing w:after="0"/>
              <w:rPr>
                <w:sz w:val="20"/>
                <w:szCs w:val="20"/>
                <w:color w:val="auto"/>
              </w:rPr>
            </w:pPr>
          </w:p>
        </w:tc>
        <w:tc>
          <w:tcPr>
            <w:tcW w:w="5520" w:type="dxa"/>
            <w:vAlign w:val="bottom"/>
            <w:gridSpan w:val="2"/>
          </w:tcPr>
          <w:p>
            <w:pPr>
              <w:ind w:left="1140"/>
              <w:spacing w:after="0"/>
              <w:rPr>
                <w:sz w:val="20"/>
                <w:szCs w:val="20"/>
                <w:color w:val="auto"/>
              </w:rPr>
            </w:pPr>
            <w:r>
              <w:rPr>
                <w:rFonts w:ascii="Arial" w:cs="Arial" w:eastAsia="Arial" w:hAnsi="Arial"/>
                <w:sz w:val="18"/>
                <w:szCs w:val="18"/>
                <w:color w:val="auto"/>
              </w:rPr>
              <w:t>Company N.A., as Trustee</w:t>
            </w:r>
          </w:p>
        </w:tc>
        <w:tc>
          <w:tcPr>
            <w:tcW w:w="1680" w:type="dxa"/>
            <w:vAlign w:val="bottom"/>
          </w:tcPr>
          <w:p>
            <w:pPr>
              <w:spacing w:after="0"/>
              <w:rPr>
                <w:sz w:val="20"/>
                <w:szCs w:val="20"/>
                <w:color w:val="auto"/>
              </w:rPr>
            </w:pPr>
          </w:p>
        </w:tc>
      </w:tr>
      <w:tr>
        <w:trPr>
          <w:trHeight w:val="432"/>
        </w:trPr>
        <w:tc>
          <w:tcPr>
            <w:tcW w:w="4220" w:type="dxa"/>
            <w:vAlign w:val="bottom"/>
          </w:tcPr>
          <w:p>
            <w:pPr>
              <w:spacing w:after="0"/>
              <w:rPr>
                <w:sz w:val="24"/>
                <w:szCs w:val="24"/>
                <w:color w:val="auto"/>
              </w:rPr>
            </w:pPr>
          </w:p>
        </w:tc>
        <w:tc>
          <w:tcPr>
            <w:tcW w:w="5520" w:type="dxa"/>
            <w:vAlign w:val="bottom"/>
            <w:gridSpan w:val="2"/>
          </w:tcPr>
          <w:p>
            <w:pPr>
              <w:ind w:left="1140"/>
              <w:spacing w:after="0"/>
              <w:rPr>
                <w:sz w:val="20"/>
                <w:szCs w:val="20"/>
                <w:color w:val="auto"/>
              </w:rPr>
            </w:pPr>
            <w:r>
              <w:rPr>
                <w:rFonts w:ascii="Arial" w:cs="Arial" w:eastAsia="Arial" w:hAnsi="Arial"/>
                <w:sz w:val="18"/>
                <w:szCs w:val="18"/>
                <w:color w:val="auto"/>
              </w:rPr>
              <w:t>By:</w:t>
            </w:r>
          </w:p>
        </w:tc>
        <w:tc>
          <w:tcPr>
            <w:tcW w:w="1680" w:type="dxa"/>
            <w:vAlign w:val="bottom"/>
          </w:tcPr>
          <w:p>
            <w:pPr>
              <w:spacing w:after="0"/>
              <w:rPr>
                <w:sz w:val="24"/>
                <w:szCs w:val="24"/>
                <w:color w:val="auto"/>
              </w:rPr>
            </w:pPr>
          </w:p>
        </w:tc>
      </w:tr>
      <w:tr>
        <w:trPr>
          <w:trHeight w:val="195"/>
        </w:trPr>
        <w:tc>
          <w:tcPr>
            <w:tcW w:w="4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Marcella Burgess</w:t>
            </w:r>
          </w:p>
        </w:tc>
        <w:tc>
          <w:tcPr>
            <w:tcW w:w="1680" w:type="dxa"/>
            <w:vAlign w:val="bottom"/>
          </w:tcPr>
          <w:p>
            <w:pPr>
              <w:spacing w:after="0"/>
              <w:rPr>
                <w:sz w:val="16"/>
                <w:szCs w:val="16"/>
                <w:color w:val="auto"/>
              </w:rPr>
            </w:pPr>
          </w:p>
        </w:tc>
      </w:tr>
      <w:tr>
        <w:trPr>
          <w:trHeight w:val="230"/>
        </w:trPr>
        <w:tc>
          <w:tcPr>
            <w:tcW w:w="4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Assistant Vice President</w:t>
            </w:r>
          </w:p>
        </w:tc>
        <w:tc>
          <w:tcPr>
            <w:tcW w:w="1680" w:type="dxa"/>
            <w:vAlign w:val="bottom"/>
          </w:tcPr>
          <w:p>
            <w:pPr>
              <w:spacing w:after="0"/>
              <w:rPr>
                <w:sz w:val="20"/>
                <w:szCs w:val="20"/>
                <w:color w:val="auto"/>
              </w:rPr>
            </w:pPr>
          </w:p>
        </w:tc>
      </w:tr>
      <w:tr>
        <w:trPr>
          <w:trHeight w:val="405"/>
        </w:trPr>
        <w:tc>
          <w:tcPr>
            <w:tcW w:w="4220" w:type="dxa"/>
            <w:vAlign w:val="bottom"/>
          </w:tcPr>
          <w:p>
            <w:pPr>
              <w:spacing w:after="0"/>
              <w:rPr>
                <w:sz w:val="24"/>
                <w:szCs w:val="24"/>
                <w:color w:val="auto"/>
              </w:rPr>
            </w:pPr>
          </w:p>
        </w:tc>
        <w:tc>
          <w:tcPr>
            <w:tcW w:w="5520" w:type="dxa"/>
            <w:vAlign w:val="bottom"/>
            <w:gridSpan w:val="2"/>
          </w:tcPr>
          <w:p>
            <w:pPr>
              <w:jc w:val="right"/>
              <w:ind w:right="3890"/>
              <w:spacing w:after="0"/>
              <w:rPr>
                <w:sz w:val="20"/>
                <w:szCs w:val="20"/>
                <w:color w:val="auto"/>
              </w:rPr>
            </w:pPr>
            <w:r>
              <w:rPr>
                <w:rFonts w:ascii="Arial" w:cs="Arial" w:eastAsia="Arial" w:hAnsi="Arial"/>
                <w:sz w:val="18"/>
                <w:szCs w:val="18"/>
                <w:color w:val="auto"/>
              </w:rPr>
              <w:t>7</w:t>
            </w:r>
          </w:p>
        </w:tc>
        <w:tc>
          <w:tcPr>
            <w:tcW w:w="1680" w:type="dxa"/>
            <w:vAlign w:val="bottom"/>
          </w:tcPr>
          <w:p>
            <w:pPr>
              <w:spacing w:after="0"/>
              <w:rPr>
                <w:sz w:val="24"/>
                <w:szCs w:val="24"/>
                <w:color w:val="auto"/>
              </w:rPr>
            </w:pPr>
          </w:p>
        </w:tc>
      </w:tr>
      <w:tr>
        <w:trPr>
          <w:trHeight w:val="226"/>
        </w:trPr>
        <w:tc>
          <w:tcPr>
            <w:tcW w:w="422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402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72" w:name="page73"/>
    <w:bookmarkEnd w:id="72"/>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REVERSE OF BOOK-ENTRY SECURITY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7.375% SENIOR NOTES DUE 2019</w:t>
      </w:r>
    </w:p>
    <w:p>
      <w:pPr>
        <w:spacing w:after="0" w:line="117" w:lineRule="exact"/>
        <w:rPr>
          <w:sz w:val="20"/>
          <w:szCs w:val="20"/>
          <w:color w:val="auto"/>
        </w:rPr>
      </w:pPr>
    </w:p>
    <w:p>
      <w:pPr>
        <w:ind w:right="40" w:firstLine="222"/>
        <w:spacing w:after="0" w:line="255" w:lineRule="auto"/>
        <w:rPr>
          <w:sz w:val="20"/>
          <w:szCs w:val="20"/>
          <w:color w:val="auto"/>
        </w:rPr>
      </w:pPr>
      <w:r>
        <w:rPr>
          <w:rFonts w:ascii="Arial" w:cs="Arial" w:eastAsia="Arial" w:hAnsi="Arial"/>
          <w:sz w:val="18"/>
          <w:szCs w:val="18"/>
          <w:color w:val="auto"/>
        </w:rPr>
        <w:t>This Security is one of a duly authorized issue of unsecured debentures, notes or other evidences of indebtedness of the Company (the “Debt Securities”) of the series hereinafter specified, all issued or to be issued under and pursuant to the Indenture, to which Indenture reference is hereby made for a description of the rights, limitations of rights, obligations, duties and immunities thereunder of the Trustee, the Company and the Holders of the Debt Securities. The Debt Securities may be issued in one or more series, which different series may be issued in various aggregate principal amounts, may mature at different times, may bear interest (if any) at different rates, may be subject to different sinking, purchase or analogous funds (if any) and may otherwise vary as provided in the Indenture. This Security is one of a series designated as the 7.375% Senior Notes due 2019 of the Company, in initial aggregate principal amount of $450,000,000 (the “Securities”).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 Interest.</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Company promises to pay interest on the principal amount of this Security at the rate of 7.375% per annum.</w:t>
      </w:r>
    </w:p>
    <w:p>
      <w:pPr>
        <w:spacing w:after="0" w:line="117" w:lineRule="exact"/>
        <w:rPr>
          <w:sz w:val="20"/>
          <w:szCs w:val="20"/>
          <w:color w:val="auto"/>
        </w:rPr>
      </w:pPr>
    </w:p>
    <w:p>
      <w:pPr>
        <w:ind w:right="60" w:firstLine="222"/>
        <w:spacing w:after="0" w:line="297" w:lineRule="auto"/>
        <w:rPr>
          <w:sz w:val="20"/>
          <w:szCs w:val="20"/>
          <w:color w:val="auto"/>
        </w:rPr>
      </w:pPr>
      <w:r>
        <w:rPr>
          <w:rFonts w:ascii="Arial" w:cs="Arial" w:eastAsia="Arial" w:hAnsi="Arial"/>
          <w:sz w:val="16"/>
          <w:szCs w:val="16"/>
          <w:color w:val="auto"/>
        </w:rPr>
        <w:t>The Company will pay interest semi-annually on March 11 and September 11 of each year (each an “Interest Payment Date”), commencing September 11, 2009. Interest on the Securities will accrue from the most recent date to which interest has been paid or, if no interest has been paid on the Securities, from February 26, 2009. Interest will be computed on the basis of a 360-day year consisting of twelve 30-day months. The Company shall pay interest (including post-petition interest in any proceeding under any applicable bankruptcy laws) on overdue installments of interest (without regard to any applicable grace period) and on overdue principal and premium, if any, from time to time on demand at the rate of 7.375% per annum, in each case to the extent lawful.</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 Method of Payment.</w:t>
      </w:r>
    </w:p>
    <w:p>
      <w:pPr>
        <w:spacing w:after="0" w:line="117" w:lineRule="exact"/>
        <w:rPr>
          <w:sz w:val="20"/>
          <w:szCs w:val="20"/>
          <w:color w:val="auto"/>
        </w:rPr>
      </w:pPr>
    </w:p>
    <w:p>
      <w:pPr>
        <w:ind w:firstLine="222"/>
        <w:spacing w:after="0" w:line="254" w:lineRule="auto"/>
        <w:rPr>
          <w:sz w:val="20"/>
          <w:szCs w:val="20"/>
          <w:color w:val="auto"/>
        </w:rPr>
      </w:pPr>
      <w:r>
        <w:rPr>
          <w:rFonts w:ascii="Arial" w:cs="Arial" w:eastAsia="Arial" w:hAnsi="Arial"/>
          <w:sz w:val="18"/>
          <w:szCs w:val="18"/>
          <w:color w:val="auto"/>
        </w:rPr>
        <w:t>The Company shall pay interest on the Securities (except Defaulted Interest) to the persons who are the registered Holders at the close of business on the Regular Record Date immediately preceding the Interest Payment Date. Any such interest not so punctually paid or duly provided for (“Defaulted Interest”) may be paid to the persons who are registered Holders at the close of business on a Special Record Date for the payment of such Defaulted Interest, or in any other lawful manner not inconsistent with the requirements of any securities exchange on which such Securities may then be listed if such manner of payment shall be deemed practicable by the Trustee, as more fully provided in the Indenture. Except as provided below, the Company shall pay principal and interest in such coin or currency of the United States of America as at the time of payment shall be legal tender for payment of public and private debts (“U.S. Legal Tender”). Payments in respect of a Book-Entry Security (including principal, premium, if any, and interest) will be made by wire transfer of immediately available funds to the accounts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73" w:name="page74"/>
    <w:bookmarkEnd w:id="73"/>
    <w:p>
      <w:pPr>
        <w:ind w:right="40"/>
        <w:spacing w:after="0" w:line="257" w:lineRule="auto"/>
        <w:rPr>
          <w:sz w:val="20"/>
          <w:szCs w:val="20"/>
          <w:color w:val="auto"/>
        </w:rPr>
      </w:pPr>
      <w:r>
        <w:rPr>
          <w:rFonts w:ascii="Arial" w:cs="Arial" w:eastAsia="Arial" w:hAnsi="Arial"/>
          <w:sz w:val="18"/>
          <w:szCs w:val="18"/>
          <w:color w:val="auto"/>
        </w:rPr>
        <w:t>specified by the Depository. Payments in respect of Securities in definitive form (including principal, premium, if any, and interest) will be made at the office or agency of the Company maintained for such purpose within the Borough of Manhattan, the City of New York, which initially will be at the corporate trust office of The Bank of New York Mellon, located at 101 Barclay Street, Floor 21W, New York, New York, 10286 or at the option of the Company, payment of interest may be made by check mailed to the Holders on the Regular Record Date or on the Special Record Date at their addresses set forth in the Security Register of Holders.</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3. Paying Agent and Registrar.</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Initially, The Bank of New York Mellon, on behalf (for the benefit) of The Bank of New York Mellon Trust Company, N.A., will act as Paying Agent and Registrar. The Company may change any Paying Agent, Registrar or co-Registrar at any time upon notice to the Trustee and the Holders. The Company or any of its Subsidiaries may, subject to certain exceptions, act as Paying Agent, Registrar or co-Registrar.</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4. Indenture.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Security is one of a duly authorized issue of Debt Securities of the Company issued and to be issued in one or more series under the Indenture.</w:t>
      </w:r>
    </w:p>
    <w:p>
      <w:pPr>
        <w:spacing w:after="0" w:line="129"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color w:val="auto"/>
        </w:rPr>
        <w:t>Capitalized terms herein are used as defined in the Indenture unless otherwise defined herein. The terms of the Securities include those stated in the Indenture and all indentures supplemental thereto, those made part of the Indenture by reference to the Trust Indenture Act of 1939, as amended, as in effect on the date of the Indenture, and those terms stated in the Officers’ Certificate to the Trustee, duly authorized by resolutions of the Board of Directors of the Company on August 25, 2006 (the “Resolutions”) and the written consents of the sole Director of Waste Management Holdings, Inc. on October 30, 2008 and February 17, 2009 (the “Consents”). The Securities are subject to all such terms, and Holders of Securities are referred to the Indenture, all indentures supplemental thereto, said Act, said Resolutions and said Consents and Officers’ Certificate for a statement of them. The Securities of this series are general unsecured obligations of the Company limited with an initial aggregate principal amount of $450,000,000.</w:t>
      </w:r>
    </w:p>
    <w:p>
      <w:pPr>
        <w:spacing w:after="0" w:line="7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5. Redemption.</w:t>
      </w:r>
    </w:p>
    <w:p>
      <w:pPr>
        <w:spacing w:after="0" w:line="117" w:lineRule="exact"/>
        <w:rPr>
          <w:sz w:val="20"/>
          <w:szCs w:val="20"/>
          <w:color w:val="auto"/>
        </w:rPr>
      </w:pPr>
    </w:p>
    <w:p>
      <w:pPr>
        <w:ind w:firstLine="222"/>
        <w:spacing w:after="0" w:line="276" w:lineRule="auto"/>
        <w:rPr>
          <w:sz w:val="20"/>
          <w:szCs w:val="20"/>
          <w:color w:val="auto"/>
        </w:rPr>
      </w:pPr>
      <w:r>
        <w:rPr>
          <w:rFonts w:ascii="Arial" w:cs="Arial" w:eastAsia="Arial" w:hAnsi="Arial"/>
          <w:sz w:val="17"/>
          <w:szCs w:val="17"/>
          <w:color w:val="auto"/>
        </w:rPr>
        <w:t>The Securities will be redeemable, at the option of the Company, at any time in whole, or from time to time in part, at a Redemption Price (the “Make-Whole Price”) equal to the greater of: (i) 100% of the principal amount of the Securities to be redeemed; or (ii) the sum of the present values of the remaining scheduled payments of principal and interest (at the rate in effect on the date of calculation of the Redemption Price) on the Securities (exclusive of interest accrued to the Redemption Date) discounted to the Redemption Date on a semi-annual basis (assuming a 360-day year consisting of twelve 30-day months) at the applicable Treasury Yield plus 50 basis points; plus, in either case, accrued interest to the Redemption Date.</w:t>
      </w:r>
    </w:p>
    <w:p>
      <w:pPr>
        <w:spacing w:after="0" w:line="64" w:lineRule="exact"/>
        <w:rPr>
          <w:sz w:val="20"/>
          <w:szCs w:val="20"/>
          <w:color w:val="auto"/>
        </w:rPr>
      </w:pPr>
    </w:p>
    <w:p>
      <w:pPr>
        <w:ind w:right="80" w:firstLine="225"/>
        <w:spacing w:after="0" w:line="264" w:lineRule="auto"/>
        <w:rPr>
          <w:sz w:val="20"/>
          <w:szCs w:val="20"/>
          <w:color w:val="auto"/>
        </w:rPr>
      </w:pPr>
      <w:r>
        <w:rPr>
          <w:rFonts w:ascii="Arial" w:cs="Arial" w:eastAsia="Arial" w:hAnsi="Arial"/>
          <w:sz w:val="18"/>
          <w:szCs w:val="18"/>
          <w:color w:val="auto"/>
        </w:rPr>
        <w:t>Securities called for redemption become due on the Redemption Date. Notices of redemption will be mailed at least 30 but not more than 60 days before the Redemption Date to each holder of record of the Securities to be redeemed at its registered address. The notice of redemption for the Securities will state, among other things, the amount of Securities to be</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4" w:name="page75"/>
    <w:bookmarkEnd w:id="74"/>
    <w:p>
      <w:pPr>
        <w:ind w:right="20"/>
        <w:spacing w:after="0" w:line="279" w:lineRule="auto"/>
        <w:rPr>
          <w:sz w:val="20"/>
          <w:szCs w:val="20"/>
          <w:color w:val="auto"/>
        </w:rPr>
      </w:pPr>
      <w:r>
        <w:rPr>
          <w:rFonts w:ascii="Arial" w:cs="Arial" w:eastAsia="Arial" w:hAnsi="Arial"/>
          <w:sz w:val="17"/>
          <w:szCs w:val="17"/>
          <w:color w:val="auto"/>
        </w:rPr>
        <w:t>redeemed, the Redemption Date, the manner of determining the Make-Whole Price and the place(s) that payment will be made upon presentation and surrender of Securities to be redeemed. Unless the Company defaults in payment of the Make-Whole Price, interest will cease to accrue on any Securities that have been called for redemption at the Redemption Date. If less than all the Securities are redeemed at any time, the Trustee will select the Securities to be redeemed on a pro rata basis or by any other method the Trustee deems fair and appropriate.</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determining the Make-Whole Price, the following definitions are applicable:</w:t>
      </w:r>
    </w:p>
    <w:p>
      <w:pPr>
        <w:spacing w:after="0" w:line="117"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“Treasury Yield” means, with respect to any Redemption Date applicable to the Securities, the rate per annum equal to the semi-annual equivalent yield to maturity (computed as of the third Business Day immediately preceding such Redemption Date) of the Comparable Treasury Issue, assuming a price for the Comparable Treasury Issue (expressed as a percentage of its principal amount) equal to the applicable Comparable Treasury Price for such Redemption Date.</w:t>
      </w:r>
    </w:p>
    <w:p>
      <w:pPr>
        <w:spacing w:after="0" w:line="39" w:lineRule="exact"/>
        <w:rPr>
          <w:sz w:val="20"/>
          <w:szCs w:val="20"/>
          <w:color w:val="auto"/>
        </w:rPr>
      </w:pPr>
    </w:p>
    <w:p>
      <w:pPr>
        <w:ind w:right="160" w:firstLine="225"/>
        <w:spacing w:after="0" w:line="264" w:lineRule="auto"/>
        <w:rPr>
          <w:sz w:val="20"/>
          <w:szCs w:val="20"/>
          <w:color w:val="auto"/>
        </w:rPr>
      </w:pPr>
      <w:r>
        <w:rPr>
          <w:rFonts w:ascii="Arial" w:cs="Arial" w:eastAsia="Arial" w:hAnsi="Arial"/>
          <w:sz w:val="18"/>
          <w:szCs w:val="18"/>
          <w:color w:val="auto"/>
        </w:rPr>
        <w:t>“Comparable Treasury Issue” means the United States Treasury security selected by an Independent Investment Banker as having a maturity comparable to the remaining term of the Securities that would be utilized, at the time of selection and in accordance with customary financial practice, in pricing new issues of corporate debt securities of comparable maturity to the remaining term of the Securities.</w:t>
      </w:r>
    </w:p>
    <w:p>
      <w:pPr>
        <w:spacing w:after="0" w:line="73" w:lineRule="exact"/>
        <w:rPr>
          <w:sz w:val="20"/>
          <w:szCs w:val="20"/>
          <w:color w:val="auto"/>
        </w:rPr>
      </w:pPr>
    </w:p>
    <w:p>
      <w:pPr>
        <w:ind w:right="40" w:firstLine="225"/>
        <w:spacing w:after="0" w:line="312" w:lineRule="auto"/>
        <w:rPr>
          <w:sz w:val="20"/>
          <w:szCs w:val="20"/>
          <w:color w:val="auto"/>
        </w:rPr>
      </w:pPr>
      <w:r>
        <w:rPr>
          <w:rFonts w:ascii="Arial" w:cs="Arial" w:eastAsia="Arial" w:hAnsi="Arial"/>
          <w:sz w:val="16"/>
          <w:szCs w:val="16"/>
          <w:color w:val="auto"/>
        </w:rPr>
        <w:t>“Independent Investment Banker” means any of Barclays Capital Inc., Credit Suisse Securities (USA) LLC, Deutsche Bank Securities Inc. and Greenwich Capital Markets, Inc. (and their respective successors), or, if all of such firms are unwilling or unable to select the applicable Comparable Treasury Issue, an independent investment banking institution of national standing appointed by the Trustee and reasonably acceptable to the Company.</w:t>
      </w:r>
    </w:p>
    <w:p>
      <w:pPr>
        <w:spacing w:after="0" w:line="39" w:lineRule="exact"/>
        <w:rPr>
          <w:sz w:val="20"/>
          <w:szCs w:val="20"/>
          <w:color w:val="auto"/>
        </w:rPr>
      </w:pPr>
    </w:p>
    <w:p>
      <w:pPr>
        <w:ind w:firstLine="225"/>
        <w:spacing w:after="0" w:line="273" w:lineRule="auto"/>
        <w:rPr>
          <w:sz w:val="20"/>
          <w:szCs w:val="20"/>
          <w:color w:val="auto"/>
        </w:rPr>
      </w:pPr>
      <w:r>
        <w:rPr>
          <w:rFonts w:ascii="Arial" w:cs="Arial" w:eastAsia="Arial" w:hAnsi="Arial"/>
          <w:sz w:val="17"/>
          <w:szCs w:val="17"/>
          <w:color w:val="auto"/>
        </w:rPr>
        <w:t>“Comparable Treasury Price” means, with respect to any Redemption Date, (i) the bid price for the Comparable Treasury Issue (expressed as a percentage of its principal amount) at 4:00 p.m., New York City time, on the third Business Day preceding such Redemption Date, as set forth on “Telerate Page 500” (or such other page as may replace Telerate Page 500), or (ii) if such page (or any successor page) is not displayed or does not contain such bid prices at such time (a) the average of the Reference Treasury Dealer Quotations obtained by the Trustee for such Redemption Date, after excluding the highest and lowest of all Reference Treasury Dealer Quotations obtained, or (b) if the Trustee obtains fewer than four such Reference Treasury Dealer Quotations, the average of all Reference Treasury Dealer Quotations obtained by the Trustee.</w:t>
      </w:r>
    </w:p>
    <w:p>
      <w:pPr>
        <w:spacing w:after="0" w:line="70"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“Reference Treasury Dealer” means (i) each of Barclays Capital Inc., Credit Suisse Securities (USA) LLC, Deutsche Bank Securities Inc. and Greenwich Capital Markets, Inc. (and their respective successors), unless any of them ceases to be a primary U.S. Government securities dealer in New York City (a “Primary Treasury Dealer”), in which case the Company will substitute therefor another Primary Treasury Dealer, and (ii) any other Primary Treasury Dealer selected by the Company.</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6" w:right="259" w:bottom="1440" w:gutter="0" w:footer="0" w:header="0"/>
        </w:sectPr>
      </w:pPr>
    </w:p>
    <w:bookmarkStart w:id="75" w:name="page76"/>
    <w:bookmarkEnd w:id="75"/>
    <w:p>
      <w:pPr>
        <w:ind w:firstLine="225"/>
        <w:spacing w:after="0" w:line="259" w:lineRule="auto"/>
        <w:rPr>
          <w:sz w:val="20"/>
          <w:szCs w:val="20"/>
          <w:color w:val="auto"/>
        </w:rPr>
      </w:pPr>
      <w:r>
        <w:rPr>
          <w:rFonts w:ascii="Arial" w:cs="Arial" w:eastAsia="Arial" w:hAnsi="Arial"/>
          <w:sz w:val="18"/>
          <w:szCs w:val="18"/>
          <w:color w:val="auto"/>
        </w:rPr>
        <w:t>“Reference Treasury Dealer Quotations” means, with respect to each Reference Treasury Dealer and any Redemption Date for the Securities, an average, as determined by the Trustee, of the bid and asked prices for the Comparable Treasury Issue for the Securities (expressed in each case as a percentage of its principal amount) quoted in writing to the Trustee by such Reference Treasury Dealer at 5:00 p.m., New York City time, on the third Business Day preceding such Redemption Date.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Except as set forth above, the Securities will not be redeemable prior to their Stated Maturity and will not be entitled to the benefit of any sinking fund.</w:t>
      </w:r>
    </w:p>
    <w:p>
      <w:pPr>
        <w:spacing w:after="0" w:line="14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Securities may be redeemed in part in a minimum principal amount of $2,000, or any integral of $1,000 in excess thereof.</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Any such redemption will also comply with Article Eleven of the Indenture.</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6. Change of Control Offer</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If a Change of Control Triggering Event occurs, unless the Company has exercised its option to redeem the Securities as described in Section 5, the Company shall make an offer (a “Change of Control Offer”) to each Holder of the Securities to repurchase all or any part (equal to $2,000 or an integral multiple of $1,000 in excess thereof) of that Holder’s Securities on the terms set forth herein. In a Change of Control Offer, the Company shall offer payment in cash equal to 101% of the aggregate principal amount of Securities repurchased (a “Change of Control Payment”), plus accrued and unpaid interest, if any, on the Securities repurchased to the date of repurchase, subject to the right of holders of record on the applicable record date to receive interest due on the next Interest Payment Date.</w:t>
      </w:r>
    </w:p>
    <w:p>
      <w:pPr>
        <w:spacing w:after="0" w:line="85" w:lineRule="exact"/>
        <w:rPr>
          <w:sz w:val="20"/>
          <w:szCs w:val="20"/>
          <w:color w:val="auto"/>
        </w:rPr>
      </w:pPr>
    </w:p>
    <w:p>
      <w:pPr>
        <w:ind w:right="340" w:firstLine="222"/>
        <w:spacing w:after="0" w:line="293" w:lineRule="auto"/>
        <w:rPr>
          <w:sz w:val="20"/>
          <w:szCs w:val="20"/>
          <w:color w:val="auto"/>
        </w:rPr>
      </w:pPr>
      <w:r>
        <w:rPr>
          <w:rFonts w:ascii="Arial" w:cs="Arial" w:eastAsia="Arial" w:hAnsi="Arial"/>
          <w:sz w:val="16"/>
          <w:szCs w:val="16"/>
          <w:color w:val="auto"/>
        </w:rPr>
        <w:t>Within 30 days following any Change of Control Triggering Event or, at the Company’s option, prior to any Change of Control, but after public announcement of the transaction that constitutes or may constitute the Change of Control, the Company shall mail a notice to Holders of the Securities describing the transaction that constitutes or may constitute the Change of Control Triggering Event and offer to repurchase such Securities on the date specified in the applicable notice, which date shall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Upon the Change of Control Payment Date, the Company shall, to the extent lawful:</w:t>
      </w:r>
    </w:p>
    <w:p>
      <w:pPr>
        <w:spacing w:after="0" w:line="117" w:lineRule="exact"/>
        <w:rPr>
          <w:sz w:val="20"/>
          <w:szCs w:val="20"/>
          <w:color w:val="auto"/>
        </w:rPr>
      </w:pPr>
    </w:p>
    <w:p>
      <w:pPr>
        <w:ind w:left="660" w:hanging="436"/>
        <w:spacing w:after="0"/>
        <w:tabs>
          <w:tab w:leader="none" w:pos="660" w:val="left"/>
        </w:tabs>
        <w:numPr>
          <w:ilvl w:val="0"/>
          <w:numId w:val="53"/>
        </w:numPr>
        <w:rPr>
          <w:rFonts w:ascii="Arial" w:cs="Arial" w:eastAsia="Arial" w:hAnsi="Arial"/>
          <w:sz w:val="17"/>
          <w:szCs w:val="17"/>
          <w:b w:val="1"/>
          <w:bCs w:val="1"/>
          <w:color w:val="auto"/>
        </w:rPr>
      </w:pPr>
      <w:r>
        <w:rPr>
          <w:rFonts w:ascii="Arial" w:cs="Arial" w:eastAsia="Arial" w:hAnsi="Arial"/>
          <w:sz w:val="17"/>
          <w:szCs w:val="17"/>
          <w:color w:val="auto"/>
        </w:rPr>
        <w:t>accept for payment all Securities or portions of Securities properly tendered and not withdrawn pursuant to the Change of Control Offer;</w:t>
      </w:r>
    </w:p>
    <w:p>
      <w:pPr>
        <w:spacing w:after="0" w:line="142" w:lineRule="exact"/>
        <w:rPr>
          <w:rFonts w:ascii="Arial" w:cs="Arial" w:eastAsia="Arial" w:hAnsi="Arial"/>
          <w:sz w:val="17"/>
          <w:szCs w:val="17"/>
          <w:b w:val="1"/>
          <w:bCs w:val="1"/>
          <w:color w:val="auto"/>
        </w:rPr>
      </w:pPr>
    </w:p>
    <w:p>
      <w:pPr>
        <w:ind w:left="660" w:right="400" w:hanging="436"/>
        <w:spacing w:after="0" w:line="277" w:lineRule="auto"/>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deposit with the Paying Agent an amount equal to the Change of Control Payment in respect of all Securities or portions of Securities properly tendered; and</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6" w:right="319" w:bottom="1440" w:gutter="0" w:footer="0" w:header="0"/>
        </w:sectPr>
      </w:pPr>
    </w:p>
    <w:bookmarkStart w:id="76" w:name="page77"/>
    <w:bookmarkEnd w:id="76"/>
    <w:p>
      <w:pPr>
        <w:ind w:left="660" w:right="160" w:hanging="436"/>
        <w:spacing w:after="0" w:line="277" w:lineRule="auto"/>
        <w:tabs>
          <w:tab w:leader="none" w:pos="66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deliver or cause to be delivered to the Trustee the Securities properly accepted together with an Officers’ Certificate stating the aggregate principal amount of Securities or portions of Securities being repurchased.</w:t>
      </w:r>
    </w:p>
    <w:p>
      <w:pPr>
        <w:spacing w:after="0" w:line="62"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Company need not make a Change of Control Offer upon the occurrence of a Change of Control Triggering Event if a third party makes such an offer in the manner, at the times and otherwise in compliance with the requirements for an offer made by the Company and the third party repurchases all Securities properly tendered and not withdrawn under its offer. In addition, the Company shall not repurchase any Securities if there has occurred and is continuing on the Change of Control Payment Date an Event of Default under the Indenture, other than a default in the payment of the Change of Control Payment upon a Change of Control Triggering Event.</w:t>
      </w:r>
    </w:p>
    <w:p>
      <w:pPr>
        <w:spacing w:after="0" w:line="80" w:lineRule="exact"/>
        <w:rPr>
          <w:sz w:val="20"/>
          <w:szCs w:val="20"/>
          <w:color w:val="auto"/>
        </w:rPr>
      </w:pPr>
    </w:p>
    <w:p>
      <w:pPr>
        <w:ind w:right="80" w:firstLine="222"/>
        <w:spacing w:after="0" w:line="276" w:lineRule="auto"/>
        <w:rPr>
          <w:sz w:val="20"/>
          <w:szCs w:val="20"/>
          <w:color w:val="auto"/>
        </w:rPr>
      </w:pPr>
      <w:r>
        <w:rPr>
          <w:rFonts w:ascii="Arial" w:cs="Arial" w:eastAsia="Arial" w:hAnsi="Arial"/>
          <w:sz w:val="17"/>
          <w:szCs w:val="17"/>
          <w:color w:val="auto"/>
        </w:rPr>
        <w:t>The Company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Securities as a result of a Change of Control Triggering Event. To the extent that the provisions of any securities laws or regulations conflict with the Change of Control Offer provisions of this Security, the Company may comply with those securities laws and regulations and, if so, will not be deemed to have breached its obligations under the Change of Control Offer provisions of this Security by virtue of any such conflict.</w:t>
      </w:r>
    </w:p>
    <w:p>
      <w:pPr>
        <w:spacing w:after="0" w:line="6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For purposes of the Change of Control Offer provisions of the Securities, the following terms are applicable:</w:t>
      </w:r>
    </w:p>
    <w:p>
      <w:pPr>
        <w:spacing w:after="0" w:line="117" w:lineRule="exact"/>
        <w:rPr>
          <w:sz w:val="20"/>
          <w:szCs w:val="20"/>
          <w:color w:val="auto"/>
        </w:rPr>
      </w:pPr>
    </w:p>
    <w:p>
      <w:pPr>
        <w:ind w:right="80" w:firstLine="225"/>
        <w:spacing w:after="0" w:line="268" w:lineRule="auto"/>
        <w:rPr>
          <w:sz w:val="20"/>
          <w:szCs w:val="20"/>
          <w:color w:val="auto"/>
        </w:rPr>
      </w:pPr>
      <w:r>
        <w:rPr>
          <w:rFonts w:ascii="Arial" w:cs="Arial" w:eastAsia="Arial" w:hAnsi="Arial"/>
          <w:sz w:val="17"/>
          <w:szCs w:val="17"/>
          <w:color w:val="auto"/>
        </w:rPr>
        <w:t>“Change of Control” means the occurrence of any of the following: (1) the direct or indirect sale, lease, transfer, conveyance or other disposition (other than by way of merger or consolidation), in one or more series of related transactions, of all or substantially all of the Company’s assets and the assets of its Subsidiaries, taken as a whole, to any person, other than the Company or one of its Subsidiaries; (2) the consummation of any transaction (including, without limitation, any merger or consolidation) the result of which is that any person becomes the beneficial owner (as defined in Rules 13d-3 and 13d-5 under the Exchange Act), directly or indirectly, of more than 50% of the outstanding Voting Stock of the Company or other Voting Stock into which the Company’s Voting Stock is reclassified, consolidated, exchanged or changed, measured by voting power rather than number of shares; (3) the Company consolidates with, or merges with or into, any person, or any person consolidates with, or merges with or into, the Company, in any such event pursuant to a transaction in which any of the outstanding Voting Stock of the Company or the Voting Stock of such other person is converted into or exchanged for cash, securities or other property, other than any such transaction where the shares of the Voting Stock of the Company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(4) the first day on which a majority of the members of the Board of Directors of the Company are not Continuing Directors; or (5) the adoption of a plan relating to the liquidation or dissolution of the Company.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43" w:right="259" w:bottom="1440" w:gutter="0" w:footer="0" w:header="0"/>
        </w:sectPr>
      </w:pPr>
    </w:p>
    <w:bookmarkStart w:id="77" w:name="page78"/>
    <w:bookmarkEnd w:id="77"/>
    <w:p>
      <w:pPr>
        <w:ind w:right="400" w:firstLine="225"/>
        <w:spacing w:after="0" w:line="288"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the Company becomes a direct or indirect wholly-owned subsidiary of a holding company and (ii)(A) the direct or indirect holders of the Voting Stock of such holding company immediately following that transaction are substantially the same as the holders of Voting Stock of the Company immediately prior to that transaction or</w:t>
      </w:r>
    </w:p>
    <w:p>
      <w:pPr>
        <w:ind w:right="260" w:firstLine="8"/>
        <w:spacing w:after="0" w:line="255" w:lineRule="auto"/>
        <w:tabs>
          <w:tab w:leader="none" w:pos="285" w:val="left"/>
        </w:tabs>
        <w:numPr>
          <w:ilvl w:val="0"/>
          <w:numId w:val="55"/>
        </w:numPr>
        <w:rPr>
          <w:rFonts w:ascii="Arial" w:cs="Arial" w:eastAsia="Arial" w:hAnsi="Arial"/>
          <w:sz w:val="18"/>
          <w:szCs w:val="18"/>
          <w:color w:val="auto"/>
        </w:rPr>
      </w:pPr>
      <w:r>
        <w:rPr>
          <w:rFonts w:ascii="Arial" w:cs="Arial" w:eastAsia="Arial" w:hAnsi="Arial"/>
          <w:sz w:val="18"/>
          <w:szCs w:val="18"/>
          <w:color w:val="auto"/>
        </w:rPr>
        <w:t>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8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“Change of Control Triggering Event” means the occurrence of both a Change of Control and a Rating Event.</w:t>
      </w:r>
    </w:p>
    <w:p>
      <w:pPr>
        <w:spacing w:after="0" w:line="117"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“Continuing Directors” means, as of any date of determination, any member of the Board of Directors of the Company who (1) was a member of such Board of Directors on the date the Securities were issued or (2) was nominated for election, elected or appointed to such Board of Directors with the approval of a majority of the Continuing Directors who were members of such Board of Directors at the time of such nomination, election or appointment (either by a specific vote or by approval of the Company’s proxy statement in which such member was named as a nominee for election as a director, without objection to such nomination).</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“Fitch” means Fitch Inc. and its successors.</w:t>
      </w:r>
    </w:p>
    <w:p>
      <w:pPr>
        <w:spacing w:after="0" w:line="117" w:lineRule="exact"/>
        <w:rPr>
          <w:sz w:val="20"/>
          <w:szCs w:val="20"/>
          <w:color w:val="auto"/>
        </w:rPr>
      </w:pPr>
    </w:p>
    <w:p>
      <w:pPr>
        <w:ind w:right="60" w:firstLine="225"/>
        <w:spacing w:after="0" w:line="342" w:lineRule="auto"/>
        <w:rPr>
          <w:sz w:val="20"/>
          <w:szCs w:val="20"/>
          <w:color w:val="auto"/>
        </w:rPr>
      </w:pPr>
      <w:r>
        <w:rPr>
          <w:rFonts w:ascii="Arial" w:cs="Arial" w:eastAsia="Arial" w:hAnsi="Arial"/>
          <w:sz w:val="16"/>
          <w:szCs w:val="16"/>
          <w:color w:val="auto"/>
        </w:rPr>
        <w:t>“Investment Grade Rating” means a rating equal to or higher than BBB- (or the equivalent) by Fitch, Baa3 (or the equivalent) by Moody’s and BBB- (or the equivalent) by S&amp;P, and the equivalent investment grade credit rating from any replacement Rating Agency or Rating Agencies selected by the Company.</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“Moody’s” means Moody’s Investors Service, Inc. and its successors.</w:t>
      </w:r>
    </w:p>
    <w:p>
      <w:pPr>
        <w:spacing w:after="0" w:line="117" w:lineRule="exact"/>
        <w:rPr>
          <w:sz w:val="20"/>
          <w:szCs w:val="20"/>
          <w:color w:val="auto"/>
        </w:rPr>
      </w:pPr>
    </w:p>
    <w:p>
      <w:pPr>
        <w:ind w:right="320" w:firstLine="225"/>
        <w:spacing w:after="0" w:line="259" w:lineRule="auto"/>
        <w:rPr>
          <w:sz w:val="20"/>
          <w:szCs w:val="20"/>
          <w:color w:val="auto"/>
        </w:rPr>
      </w:pPr>
      <w:r>
        <w:rPr>
          <w:rFonts w:ascii="Arial" w:cs="Arial" w:eastAsia="Arial" w:hAnsi="Arial"/>
          <w:sz w:val="18"/>
          <w:szCs w:val="18"/>
          <w:color w:val="auto"/>
        </w:rPr>
        <w:t>“Rating Agencies” means (1) each of Fitch, Moody’s and S&amp;P and (2) if any of Fitch, Moody’s or S&amp;P ceases to rate the Securities or fails to make a rating of the Securities publicly available for reasons outside of the Company’s control, a ''nationally recognized statistical rating organization’’ within the meaning of Rule 15c3-1(c)(2)(vi)(F) under the Exchange Act selected by the Company (as certified by a resolution of our Board of Directors) as a replacement agency for Fitch, Moody’s or S&amp;P, or all of them, as the case may be.</w:t>
      </w:r>
    </w:p>
    <w:p>
      <w:pPr>
        <w:spacing w:after="0" w:line="79"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“Rating Event” means the rating on the Securities is lowered by at least two of the three Rating Agencies and the Securities are rated below an Investment Grade Rating by at least two of the three Rating Agencies, in any case on any day during the period (which period will be extended so long as the rating of the Securities is under publicly announced consideration for a possible downgrade by any of the rating agencies) commencing 60 days prior to the first public notice of the occurrence of a Change of Control or the Company’s intention to effect a Change of Control and ending 60 days following consummation of such Change of Control.</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“S&amp;P” means Standard &amp; Poor’s Ratings Services, a division of The McGraw-Hill Companies, Inc., and its successors.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8" w:name="page79"/>
    <w:bookmarkEnd w:id="78"/>
    <w:p>
      <w:pPr>
        <w:ind w:right="380" w:firstLine="225"/>
        <w:spacing w:after="0" w:line="277" w:lineRule="auto"/>
        <w:rPr>
          <w:sz w:val="20"/>
          <w:szCs w:val="20"/>
          <w:color w:val="auto"/>
        </w:rPr>
      </w:pPr>
      <w:r>
        <w:rPr>
          <w:rFonts w:ascii="Arial" w:cs="Arial" w:eastAsia="Arial" w:hAnsi="Arial"/>
          <w:sz w:val="18"/>
          <w:szCs w:val="18"/>
          <w:color w:val="auto"/>
        </w:rPr>
        <w:t>“Voting Stock”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7. Denominations; Transfer; Exchange.</w:t>
      </w:r>
    </w:p>
    <w:p>
      <w:pPr>
        <w:spacing w:after="0" w:line="117" w:lineRule="exact"/>
        <w:rPr>
          <w:sz w:val="20"/>
          <w:szCs w:val="20"/>
          <w:color w:val="auto"/>
        </w:rPr>
      </w:pPr>
    </w:p>
    <w:p>
      <w:pPr>
        <w:ind w:right="60" w:firstLine="222"/>
        <w:spacing w:after="0" w:line="312" w:lineRule="auto"/>
        <w:rPr>
          <w:sz w:val="20"/>
          <w:szCs w:val="20"/>
          <w:color w:val="auto"/>
        </w:rPr>
      </w:pPr>
      <w:r>
        <w:rPr>
          <w:rFonts w:ascii="Arial" w:cs="Arial" w:eastAsia="Arial" w:hAnsi="Arial"/>
          <w:sz w:val="16"/>
          <w:szCs w:val="16"/>
          <w:color w:val="auto"/>
        </w:rPr>
        <w:t>The Securities are issued in registered form, without coupons, in a minimum denomination of $2,000 and integral multiples of $1,000 in excess thereof. A Holder may register the transfer of, or exchange, Securities in accordance with the Indenture. The Securities Registrar may require a Holder, among other things, to furnish appropriate endorsements and transfer documents and to pay any taxes and fees required by law or permitted by the Indenture.</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8. Person Deemed Owners.</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registered Holder of a Security may be treated as the owner of it for all purposes.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9. Amendment; Supplement; Waiver.</w:t>
      </w:r>
    </w:p>
    <w:p>
      <w:pPr>
        <w:spacing w:after="0" w:line="117"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color w:val="auto"/>
        </w:rPr>
        <w:t>Subject to certain exceptions, the Indenture may be amended or supplemented, and any existing Event of Default or compliance with any provision may be waived, with the consent of the Holders of a majority in principal amount of the Outstanding Securities of each series affected. Without consent of any Holder, the parties thereto may amend or supplement the Indenture or the Securities to, among other things, cure any ambiguity, defect or inconsistency, or make any other change that does not adversely affect the interests of any Holder of a Security. Any such consent or waiver by the Holder of this Security (unless revoked as provided in the Indenture) shall be conclusive and binding upon such Holder and upon all future Holders and owners of this Security and any Securities which may be issued in exchange or substitution herefor, irrespective of whether or not any notation thereof is made upon this Security or such other Securities.</w:t>
      </w:r>
    </w:p>
    <w:p>
      <w:pPr>
        <w:spacing w:after="0" w:line="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 Defaults and Remedies.</w:t>
      </w:r>
    </w:p>
    <w:p>
      <w:pPr>
        <w:spacing w:after="0" w:line="117" w:lineRule="exact"/>
        <w:rPr>
          <w:sz w:val="20"/>
          <w:szCs w:val="20"/>
          <w:color w:val="auto"/>
        </w:rPr>
      </w:pPr>
    </w:p>
    <w:p>
      <w:pPr>
        <w:ind w:right="100" w:firstLine="225"/>
        <w:spacing w:after="0" w:line="284" w:lineRule="auto"/>
        <w:rPr>
          <w:sz w:val="20"/>
          <w:szCs w:val="20"/>
          <w:color w:val="auto"/>
        </w:rPr>
      </w:pPr>
      <w:r>
        <w:rPr>
          <w:rFonts w:ascii="Arial" w:cs="Arial" w:eastAsia="Arial" w:hAnsi="Arial"/>
          <w:sz w:val="16"/>
          <w:szCs w:val="16"/>
          <w:color w:val="auto"/>
        </w:rPr>
        <w:t>If an Event of Default with respect to the Securities occurs and is continuing, then in every such case the Trustee or the Holders of not less than 25% in principal amount of the Securities then Outstanding may declare the principal amount of all the Securities to be due and payable immediately in the manner and with the effect provided in the Indenture. Notwithstanding the preceding sentence, however, if at any time after such a declaration of acceleration has been made and before judgment or decree for payment of the money due has been obtained by the Trustee as provided in the Indenture, the Holders of a majority in principal amount of the Outstanding Securities, by written notice to the Company and to the Trustee, may rescind and annul such declaration and its consequences if (1) the Company has paid or deposited with the Trustee a sum sufficient to pay (A) all overdue interest on all Securities, (B) the principal of (and premium, if any, on) any Securities which has become due otherwise than by such declaration of acceleration and any interest thereon at the rate prescribed therefor herein, (C) to the extent that payment of such interest is lawful, interest upon overdue interest at the rate prescribed therefor herein, and</w:t>
      </w:r>
    </w:p>
    <w:p>
      <w:pPr>
        <w:spacing w:after="0" w:line="1" w:lineRule="exact"/>
        <w:rPr>
          <w:sz w:val="20"/>
          <w:szCs w:val="20"/>
          <w:color w:val="auto"/>
        </w:rPr>
      </w:pPr>
    </w:p>
    <w:p>
      <w:pPr>
        <w:ind w:right="160" w:firstLine="8"/>
        <w:spacing w:after="0" w:line="261" w:lineRule="auto"/>
        <w:tabs>
          <w:tab w:leader="none" w:pos="29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sums paid or advanced by the Trustee and the reasonable compensation, expenses, disbursements and advances of the Trustee, its agents and counsel and (2) all Events of Default under the Indenture with respect to the Securities, other than the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79" w:name="page80"/>
    <w:bookmarkEnd w:id="79"/>
    <w:p>
      <w:pPr>
        <w:jc w:val="both"/>
        <w:ind w:right="40"/>
        <w:spacing w:after="0" w:line="288" w:lineRule="auto"/>
        <w:rPr>
          <w:sz w:val="20"/>
          <w:szCs w:val="20"/>
          <w:color w:val="auto"/>
        </w:rPr>
      </w:pPr>
      <w:r>
        <w:rPr>
          <w:rFonts w:ascii="Arial" w:cs="Arial" w:eastAsia="Arial" w:hAnsi="Arial"/>
          <w:sz w:val="16"/>
          <w:szCs w:val="16"/>
          <w:color w:val="auto"/>
        </w:rPr>
        <w:t>nonpayment of the principal of Securities which has become due solely by such declaration acceleration, shall have been cured or shall have been waived. No such rescission shall affect any subsequent Event of Default or shall impair any right consequent thereon. Holders of Securities may not enforce the Indenture or the Securities except as provided in the Indenture. The Trustee may require indemnity satisfactory to it before it enforces the Indenture or the Securities.</w:t>
      </w:r>
    </w:p>
    <w:p>
      <w:pPr>
        <w:ind w:right="160"/>
        <w:spacing w:after="0" w:line="261" w:lineRule="auto"/>
        <w:rPr>
          <w:sz w:val="20"/>
          <w:szCs w:val="20"/>
          <w:color w:val="auto"/>
        </w:rPr>
      </w:pPr>
      <w:r>
        <w:rPr>
          <w:rFonts w:ascii="Arial" w:cs="Arial" w:eastAsia="Arial" w:hAnsi="Arial"/>
          <w:sz w:val="18"/>
          <w:szCs w:val="18"/>
          <w:color w:val="auto"/>
        </w:rPr>
        <w:t>Subject to certain limitations, Holders of a majority in aggregate principal amount of the Securities then outstanding may direct the Trustee in its exercise of any trust or power.</w:t>
      </w:r>
    </w:p>
    <w:p>
      <w:pPr>
        <w:spacing w:after="0" w:line="7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11. Trustee Dealings with Company.</w:t>
      </w:r>
    </w:p>
    <w:p>
      <w:pPr>
        <w:spacing w:after="0" w:line="117" w:lineRule="exact"/>
        <w:rPr>
          <w:sz w:val="20"/>
          <w:szCs w:val="20"/>
          <w:color w:val="auto"/>
        </w:rPr>
      </w:pPr>
    </w:p>
    <w:p>
      <w:pPr>
        <w:ind w:right="220" w:firstLine="222"/>
        <w:spacing w:after="0" w:line="342" w:lineRule="auto"/>
        <w:rPr>
          <w:sz w:val="20"/>
          <w:szCs w:val="20"/>
          <w:color w:val="auto"/>
        </w:rPr>
      </w:pPr>
      <w:r>
        <w:rPr>
          <w:rFonts w:ascii="Arial" w:cs="Arial" w:eastAsia="Arial" w:hAnsi="Arial"/>
          <w:sz w:val="16"/>
          <w:szCs w:val="16"/>
          <w:color w:val="auto"/>
        </w:rPr>
        <w:t>The Trustee under the Indenture, in its individual or any other capacity, may make loans to, accept deposits from, and perform services for the Company and its Affiliates and any subsidiary of the Company’s Affiliates, and may otherwise deal with the Company and its Affiliates as if it were not the Trustee.</w:t>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12. Authentication.</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Security shall not be valid until the Trustee or authenticating agent signs the certificate of authentication on the other side of this Security.</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13. Abbreviations and Defined Terms.</w:t>
      </w:r>
    </w:p>
    <w:p>
      <w:pPr>
        <w:spacing w:after="0" w:line="117"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Customary abbreviations may be used in the name of a Holder of a Security or an assignee, such as: TEN COM (tenant in common), TEN ENT (tenants by the entireties), JT TEN (joint tenants with right of survivorship and not as tenants in common), CUST (Custodian), and U/G/M/A (Uniform Gifts to Minors Act).</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14. CUSIP Numbers.</w:t>
      </w:r>
    </w:p>
    <w:p>
      <w:pPr>
        <w:spacing w:after="0" w:line="117" w:lineRule="exact"/>
        <w:rPr>
          <w:sz w:val="20"/>
          <w:szCs w:val="20"/>
          <w:color w:val="auto"/>
        </w:rPr>
      </w:pPr>
    </w:p>
    <w:p>
      <w:pPr>
        <w:ind w:right="60" w:firstLine="225"/>
        <w:spacing w:after="0" w:line="264" w:lineRule="auto"/>
        <w:rPr>
          <w:sz w:val="20"/>
          <w:szCs w:val="20"/>
          <w:color w:val="auto"/>
        </w:rPr>
      </w:pPr>
      <w:r>
        <w:rPr>
          <w:rFonts w:ascii="Arial" w:cs="Arial" w:eastAsia="Arial" w:hAnsi="Arial"/>
          <w:sz w:val="18"/>
          <w:szCs w:val="18"/>
          <w:color w:val="auto"/>
        </w:rPr>
        <w:t>Pursuant to a recommendation promulgated by the Committee on Uniform Note Identification Procedures, the Company has caused CUSIP numbers to be printed on the Securities as a convenience to the Holders of the Securities. No representation is made as to the accuracy of such number as printed on the Securities and reliance may be placed only on the other identification numbers printed hereon.</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15. Absolute Obligation.</w:t>
      </w:r>
    </w:p>
    <w:p>
      <w:pPr>
        <w:spacing w:after="0" w:line="117" w:lineRule="exact"/>
        <w:rPr>
          <w:sz w:val="20"/>
          <w:szCs w:val="20"/>
          <w:color w:val="auto"/>
        </w:rPr>
      </w:pPr>
    </w:p>
    <w:p>
      <w:pPr>
        <w:ind w:right="180" w:firstLine="225"/>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the Indenture shall alter or impair the obligation of the Company, which is absolute and unconditional, to pay the principal of, premium, if any, and interest on this Security in the manner, at the respective times, at the rate and in the coin or currency herein prescribed.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16. No Recourse.</w:t>
      </w:r>
    </w:p>
    <w:p>
      <w:pPr>
        <w:spacing w:after="0" w:line="11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No recourse under or upon any obligation, covenant or agreement contained in the Indenture or in any Security, or because of any indebtedness evidenced thereby, shall be had against any incorporator, past, present or future stockholder, officer or director, as such of the Company or of any successor, either directly or through the Company or of any successor, either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80" w:name="page81"/>
    <w:bookmarkEnd w:id="80"/>
    <w:p>
      <w:pPr>
        <w:spacing w:after="0" w:line="264" w:lineRule="auto"/>
        <w:rPr>
          <w:sz w:val="20"/>
          <w:szCs w:val="20"/>
          <w:color w:val="auto"/>
        </w:rPr>
      </w:pPr>
      <w:r>
        <w:rPr>
          <w:rFonts w:ascii="Arial" w:cs="Arial" w:eastAsia="Arial" w:hAnsi="Arial"/>
          <w:sz w:val="18"/>
          <w:szCs w:val="18"/>
          <w:color w:val="auto"/>
        </w:rPr>
        <w:t>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Security by the Holder and as part of the consideration for the issue of the Security.</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17. Governing Law.</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Security shall be construed in accordance with and governed by the laws of the State of New York.</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18. Guarantee.</w:t>
      </w:r>
    </w:p>
    <w:p>
      <w:pPr>
        <w:spacing w:after="0" w:line="117" w:lineRule="exact"/>
        <w:rPr>
          <w:sz w:val="20"/>
          <w:szCs w:val="20"/>
          <w:color w:val="auto"/>
        </w:rPr>
      </w:pPr>
    </w:p>
    <w:p>
      <w:pPr>
        <w:ind w:right="60" w:firstLine="222"/>
        <w:spacing w:after="0" w:line="302" w:lineRule="auto"/>
        <w:rPr>
          <w:sz w:val="20"/>
          <w:szCs w:val="20"/>
          <w:color w:val="auto"/>
        </w:rPr>
      </w:pPr>
      <w:r>
        <w:rPr>
          <w:rFonts w:ascii="Arial" w:cs="Arial" w:eastAsia="Arial" w:hAnsi="Arial"/>
          <w:sz w:val="16"/>
          <w:szCs w:val="16"/>
          <w:color w:val="auto"/>
        </w:rPr>
        <w:t>The Securities will be fully and unconditionally guaranteed on a senior basis by the Company’s wholly-owned subsidiary, Waste Management Holdings, Inc., pursuant to the terms and conditions of a Guarantee Agreement dated February 26, 2009 (the “Guarantee”). The amount of the Guarantee will be limited to the extent required under applicable fraudulent conveyance laws to cause the Guarantee to be enforceable. The terms and conditions of the Guarantee shall continue in full force and effect for the benefit of holders of the Securities until release thereof as set forth in Section 6 of the Guarantee.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1" w:name="page82"/>
    <w:bookmarkEnd w:id="81"/>
    <w:p>
      <w:pPr>
        <w:ind w:left="220" w:right="3400" w:firstLine="3187"/>
        <w:spacing w:after="0" w:line="440" w:lineRule="auto"/>
        <w:rPr>
          <w:sz w:val="20"/>
          <w:szCs w:val="20"/>
          <w:color w:val="auto"/>
        </w:rPr>
      </w:pPr>
      <w:r>
        <w:rPr>
          <w:rFonts w:ascii="Arial" w:cs="Arial" w:eastAsia="Arial" w:hAnsi="Arial"/>
          <w:sz w:val="17"/>
          <w:szCs w:val="17"/>
          <w:color w:val="auto"/>
        </w:rPr>
        <w:t>SCHEDULE OF EXCHANGES OF DEFINITIVE SECURITY The following exchanges of a part of this Book-Entry Security for definitive Securities have been made: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Amount of decrease</w:t>
            </w:r>
          </w:p>
        </w:tc>
        <w:tc>
          <w:tcPr>
            <w:tcW w:w="180" w:type="dxa"/>
            <w:vAlign w:val="bottom"/>
          </w:tcPr>
          <w:p>
            <w:pPr>
              <w:spacing w:after="0"/>
              <w:rPr>
                <w:sz w:val="14"/>
                <w:szCs w:val="14"/>
                <w:color w:val="auto"/>
              </w:rPr>
            </w:pPr>
          </w:p>
        </w:tc>
        <w:tc>
          <w:tcPr>
            <w:tcW w:w="16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Amount of increase</w:t>
            </w:r>
          </w:p>
        </w:tc>
        <w:tc>
          <w:tcPr>
            <w:tcW w:w="16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Principal Amount of</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this Book-Entry</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880" w:type="dxa"/>
            <w:vAlign w:val="bottom"/>
            <w:gridSpan w:val="3"/>
          </w:tcPr>
          <w:p>
            <w:pPr>
              <w:jc w:val="center"/>
              <w:ind w:left="128"/>
              <w:spacing w:after="0" w:line="149" w:lineRule="exact"/>
              <w:rPr>
                <w:sz w:val="20"/>
                <w:szCs w:val="20"/>
                <w:color w:val="auto"/>
              </w:rPr>
            </w:pPr>
            <w:r>
              <w:rPr>
                <w:rFonts w:ascii="Arial" w:cs="Arial" w:eastAsia="Arial" w:hAnsi="Arial"/>
                <w:sz w:val="14"/>
                <w:szCs w:val="14"/>
                <w:b w:val="1"/>
                <w:bCs w:val="1"/>
                <w:color w:val="auto"/>
                <w:w w:val="96"/>
              </w:rPr>
              <w:t>in Principal Amount</w:t>
            </w:r>
          </w:p>
        </w:tc>
        <w:tc>
          <w:tcPr>
            <w:tcW w:w="18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in Principal Amount</w:t>
            </w:r>
          </w:p>
        </w:tc>
        <w:tc>
          <w:tcPr>
            <w:tcW w:w="16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Security following</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authorized officer</w:t>
            </w:r>
          </w:p>
        </w:tc>
        <w:tc>
          <w:tcPr>
            <w:tcW w:w="0" w:type="dxa"/>
            <w:vAlign w:val="bottom"/>
          </w:tcPr>
          <w:p>
            <w:pPr>
              <w:spacing w:after="0"/>
              <w:rPr>
                <w:sz w:val="1"/>
                <w:szCs w:val="1"/>
                <w:color w:val="auto"/>
              </w:rPr>
            </w:pPr>
          </w:p>
        </w:tc>
      </w:tr>
      <w:tr>
        <w:trPr>
          <w:trHeight w:val="149"/>
        </w:trPr>
        <w:tc>
          <w:tcPr>
            <w:tcW w:w="484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Date of Exchange</w:t>
            </w:r>
          </w:p>
        </w:tc>
        <w:tc>
          <w:tcPr>
            <w:tcW w:w="400" w:type="dxa"/>
            <w:vAlign w:val="bottom"/>
          </w:tcPr>
          <w:p>
            <w:pPr>
              <w:spacing w:after="0"/>
              <w:rPr>
                <w:sz w:val="12"/>
                <w:szCs w:val="12"/>
                <w:color w:val="auto"/>
              </w:rPr>
            </w:pPr>
          </w:p>
        </w:tc>
        <w:tc>
          <w:tcPr>
            <w:tcW w:w="14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180" w:type="dxa"/>
            <w:vAlign w:val="bottom"/>
          </w:tcPr>
          <w:p>
            <w:pPr>
              <w:spacing w:after="0"/>
              <w:rPr>
                <w:sz w:val="12"/>
                <w:szCs w:val="12"/>
                <w:color w:val="auto"/>
              </w:rPr>
            </w:pPr>
          </w:p>
        </w:tc>
        <w:tc>
          <w:tcPr>
            <w:tcW w:w="16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of this Book-Entry</w:t>
            </w:r>
          </w:p>
        </w:tc>
        <w:tc>
          <w:tcPr>
            <w:tcW w:w="16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such decrease (or</w:t>
            </w: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Trustee or</w:t>
            </w:r>
          </w:p>
        </w:tc>
        <w:tc>
          <w:tcPr>
            <w:tcW w:w="0" w:type="dxa"/>
            <w:vAlign w:val="bottom"/>
          </w:tcPr>
          <w:p>
            <w:pPr>
              <w:spacing w:after="0"/>
              <w:rPr>
                <w:sz w:val="1"/>
                <w:szCs w:val="1"/>
                <w:color w:val="auto"/>
              </w:rPr>
            </w:pPr>
          </w:p>
        </w:tc>
      </w:tr>
      <w:tr>
        <w:trPr>
          <w:trHeight w:val="171"/>
        </w:trPr>
        <w:tc>
          <w:tcPr>
            <w:tcW w:w="4840" w:type="dxa"/>
            <w:vAlign w:val="bottom"/>
            <w:tcBorders>
              <w:bottom w:val="single" w:sz="8" w:color="auto"/>
            </w:tcBorders>
            <w:vMerge w:val="continue"/>
          </w:tcPr>
          <w:p>
            <w:pPr>
              <w:spacing w:after="0"/>
              <w:rPr>
                <w:sz w:val="14"/>
                <w:szCs w:val="14"/>
                <w:color w:val="auto"/>
              </w:rPr>
            </w:pPr>
          </w:p>
        </w:tc>
        <w:tc>
          <w:tcPr>
            <w:tcW w:w="4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Security</w:t>
            </w:r>
          </w:p>
        </w:tc>
        <w:tc>
          <w:tcPr>
            <w:tcW w:w="4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4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Security Custodian</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2" w:right="239" w:bottom="1440" w:gutter="0" w:footer="0" w:header="0"/>
        </w:sectPr>
      </w:pPr>
    </w:p>
    <w:bookmarkStart w:id="82" w:name="page83"/>
    <w:bookmarkEnd w:id="82"/>
    <w:p>
      <w:pPr>
        <w:jc w:val="center"/>
        <w:ind w:right="-19"/>
        <w:spacing w:after="0"/>
        <w:rPr>
          <w:sz w:val="20"/>
          <w:szCs w:val="20"/>
          <w:color w:val="auto"/>
        </w:rPr>
      </w:pPr>
      <w:r>
        <w:rPr>
          <w:rFonts w:ascii="Arial" w:cs="Arial" w:eastAsia="Arial" w:hAnsi="Arial"/>
          <w:sz w:val="18"/>
          <w:szCs w:val="18"/>
          <w:b w:val="1"/>
          <w:bCs w:val="1"/>
          <w:color w:val="auto"/>
        </w:rPr>
        <w:t>ANNEX B</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TERMS OF NOTES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(Resolutions of the Board of Directors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Waste Management, Inc.)</w:t>
      </w:r>
    </w:p>
    <w:p>
      <w:pPr>
        <w:spacing w:after="0" w:line="99" w:lineRule="exact"/>
        <w:rPr>
          <w:sz w:val="20"/>
          <w:szCs w:val="20"/>
          <w:color w:val="auto"/>
        </w:rPr>
      </w:pPr>
    </w:p>
    <w:p>
      <w:pPr>
        <w:ind w:right="4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July 2005, the Securities and Exchange Commission (the “SEC”) issued final rules known as the “Securities Offering Reform,” such rules</w:t>
      </w:r>
      <w:r>
        <w:rPr>
          <w:rFonts w:ascii="Arial" w:cs="Arial" w:eastAsia="Arial" w:hAnsi="Arial"/>
          <w:sz w:val="18"/>
          <w:szCs w:val="18"/>
          <w:b w:val="1"/>
          <w:bCs w:val="1"/>
          <w:color w:val="auto"/>
        </w:rPr>
        <w:t xml:space="preserve"> </w:t>
      </w:r>
      <w:r>
        <w:rPr>
          <w:rFonts w:ascii="Arial" w:cs="Arial" w:eastAsia="Arial" w:hAnsi="Arial"/>
          <w:sz w:val="18"/>
          <w:szCs w:val="18"/>
          <w:color w:val="auto"/>
        </w:rPr>
        <w:t>to be effective as of December 1, 2005;</w:t>
      </w:r>
    </w:p>
    <w:p>
      <w:pPr>
        <w:spacing w:after="0" w:line="54" w:lineRule="exact"/>
        <w:rPr>
          <w:sz w:val="20"/>
          <w:szCs w:val="20"/>
          <w:color w:val="auto"/>
        </w:rPr>
      </w:pPr>
    </w:p>
    <w:p>
      <w:pPr>
        <w:ind w:right="20" w:firstLine="225"/>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Securities Offering Reform provides for a new form of registration statement known as an “automatic shelf registration statement” that,</w:t>
      </w:r>
      <w:r>
        <w:rPr>
          <w:rFonts w:ascii="Arial" w:cs="Arial" w:eastAsia="Arial" w:hAnsi="Arial"/>
          <w:sz w:val="18"/>
          <w:szCs w:val="18"/>
          <w:b w:val="1"/>
          <w:bCs w:val="1"/>
          <w:color w:val="auto"/>
        </w:rPr>
        <w:t xml:space="preserve"> </w:t>
      </w:r>
      <w:r>
        <w:rPr>
          <w:rFonts w:ascii="Arial" w:cs="Arial" w:eastAsia="Arial" w:hAnsi="Arial"/>
          <w:sz w:val="18"/>
          <w:szCs w:val="18"/>
          <w:color w:val="auto"/>
        </w:rPr>
        <w:t>among other things, facilitates offerings of securities by issuers eligible to use such form by providing for automatic effectiveness of the registration statement and any post-effective amendments thereto;</w:t>
      </w:r>
    </w:p>
    <w:p>
      <w:pPr>
        <w:spacing w:after="0" w:line="68" w:lineRule="exact"/>
        <w:rPr>
          <w:sz w:val="20"/>
          <w:szCs w:val="20"/>
          <w:color w:val="auto"/>
        </w:rPr>
      </w:pPr>
    </w:p>
    <w:p>
      <w:pPr>
        <w:ind w:right="160" w:firstLine="225"/>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previously filed with the SEC a universal shelf registration statement on Form S-3, which registered the offer and sale by</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of up to an aggregate of $3 billion of senior and subordinated debt and common stock; and</w:t>
      </w:r>
    </w:p>
    <w:p>
      <w:pPr>
        <w:spacing w:after="0" w:line="54" w:lineRule="exact"/>
        <w:rPr>
          <w:sz w:val="20"/>
          <w:szCs w:val="20"/>
          <w:color w:val="auto"/>
        </w:rPr>
      </w:pPr>
    </w:p>
    <w:p>
      <w:pPr>
        <w:ind w:firstLine="225"/>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and finds it in the best interests of the Company, to file a registration statement on Form S-3 that will be designated as</w:t>
      </w:r>
      <w:r>
        <w:rPr>
          <w:rFonts w:ascii="Arial" w:cs="Arial" w:eastAsia="Arial" w:hAnsi="Arial"/>
          <w:sz w:val="18"/>
          <w:szCs w:val="18"/>
          <w:b w:val="1"/>
          <w:bCs w:val="1"/>
          <w:color w:val="auto"/>
        </w:rPr>
        <w:t xml:space="preserve"> </w:t>
      </w:r>
      <w:r>
        <w:rPr>
          <w:rFonts w:ascii="Arial" w:cs="Arial" w:eastAsia="Arial" w:hAnsi="Arial"/>
          <w:sz w:val="18"/>
          <w:szCs w:val="18"/>
          <w:color w:val="auto"/>
        </w:rPr>
        <w:t>an “automatic shelf registration statement” in order to facilitate any future offerings of securities by the Company or any selling security holders and, pursuant to Rule 457(p) of the Securities Act of 1933, as amended (the “Securities Act”), apply the unused amount of filing fees paid in connection with the universal shelf registration statement to the registration of the automatic shelf.</w:t>
      </w:r>
    </w:p>
    <w:p>
      <w:pPr>
        <w:spacing w:after="0" w:line="72" w:lineRule="exact"/>
        <w:rPr>
          <w:sz w:val="20"/>
          <w:szCs w:val="20"/>
          <w:color w:val="auto"/>
        </w:rPr>
      </w:pPr>
    </w:p>
    <w:p>
      <w:pPr>
        <w:ind w:right="140" w:firstLine="225"/>
        <w:spacing w:after="0" w:line="288" w:lineRule="auto"/>
        <w:rPr>
          <w:sz w:val="20"/>
          <w:szCs w:val="20"/>
          <w:color w:val="auto"/>
        </w:rPr>
      </w:pPr>
      <w:r>
        <w:rPr>
          <w:rFonts w:ascii="Arial" w:cs="Arial" w:eastAsia="Arial" w:hAnsi="Arial"/>
          <w:sz w:val="16"/>
          <w:szCs w:val="16"/>
          <w:b w:val="1"/>
          <w:bCs w:val="1"/>
          <w:color w:val="auto"/>
        </w:rPr>
        <w:t xml:space="preserve">NOW, THEREFORE, BE IT RESOLVED, </w:t>
      </w:r>
      <w:r>
        <w:rPr>
          <w:rFonts w:ascii="Arial" w:cs="Arial" w:eastAsia="Arial" w:hAnsi="Arial"/>
          <w:sz w:val="16"/>
          <w:szCs w:val="16"/>
          <w:color w:val="auto"/>
        </w:rPr>
        <w:t>that the Company is hereby authorized to prepare and file with the SEC an automatic shelf registration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 on Form S-3 (the “Automatic Shelf”), pursuant to the Securities Act and the rules and regulations promulgated thereunder, which Automatic Shelf may cover, among other things, unsecured senior or subordinated debentures, notes or other evidences of indebtedness of the Company (collectively “Debt Securities”); shares of common stock, par value $0.01 per share, of the Company (the “Common Stock”); warrants to purchase shares of Common Stock; shares of preferred stock in such series with such designations, powers, preferences and relative and other special rights and qualifications, limitations and restrictions as the Board of Directors may from time to time authorize; guarantees of securities by Waste Management Holdings, Inc., a wholly-owned subsidiary of the Company; and any units consisting of one or more of the foregoing (the Debt Securities, Common Stock, warrants, preferred stock, guarantees and units collectively referred to herein as the “Securities”), to be issued from time to time at the discretion of any of the proper officers (as established pursuant to these resolutions), to be offered from time to time by the Company, the initial offering prices of which Securities may not, without approval of the Board of Directors, exceed the amount of Debt Securities and Common Stock remaining available for issuance under the Company’s Registration Statement on Form S-3 Registration No. 333-97697 on the date of the filing of the Automatic Shelf with the SEC;</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83" w:name="page84"/>
    <w:bookmarkEnd w:id="83"/>
    <w:p>
      <w:pPr>
        <w:ind w:right="40" w:firstLine="225"/>
        <w:spacing w:after="0" w:line="25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and the authorized employees (as established pursuant to these resolutions) be, and each of them hereby</w:t>
      </w:r>
      <w:r>
        <w:rPr>
          <w:rFonts w:ascii="Arial" w:cs="Arial" w:eastAsia="Arial" w:hAnsi="Arial"/>
          <w:sz w:val="18"/>
          <w:szCs w:val="18"/>
          <w:b w:val="1"/>
          <w:bCs w:val="1"/>
          <w:color w:val="auto"/>
        </w:rPr>
        <w:t xml:space="preserve"> </w:t>
      </w:r>
      <w:r>
        <w:rPr>
          <w:rFonts w:ascii="Arial" w:cs="Arial" w:eastAsia="Arial" w:hAnsi="Arial"/>
          <w:sz w:val="18"/>
          <w:szCs w:val="18"/>
          <w:color w:val="auto"/>
        </w:rPr>
        <w:t>is, authorized, in the name and on behalf of the Company, to execute and cause to be filed with the SEC any and all amendments (including, without limitation, post-effective amendments) or supplements to the Automatic Shelf and any prospectus included therein and any additional documents which such officer or employee may deem necessary or desirable with respect to the registration and offering of the Securities, and such amendments, supplements, registration statements and documents to be in such form as the officer or employee executing the same may approve, as conclusively evidenced by his execution thereof;</w:t>
      </w:r>
    </w:p>
    <w:p>
      <w:pPr>
        <w:spacing w:after="0" w:line="80" w:lineRule="exact"/>
        <w:rPr>
          <w:sz w:val="20"/>
          <w:szCs w:val="20"/>
          <w:color w:val="auto"/>
        </w:rPr>
      </w:pPr>
    </w:p>
    <w:p>
      <w:pPr>
        <w:ind w:right="40" w:firstLine="225"/>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General Counsel of the Company be, and he hereby is, designated and appointed the agent for service of process on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the Securities Act in connection with the Automatic Shelf and any and all amendments and supplements thereto, with all powers incident to such appointment;</w:t>
      </w:r>
    </w:p>
    <w:p>
      <w:pPr>
        <w:spacing w:after="0" w:line="68" w:lineRule="exact"/>
        <w:rPr>
          <w:sz w:val="20"/>
          <w:szCs w:val="20"/>
          <w:color w:val="auto"/>
        </w:rPr>
      </w:pPr>
    </w:p>
    <w:p>
      <w:pPr>
        <w:ind w:firstLine="225"/>
        <w:spacing w:after="0" w:line="255"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proper officers and authorized employees be and hereby are authorized and directed in the name and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to take any and all action which they may deem necessary or advisable in order to effect the registration or qualification of all or part of the Securities to be registered under the Securities Act, for offer and sale under the securities or Blue Sky laws of the states of the United States of America, and in connection therewith, to execute, acknowledge, verify, deliver, file and publish all such applications, reports, issuer’s covenants, resolutions, consents to service of process, or appointments of governmental officials for the purpose of receiving and accepting service of process on the laws, and to take any and all further action which they may deem necessary or advisable in order to maintain any such registration or qualification for as long as they deem the same to be in the best interest of the Company;</w:t>
      </w:r>
    </w:p>
    <w:p>
      <w:pPr>
        <w:spacing w:after="0" w:line="81"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form of any additional resolutions required in connection with the appropriate qualification or registration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for offer and sale under such securities or Blue Sky laws, be and hereby is approved and adopted, provided the appropriate officers of the Company, on the advice of counsel, consider the adoption thereof necessary or advisable, in which case the Secretary or any Assistant Secretary of the Company is hereby directed to insert as an appendix hereto a copy of such resolutions, which shall thereupon be deemed to have been adopted by this Board with the same force and effect as if set out verbatim herein;</w:t>
      </w:r>
    </w:p>
    <w:p>
      <w:pPr>
        <w:spacing w:after="0" w:line="76" w:lineRule="exact"/>
        <w:rPr>
          <w:sz w:val="20"/>
          <w:szCs w:val="20"/>
          <w:color w:val="auto"/>
        </w:rPr>
      </w:pPr>
    </w:p>
    <w:p>
      <w:pPr>
        <w:ind w:right="100" w:firstLine="225"/>
        <w:spacing w:after="0" w:line="295"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any of the proper officers or authorized employees be, and each of them hereby is, authorized to approve at any time and</w:t>
      </w:r>
      <w:r>
        <w:rPr>
          <w:rFonts w:ascii="Arial" w:cs="Arial" w:eastAsia="Arial" w:hAnsi="Arial"/>
          <w:sz w:val="16"/>
          <w:szCs w:val="16"/>
          <w:b w:val="1"/>
          <w:bCs w:val="1"/>
          <w:color w:val="auto"/>
        </w:rPr>
        <w:t xml:space="preserve"> </w:t>
      </w:r>
      <w:r>
        <w:rPr>
          <w:rFonts w:ascii="Arial" w:cs="Arial" w:eastAsia="Arial" w:hAnsi="Arial"/>
          <w:sz w:val="16"/>
          <w:szCs w:val="16"/>
          <w:color w:val="auto"/>
        </w:rPr>
        <w:t>from time to time, one or more forms of underwriting agreements (and related terms agreement) and agency agreement (and related purchase agreement) and any other agreement or agreements any of such persons may deem necessary or appropriate in connection with the arrangements for the purchase of any of the Securities, and that such persons be, and each of them hereby is, authorized to execute and deliver, in the name and on behalf of the Company, any such agreement or agreements in substantially the form approved by any of them, with such changes therein as the person executing the same may approve, as conclusively evidenced by the execution and delivery thereof, it being understood that, in the case of any terms agreement or purchase agreement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84" w:name="page85"/>
    <w:bookmarkEnd w:id="84"/>
    <w:p>
      <w:pPr>
        <w:ind w:right="40"/>
        <w:spacing w:after="0" w:line="277" w:lineRule="auto"/>
        <w:rPr>
          <w:sz w:val="20"/>
          <w:szCs w:val="20"/>
          <w:color w:val="auto"/>
        </w:rPr>
      </w:pPr>
      <w:r>
        <w:rPr>
          <w:rFonts w:ascii="Arial" w:cs="Arial" w:eastAsia="Arial" w:hAnsi="Arial"/>
          <w:sz w:val="18"/>
          <w:szCs w:val="18"/>
          <w:color w:val="auto"/>
        </w:rPr>
        <w:t>referred to above, it shall not be necessary for any of the proper officers to approve any individual agreement pursuant to which Securities are to be sold if the form thereof has previously been approved as provided in this resolution;</w:t>
      </w:r>
    </w:p>
    <w:p>
      <w:pPr>
        <w:spacing w:after="0" w:line="58" w:lineRule="exact"/>
        <w:rPr>
          <w:sz w:val="20"/>
          <w:szCs w:val="20"/>
          <w:color w:val="auto"/>
        </w:rPr>
      </w:pPr>
    </w:p>
    <w:p>
      <w:pPr>
        <w:ind w:right="20" w:firstLine="225"/>
        <w:spacing w:after="0" w:line="255"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 the proper officers be, and each of them hereby is, authorized, at any time and from time to time,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 to determine, within any limits that may be set by the Board of Directors, the number of shares of Common Stock, preferred stock or other equity securities to be offered and sold by the Company pursuant to the Automatic Shelf, including any shares underlying warrants or convertible Debt Securities, (ii) to authorize the reserve and issuance of such shares and (iii) to take any and all action and to do or cause to be done any and all things which may appear to any of the proper officers to be necessary or advisable in order to authorize, offer, issue, and sell such shares of Common Stock, pursuant to the Automatic Shelf and the applicable purchase agreement, which action could be taken or which things could be done by the Board of Directors of the Company;</w:t>
      </w:r>
    </w:p>
    <w:p>
      <w:pPr>
        <w:spacing w:after="0" w:line="81" w:lineRule="exact"/>
        <w:rPr>
          <w:sz w:val="20"/>
          <w:szCs w:val="20"/>
          <w:color w:val="auto"/>
        </w:rPr>
      </w:pPr>
    </w:p>
    <w:p>
      <w:pPr>
        <w:ind w:firstLine="225"/>
        <w:spacing w:after="0" w:line="258"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 the proper officers may, at any time and from time to time, on behalf of the Company, authorize the issuance of one</w:t>
      </w:r>
      <w:r>
        <w:rPr>
          <w:rFonts w:ascii="Arial" w:cs="Arial" w:eastAsia="Arial" w:hAnsi="Arial"/>
          <w:sz w:val="18"/>
          <w:szCs w:val="18"/>
          <w:b w:val="1"/>
          <w:bCs w:val="1"/>
          <w:color w:val="auto"/>
        </w:rPr>
        <w:t xml:space="preserve"> </w:t>
      </w:r>
      <w:r>
        <w:rPr>
          <w:rFonts w:ascii="Arial" w:cs="Arial" w:eastAsia="Arial" w:hAnsi="Arial"/>
          <w:sz w:val="18"/>
          <w:szCs w:val="18"/>
          <w:color w:val="auto"/>
        </w:rPr>
        <w:t>or more series of Securities under the Company’s indentures, within any limits that may be set by the Board of Directors, and in connection therewith establish, or, if all of the Securities of such series may not be originally issued at one time, to the extent deemed appropriate, prescribe the manner of determining, within any limitations established by any of the proper officers and subject in either case to the limitations set forth in these resolutions, all of the terms of such Securities;</w:t>
      </w:r>
    </w:p>
    <w:p>
      <w:pPr>
        <w:spacing w:after="0" w:line="76" w:lineRule="exact"/>
        <w:rPr>
          <w:sz w:val="20"/>
          <w:szCs w:val="20"/>
          <w:color w:val="auto"/>
        </w:rPr>
      </w:pPr>
    </w:p>
    <w:p>
      <w:pPr>
        <w:ind w:right="160" w:firstLine="225"/>
        <w:spacing w:after="0" w:line="298"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any such series of Securities (but without limiting the authority hereinafter in these resolutions</w:t>
      </w:r>
      <w:r>
        <w:rPr>
          <w:rFonts w:ascii="Arial" w:cs="Arial" w:eastAsia="Arial" w:hAnsi="Arial"/>
          <w:sz w:val="16"/>
          <w:szCs w:val="16"/>
          <w:b w:val="1"/>
          <w:bCs w:val="1"/>
          <w:color w:val="auto"/>
        </w:rPr>
        <w:t xml:space="preserve"> </w:t>
      </w:r>
      <w:r>
        <w:rPr>
          <w:rFonts w:ascii="Arial" w:cs="Arial" w:eastAsia="Arial" w:hAnsi="Arial"/>
          <w:sz w:val="16"/>
          <w:szCs w:val="16"/>
          <w:color w:val="auto"/>
        </w:rPr>
        <w:t>conferred with respect to the issuance of Securities of a series which may not all be originally issued at one time), any of the proper officers is authorized at any time or from time to time to determine the price or prices to be received by the Company in any offering or sale of Securities of such series, any public offering price or prices thereof, any discounts to be allowed or commissions to be paid to any agent, dealer or underwriter and any other terms of offering or sale of Securities of such series and to sell Securities of such series in accordance with any applicable purchase agreement or other agreement(s);</w:t>
      </w:r>
    </w:p>
    <w:p>
      <w:pPr>
        <w:spacing w:after="0" w:line="46" w:lineRule="exact"/>
        <w:rPr>
          <w:sz w:val="20"/>
          <w:szCs w:val="20"/>
          <w:color w:val="auto"/>
        </w:rPr>
      </w:pPr>
    </w:p>
    <w:p>
      <w:pPr>
        <w:jc w:val="both"/>
        <w:ind w:right="140" w:firstLine="225"/>
        <w:spacing w:after="0" w:line="314" w:lineRule="auto"/>
        <w:rPr>
          <w:sz w:val="20"/>
          <w:szCs w:val="20"/>
          <w:color w:val="auto"/>
        </w:rPr>
      </w:pPr>
      <w:r>
        <w:rPr>
          <w:rFonts w:ascii="Arial" w:cs="Arial" w:eastAsia="Arial" w:hAnsi="Arial"/>
          <w:sz w:val="16"/>
          <w:szCs w:val="16"/>
          <w:b w:val="1"/>
          <w:bCs w:val="1"/>
          <w:color w:val="auto"/>
        </w:rPr>
        <w:t xml:space="preserve">RESOLVED FURTHER, </w:t>
      </w:r>
      <w:r>
        <w:rPr>
          <w:rFonts w:ascii="Arial" w:cs="Arial" w:eastAsia="Arial" w:hAnsi="Arial"/>
          <w:sz w:val="16"/>
          <w:szCs w:val="16"/>
          <w:color w:val="auto"/>
        </w:rPr>
        <w:t>that, in connection with the issuance of Securities of any series which may not be originally issued at one time (except as may</w:t>
      </w:r>
      <w:r>
        <w:rPr>
          <w:rFonts w:ascii="Arial" w:cs="Arial" w:eastAsia="Arial" w:hAnsi="Arial"/>
          <w:sz w:val="16"/>
          <w:szCs w:val="16"/>
          <w:b w:val="1"/>
          <w:bCs w:val="1"/>
          <w:color w:val="auto"/>
        </w:rPr>
        <w:t xml:space="preserve"> </w:t>
      </w:r>
      <w:r>
        <w:rPr>
          <w:rFonts w:ascii="Arial" w:cs="Arial" w:eastAsia="Arial" w:hAnsi="Arial"/>
          <w:sz w:val="16"/>
          <w:szCs w:val="16"/>
          <w:color w:val="auto"/>
        </w:rPr>
        <w:t>be inconsistent with any action taken by any of the proper officers, as hereinabove provided, in connection with such series), any of the proper officers may delegate any of its authority pursuant to these resolutions to any officer of the Company, including authority to fix the terms of such Securities;</w:t>
      </w:r>
    </w:p>
    <w:p>
      <w:pPr>
        <w:spacing w:after="0" w:line="34" w:lineRule="exact"/>
        <w:rPr>
          <w:sz w:val="20"/>
          <w:szCs w:val="20"/>
          <w:color w:val="auto"/>
        </w:rPr>
      </w:pPr>
    </w:p>
    <w:p>
      <w:pPr>
        <w:ind w:right="140" w:firstLine="225"/>
        <w:spacing w:after="0" w:line="314"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in connection with any such series of Securities, any of the proper officers is authorized to approve any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modification or supplement to the Company’s indentures and that any proper officer be, and each of them hereby is, authorized to execute and deliver, in the name and on behalf of the Company, any such amendment, modification or supplement, substantially in the form approved by any proper officer;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5" w:name="page86"/>
    <w:bookmarkEnd w:id="85"/>
    <w:p>
      <w:pPr>
        <w:ind w:right="100" w:firstLine="225"/>
        <w:spacing w:after="0" w:line="303"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the proper officers and authorized employees be, and each of them hereby is, authorized, in the name and on behalf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to execute and deliver such other agreements (including indemnity agreements), documents, certificates, orders, requests and instruments as may be contemplated by the Company’s indentures or required by the trustee thereunder, the security registrar or any other agent of the Company under such indentures in connection therewith or as may be necessary or appropriate in connection with the issuance and sale of Securities thereunder;</w:t>
      </w:r>
    </w:p>
    <w:p>
      <w:pPr>
        <w:spacing w:after="0" w:line="43" w:lineRule="exact"/>
        <w:rPr>
          <w:sz w:val="20"/>
          <w:szCs w:val="20"/>
          <w:color w:val="auto"/>
        </w:rPr>
      </w:pPr>
    </w:p>
    <w:p>
      <w:pPr>
        <w:ind w:right="20" w:firstLine="225"/>
        <w:spacing w:after="0" w:line="274"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be, and each of them hereby is, authorized, subject to and in accordance with the Company’s indentures</w:t>
      </w:r>
      <w:r>
        <w:rPr>
          <w:rFonts w:ascii="Arial" w:cs="Arial" w:eastAsia="Arial" w:hAnsi="Arial"/>
          <w:sz w:val="17"/>
          <w:szCs w:val="17"/>
          <w:b w:val="1"/>
          <w:bCs w:val="1"/>
          <w:color w:val="auto"/>
        </w:rPr>
        <w:t xml:space="preserve"> </w:t>
      </w:r>
      <w:r>
        <w:rPr>
          <w:rFonts w:ascii="Arial" w:cs="Arial" w:eastAsia="Arial" w:hAnsi="Arial"/>
          <w:sz w:val="17"/>
          <w:szCs w:val="17"/>
          <w:color w:val="auto"/>
        </w:rPr>
        <w:t>and any action taken by any of the proper officers in connection therewith, from time to time to appoint or designate on behalf of the Company one or more security registrars, paying agents and transfer agents for each series of Securities, to rescind on behalf of the Company any such appointment or designation and to approve on behalf of the Company any change in the location of any office through which any such security registrar, paying agent or transfer agent acts, and in connection therewith to take such action and to make, execute and deliver, or cause to be made, executed and delivered, such agreements, instruments and other documents as any such officer may deem necessary or appropriate;</w:t>
      </w:r>
    </w:p>
    <w:p>
      <w:pPr>
        <w:spacing w:after="0" w:line="66"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and authorized employees be, and each of them hereby is, authorized, in the name and on behalf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to make application to such securities exchange or exchanges as the persons acting shall deem necessary or appropriate for the listing thereof of any of the Securities (including any Common Stock or preferred stock underlying any convertible Securities) and in connection therewith to appoint one or more listing agents and to prepare, or cause to be prepared, execute and file, or cause to be filed, an application or applications for such listing and any and all amendments thereto and any additional certificates, documents, letters and other instruments which any such officer may deem necessary or desirable; that such officers, or such other person as any such officer may designate in writing, be, and each of them hereby is, authorized to appear before any official or officials or before any body of any such exchange, with authority to make such changes in such application, amendments, certificates, documents, letters and other instruments and to execute and deliver such agreements relative thereto, including, without limitation, listing agreements, fee agreements and indemnity agreements relating to the use of facsimile signatures as they, or any one of them, may deem necessary or appropriate in order to comply with the requirements of any such exchange or to effect such listing;</w:t>
      </w:r>
    </w:p>
    <w:p>
      <w:pPr>
        <w:spacing w:after="0" w:line="70" w:lineRule="exact"/>
        <w:rPr>
          <w:sz w:val="20"/>
          <w:szCs w:val="20"/>
          <w:color w:val="auto"/>
        </w:rPr>
      </w:pPr>
    </w:p>
    <w:p>
      <w:pPr>
        <w:ind w:right="20" w:firstLine="225"/>
        <w:spacing w:after="0" w:line="277"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proper officers be, and each of them hereby is, authorized, in the name and on behalf of the Company, to make</w:t>
      </w:r>
      <w:r>
        <w:rPr>
          <w:rFonts w:ascii="Arial" w:cs="Arial" w:eastAsia="Arial" w:hAnsi="Arial"/>
          <w:sz w:val="17"/>
          <w:szCs w:val="17"/>
          <w:b w:val="1"/>
          <w:bCs w:val="1"/>
          <w:color w:val="auto"/>
        </w:rPr>
        <w:t xml:space="preserve"> </w:t>
      </w:r>
      <w:r>
        <w:rPr>
          <w:rFonts w:ascii="Arial" w:cs="Arial" w:eastAsia="Arial" w:hAnsi="Arial"/>
          <w:sz w:val="17"/>
          <w:szCs w:val="17"/>
          <w:color w:val="auto"/>
        </w:rPr>
        <w:t>application to the SEC for registration of any series of the Securities under Section 12 or other applicable section of the Securities Exchange Act of 1934, and the proper officers and authorized employees are hereby authorized to prepare or cause to be prepared, and to execute and file, or cause to be filed, with the SEC and any securities exchange an application or applications for such registration and any and all amendments thereto and any additional certificates, documents, letters and other instruments which any such officer may deem necessary or desirable;</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86" w:name="page87"/>
    <w:bookmarkEnd w:id="86"/>
    <w:p>
      <w:pPr>
        <w:ind w:firstLine="225"/>
        <w:spacing w:after="0" w:line="25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officers and authorized employees of the Company be, and each of them hereby is, authorized to take, or cause to be</w:t>
      </w:r>
      <w:r>
        <w:rPr>
          <w:rFonts w:ascii="Arial" w:cs="Arial" w:eastAsia="Arial" w:hAnsi="Arial"/>
          <w:sz w:val="18"/>
          <w:szCs w:val="18"/>
          <w:b w:val="1"/>
          <w:bCs w:val="1"/>
          <w:color w:val="auto"/>
        </w:rPr>
        <w:t xml:space="preserve"> </w:t>
      </w:r>
      <w:r>
        <w:rPr>
          <w:rFonts w:ascii="Arial" w:cs="Arial" w:eastAsia="Arial" w:hAnsi="Arial"/>
          <w:sz w:val="18"/>
          <w:szCs w:val="18"/>
          <w:color w:val="auto"/>
        </w:rPr>
        <w:t>taken, any and all action which any such officer may deem necessary or desirable in order to carry out the purpose and intent of the foregoing resolutions or in order to perform, or cause to be performed, the obligations of the Company under the Securities and any Shelf Indenture, purchase agreement, shelf registration statement, Automatic Shelf or other agreement referred to herein, and, in connection therewith, to make, execute and deliver, or cause to be made, executed and delivered, all agreements, undertakings, documents, certificates, orders, requests or instruments in the name and on behalf of the Company as each such officer may deem necessary or appropriate;</w:t>
      </w:r>
    </w:p>
    <w:p>
      <w:pPr>
        <w:spacing w:after="0" w:line="80" w:lineRule="exact"/>
        <w:rPr>
          <w:sz w:val="20"/>
          <w:szCs w:val="20"/>
          <w:color w:val="auto"/>
        </w:rPr>
      </w:pPr>
    </w:p>
    <w:p>
      <w:pPr>
        <w:jc w:val="both"/>
        <w:ind w:right="140" w:firstLine="225"/>
        <w:spacing w:after="0" w:line="314" w:lineRule="auto"/>
        <w:rPr>
          <w:sz w:val="20"/>
          <w:szCs w:val="20"/>
          <w:color w:val="auto"/>
        </w:rPr>
      </w:pPr>
      <w:r>
        <w:rPr>
          <w:rFonts w:ascii="Arial" w:cs="Arial" w:eastAsia="Arial" w:hAnsi="Arial"/>
          <w:sz w:val="16"/>
          <w:szCs w:val="16"/>
          <w:b w:val="1"/>
          <w:bCs w:val="1"/>
          <w:color w:val="auto"/>
        </w:rPr>
        <w:t>RESOLVED FURTHER</w:t>
      </w:r>
      <w:r>
        <w:rPr>
          <w:rFonts w:ascii="Arial" w:cs="Arial" w:eastAsia="Arial" w:hAnsi="Arial"/>
          <w:sz w:val="16"/>
          <w:szCs w:val="16"/>
          <w:color w:val="auto"/>
        </w:rPr>
        <w:t>, that for purposes of these resolutions, the term “proper officer” shall mean any or all of the Chief Executive Officer,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the General Counsel, the Secretary, the Chief Accounting Officer and the Treasurer of the Company and the term “authorized employees” shall mean either or both of the Vice President and Assistant General Counsel — Corporate and Securities and the Corporate Counsel of the Company;</w:t>
      </w:r>
    </w:p>
    <w:p>
      <w:pPr>
        <w:spacing w:after="0" w:line="34" w:lineRule="exact"/>
        <w:rPr>
          <w:sz w:val="20"/>
          <w:szCs w:val="20"/>
          <w:color w:val="auto"/>
        </w:rPr>
      </w:pPr>
    </w:p>
    <w:p>
      <w:pPr>
        <w:ind w:right="60" w:firstLine="225"/>
        <w:spacing w:after="0" w:line="281" w:lineRule="auto"/>
        <w:rPr>
          <w:sz w:val="20"/>
          <w:szCs w:val="20"/>
          <w:color w:val="auto"/>
        </w:rPr>
      </w:pPr>
      <w:r>
        <w:rPr>
          <w:rFonts w:ascii="Arial" w:cs="Arial" w:eastAsia="Arial" w:hAnsi="Arial"/>
          <w:sz w:val="17"/>
          <w:szCs w:val="17"/>
          <w:b w:val="1"/>
          <w:bCs w:val="1"/>
          <w:color w:val="auto"/>
        </w:rPr>
        <w:t>RESOLVED FURTHER</w:t>
      </w:r>
      <w:r>
        <w:rPr>
          <w:rFonts w:ascii="Arial" w:cs="Arial" w:eastAsia="Arial" w:hAnsi="Arial"/>
          <w:sz w:val="17"/>
          <w:szCs w:val="17"/>
          <w:color w:val="auto"/>
        </w:rPr>
        <w:t>, that the form of any additional resolutions required in connection with the foregoing resolutions be and hereby is approved and</w:t>
      </w:r>
      <w:r>
        <w:rPr>
          <w:rFonts w:ascii="Arial" w:cs="Arial" w:eastAsia="Arial" w:hAnsi="Arial"/>
          <w:sz w:val="17"/>
          <w:szCs w:val="17"/>
          <w:b w:val="1"/>
          <w:bCs w:val="1"/>
          <w:color w:val="auto"/>
        </w:rPr>
        <w:t xml:space="preserve"> </w:t>
      </w:r>
      <w:r>
        <w:rPr>
          <w:rFonts w:ascii="Arial" w:cs="Arial" w:eastAsia="Arial" w:hAnsi="Arial"/>
          <w:sz w:val="17"/>
          <w:szCs w:val="17"/>
          <w:color w:val="auto"/>
        </w:rPr>
        <w:t>adopted, provided the proper officers of the Company, on the advice of counsel, consider the adoption thereof necessary or advisable, in which case the Secretary or any Assistant Secretary of the Company is hereby directed to insert as an appendix hereto a copy of such resolutions, which shall, upon execution, be deemed to have been adopted by this Board with the same force and effect as if set out verbatim herein; and</w:t>
      </w:r>
    </w:p>
    <w:p>
      <w:pPr>
        <w:spacing w:after="0" w:line="57" w:lineRule="exact"/>
        <w:rPr>
          <w:sz w:val="20"/>
          <w:szCs w:val="20"/>
          <w:color w:val="auto"/>
        </w:rPr>
      </w:pPr>
    </w:p>
    <w:p>
      <w:pPr>
        <w:ind w:right="200" w:firstLine="225"/>
        <w:spacing w:after="0" w:line="261"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any officer of the Company is hereby authorized and directed to make, provide, execute, and deliver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applications, certificates, representations, payments, notices, receipts, and other instruments and documents and take any and all other actions which in the opinion of such officer is or may be necessary or appropriate in connection with or to consummate any of the matters covered by the foregoing resolutions.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932"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4.6</w:t>
      </w:r>
    </w:p>
    <w:p>
      <w:pPr>
        <w:spacing w:after="0" w:line="33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GUARANTEE</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BY WASTE MANAGEMENT HOLDINGS, INC.</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(formerly known as Waste Management, Inc.)</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 Favor of The Bank of New York Mellon Trust Company, N.A., as Trustee for the Holders</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of Certain Debt Securities of</w:t>
      </w:r>
    </w:p>
    <w:p>
      <w:pPr>
        <w:spacing w:after="0" w:line="10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WASTE MANAGEMENT, INC.</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$350,000,000</w:t>
      </w:r>
    </w:p>
    <w:p>
      <w:pPr>
        <w:spacing w:after="0" w:line="2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6.375% Senior Notes due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389890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88" w:name="page89"/>
    <w:bookmarkEnd w:id="88"/>
    <w:p>
      <w:pPr>
        <w:ind w:right="180" w:firstLine="225"/>
        <w:spacing w:after="0" w:line="259" w:lineRule="auto"/>
        <w:rPr>
          <w:sz w:val="20"/>
          <w:szCs w:val="20"/>
          <w:color w:val="auto"/>
        </w:rPr>
      </w:pPr>
      <w:r>
        <w:rPr>
          <w:rFonts w:ascii="Arial" w:cs="Arial" w:eastAsia="Arial" w:hAnsi="Arial"/>
          <w:sz w:val="18"/>
          <w:szCs w:val="18"/>
          <w:color w:val="auto"/>
        </w:rPr>
        <w:t>GUARANTEE, dated as of February 26, 2009 (as amended from time to time, this “</w:t>
      </w:r>
      <w:r>
        <w:rPr>
          <w:rFonts w:ascii="Arial" w:cs="Arial" w:eastAsia="Arial" w:hAnsi="Arial"/>
          <w:sz w:val="18"/>
          <w:szCs w:val="18"/>
          <w:u w:val="single" w:color="auto"/>
          <w:color w:val="auto"/>
        </w:rPr>
        <w:t>Guarantee</w:t>
      </w:r>
      <w:r>
        <w:rPr>
          <w:rFonts w:ascii="Arial" w:cs="Arial" w:eastAsia="Arial" w:hAnsi="Arial"/>
          <w:sz w:val="18"/>
          <w:szCs w:val="18"/>
          <w:color w:val="auto"/>
        </w:rPr>
        <w:t>”), made by Waste Management Holdings, Inc. (formerly known as Waste Management, Inc.), a Delaware corporation (the “</w:t>
      </w:r>
      <w:r>
        <w:rPr>
          <w:rFonts w:ascii="Arial" w:cs="Arial" w:eastAsia="Arial" w:hAnsi="Arial"/>
          <w:sz w:val="18"/>
          <w:szCs w:val="18"/>
          <w:u w:val="single" w:color="auto"/>
          <w:color w:val="auto"/>
        </w:rPr>
        <w:t>Guarantor</w:t>
      </w:r>
      <w:r>
        <w:rPr>
          <w:rFonts w:ascii="Arial" w:cs="Arial" w:eastAsia="Arial" w:hAnsi="Arial"/>
          <w:sz w:val="18"/>
          <w:szCs w:val="18"/>
          <w:color w:val="auto"/>
        </w:rPr>
        <w:t>”), in favor of The Bank of New York Mellon Trust Company, N.A., as trustee for the holders of the $350 million 6.375% Senior Notes due 2015 (the “</w:t>
      </w:r>
      <w:r>
        <w:rPr>
          <w:rFonts w:ascii="Arial" w:cs="Arial" w:eastAsia="Arial" w:hAnsi="Arial"/>
          <w:sz w:val="18"/>
          <w:szCs w:val="18"/>
          <w:u w:val="single" w:color="auto"/>
          <w:color w:val="auto"/>
        </w:rPr>
        <w:t>Debt Securities</w:t>
      </w:r>
      <w:r>
        <w:rPr>
          <w:rFonts w:ascii="Arial" w:cs="Arial" w:eastAsia="Arial" w:hAnsi="Arial"/>
          <w:sz w:val="18"/>
          <w:szCs w:val="18"/>
          <w:color w:val="auto"/>
        </w:rPr>
        <w:t>”) of Waste Management, Inc. (formerly known as USA Waste Services,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r>
        <w:rPr>
          <w:rFonts w:ascii="Arial" w:cs="Arial" w:eastAsia="Arial" w:hAnsi="Arial"/>
          <w:sz w:val="18"/>
          <w:szCs w:val="18"/>
          <w:color w:val="auto"/>
        </w:rPr>
        <w:t>. (a) The Guarantor hereby unconditionally guarantees the punctual payment when due, whether at stated maturity, by acceleration or otherwise, of the principal of, premium, if any, and interest on the Debt Securities (the “</w:t>
      </w:r>
      <w:r>
        <w:rPr>
          <w:rFonts w:ascii="Arial" w:cs="Arial" w:eastAsia="Arial" w:hAnsi="Arial"/>
          <w:sz w:val="18"/>
          <w:szCs w:val="18"/>
          <w:u w:val="single" w:color="auto"/>
          <w:color w:val="auto"/>
        </w:rPr>
        <w:t>Obligations</w:t>
      </w:r>
      <w:r>
        <w:rPr>
          <w:rFonts w:ascii="Arial" w:cs="Arial" w:eastAsia="Arial" w:hAnsi="Arial"/>
          <w:sz w:val="18"/>
          <w:szCs w:val="18"/>
          <w:color w:val="auto"/>
        </w:rPr>
        <w:t>”), according to the terms of the Debt Securities and as more fully described in the Indenture (as amended, modified or otherwise supplemented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dated as of September 10, 1997, between the Issuer, as successor to USA Waste Services, Inc., and The Bank of New York Mellon Trust Company, N.A. (the current successor to Texas Commerce Bank National Association),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80" w:lineRule="exact"/>
        <w:rPr>
          <w:sz w:val="20"/>
          <w:szCs w:val="20"/>
          <w:color w:val="auto"/>
        </w:rPr>
      </w:pPr>
    </w:p>
    <w:p>
      <w:pPr>
        <w:ind w:firstLine="458"/>
        <w:spacing w:after="0" w:line="293" w:lineRule="auto"/>
        <w:tabs>
          <w:tab w:leader="none" w:pos="705" w:val="left"/>
        </w:tabs>
        <w:numPr>
          <w:ilvl w:val="0"/>
          <w:numId w:val="57"/>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w:t>
      </w:r>
      <w:r>
        <w:rPr>
          <w:rFonts w:ascii="Arial" w:cs="Arial" w:eastAsia="Arial" w:hAnsi="Arial"/>
          <w:sz w:val="16"/>
          <w:szCs w:val="16"/>
          <w:u w:val="single" w:color="auto"/>
          <w:color w:val="auto"/>
        </w:rPr>
        <w:t>Bankruptcy Law</w:t>
      </w:r>
      <w:r>
        <w:rPr>
          <w:rFonts w:ascii="Arial" w:cs="Arial" w:eastAsia="Arial" w:hAnsi="Arial"/>
          <w:sz w:val="16"/>
          <w:szCs w:val="16"/>
          <w:color w:val="auto"/>
        </w:rPr>
        <w:t>” means Title 11, U.S. Code, or any similar Federal or state law for the relief of debtors.</w:t>
      </w:r>
    </w:p>
    <w:p>
      <w:pPr>
        <w:spacing w:after="0" w:line="57" w:lineRule="exact"/>
        <w:rPr>
          <w:sz w:val="20"/>
          <w:szCs w:val="20"/>
          <w:color w:val="auto"/>
        </w:rPr>
      </w:pPr>
    </w:p>
    <w:p>
      <w:pPr>
        <w:ind w:right="500" w:firstLine="225"/>
        <w:spacing w:after="0" w:line="31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Guarantee Absolute</w:t>
      </w:r>
      <w:r>
        <w:rPr>
          <w:rFonts w:ascii="Arial" w:cs="Arial" w:eastAsia="Arial" w:hAnsi="Arial"/>
          <w:sz w:val="16"/>
          <w:szCs w:val="16"/>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39" w:lineRule="exact"/>
        <w:rPr>
          <w:sz w:val="20"/>
          <w:szCs w:val="20"/>
          <w:color w:val="auto"/>
        </w:rPr>
      </w:pPr>
    </w:p>
    <w:p>
      <w:pPr>
        <w:ind w:left="680" w:hanging="219"/>
        <w:spacing w:after="0"/>
        <w:tabs>
          <w:tab w:leader="none" w:pos="6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lack of validity or enforceability of the Indenture, the Debt Securities or any other agreement or instrument relating thereto;</w:t>
      </w:r>
    </w:p>
    <w:p>
      <w:pPr>
        <w:spacing w:after="0" w:line="117" w:lineRule="exact"/>
        <w:rPr>
          <w:rFonts w:ascii="Arial" w:cs="Arial" w:eastAsia="Arial" w:hAnsi="Arial"/>
          <w:sz w:val="18"/>
          <w:szCs w:val="18"/>
          <w:color w:val="auto"/>
        </w:rPr>
      </w:pPr>
    </w:p>
    <w:p>
      <w:pPr>
        <w:ind w:left="240" w:right="100" w:firstLine="221"/>
        <w:spacing w:after="0" w:line="277" w:lineRule="auto"/>
        <w:tabs>
          <w:tab w:leader="none" w:pos="7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62" w:lineRule="exact"/>
        <w:rPr>
          <w:rFonts w:ascii="Arial" w:cs="Arial" w:eastAsia="Arial" w:hAnsi="Arial"/>
          <w:sz w:val="18"/>
          <w:szCs w:val="18"/>
          <w:color w:val="auto"/>
        </w:rPr>
      </w:pPr>
    </w:p>
    <w:p>
      <w:pPr>
        <w:ind w:left="240" w:right="580" w:firstLine="221"/>
        <w:spacing w:after="0" w:line="277" w:lineRule="auto"/>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62" w:lineRule="exact"/>
        <w:rPr>
          <w:rFonts w:ascii="Arial" w:cs="Arial" w:eastAsia="Arial" w:hAnsi="Arial"/>
          <w:sz w:val="18"/>
          <w:szCs w:val="18"/>
          <w:color w:val="auto"/>
        </w:rPr>
      </w:pPr>
    </w:p>
    <w:p>
      <w:pPr>
        <w:ind w:left="760" w:hanging="299"/>
        <w:spacing w:after="0"/>
        <w:tabs>
          <w:tab w:leader="none" w:pos="7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other circumstance which might otherwise constitute a defense available to, or a discharge of, the Issuer or a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9" w:name="page90"/>
    <w:bookmarkEnd w:id="89"/>
    <w:p>
      <w:pPr>
        <w:ind w:right="520" w:firstLine="225"/>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73"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r>
        <w:rPr>
          <w:rFonts w:ascii="Arial" w:cs="Arial" w:eastAsia="Arial" w:hAnsi="Arial"/>
          <w:sz w:val="18"/>
          <w:szCs w:val="18"/>
          <w:color w:val="auto"/>
        </w:rPr>
        <w:t>. (a) 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73" w:lineRule="exact"/>
        <w:rPr>
          <w:sz w:val="20"/>
          <w:szCs w:val="20"/>
          <w:color w:val="auto"/>
        </w:rPr>
      </w:pPr>
    </w:p>
    <w:p>
      <w:pPr>
        <w:ind w:right="60" w:firstLine="458"/>
        <w:spacing w:after="0" w:line="312" w:lineRule="auto"/>
        <w:tabs>
          <w:tab w:leader="none" w:pos="70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39" w:lineRule="exact"/>
        <w:rPr>
          <w:sz w:val="20"/>
          <w:szCs w:val="20"/>
          <w:color w:val="auto"/>
        </w:rPr>
      </w:pPr>
    </w:p>
    <w:p>
      <w:pPr>
        <w:jc w:val="both"/>
        <w:ind w:right="140" w:firstLine="225"/>
        <w:spacing w:after="0" w:line="31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39"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Continuing Guarantee; Transfer of Interest</w:t>
      </w:r>
      <w:r>
        <w:rPr>
          <w:rFonts w:ascii="Arial" w:cs="Arial" w:eastAsia="Arial" w:hAnsi="Arial"/>
          <w:sz w:val="16"/>
          <w:szCs w:val="16"/>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Revolving Credit Agreement dated August 17, 2006, by and among the Issuer, the Guarantor (as guarantor), Citibank, N.A., as administrative agent, J.P. Morgan Securities Inc. and Banc of America Securities LLC, as lead arrangers and joint book runners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59"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73"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0" w:name="page91"/>
    <w:bookmarkEnd w:id="90"/>
    <w:p>
      <w:pPr>
        <w:ind w:right="80" w:firstLine="225"/>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and Treasurer</w:t>
      </w:r>
    </w:p>
    <w:p>
      <w:pPr>
        <w:spacing w:after="0" w:line="211"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David P. LaPaul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Assistant Treasurer</w:t>
      </w:r>
    </w:p>
    <w:p>
      <w:pPr>
        <w:sectPr>
          <w:pgSz w:w="11900" w:h="16838" w:orient="portrait"/>
          <w:cols w:equalWidth="0" w:num="1">
            <w:col w:w="11120"/>
          </w:cols>
          <w:pgMar w:left="240" w:top="935" w:right="539" w:bottom="1440" w:gutter="0" w:footer="0" w:header="0"/>
        </w:sectPr>
      </w:pPr>
    </w:p>
    <w:bookmarkStart w:id="91" w:name="page92"/>
    <w:bookmarkEnd w:id="91"/>
    <w:p>
      <w:pPr>
        <w:jc w:val="right"/>
        <w:spacing w:after="0"/>
        <w:rPr>
          <w:sz w:val="20"/>
          <w:szCs w:val="20"/>
          <w:color w:val="auto"/>
        </w:rPr>
      </w:pPr>
      <w:r>
        <w:rPr>
          <w:rFonts w:ascii="Arial" w:cs="Arial" w:eastAsia="Arial" w:hAnsi="Arial"/>
          <w:sz w:val="18"/>
          <w:szCs w:val="18"/>
          <w:b w:val="1"/>
          <w:bCs w:val="1"/>
          <w:color w:val="auto"/>
        </w:rPr>
        <w:t>Exhibit 4.7</w:t>
      </w:r>
    </w:p>
    <w:p>
      <w:pPr>
        <w:spacing w:after="0" w:line="337"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GUARANTEE</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BY WASTE MANAGEMENT HOLDINGS, INC.</w:t>
      </w:r>
    </w:p>
    <w:p>
      <w:pPr>
        <w:spacing w:after="0" w:line="117" w:lineRule="exact"/>
        <w:rPr>
          <w:sz w:val="20"/>
          <w:szCs w:val="20"/>
          <w:color w:val="auto"/>
        </w:rPr>
      </w:pPr>
    </w:p>
    <w:p>
      <w:pPr>
        <w:ind w:left="2860"/>
        <w:spacing w:after="0"/>
        <w:rPr>
          <w:sz w:val="20"/>
          <w:szCs w:val="20"/>
          <w:color w:val="auto"/>
        </w:rPr>
      </w:pPr>
      <w:r>
        <w:rPr>
          <w:rFonts w:ascii="Arial" w:cs="Arial" w:eastAsia="Arial" w:hAnsi="Arial"/>
          <w:sz w:val="18"/>
          <w:szCs w:val="18"/>
          <w:color w:val="auto"/>
        </w:rPr>
        <w:t>(formerly known as Waste Management, Inc.)</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in Favor of The Bank of New York Mellon Trust Company, N.A., as Trustee for the Holders</w:t>
      </w:r>
    </w:p>
    <w:p>
      <w:pPr>
        <w:spacing w:after="0" w:line="23" w:lineRule="exact"/>
        <w:rPr>
          <w:sz w:val="20"/>
          <w:szCs w:val="20"/>
          <w:color w:val="auto"/>
        </w:rPr>
      </w:pPr>
    </w:p>
    <w:p>
      <w:pPr>
        <w:ind w:left="3480"/>
        <w:spacing w:after="0"/>
        <w:rPr>
          <w:sz w:val="20"/>
          <w:szCs w:val="20"/>
          <w:color w:val="auto"/>
        </w:rPr>
      </w:pPr>
      <w:r>
        <w:rPr>
          <w:rFonts w:ascii="Arial" w:cs="Arial" w:eastAsia="Arial" w:hAnsi="Arial"/>
          <w:sz w:val="18"/>
          <w:szCs w:val="18"/>
          <w:color w:val="auto"/>
        </w:rPr>
        <w:t>of Certain Debt Securities of</w:t>
      </w:r>
    </w:p>
    <w:p>
      <w:pPr>
        <w:spacing w:after="0" w:line="103" w:lineRule="exact"/>
        <w:rPr>
          <w:sz w:val="20"/>
          <w:szCs w:val="20"/>
          <w:color w:val="auto"/>
        </w:rPr>
      </w:pPr>
    </w:p>
    <w:p>
      <w:pPr>
        <w:ind w:left="3320"/>
        <w:spacing w:after="0"/>
        <w:rPr>
          <w:sz w:val="20"/>
          <w:szCs w:val="20"/>
          <w:color w:val="auto"/>
        </w:rPr>
      </w:pPr>
      <w:r>
        <w:rPr>
          <w:rFonts w:ascii="Arial" w:cs="Arial" w:eastAsia="Arial" w:hAnsi="Arial"/>
          <w:sz w:val="18"/>
          <w:szCs w:val="18"/>
          <w:color w:val="auto"/>
        </w:rPr>
        <w:t>WASTE MANAGEMENT, INC.</w:t>
      </w:r>
    </w:p>
    <w:p>
      <w:pPr>
        <w:spacing w:after="0" w:line="11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$450,000,000</w:t>
      </w:r>
    </w:p>
    <w:p>
      <w:pPr>
        <w:spacing w:after="0" w:line="2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7.375% Senior Notes due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389890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92" w:name="page93"/>
    <w:bookmarkEnd w:id="92"/>
    <w:p>
      <w:pPr>
        <w:ind w:right="180" w:firstLine="225"/>
        <w:spacing w:after="0" w:line="259" w:lineRule="auto"/>
        <w:rPr>
          <w:sz w:val="20"/>
          <w:szCs w:val="20"/>
          <w:color w:val="auto"/>
        </w:rPr>
      </w:pPr>
      <w:r>
        <w:rPr>
          <w:rFonts w:ascii="Arial" w:cs="Arial" w:eastAsia="Arial" w:hAnsi="Arial"/>
          <w:sz w:val="18"/>
          <w:szCs w:val="18"/>
          <w:color w:val="auto"/>
        </w:rPr>
        <w:t>GUARANTEE, dated as of February 26, 2009 (as amended from time to time, this “</w:t>
      </w:r>
      <w:r>
        <w:rPr>
          <w:rFonts w:ascii="Arial" w:cs="Arial" w:eastAsia="Arial" w:hAnsi="Arial"/>
          <w:sz w:val="18"/>
          <w:szCs w:val="18"/>
          <w:u w:val="single" w:color="auto"/>
          <w:color w:val="auto"/>
        </w:rPr>
        <w:t>Guarantee</w:t>
      </w:r>
      <w:r>
        <w:rPr>
          <w:rFonts w:ascii="Arial" w:cs="Arial" w:eastAsia="Arial" w:hAnsi="Arial"/>
          <w:sz w:val="18"/>
          <w:szCs w:val="18"/>
          <w:color w:val="auto"/>
        </w:rPr>
        <w:t>”), made by Waste Management Holdings, Inc. (formerly known as Waste Management, Inc.), a Delaware corporation (the “</w:t>
      </w:r>
      <w:r>
        <w:rPr>
          <w:rFonts w:ascii="Arial" w:cs="Arial" w:eastAsia="Arial" w:hAnsi="Arial"/>
          <w:sz w:val="18"/>
          <w:szCs w:val="18"/>
          <w:u w:val="single" w:color="auto"/>
          <w:color w:val="auto"/>
        </w:rPr>
        <w:t>Guarantor</w:t>
      </w:r>
      <w:r>
        <w:rPr>
          <w:rFonts w:ascii="Arial" w:cs="Arial" w:eastAsia="Arial" w:hAnsi="Arial"/>
          <w:sz w:val="18"/>
          <w:szCs w:val="18"/>
          <w:color w:val="auto"/>
        </w:rPr>
        <w:t>”), in favor of The Bank of New York Mellon Trust Company, N.A., as trustee for the holders of the $450 million 7.375% Senior Notes due 2019 (the “</w:t>
      </w:r>
      <w:r>
        <w:rPr>
          <w:rFonts w:ascii="Arial" w:cs="Arial" w:eastAsia="Arial" w:hAnsi="Arial"/>
          <w:sz w:val="18"/>
          <w:szCs w:val="18"/>
          <w:u w:val="single" w:color="auto"/>
          <w:color w:val="auto"/>
        </w:rPr>
        <w:t>Debt Securities</w:t>
      </w:r>
      <w:r>
        <w:rPr>
          <w:rFonts w:ascii="Arial" w:cs="Arial" w:eastAsia="Arial" w:hAnsi="Arial"/>
          <w:sz w:val="18"/>
          <w:szCs w:val="18"/>
          <w:color w:val="auto"/>
        </w:rPr>
        <w:t>”) of Waste Management, Inc. (formerly known as USA Waste Services, Inc.), a Delaware corporation (the “</w:t>
      </w:r>
      <w:r>
        <w:rPr>
          <w:rFonts w:ascii="Arial" w:cs="Arial" w:eastAsia="Arial" w:hAnsi="Arial"/>
          <w:sz w:val="18"/>
          <w:szCs w:val="18"/>
          <w:u w:val="single" w:color="auto"/>
          <w:color w:val="auto"/>
        </w:rPr>
        <w:t>Issuer</w:t>
      </w:r>
      <w:r>
        <w:rPr>
          <w:rFonts w:ascii="Arial" w:cs="Arial" w:eastAsia="Arial" w:hAnsi="Arial"/>
          <w:sz w:val="18"/>
          <w:szCs w:val="18"/>
          <w:color w:val="auto"/>
        </w:rPr>
        <w:t>”).</w:t>
      </w: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WITNESSETH:</w:t>
      </w:r>
    </w:p>
    <w:p>
      <w:pPr>
        <w:spacing w:after="0" w:line="117" w:lineRule="exact"/>
        <w:rPr>
          <w:sz w:val="20"/>
          <w:szCs w:val="20"/>
          <w:color w:val="auto"/>
        </w:rPr>
      </w:pPr>
    </w:p>
    <w:p>
      <w:pPr>
        <w:ind w:right="20" w:firstLine="225"/>
        <w:spacing w:after="0" w:line="25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Guarantee</w:t>
      </w:r>
      <w:r>
        <w:rPr>
          <w:rFonts w:ascii="Arial" w:cs="Arial" w:eastAsia="Arial" w:hAnsi="Arial"/>
          <w:sz w:val="18"/>
          <w:szCs w:val="18"/>
          <w:color w:val="auto"/>
        </w:rPr>
        <w:t>. (a) The Guarantor hereby unconditionally guarantees the punctual payment when due, whether at stated maturity, by acceleration or otherwise, of the principal of, premium, if any, and interest on the Debt Securities (the “</w:t>
      </w:r>
      <w:r>
        <w:rPr>
          <w:rFonts w:ascii="Arial" w:cs="Arial" w:eastAsia="Arial" w:hAnsi="Arial"/>
          <w:sz w:val="18"/>
          <w:szCs w:val="18"/>
          <w:u w:val="single" w:color="auto"/>
          <w:color w:val="auto"/>
        </w:rPr>
        <w:t>Obligations</w:t>
      </w:r>
      <w:r>
        <w:rPr>
          <w:rFonts w:ascii="Arial" w:cs="Arial" w:eastAsia="Arial" w:hAnsi="Arial"/>
          <w:sz w:val="18"/>
          <w:szCs w:val="18"/>
          <w:color w:val="auto"/>
        </w:rPr>
        <w:t>”), according to the terms of the Debt Securities and as more fully described in the Indenture (as amended, modified or otherwise supplemented from time to time, the “</w:t>
      </w:r>
      <w:r>
        <w:rPr>
          <w:rFonts w:ascii="Arial" w:cs="Arial" w:eastAsia="Arial" w:hAnsi="Arial"/>
          <w:sz w:val="18"/>
          <w:szCs w:val="18"/>
          <w:u w:val="single" w:color="auto"/>
          <w:color w:val="auto"/>
        </w:rPr>
        <w:t>Indenture</w:t>
      </w:r>
      <w:r>
        <w:rPr>
          <w:rFonts w:ascii="Arial" w:cs="Arial" w:eastAsia="Arial" w:hAnsi="Arial"/>
          <w:sz w:val="18"/>
          <w:szCs w:val="18"/>
          <w:color w:val="auto"/>
        </w:rPr>
        <w:t>”), dated as of September 10, 1997, between the Issuer, as successor to USA Waste Services, Inc., and The Bank of New York Mellon Trust Company, N.A. (the current successor to Texas Commerce Bank National Association), as trustee (the “</w:t>
      </w:r>
      <w:r>
        <w:rPr>
          <w:rFonts w:ascii="Arial" w:cs="Arial" w:eastAsia="Arial" w:hAnsi="Arial"/>
          <w:sz w:val="18"/>
          <w:szCs w:val="18"/>
          <w:u w:val="single" w:color="auto"/>
          <w:color w:val="auto"/>
        </w:rPr>
        <w:t>Trustee</w:t>
      </w:r>
      <w:r>
        <w:rPr>
          <w:rFonts w:ascii="Arial" w:cs="Arial" w:eastAsia="Arial" w:hAnsi="Arial"/>
          <w:sz w:val="18"/>
          <w:szCs w:val="18"/>
          <w:color w:val="auto"/>
        </w:rPr>
        <w:t>”).</w:t>
      </w:r>
    </w:p>
    <w:p>
      <w:pPr>
        <w:spacing w:after="0" w:line="80" w:lineRule="exact"/>
        <w:rPr>
          <w:sz w:val="20"/>
          <w:szCs w:val="20"/>
          <w:color w:val="auto"/>
        </w:rPr>
      </w:pPr>
    </w:p>
    <w:p>
      <w:pPr>
        <w:ind w:firstLine="458"/>
        <w:spacing w:after="0" w:line="293" w:lineRule="auto"/>
        <w:tabs>
          <w:tab w:leader="none" w:pos="705" w:val="left"/>
        </w:tabs>
        <w:numPr>
          <w:ilvl w:val="0"/>
          <w:numId w:val="60"/>
        </w:numPr>
        <w:rPr>
          <w:rFonts w:ascii="Arial" w:cs="Arial" w:eastAsia="Arial" w:hAnsi="Arial"/>
          <w:sz w:val="16"/>
          <w:szCs w:val="16"/>
          <w:color w:val="auto"/>
        </w:rPr>
      </w:pPr>
      <w:r>
        <w:rPr>
          <w:rFonts w:ascii="Arial" w:cs="Arial" w:eastAsia="Arial" w:hAnsi="Arial"/>
          <w:sz w:val="16"/>
          <w:szCs w:val="16"/>
          <w:color w:val="auto"/>
        </w:rPr>
        <w:t>It is the intention of the Guarantor that this Guarantee not constitute a fraudulent transfer or conveyance for purposes of Bankruptcy Law, the Uniform Fraudulent Conveyance Act, the Uniform Fraudulent Transfer Act or any similar federal or state law to the extent applicable to this Guarantee. To effectuate the foregoing intention, the amount guaranteed by the Guarantor under this Guarantee shall be limited to the maximum amount as will, after giving effect to such maximum amount and all other contingent and fixed liabilities of the Guarantor (other than guarantees of the Guarantor in respect of subordinated debt) that are relevant under such laws, result in the Obligations of the Guarantor under this Guarantee not constituting a fraudulent transfer or conveyance. For purposes hereof, “</w:t>
      </w:r>
      <w:r>
        <w:rPr>
          <w:rFonts w:ascii="Arial" w:cs="Arial" w:eastAsia="Arial" w:hAnsi="Arial"/>
          <w:sz w:val="16"/>
          <w:szCs w:val="16"/>
          <w:u w:val="single" w:color="auto"/>
          <w:color w:val="auto"/>
        </w:rPr>
        <w:t>Bankruptcy Law</w:t>
      </w:r>
      <w:r>
        <w:rPr>
          <w:rFonts w:ascii="Arial" w:cs="Arial" w:eastAsia="Arial" w:hAnsi="Arial"/>
          <w:sz w:val="16"/>
          <w:szCs w:val="16"/>
          <w:color w:val="auto"/>
        </w:rPr>
        <w:t>” means Title 11, U.S. Code, or any similar Federal or state law for the relief of debtors.</w:t>
      </w:r>
    </w:p>
    <w:p>
      <w:pPr>
        <w:spacing w:after="0" w:line="57" w:lineRule="exact"/>
        <w:rPr>
          <w:sz w:val="20"/>
          <w:szCs w:val="20"/>
          <w:color w:val="auto"/>
        </w:rPr>
      </w:pPr>
    </w:p>
    <w:p>
      <w:pPr>
        <w:ind w:right="500" w:firstLine="225"/>
        <w:spacing w:after="0" w:line="31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Guarantee Absolute</w:t>
      </w:r>
      <w:r>
        <w:rPr>
          <w:rFonts w:ascii="Arial" w:cs="Arial" w:eastAsia="Arial" w:hAnsi="Arial"/>
          <w:sz w:val="16"/>
          <w:szCs w:val="16"/>
          <w:color w:val="auto"/>
        </w:rPr>
        <w:t>. The Guarantor guarantees that the Obligations will be paid strictly in accordance with the terms of the Indenture, regardless of any law, regulation or order now or hereafter in effect in any jurisdiction affecting any of such terms or the rights of holders of the Debt Securities with respect thereto. The liability of the Guarantor under this Guarantee shall be absolute and unconditional irrespective of:</w:t>
      </w:r>
    </w:p>
    <w:p>
      <w:pPr>
        <w:spacing w:after="0" w:line="39" w:lineRule="exact"/>
        <w:rPr>
          <w:sz w:val="20"/>
          <w:szCs w:val="20"/>
          <w:color w:val="auto"/>
        </w:rPr>
      </w:pPr>
    </w:p>
    <w:p>
      <w:pPr>
        <w:ind w:left="680" w:hanging="222"/>
        <w:spacing w:after="0"/>
        <w:tabs>
          <w:tab w:leader="none" w:pos="6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lack of validity or enforceability of the Indenture, the Debt Securities or any other agreement or instrument relating thereto;</w:t>
      </w:r>
    </w:p>
    <w:p>
      <w:pPr>
        <w:spacing w:after="0" w:line="117" w:lineRule="exact"/>
        <w:rPr>
          <w:rFonts w:ascii="Arial" w:cs="Arial" w:eastAsia="Arial" w:hAnsi="Arial"/>
          <w:sz w:val="18"/>
          <w:szCs w:val="18"/>
          <w:color w:val="auto"/>
        </w:rPr>
      </w:pPr>
    </w:p>
    <w:p>
      <w:pPr>
        <w:ind w:right="100" w:firstLine="458"/>
        <w:spacing w:after="0" w:line="277" w:lineRule="auto"/>
        <w:tabs>
          <w:tab w:leader="none" w:pos="7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change in the time, manner or place of payment of, or in any other term of, all or any of the Obligations, or any other amendment or waiver of or any consent to departure from the Indenture;</w:t>
      </w:r>
    </w:p>
    <w:p>
      <w:pPr>
        <w:spacing w:after="0" w:line="62" w:lineRule="exact"/>
        <w:rPr>
          <w:rFonts w:ascii="Arial" w:cs="Arial" w:eastAsia="Arial" w:hAnsi="Arial"/>
          <w:sz w:val="18"/>
          <w:szCs w:val="18"/>
          <w:color w:val="auto"/>
        </w:rPr>
      </w:pPr>
    </w:p>
    <w:p>
      <w:pPr>
        <w:ind w:right="600" w:firstLine="458"/>
        <w:spacing w:after="0" w:line="277" w:lineRule="auto"/>
        <w:tabs>
          <w:tab w:leader="none" w:pos="765"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exchange, release or non-perfection of any collateral, or any release or amendment or waiver of or consent to departure from any other guaranty, for all or any of the Obligations; or</w:t>
      </w:r>
    </w:p>
    <w:p>
      <w:pPr>
        <w:spacing w:after="0" w:line="62" w:lineRule="exact"/>
        <w:rPr>
          <w:rFonts w:ascii="Arial" w:cs="Arial" w:eastAsia="Arial" w:hAnsi="Arial"/>
          <w:sz w:val="18"/>
          <w:szCs w:val="18"/>
          <w:color w:val="auto"/>
        </w:rPr>
      </w:pPr>
    </w:p>
    <w:p>
      <w:pPr>
        <w:ind w:left="760" w:hanging="302"/>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circumstance which might otherwise constitute a defense available to, or a discharge of, the Issuer or a 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93" w:name="page94"/>
    <w:bookmarkEnd w:id="93"/>
    <w:p>
      <w:pPr>
        <w:ind w:right="520" w:firstLine="225"/>
        <w:spacing w:after="0" w:line="264"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Subordination</w:t>
      </w:r>
      <w:r>
        <w:rPr>
          <w:rFonts w:ascii="Arial" w:cs="Arial" w:eastAsia="Arial" w:hAnsi="Arial"/>
          <w:sz w:val="18"/>
          <w:szCs w:val="18"/>
          <w:color w:val="auto"/>
        </w:rPr>
        <w:t xml:space="preserve">. The Guarantor covenants and agrees that its obligation to make payments of the Obligations hereunder constitutes an unsecured obligation of the Guarantor ranking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all existing and future senior indebtedness of the Guarantor and (b) senior in right of payment to all existing and future subordinated indebtedness of the Guarantor.</w:t>
      </w:r>
    </w:p>
    <w:p>
      <w:pPr>
        <w:spacing w:after="0" w:line="73" w:lineRule="exact"/>
        <w:rPr>
          <w:sz w:val="20"/>
          <w:szCs w:val="20"/>
          <w:color w:val="auto"/>
        </w:rPr>
      </w:pPr>
    </w:p>
    <w:p>
      <w:pPr>
        <w:jc w:val="both"/>
        <w:ind w:right="80" w:firstLine="225"/>
        <w:spacing w:after="0" w:line="26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Waiver; Subrogation</w:t>
      </w:r>
      <w:r>
        <w:rPr>
          <w:rFonts w:ascii="Arial" w:cs="Arial" w:eastAsia="Arial" w:hAnsi="Arial"/>
          <w:sz w:val="18"/>
          <w:szCs w:val="18"/>
          <w:color w:val="auto"/>
        </w:rPr>
        <w:t>. (a) The Guarantor hereby waives notice of acceptance of this Guarantee, diligence, presentment, demand of payment, filing of claims with a court in the event of merger or bankruptcy of the Issuer, any right to require a proceeding filed first against the Issuer, protest or notice with respect to the Debt Securities or the indebtedness evidenced thereby and all demands whatsoever.</w:t>
      </w:r>
    </w:p>
    <w:p>
      <w:pPr>
        <w:spacing w:after="0" w:line="73" w:lineRule="exact"/>
        <w:rPr>
          <w:sz w:val="20"/>
          <w:szCs w:val="20"/>
          <w:color w:val="auto"/>
        </w:rPr>
      </w:pPr>
    </w:p>
    <w:p>
      <w:pPr>
        <w:ind w:right="60" w:firstLine="458"/>
        <w:spacing w:after="0" w:line="312" w:lineRule="auto"/>
        <w:tabs>
          <w:tab w:leader="none" w:pos="70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Guarantor shall be subrogated to all rights of the Trustee or the holders of any Debt Securities against the Issuer in respect of any amounts paid to the Trustee or such holder by the Guarantor pursuant to the provisions of this Guarantee; provided, however, that the Guarantor shall not be entitled to enforce, or to receive any payments arising out of, or based upon, such right of subrogation until all Obligations shall have been paid in full.</w:t>
      </w:r>
    </w:p>
    <w:p>
      <w:pPr>
        <w:spacing w:after="0" w:line="39" w:lineRule="exact"/>
        <w:rPr>
          <w:sz w:val="20"/>
          <w:szCs w:val="20"/>
          <w:color w:val="auto"/>
        </w:rPr>
      </w:pPr>
    </w:p>
    <w:p>
      <w:pPr>
        <w:jc w:val="both"/>
        <w:ind w:right="140" w:firstLine="225"/>
        <w:spacing w:after="0" w:line="31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No Waiver, Remedies</w:t>
      </w:r>
      <w:r>
        <w:rPr>
          <w:rFonts w:ascii="Arial" w:cs="Arial" w:eastAsia="Arial" w:hAnsi="Arial"/>
          <w:sz w:val="16"/>
          <w:szCs w:val="16"/>
          <w:color w:val="auto"/>
        </w:rPr>
        <w:t>. No failure on the part of the Trustee or any holder of the Debt Securities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39" w:lineRule="exact"/>
        <w:rPr>
          <w:sz w:val="20"/>
          <w:szCs w:val="20"/>
          <w:color w:val="auto"/>
        </w:rPr>
      </w:pPr>
    </w:p>
    <w:p>
      <w:pPr>
        <w:ind w:firstLine="225"/>
        <w:spacing w:after="0" w:line="291"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Continuing Guarantee; Transfer of Interest</w:t>
      </w:r>
      <w:r>
        <w:rPr>
          <w:rFonts w:ascii="Arial" w:cs="Arial" w:eastAsia="Arial" w:hAnsi="Arial"/>
          <w:sz w:val="16"/>
          <w:szCs w:val="16"/>
          <w:color w:val="auto"/>
        </w:rPr>
        <w:t>. This Guarantee is a continuing guaranty and shall (i) remain in full force and effect until the earliest to occur of (A) the date, if any, on which the Guarantor shall consolidate with or merge into the Issuer or any successor thereto, (B) the date, if any, on which the Issuer or any successor thereto shall consolidate with or merge into the Guarantor, (C) payment in full of the Obligations and (D) the release by the lenders under the Revolving Credit Agreement dated August 17, 2006, by and among the Issuer, the Guarantor (as guarantor), Citibank, N.A., as administrative agent, J.P. Morgan Securities Inc. and Banc of America Securities LLC, as lead arrangers and joint book runners (or under any replacement or new principal credit facility of the Issuer) of the guarantee of the Guarantor thereunder, (ii) be binding upon the Guarantor, its successors and assigns, and (iii) inure to the benefit of and be enforceable by any holder of Debt Securities, the Trustee, and by their respective successors, transferees, and assigns.</w:t>
      </w:r>
    </w:p>
    <w:p>
      <w:pPr>
        <w:spacing w:after="0" w:line="59"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Reinstatement</w:t>
      </w:r>
      <w:r>
        <w:rPr>
          <w:rFonts w:ascii="Arial" w:cs="Arial" w:eastAsia="Arial" w:hAnsi="Arial"/>
          <w:sz w:val="18"/>
          <w:szCs w:val="18"/>
          <w:color w:val="auto"/>
        </w:rPr>
        <w:t>. This Guarantee shall continue to be effective or be reinstated, as the case may be, if at any time any payment of any of the Obligations is rescinded or must otherwise be returned by any holder of the Debt Securities or the Trustee upon the insolvency, bankruptcy or reorganization of the Issuer or otherwise, all as though such payment had not been made.</w:t>
      </w:r>
    </w:p>
    <w:p>
      <w:pPr>
        <w:spacing w:after="0" w:line="73" w:lineRule="exact"/>
        <w:rPr>
          <w:sz w:val="20"/>
          <w:szCs w:val="20"/>
          <w:color w:val="auto"/>
        </w:rPr>
      </w:pPr>
    </w:p>
    <w:p>
      <w:pPr>
        <w:jc w:val="both"/>
        <w:ind w:right="180" w:firstLine="225"/>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Amendment</w:t>
      </w:r>
      <w:r>
        <w:rPr>
          <w:rFonts w:ascii="Arial" w:cs="Arial" w:eastAsia="Arial" w:hAnsi="Arial"/>
          <w:sz w:val="18"/>
          <w:szCs w:val="18"/>
          <w:color w:val="auto"/>
        </w:rPr>
        <w:t>. The Guarantor may amend this Guarantee at any time for any purpose without the consent of the Trustee or any holder of the Debt Securities; provided, however, that if such amendment adversely affects the rights of the Trustee or any holder of the Debt Securities, the prior written consent of the Trustee shall be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4" w:name="page95"/>
    <w:bookmarkEnd w:id="94"/>
    <w:p>
      <w:pPr>
        <w:ind w:right="80" w:firstLine="225"/>
        <w:spacing w:after="0" w:line="27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GUARANTEE SHALL BE GOVERNED BY, AND CONSTRUED IN ACCORDANCE WITH THE LAWS OF THE STATE OF NEW YORK, WITHOUT REGARD TO THE PROVISIONS THEREOF RELATING TO CONFLICT OF LAWS.</w:t>
      </w:r>
    </w:p>
    <w:p>
      <w:pPr>
        <w:spacing w:after="0" w:line="62"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 WITNESS WHEREOF, the Guarantor has caused this Guarantee to be duly executed and delivered by its officer thereunto duly authorized as of the date first above written.</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WASTE MANAGEMENT HOLDINGS, INC.,</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Cherie C. 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and Treasurer</w:t>
      </w:r>
    </w:p>
    <w:p>
      <w:pPr>
        <w:spacing w:after="0" w:line="200" w:lineRule="exact"/>
        <w:rPr>
          <w:sz w:val="20"/>
          <w:szCs w:val="20"/>
          <w:color w:val="auto"/>
        </w:rPr>
      </w:pPr>
    </w:p>
    <w:p>
      <w:pPr>
        <w:spacing w:after="0" w:line="2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David P. LaPaul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Assistant Treasurer</w:t>
      </w:r>
    </w:p>
    <w:p>
      <w:pPr>
        <w:sectPr>
          <w:pgSz w:w="11900" w:h="16838" w:orient="portrait"/>
          <w:cols w:equalWidth="0" w:num="1">
            <w:col w:w="11120"/>
          </w:cols>
          <w:pgMar w:left="240" w:top="936" w:right="539" w:bottom="1440" w:gutter="0" w:footer="0" w:header="0"/>
        </w:sectPr>
      </w:pPr>
    </w:p>
    <w:bookmarkStart w:id="95" w:name="page96"/>
    <w:bookmarkEnd w:id="95"/>
    <w:p>
      <w:pPr>
        <w:ind w:left="10580"/>
        <w:spacing w:after="0"/>
        <w:rPr>
          <w:sz w:val="20"/>
          <w:szCs w:val="20"/>
          <w:color w:val="auto"/>
        </w:rPr>
      </w:pPr>
      <w:r>
        <w:rPr>
          <w:rFonts w:ascii="Arial" w:cs="Arial" w:eastAsia="Arial" w:hAnsi="Arial"/>
          <w:sz w:val="16"/>
          <w:szCs w:val="16"/>
          <w:b w:val="1"/>
          <w:bCs w:val="1"/>
          <w:color w:val="auto"/>
        </w:rPr>
        <w:t>Exhibit 5.1</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ind w:left="7440"/>
        <w:spacing w:after="0"/>
        <w:rPr>
          <w:sz w:val="20"/>
          <w:szCs w:val="20"/>
          <w:color w:val="auto"/>
        </w:rPr>
      </w:pPr>
      <w:r>
        <w:rPr>
          <w:rFonts w:ascii="Arial" w:cs="Arial" w:eastAsia="Arial" w:hAnsi="Arial"/>
          <w:sz w:val="17"/>
          <w:szCs w:val="17"/>
          <w:color w:val="auto"/>
        </w:rPr>
        <w:t>ONE SHELL PLAZA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818005" cy="2489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18005" cy="248920"/>
                    </a:xfrm>
                    <a:prstGeom prst="rect">
                      <a:avLst/>
                    </a:prstGeom>
                    <a:noFill/>
                  </pic:spPr>
                </pic:pic>
              </a:graphicData>
            </a:graphic>
          </wp:anchor>
        </w:drawing>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910 LOUISIANA</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77002-4995</w:t>
      </w:r>
    </w:p>
    <w:p>
      <w:pPr>
        <w:spacing w:after="0" w:line="211"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TEL +1 713.229.1234</w:t>
      </w:r>
    </w:p>
    <w:p>
      <w:pPr>
        <w:spacing w:after="0" w:line="46"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FAX +1 713.229.1522</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7"/>
          <w:szCs w:val="17"/>
          <w:color w:val="auto"/>
        </w:rPr>
        <w:t>www.bakerbotts.com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AUSTIN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BEIJING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MOSCOW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RIYADH</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WASHINGTON</w:t>
      </w:r>
    </w:p>
    <w:p>
      <w:pPr>
        <w:spacing w:after="0" w:line="200" w:lineRule="exact"/>
        <w:rPr>
          <w:sz w:val="20"/>
          <w:szCs w:val="20"/>
          <w:color w:val="auto"/>
        </w:rPr>
      </w:pPr>
    </w:p>
    <w:p>
      <w:pPr>
        <w:sectPr>
          <w:pgSz w:w="11900" w:h="16838" w:orient="portrait"/>
          <w:cols w:equalWidth="0" w:num="2">
            <w:col w:w="9060" w:space="660"/>
            <w:col w:w="1700"/>
          </w:cols>
          <w:pgMar w:left="240" w:top="121" w:right="2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February 25,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40" w:firstLine="447"/>
        <w:spacing w:after="0" w:line="291" w:lineRule="auto"/>
        <w:rPr>
          <w:sz w:val="20"/>
          <w:szCs w:val="20"/>
          <w:color w:val="auto"/>
        </w:rPr>
      </w:pPr>
      <w:r>
        <w:rPr>
          <w:rFonts w:ascii="Arial" w:cs="Arial" w:eastAsia="Arial" w:hAnsi="Arial"/>
          <w:sz w:val="16"/>
          <w:szCs w:val="16"/>
          <w:color w:val="auto"/>
        </w:rPr>
        <w:t>Waste Management, Inc., a Delaware corporation (the “Company”), and Waste Management Holdings, Inc., a Delaware corporation (“Holdings”), have engaged us to render the opinions expressed below in connection with the Company’s proposed issuance of $350,000,000 aggregate principal amount of</w:t>
      </w:r>
    </w:p>
    <w:p>
      <w:pPr>
        <w:ind w:right="140"/>
        <w:spacing w:after="0" w:line="253" w:lineRule="auto"/>
        <w:rPr>
          <w:sz w:val="20"/>
          <w:szCs w:val="20"/>
          <w:color w:val="auto"/>
        </w:rPr>
      </w:pPr>
      <w:r>
        <w:rPr>
          <w:rFonts w:ascii="Arial" w:cs="Arial" w:eastAsia="Arial" w:hAnsi="Arial"/>
          <w:sz w:val="18"/>
          <w:szCs w:val="18"/>
          <w:color w:val="auto"/>
        </w:rPr>
        <w:t>6.375% Senior Notes due 2015 and $450,000,000 aggregate principal amount of 7.375% Senior Notes due 2019 (collectively, the “Notes”) and the issuance of the related guarantees of the Notes by Holdings (the “Guarantees”), as contemplated by the Registration Statement on Form S-3 (Registration No. 333-137526), as amended by Post-Effective Amendment No. 1 (the “Registration Statement”), filed with the Securities and Exchange Commission (the “Commission”) under the Securities Act of 1933, as amended (the “Act”), relating to the offering of securities of the Company and of Holdings from time to time pursuant to Rule 415 under the Act.</w:t>
      </w:r>
    </w:p>
    <w:p>
      <w:pPr>
        <w:spacing w:after="0" w:line="83" w:lineRule="exact"/>
        <w:rPr>
          <w:sz w:val="20"/>
          <w:szCs w:val="20"/>
          <w:color w:val="auto"/>
        </w:rPr>
      </w:pPr>
    </w:p>
    <w:p>
      <w:pPr>
        <w:ind w:right="60" w:firstLine="447"/>
        <w:spacing w:after="0" w:line="264" w:lineRule="auto"/>
        <w:rPr>
          <w:sz w:val="20"/>
          <w:szCs w:val="20"/>
          <w:color w:val="auto"/>
        </w:rPr>
      </w:pPr>
      <w:r>
        <w:rPr>
          <w:rFonts w:ascii="Arial" w:cs="Arial" w:eastAsia="Arial" w:hAnsi="Arial"/>
          <w:sz w:val="18"/>
          <w:szCs w:val="18"/>
          <w:color w:val="auto"/>
        </w:rPr>
        <w:t>The Registration Statement has been filed with the Commission and became effective upon filing. The Company’s prospectus dated September 22, 2006 and prospectus supplement dated February 23, 2009 relating to the Notes (collectively, the “Prospectus”) have been filed with the Commission pursuant to Rule 424(b) under the Act.</w:t>
      </w:r>
    </w:p>
    <w:p>
      <w:pPr>
        <w:spacing w:after="0" w:line="73" w:lineRule="exact"/>
        <w:rPr>
          <w:sz w:val="20"/>
          <w:szCs w:val="20"/>
          <w:color w:val="auto"/>
        </w:rPr>
      </w:pPr>
    </w:p>
    <w:p>
      <w:pPr>
        <w:ind w:right="60" w:firstLine="447"/>
        <w:spacing w:after="0" w:line="276" w:lineRule="auto"/>
        <w:rPr>
          <w:sz w:val="20"/>
          <w:szCs w:val="20"/>
          <w:color w:val="auto"/>
        </w:rPr>
      </w:pPr>
      <w:r>
        <w:rPr>
          <w:rFonts w:ascii="Arial" w:cs="Arial" w:eastAsia="Arial" w:hAnsi="Arial"/>
          <w:sz w:val="17"/>
          <w:szCs w:val="17"/>
          <w:color w:val="auto"/>
        </w:rPr>
        <w:t>The Company and Holdings entered into an Underwriting Agreement (the “Underwriting Agreement”), dated February 23, 2009, with Barclays Capital Inc., Credit Suisse Securities (USA) LLC, Deutsche Bank Securities Inc. and Greenwich Capital Markets, Inc., as representatives of the underwriters named therein (the “Underwriters”), relating to the issuance and sale by the Company to the Underwriters of the Notes to be issued pursuant to an Indenture (the “Indenture”) dated as of September 10, 1997 between the Company, formerly known as USA Waste Services, Inc., and The Bank of New York Mellon Trust Company, N. A., as successor to Texas Commerce Bank National Association, as trustee (the “Trustee”).</w:t>
      </w:r>
    </w:p>
    <w:p>
      <w:pPr>
        <w:spacing w:after="0" w:line="64" w:lineRule="exact"/>
        <w:rPr>
          <w:sz w:val="20"/>
          <w:szCs w:val="20"/>
          <w:color w:val="auto"/>
        </w:rPr>
      </w:pPr>
    </w:p>
    <w:p>
      <w:pPr>
        <w:ind w:right="420" w:firstLine="450"/>
        <w:spacing w:after="0" w:line="277" w:lineRule="auto"/>
        <w:rPr>
          <w:sz w:val="20"/>
          <w:szCs w:val="20"/>
          <w:color w:val="auto"/>
        </w:rPr>
      </w:pPr>
      <w:r>
        <w:rPr>
          <w:rFonts w:ascii="Arial" w:cs="Arial" w:eastAsia="Arial" w:hAnsi="Arial"/>
          <w:sz w:val="18"/>
          <w:szCs w:val="18"/>
          <w:color w:val="auto"/>
        </w:rPr>
        <w:t>In our capacity as counsel to the Company and Holdings in connection with the matters referred to above, we have examined the following: (i) the Second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96" w:name="page97"/>
    <w:bookmarkEnd w:id="96"/>
    <w:p>
      <w:pPr>
        <w:spacing w:after="0"/>
        <w:tabs>
          <w:tab w:leader="none" w:pos="558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157605" cy="1200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1157605" cy="120015"/>
                    </a:xfrm>
                    <a:prstGeom prst="rect">
                      <a:avLst/>
                    </a:prstGeom>
                    <a:noFill/>
                  </pic:spPr>
                </pic:pic>
              </a:graphicData>
            </a:graphic>
          </wp:anchor>
        </w:drawing>
        <w:t>Waste Management, Inc.</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February 25, 2009</w:t>
      </w:r>
    </w:p>
    <w:p>
      <w:pPr>
        <w:spacing w:after="0" w:line="117"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color w:val="auto"/>
        </w:rPr>
        <w:t>Certificate of Incorporation and the Bylaws of the Company, each as amended to date; (ii) the Certificate of Incorporation and Bylaws of Holdings, each as amended to date; (iii) the Indenture; (iv) the Guarantees to be entered into by Holdings in favor of the holders of the Notes concurrently with the issuance of the Notes under the Indenture (the “Guarantee Agreements”); (v) the Underwriting Agreement; (vi) the Registration Statement and the Prospectus; and</w:t>
      </w:r>
    </w:p>
    <w:p>
      <w:pPr>
        <w:ind w:right="20" w:firstLine="8"/>
        <w:spacing w:after="0" w:line="292" w:lineRule="auto"/>
        <w:tabs>
          <w:tab w:leader="none" w:pos="355" w:val="left"/>
        </w:tabs>
        <w:numPr>
          <w:ilvl w:val="0"/>
          <w:numId w:val="63"/>
        </w:numPr>
        <w:rPr>
          <w:rFonts w:ascii="Arial" w:cs="Arial" w:eastAsia="Arial" w:hAnsi="Arial"/>
          <w:sz w:val="16"/>
          <w:szCs w:val="16"/>
          <w:color w:val="auto"/>
        </w:rPr>
      </w:pPr>
      <w:r>
        <w:rPr>
          <w:rFonts w:ascii="Arial" w:cs="Arial" w:eastAsia="Arial" w:hAnsi="Arial"/>
          <w:sz w:val="16"/>
          <w:szCs w:val="16"/>
          <w:color w:val="auto"/>
        </w:rPr>
        <w:t>originals, or copies certified or otherwise identified, of corporate records of the Company and Holdings, certificates of public officials and of representatives of the Company and Holdings, statutes and other instruments and documents as a basis for the opinions hereinafter expressed. We have relied upon certificates of officers of the Company and Holdings and of public officials with respect to the accuracy of the material factual matters contained in such certificates. In making our examination, we have assumed that all signatures on documents examined by us are genuine, all documents submitted to us as originals are authentic and all documents submitted to us as certified or photostatic copies conformed with the originals of such documents.</w:t>
      </w:r>
    </w:p>
    <w:p>
      <w:pPr>
        <w:spacing w:after="0" w:line="55" w:lineRule="exact"/>
        <w:rPr>
          <w:sz w:val="20"/>
          <w:szCs w:val="20"/>
          <w:color w:val="auto"/>
        </w:rPr>
      </w:pPr>
    </w:p>
    <w:p>
      <w:pPr>
        <w:ind w:right="100" w:firstLine="450"/>
        <w:spacing w:after="0" w:line="277" w:lineRule="auto"/>
        <w:rPr>
          <w:sz w:val="20"/>
          <w:szCs w:val="20"/>
          <w:color w:val="auto"/>
        </w:rPr>
      </w:pPr>
      <w:r>
        <w:rPr>
          <w:rFonts w:ascii="Arial" w:cs="Arial" w:eastAsia="Arial" w:hAnsi="Arial"/>
          <w:sz w:val="18"/>
          <w:szCs w:val="18"/>
          <w:color w:val="auto"/>
        </w:rPr>
        <w:t>In connection with this opinion, we have assumed that the Notes will be issued and sold in compliance with applicable federal and state securities laws and in the manner stated in the Registration Statement and the Prospectus.</w:t>
      </w:r>
    </w:p>
    <w:p>
      <w:pPr>
        <w:spacing w:after="0" w:line="62" w:lineRule="exact"/>
        <w:rPr>
          <w:sz w:val="20"/>
          <w:szCs w:val="20"/>
          <w:color w:val="auto"/>
        </w:rPr>
      </w:pPr>
    </w:p>
    <w:p>
      <w:pPr>
        <w:ind w:firstLine="450"/>
        <w:spacing w:after="0" w:line="286" w:lineRule="auto"/>
        <w:rPr>
          <w:sz w:val="20"/>
          <w:szCs w:val="20"/>
          <w:color w:val="auto"/>
        </w:rPr>
      </w:pPr>
      <w:r>
        <w:rPr>
          <w:rFonts w:ascii="Arial" w:cs="Arial" w:eastAsia="Arial" w:hAnsi="Arial"/>
          <w:sz w:val="16"/>
          <w:szCs w:val="16"/>
          <w:color w:val="auto"/>
        </w:rPr>
        <w:t>On the basis of the foregoing, and subject to the assumptions, limitations and qualifications set forth herein, we are of the opinion that (i) the Notes will, when they have been duly authorized, executed, authenticated, issued and delivered in accordance with the provisions of the Indenture and duly purchased and paid for in accordance with the terms of the Underwriting Agreement, constitute legal, valid and binding obligations of the Company enforceable against it in accordance with their terms, except to the extent that the enforceability thereof may be limited by bankruptcy, fraudulent conveyance, insolvency, reorganization, moratorium or other laws relating to or affecting creditors’ rights generally and by general principles of equity (regardless of whether such enforcement is considered in a proceeding in equity or at law), which principles may include implied duties of good faith and fair dealing; and (ii) the Guarantees will, when Holdings has duly authorized, executed and delivered the Guarantee Agreements and the Notes have been duly authorized, executed, authenticated, issued and delivered in accordance with the provisions of the Indenture and duly purchased and paid for in accordance with the terms of the Underwriting Agreement, constitute legal, valid and binding obligations of Holdings enforceable against it in accordance with their terms, except to the extent that the enforceability thereof may be limited by bankruptcy, fraudulent conveyance, insolvency, reorganization, moratorium or other laws relating to or affecting creditors’ rights generally and by general principles of equity (regardless of whether such enforcement is considered in a proceeding in equity or at law), which principles may include implied duties of good faith and fair dealing, and except for provisions purporting to waive rights to notice, legal defenses, statutes of limitation or other benefits that cannot be waived under applicable law.</w:t>
      </w:r>
    </w:p>
    <w:p>
      <w:pPr>
        <w:spacing w:after="0" w:line="67" w:lineRule="exact"/>
        <w:rPr>
          <w:sz w:val="20"/>
          <w:szCs w:val="20"/>
          <w:color w:val="auto"/>
        </w:rPr>
      </w:pPr>
    </w:p>
    <w:p>
      <w:pPr>
        <w:ind w:right="40" w:firstLine="447"/>
        <w:spacing w:after="0" w:line="277" w:lineRule="auto"/>
        <w:rPr>
          <w:sz w:val="20"/>
          <w:szCs w:val="20"/>
          <w:color w:val="auto"/>
        </w:rPr>
      </w:pPr>
      <w:r>
        <w:rPr>
          <w:rFonts w:ascii="Arial" w:cs="Arial" w:eastAsia="Arial" w:hAnsi="Arial"/>
          <w:sz w:val="18"/>
          <w:szCs w:val="18"/>
          <w:color w:val="auto"/>
        </w:rPr>
        <w:t>The opinions set forth above are limited in all respects to matters of the General Corporation Law of the State of Delaware, the contract law of the State of New York, and applicable federal laws of the United States, each as currently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41" w:right="239" w:bottom="1440" w:gutter="0" w:footer="0" w:header="0"/>
        </w:sectPr>
      </w:pPr>
    </w:p>
    <w:bookmarkStart w:id="97" w:name="page98"/>
    <w:bookmarkEnd w:id="97"/>
    <w:p>
      <w:pPr>
        <w:spacing w:after="0"/>
        <w:tabs>
          <w:tab w:leader="none" w:pos="5580" w:val="left"/>
          <w:tab w:leader="none" w:pos="100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157605" cy="1200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1157605" cy="120015"/>
                    </a:xfrm>
                    <a:prstGeom prst="rect">
                      <a:avLst/>
                    </a:prstGeom>
                    <a:noFill/>
                  </pic:spPr>
                </pic:pic>
              </a:graphicData>
            </a:graphic>
          </wp:anchor>
        </w:drawing>
        <w:t>Waste Management, Inc.</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6"/>
          <w:szCs w:val="16"/>
          <w:color w:val="auto"/>
        </w:rPr>
        <w:t>February 25, 2009</w:t>
      </w:r>
    </w:p>
    <w:p>
      <w:pPr>
        <w:spacing w:after="0" w:line="117" w:lineRule="exact"/>
        <w:rPr>
          <w:sz w:val="20"/>
          <w:szCs w:val="20"/>
          <w:color w:val="auto"/>
        </w:rPr>
      </w:pPr>
    </w:p>
    <w:p>
      <w:pPr>
        <w:ind w:right="20" w:firstLine="447"/>
        <w:spacing w:after="0" w:line="259" w:lineRule="auto"/>
        <w:rPr>
          <w:sz w:val="20"/>
          <w:szCs w:val="20"/>
          <w:color w:val="auto"/>
        </w:rPr>
      </w:pPr>
      <w:r>
        <w:rPr>
          <w:rFonts w:ascii="Arial" w:cs="Arial" w:eastAsia="Arial" w:hAnsi="Arial"/>
          <w:sz w:val="18"/>
          <w:szCs w:val="18"/>
          <w:color w:val="auto"/>
        </w:rPr>
        <w:t>We hereby consent to the filing of this opinion of counsel as Exhibit 5.1 to the Current Report on Form 8-K and to the incorporation by reference of this opinion of counsel into the Registration Statement. We also consent to the reference to our Firm under the heading “Legal Matters” in the Prospectus. In giving this consent, we do not thereby admit that we are in the category of persons whose consent is required under Section 7 of the Act and the rules and regulations of the Commission thereunder.</w:t>
      </w:r>
    </w:p>
    <w:p>
      <w:pPr>
        <w:spacing w:after="0" w:line="18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Baker Botts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JDK/JAR/JAA</w:t>
      </w:r>
    </w:p>
    <w:sectPr>
      <w:pgSz w:w="11900" w:h="16838" w:orient="portrait"/>
      <w:cols w:equalWidth="0" w:num="1">
        <w:col w:w="11420"/>
      </w:cols>
      <w:pgMar w:left="240" w:top="1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o"/>
      <w:numFmt w:val="bullet"/>
      <w:start w:val="1"/>
    </w:lvl>
  </w:abstractNum>
  <w:abstractNum w:abstractNumId="1">
    <w:nsid w:val="22221A70"/>
    <w:multiLevelType w:val="hybridMultilevel"/>
    <w:lvl w:ilvl="0">
      <w:lvlJc w:val="left"/>
      <w:lvlText w:val="%1."/>
      <w:numFmt w:val="decimal"/>
      <w:start w:val="1"/>
    </w:lvl>
    <w:lvl w:ilvl="1">
      <w:lvlJc w:val="left"/>
      <w:lvlText w:val="(%2)"/>
      <w:numFmt w:val="lowerLetter"/>
      <w:start w:val="1"/>
    </w:lvl>
  </w:abstractNum>
  <w:abstractNum w:abstractNumId="2">
    <w:nsid w:val="4516DDE9"/>
    <w:multiLevelType w:val="hybridMultilevel"/>
    <w:lvl w:ilvl="0">
      <w:lvlJc w:val="left"/>
      <w:lvlText w:val="(%1)"/>
      <w:numFmt w:val="lowerLetter"/>
      <w:start w:val="4"/>
    </w:lvl>
  </w:abstractNum>
  <w:abstractNum w:abstractNumId="3">
    <w:nsid w:val="3006C83E"/>
    <w:multiLevelType w:val="hybridMultilevel"/>
    <w:lvl w:ilvl="0">
      <w:lvlJc w:val="left"/>
      <w:lvlText w:val="(%1)"/>
      <w:numFmt w:val="lowerLetter"/>
      <w:start w:val="6"/>
    </w:lvl>
  </w:abstractNum>
  <w:abstractNum w:abstractNumId="4">
    <w:nsid w:val="614FD4A1"/>
    <w:multiLevelType w:val="hybridMultilevel"/>
    <w:lvl w:ilvl="0">
      <w:lvlJc w:val="left"/>
      <w:lvlText w:val="(%1)"/>
      <w:numFmt w:val="lowerLetter"/>
      <w:start w:val="10"/>
    </w:lvl>
  </w:abstractNum>
  <w:abstractNum w:abstractNumId="5">
    <w:nsid w:val="419AC241"/>
    <w:multiLevelType w:val="hybridMultilevel"/>
    <w:lvl w:ilvl="0">
      <w:lvlJc w:val="left"/>
      <w:lvlText w:val="(%1)"/>
      <w:numFmt w:val="lowerLetter"/>
      <w:start w:val="15"/>
    </w:lvl>
  </w:abstractNum>
  <w:abstractNum w:abstractNumId="6">
    <w:nsid w:val="5577F8E1"/>
    <w:multiLevelType w:val="hybridMultilevel"/>
    <w:lvl w:ilvl="0">
      <w:lvlJc w:val="left"/>
      <w:lvlText w:val="(%1)"/>
      <w:numFmt w:val="lowerLetter"/>
      <w:start w:val="19"/>
    </w:lvl>
  </w:abstractNum>
  <w:abstractNum w:abstractNumId="7">
    <w:nsid w:val="440BADFC"/>
    <w:multiLevelType w:val="hybridMultilevel"/>
    <w:lvl w:ilvl="0">
      <w:lvlJc w:val="left"/>
      <w:lvlText w:val="(%1)"/>
      <w:numFmt w:val="lowerLetter"/>
      <w:start w:val="24"/>
    </w:lvl>
  </w:abstractNum>
  <w:abstractNum w:abstractNumId="8">
    <w:nsid w:val="5072367"/>
    <w:multiLevelType w:val="hybridMultilevel"/>
    <w:lvl w:ilvl="0">
      <w:lvlJc w:val="left"/>
      <w:lvlText w:val="(%1)"/>
      <w:numFmt w:val="lowerLetter"/>
      <w:start w:val="27"/>
    </w:lvl>
  </w:abstractNum>
  <w:abstractNum w:abstractNumId="9">
    <w:nsid w:val="3804823E"/>
    <w:multiLevelType w:val="hybridMultilevel"/>
    <w:lvl w:ilvl="0">
      <w:lvlJc w:val="left"/>
      <w:lvlText w:val="%1"/>
      <w:numFmt w:val="lowerLetter"/>
      <w:start w:val="1"/>
    </w:lvl>
    <w:lvl w:ilvl="1">
      <w:lvlJc w:val="left"/>
      <w:lvlText w:val="(%2)"/>
      <w:numFmt w:val="lowerLetter"/>
      <w:start w:val="28"/>
    </w:lvl>
  </w:abstractNum>
  <w:abstractNum w:abstractNumId="10">
    <w:nsid w:val="77465F01"/>
    <w:multiLevelType w:val="hybridMultilevel"/>
    <w:lvl w:ilvl="0">
      <w:lvlJc w:val="left"/>
      <w:lvlText w:val="(%1)"/>
      <w:numFmt w:val="lowerLetter"/>
      <w:start w:val="9"/>
    </w:lvl>
    <w:lvl w:ilvl="1">
      <w:lvlJc w:val="left"/>
      <w:lvlText w:val="%2"/>
      <w:numFmt w:val="lowerLetter"/>
      <w:start w:val="1"/>
    </w:lvl>
  </w:abstractNum>
  <w:abstractNum w:abstractNumId="11">
    <w:nsid w:val="7724C67E"/>
    <w:multiLevelType w:val="hybridMultilevel"/>
    <w:lvl w:ilvl="0">
      <w:lvlJc w:val="left"/>
      <w:lvlText w:val="(%1)"/>
      <w:numFmt w:val="lowerLetter"/>
      <w:start w:val="61"/>
    </w:lvl>
    <w:lvl w:ilvl="1">
      <w:lvlJc w:val="left"/>
      <w:lvlText w:val="(%2)"/>
      <w:numFmt w:val="lowerLetter"/>
      <w:start w:val="31"/>
    </w:lvl>
  </w:abstractNum>
  <w:abstractNum w:abstractNumId="12">
    <w:nsid w:val="5C482A97"/>
    <w:multiLevelType w:val="hybridMultilevel"/>
    <w:lvl w:ilvl="0">
      <w:lvlJc w:val="left"/>
      <w:lvlText w:val="(%1)"/>
      <w:numFmt w:val="lowerLetter"/>
      <w:start w:val="33"/>
    </w:lvl>
  </w:abstractNum>
  <w:abstractNum w:abstractNumId="13">
    <w:nsid w:val="2463B9EA"/>
    <w:multiLevelType w:val="hybridMultilevel"/>
    <w:lvl w:ilvl="0">
      <w:lvlJc w:val="left"/>
      <w:lvlText w:val="%1"/>
      <w:numFmt w:val="lowerLetter"/>
      <w:start w:val="1"/>
    </w:lvl>
    <w:lvl w:ilvl="1">
      <w:lvlJc w:val="left"/>
      <w:lvlText w:val="(%2)"/>
      <w:numFmt w:val="lowerLetter"/>
      <w:start w:val="37"/>
    </w:lvl>
  </w:abstractNum>
  <w:abstractNum w:abstractNumId="14">
    <w:nsid w:val="5E884ADC"/>
    <w:multiLevelType w:val="hybridMultilevel"/>
    <w:lvl w:ilvl="0">
      <w:lvlJc w:val="left"/>
      <w:lvlText w:val="(%1)"/>
      <w:numFmt w:val="lowerLetter"/>
      <w:start w:val="61"/>
    </w:lvl>
    <w:lvl w:ilvl="1">
      <w:lvlJc w:val="left"/>
      <w:lvlText w:val="(%2)"/>
      <w:numFmt w:val="lowerLetter"/>
      <w:start w:val="38"/>
    </w:lvl>
  </w:abstractNum>
  <w:abstractNum w:abstractNumId="15">
    <w:nsid w:val="51EAD36B"/>
    <w:multiLevelType w:val="hybridMultilevel"/>
    <w:lvl w:ilvl="0">
      <w:lvlJc w:val="left"/>
      <w:lvlText w:val="(%1)"/>
      <w:numFmt w:val="lowerLetter"/>
      <w:start w:val="43"/>
    </w:lvl>
  </w:abstractNum>
  <w:abstractNum w:abstractNumId="16">
    <w:nsid w:val="2D517796"/>
    <w:multiLevelType w:val="hybridMultilevel"/>
    <w:lvl w:ilvl="0">
      <w:lvlJc w:val="left"/>
      <w:lvlText w:val="%1."/>
      <w:numFmt w:val="decimal"/>
      <w:start w:val="2"/>
    </w:lvl>
  </w:abstractNum>
  <w:abstractNum w:abstractNumId="17">
    <w:nsid w:val="580BD78F"/>
    <w:multiLevelType w:val="hybridMultilevel"/>
    <w:lvl w:ilvl="0">
      <w:lvlJc w:val="left"/>
      <w:lvlText w:val="%1."/>
      <w:numFmt w:val="decimal"/>
      <w:start w:val="3"/>
    </w:lvl>
    <w:lvl w:ilvl="1">
      <w:lvlJc w:val="left"/>
      <w:lvlText w:val="(%2)"/>
      <w:numFmt w:val="lowerLetter"/>
      <w:start w:val="1"/>
    </w:lvl>
  </w:abstractNum>
  <w:abstractNum w:abstractNumId="18">
    <w:nsid w:val="153EA438"/>
    <w:multiLevelType w:val="hybridMultilevel"/>
    <w:lvl w:ilvl="0">
      <w:lvlJc w:val="left"/>
      <w:lvlText w:val="(%1)"/>
      <w:numFmt w:val="lowerLetter"/>
      <w:start w:val="2"/>
    </w:lvl>
  </w:abstractNum>
  <w:abstractNum w:abstractNumId="19">
    <w:nsid w:val="3855585C"/>
    <w:multiLevelType w:val="hybridMultilevel"/>
    <w:lvl w:ilvl="0">
      <w:lvlJc w:val="left"/>
      <w:lvlText w:val="(%1)"/>
      <w:numFmt w:val="lowerLetter"/>
      <w:start w:val="5"/>
    </w:lvl>
  </w:abstractNum>
  <w:abstractNum w:abstractNumId="20">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0"/>
    </w:lvl>
  </w:abstractNum>
  <w:abstractNum w:abstractNumId="21">
    <w:nsid w:val="6A2342EC"/>
    <w:multiLevelType w:val="hybridMultilevel"/>
    <w:lvl w:ilvl="0">
      <w:lvlJc w:val="left"/>
      <w:lvlText w:val="%1."/>
      <w:numFmt w:val="decimal"/>
      <w:start w:val="6"/>
    </w:lvl>
    <w:lvl w:ilvl="1">
      <w:lvlJc w:val="left"/>
      <w:lvlText w:val="(%2)"/>
      <w:numFmt w:val="lowerLetter"/>
      <w:start w:val="8"/>
    </w:lvl>
    <w:lvl w:ilvl="2">
      <w:lvlJc w:val="left"/>
      <w:lvlText w:val="(%3)"/>
      <w:numFmt w:val="lowerLetter"/>
      <w:start w:val="1"/>
    </w:lvl>
  </w:abstractNum>
  <w:abstractNum w:abstractNumId="22">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3">
    <w:nsid w:val="1D4ED43B"/>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abstractNum>
  <w:abstractNum w:abstractNumId="24">
    <w:nsid w:val="725A06FB"/>
    <w:multiLevelType w:val="hybridMultilevel"/>
    <w:lvl w:ilvl="0">
      <w:lvlJc w:val="left"/>
      <w:lvlText w:val="(%1)"/>
      <w:numFmt w:val="lowerLetter"/>
      <w:start w:val="2"/>
    </w:lvl>
    <w:lvl w:ilvl="1">
      <w:lvlJc w:val="left"/>
      <w:lvlText w:val="(%2)"/>
      <w:numFmt w:val="lowerRoman"/>
      <w:start w:val="1"/>
    </w:lvl>
  </w:abstractNum>
  <w:abstractNum w:abstractNumId="25">
    <w:nsid w:val="2CD89A32"/>
    <w:multiLevelType w:val="hybridMultilevel"/>
    <w:lvl w:ilvl="0">
      <w:lvlJc w:val="left"/>
      <w:lvlText w:val="(%1)"/>
      <w:numFmt w:val="lowerRoman"/>
      <w:start w:val="5"/>
    </w:lvl>
  </w:abstractNum>
  <w:abstractNum w:abstractNumId="26">
    <w:nsid w:val="57E4CCAF"/>
    <w:multiLevelType w:val="hybridMultilevel"/>
    <w:lvl w:ilvl="0">
      <w:lvlJc w:val="left"/>
      <w:lvlText w:val="(%1)"/>
      <w:numFmt w:val="lowerRoman"/>
      <w:start w:val="11"/>
    </w:lvl>
  </w:abstractNum>
  <w:abstractNum w:abstractNumId="27">
    <w:nsid w:val="7A6D8D3C"/>
    <w:multiLevelType w:val="hybridMultilevel"/>
    <w:lvl w:ilvl="0">
      <w:lvlJc w:val="left"/>
      <w:lvlText w:val="(%1)"/>
      <w:numFmt w:val="lowerRoman"/>
      <w:start w:val="1"/>
    </w:lvl>
  </w:abstractNum>
  <w:abstractNum w:abstractNumId="28">
    <w:nsid w:val="4B588F54"/>
    <w:multiLevelType w:val="hybridMultilevel"/>
    <w:lvl w:ilvl="0">
      <w:lvlJc w:val="left"/>
      <w:lvlText w:val="(%1)"/>
      <w:numFmt w:val="lowerLetter"/>
      <w:start w:val="3"/>
    </w:lvl>
    <w:lvl w:ilvl="1">
      <w:lvlJc w:val="left"/>
      <w:lvlText w:val="(%2)"/>
      <w:numFmt w:val="lowerRoman"/>
      <w:start w:val="1"/>
    </w:lvl>
  </w:abstractNum>
  <w:abstractNum w:abstractNumId="29">
    <w:nsid w:val="542289EC"/>
    <w:multiLevelType w:val="hybridMultilevel"/>
    <w:lvl w:ilvl="0">
      <w:lvlJc w:val="left"/>
      <w:lvlText w:val="%1"/>
      <w:numFmt w:val="lowerLetter"/>
      <w:start w:val="1"/>
    </w:lvl>
    <w:lvl w:ilvl="1">
      <w:lvlJc w:val="left"/>
      <w:lvlText w:val="(%2)"/>
      <w:numFmt w:val="lowerRoman"/>
      <w:start w:val="5"/>
    </w:lvl>
  </w:abstractNum>
  <w:abstractNum w:abstractNumId="30">
    <w:nsid w:val="6DE91B18"/>
    <w:multiLevelType w:val="hybridMultilevel"/>
    <w:lvl w:ilvl="0">
      <w:lvlJc w:val="left"/>
      <w:lvlText w:val="(%1)"/>
      <w:numFmt w:val="lowerLetter"/>
      <w:start w:val="4"/>
    </w:lvl>
    <w:lvl w:ilvl="1">
      <w:lvlJc w:val="left"/>
      <w:lvlText w:val="(%2)"/>
      <w:numFmt w:val="lowerRoman"/>
      <w:start w:val="1"/>
    </w:lvl>
  </w:abstractNum>
  <w:abstractNum w:abstractNumId="31">
    <w:nsid w:val="38437FDB"/>
    <w:multiLevelType w:val="hybridMultilevel"/>
    <w:lvl w:ilvl="0">
      <w:lvlJc w:val="left"/>
      <w:lvlText w:val="%1"/>
      <w:numFmt w:val="lowerLetter"/>
      <w:start w:val="1"/>
    </w:lvl>
    <w:lvl w:ilvl="1">
      <w:lvlJc w:val="left"/>
      <w:lvlText w:val="(%2)"/>
      <w:numFmt w:val="lowerRoman"/>
      <w:start w:val="3"/>
    </w:lvl>
  </w:abstractNum>
  <w:abstractNum w:abstractNumId="32">
    <w:nsid w:val="7644A45C"/>
    <w:multiLevelType w:val="hybridMultilevel"/>
    <w:lvl w:ilvl="0">
      <w:lvlJc w:val="left"/>
      <w:lvlText w:val="(%1)"/>
      <w:numFmt w:val="lowerLetter"/>
      <w:start w:val="6"/>
    </w:lvl>
    <w:lvl w:ilvl="1">
      <w:lvlJc w:val="left"/>
      <w:lvlText w:val="(%2)"/>
      <w:numFmt w:val="lowerRoman"/>
      <w:start w:val="1"/>
    </w:lvl>
  </w:abstractNum>
  <w:abstractNum w:abstractNumId="33">
    <w:nsid w:val="32FFF902"/>
    <w:multiLevelType w:val="hybridMultilevel"/>
    <w:lvl w:ilvl="0">
      <w:lvlJc w:val="left"/>
      <w:lvlText w:val="(%1)"/>
      <w:numFmt w:val="lowerLetter"/>
      <w:start w:val="7"/>
    </w:lvl>
  </w:abstractNum>
  <w:abstractNum w:abstractNumId="34">
    <w:nsid w:val="684A481A"/>
    <w:multiLevelType w:val="hybridMultilevel"/>
    <w:lvl w:ilvl="0">
      <w:lvlJc w:val="left"/>
      <w:lvlText w:val="%1."/>
      <w:numFmt w:val="decimal"/>
      <w:start w:val="8"/>
    </w:lvl>
    <w:lvl w:ilvl="1">
      <w:lvlJc w:val="left"/>
      <w:lvlText w:val="(%2)"/>
      <w:numFmt w:val="lowerLetter"/>
      <w:start w:val="2"/>
    </w:lvl>
  </w:abstractNum>
  <w:abstractNum w:abstractNumId="35">
    <w:nsid w:val="579478FE"/>
    <w:multiLevelType w:val="hybridMultilevel"/>
    <w:lvl w:ilvl="0">
      <w:lvlJc w:val="left"/>
      <w:lvlText w:val="(%1)"/>
      <w:numFmt w:val="lowerLetter"/>
      <w:start w:val="9"/>
    </w:lvl>
    <w:lvl w:ilvl="1">
      <w:lvlJc w:val="left"/>
      <w:lvlText w:val="(%2)"/>
      <w:numFmt w:val="lowerLetter"/>
      <w:start w:val="3"/>
    </w:lvl>
  </w:abstractNum>
  <w:abstractNum w:abstractNumId="36">
    <w:nsid w:val="749ABB43"/>
    <w:multiLevelType w:val="hybridMultilevel"/>
    <w:lvl w:ilvl="0">
      <w:lvlJc w:val="left"/>
      <w:lvlText w:val="(%1)"/>
      <w:numFmt w:val="lowerLetter"/>
      <w:start w:val="2"/>
    </w:lvl>
    <w:lvl w:ilvl="1">
      <w:lvlJc w:val="left"/>
      <w:lvlText w:val="%2"/>
      <w:numFmt w:val="lowerLetter"/>
      <w:start w:val="1"/>
    </w:lvl>
  </w:abstractNum>
  <w:abstractNum w:abstractNumId="37">
    <w:nsid w:val="3DC240FB"/>
    <w:multiLevelType w:val="hybridMultilevel"/>
    <w:lvl w:ilvl="0">
      <w:lvlJc w:val="left"/>
      <w:lvlText w:val="%1"/>
      <w:numFmt w:val="decimal"/>
      <w:start w:val="1"/>
    </w:lvl>
    <w:lvl w:ilvl="1">
      <w:lvlJc w:val="left"/>
      <w:lvlText w:val="(%2)"/>
      <w:numFmt w:val="lowerLetter"/>
      <w:start w:val="4"/>
    </w:lvl>
  </w:abstractNum>
  <w:abstractNum w:abstractNumId="38">
    <w:nsid w:val="1BA026FA"/>
    <w:multiLevelType w:val="hybridMultilevel"/>
    <w:lvl w:ilvl="0">
      <w:lvlJc w:val="left"/>
      <w:lvlText w:val="%1."/>
      <w:numFmt w:val="decimal"/>
      <w:start w:val="10"/>
    </w:lvl>
    <w:lvl w:ilvl="1">
      <w:lvlJc w:val="left"/>
      <w:lvlText w:val="%2"/>
      <w:numFmt w:val="lowerLetter"/>
      <w:start w:val="1"/>
    </w:lvl>
  </w:abstractNum>
  <w:abstractNum w:abstractNumId="39">
    <w:nsid w:val="79A1DEAA"/>
    <w:multiLevelType w:val="hybridMultilevel"/>
    <w:lvl w:ilvl="0">
      <w:lvlJc w:val="left"/>
      <w:lvlText w:val="%1."/>
      <w:numFmt w:val="decimal"/>
      <w:start w:val="11"/>
    </w:lvl>
  </w:abstractNum>
  <w:abstractNum w:abstractNumId="40">
    <w:nsid w:val="75C6C33A"/>
    <w:multiLevelType w:val="hybridMultilevel"/>
    <w:lvl w:ilvl="0">
      <w:lvlJc w:val="left"/>
      <w:lvlText w:val="%1."/>
      <w:numFmt w:val="decimal"/>
      <w:start w:val="14"/>
    </w:lvl>
  </w:abstractNum>
  <w:abstractNum w:abstractNumId="41">
    <w:nsid w:val="12E685FB"/>
    <w:multiLevelType w:val="hybridMultilevel"/>
    <w:lvl w:ilvl="0">
      <w:lvlJc w:val="left"/>
      <w:lvlText w:val="%1."/>
      <w:numFmt w:val="decimal"/>
      <w:start w:val="19"/>
    </w:lvl>
  </w:abstractNum>
  <w:abstractNum w:abstractNumId="42">
    <w:nsid w:val="70C6A529"/>
    <w:multiLevelType w:val="hybridMultilevel"/>
    <w:lvl w:ilvl="0">
      <w:lvlJc w:val="left"/>
      <w:lvlText w:val="%1."/>
      <w:numFmt w:val="decimal"/>
      <w:start w:val="1"/>
    </w:lvl>
  </w:abstractNum>
  <w:abstractNum w:abstractNumId="43">
    <w:nsid w:val="520EEDD1"/>
    <w:multiLevelType w:val="hybridMultilevel"/>
    <w:lvl w:ilvl="0">
      <w:lvlJc w:val="left"/>
      <w:lvlText w:val="(%1)"/>
      <w:numFmt w:val="decimal"/>
      <w:start w:val="1"/>
    </w:lvl>
  </w:abstractNum>
  <w:abstractNum w:abstractNumId="44">
    <w:nsid w:val="374A3FE6"/>
    <w:multiLevelType w:val="hybridMultilevel"/>
    <w:lvl w:ilvl="0">
      <w:lvlJc w:val="left"/>
      <w:lvlText w:val="(%1)"/>
      <w:numFmt w:val="decimal"/>
      <w:start w:val="8"/>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1)"/>
      <w:numFmt w:val="upperLetter"/>
      <w:start w:val="2"/>
    </w:lvl>
  </w:abstractNum>
  <w:abstractNum w:abstractNumId="48">
    <w:nsid w:val="275AC794"/>
    <w:multiLevelType w:val="hybridMultilevel"/>
    <w:lvl w:ilvl="0">
      <w:lvlJc w:val="left"/>
      <w:lvlText w:val="(%1)"/>
      <w:numFmt w:val="upperLetter"/>
      <w:start w:val="4"/>
    </w:lvl>
  </w:abstractNum>
  <w:abstractNum w:abstractNumId="49">
    <w:nsid w:val="39386575"/>
    <w:multiLevelType w:val="hybridMultilevel"/>
    <w:lvl w:ilvl="0">
      <w:lvlJc w:val="left"/>
      <w:lvlText w:val="%1."/>
      <w:numFmt w:val="decimal"/>
      <w:start w:val="1"/>
    </w:lvl>
  </w:abstractNum>
  <w:abstractNum w:abstractNumId="50">
    <w:nsid w:val="1CF10FD8"/>
    <w:multiLevelType w:val="hybridMultilevel"/>
    <w:lvl w:ilvl="0">
      <w:lvlJc w:val="left"/>
      <w:lvlText w:val="(%1)"/>
      <w:numFmt w:val="decimal"/>
      <w:start w:val="1"/>
    </w:lvl>
  </w:abstractNum>
  <w:abstractNum w:abstractNumId="51">
    <w:nsid w:val="180115BE"/>
    <w:multiLevelType w:val="hybridMultilevel"/>
    <w:lvl w:ilvl="0">
      <w:lvlJc w:val="left"/>
      <w:lvlText w:val="(%1)"/>
      <w:numFmt w:val="decimal"/>
      <w:start w:val="8"/>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1)"/>
      <w:numFmt w:val="upperLetter"/>
      <w:start w:val="2"/>
    </w:lvl>
  </w:abstractNum>
  <w:abstractNum w:abstractNumId="55">
    <w:nsid w:val="15B5AF5C"/>
    <w:multiLevelType w:val="hybridMultilevel"/>
    <w:lvl w:ilvl="0">
      <w:lvlJc w:val="left"/>
      <w:lvlText w:val="(%1)"/>
      <w:numFmt w:val="upperLetter"/>
      <w:start w:val="4"/>
    </w:lvl>
  </w:abstractNum>
  <w:abstractNum w:abstractNumId="56">
    <w:nsid w:val="741226BB"/>
    <w:multiLevelType w:val="hybridMultilevel"/>
    <w:lvl w:ilvl="0">
      <w:lvlJc w:val="left"/>
      <w:lvlText w:val="(%1)"/>
      <w:numFmt w:val="lowerLetter"/>
      <w:start w:val="2"/>
    </w:lvl>
  </w:abstractNum>
  <w:abstractNum w:abstractNumId="57">
    <w:nsid w:val="D34B6A8"/>
    <w:multiLevelType w:val="hybridMultilevel"/>
    <w:lvl w:ilvl="0">
      <w:lvlJc w:val="left"/>
      <w:lvlText w:val="(%1)"/>
      <w:numFmt w:val="lowerRoman"/>
      <w:start w:val="1"/>
    </w:lvl>
  </w:abstractNum>
  <w:abstractNum w:abstractNumId="58">
    <w:nsid w:val="10233C99"/>
    <w:multiLevelType w:val="hybridMultilevel"/>
    <w:lvl w:ilvl="0">
      <w:lvlJc w:val="left"/>
      <w:lvlText w:val="(%1)"/>
      <w:numFmt w:val="lowerLetter"/>
      <w:start w:val="2"/>
    </w:lvl>
  </w:abstractNum>
  <w:abstractNum w:abstractNumId="59">
    <w:nsid w:val="3F6AB60F"/>
    <w:multiLevelType w:val="hybridMultilevel"/>
    <w:lvl w:ilvl="0">
      <w:lvlJc w:val="left"/>
      <w:lvlText w:val="(%1)"/>
      <w:numFmt w:val="lowerLetter"/>
      <w:start w:val="2"/>
    </w:lvl>
  </w:abstractNum>
  <w:abstractNum w:abstractNumId="60">
    <w:nsid w:val="61574095"/>
    <w:multiLevelType w:val="hybridMultilevel"/>
    <w:lvl w:ilvl="0">
      <w:lvlJc w:val="left"/>
      <w:lvlText w:val="(%1)"/>
      <w:numFmt w:val="lowerRoman"/>
      <w:start w:val="1"/>
    </w:lvl>
  </w:abstractNum>
  <w:abstractNum w:abstractNumId="61">
    <w:nsid w:val="7E0C57B1"/>
    <w:multiLevelType w:val="hybridMultilevel"/>
    <w:lvl w:ilvl="0">
      <w:lvlJc w:val="left"/>
      <w:lvlText w:val="(%1)"/>
      <w:numFmt w:val="lowerLetter"/>
      <w:start w:val="2"/>
    </w:lvl>
  </w:abstractNum>
  <w:abstractNum w:abstractNumId="62">
    <w:nsid w:val="77AE35EB"/>
    <w:multiLevelType w:val="hybridMultilevel"/>
    <w:lvl w:ilvl="0">
      <w:lvlJc w:val="left"/>
      <w:lvlText w:val="(%1)"/>
      <w:numFmt w:val="lowerRoman"/>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2019-12-10T08:07:24Z</dcterms:created>
  <dcterms:modified xsi:type="dcterms:W3CDTF">2019-12-10T08:07:24Z</dcterms:modified>
</cp:coreProperties>
</file>