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27,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July 27, 2007, Waste Management, Inc. (the “Company”) filed a prospectus supplement pursuant to Rule 424 of the Securities Act of 1933, as amended, to its registration statement on Form S-3 (No. 333-137526) (the “Registration Statement”), to register the issuance of 1,707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27, 2007</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1049"/>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4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w w:val="94"/>
              </w:rPr>
              <w:t>Opinion of Amanda K. Maki</w:t>
            </w:r>
          </w:p>
        </w:tc>
        <w:tc>
          <w:tcPr>
            <w:tcW w:w="0" w:type="dxa"/>
            <w:vAlign w:val="bottom"/>
          </w:tcPr>
          <w:p>
            <w:pPr>
              <w:spacing w:after="0"/>
              <w:rPr>
                <w:sz w:val="1"/>
                <w:szCs w:val="1"/>
                <w:color w:val="auto"/>
              </w:rPr>
            </w:pPr>
          </w:p>
        </w:tc>
      </w:tr>
    </w:tbl>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1,707 shares of the Company’s common stock, par value $0.01 per share (the “Common Stock”), pursuant to the exercise of a warrant dated November 21, 1997 (the “Warrant”). The 1,707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2019-12-20T04:09:26Z</dcterms:created>
  <dcterms:modified xsi:type="dcterms:W3CDTF">2019-12-20T04:09:26Z</dcterms:modified>
</cp:coreProperties>
</file>