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jc w:val="center"/>
        <w:ind w:right="-1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423545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457835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9"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175895</wp:posOffset>
            </wp:positionV>
            <wp:extent cx="1878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212725</wp:posOffset>
            </wp:positionV>
            <wp:extent cx="1878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385"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0"/>
          <w:szCs w:val="20"/>
          <w:color w:val="auto"/>
        </w:rPr>
      </w:pPr>
    </w:p>
    <w:p>
      <w:pPr>
        <w:jc w:val="center"/>
        <w:ind w:right="-11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Date of Report (Date of earliest event reported): March 3, 2008</w:t>
      </w:r>
    </w:p>
    <w:p>
      <w:pPr>
        <w:spacing w:after="0" w:line="200" w:lineRule="exact"/>
        <w:rPr>
          <w:sz w:val="20"/>
          <w:szCs w:val="20"/>
          <w:color w:val="auto"/>
        </w:rPr>
      </w:pPr>
    </w:p>
    <w:p>
      <w:pPr>
        <w:jc w:val="center"/>
        <w:ind w:right="-119"/>
        <w:spacing w:after="0"/>
        <w:rPr>
          <w:sz w:val="20"/>
          <w:szCs w:val="20"/>
          <w:color w:val="auto"/>
        </w:rPr>
      </w:pPr>
      <w:r>
        <w:rPr>
          <w:rFonts w:ascii="Arial" w:cs="Arial" w:eastAsia="Arial" w:hAnsi="Arial"/>
          <w:sz w:val="43"/>
          <w:szCs w:val="43"/>
          <w:b w:val="1"/>
          <w:bCs w:val="1"/>
          <w:color w:val="auto"/>
        </w:rPr>
        <w:t>Waste Management, Inc.</w:t>
      </w:r>
    </w:p>
    <w:p>
      <w:pPr>
        <w:spacing w:after="0" w:line="5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Charter)</w:t>
      </w:r>
    </w:p>
    <w:p>
      <w:pPr>
        <w:sectPr>
          <w:pgSz w:w="11900" w:h="16838" w:orient="portrait"/>
          <w:cols w:equalWidth="0" w:num="1">
            <w:col w:w="11300"/>
          </w:cols>
          <w:pgMar w:left="240" w:top="927" w:right="359" w:bottom="1440" w:gutter="0" w:footer="0" w:header="0"/>
        </w:sectPr>
      </w:pPr>
    </w:p>
    <w:p>
      <w:pPr>
        <w:spacing w:after="0" w:line="209"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jc w:val="center"/>
        <w:ind w:right="360"/>
        <w:spacing w:after="0"/>
        <w:rPr>
          <w:sz w:val="20"/>
          <w:szCs w:val="20"/>
          <w:color w:val="auto"/>
        </w:rPr>
      </w:pPr>
      <w:r>
        <w:rPr>
          <w:rFonts w:ascii="Arial" w:cs="Arial" w:eastAsia="Arial" w:hAnsi="Arial"/>
          <w:sz w:val="16"/>
          <w:szCs w:val="16"/>
          <w:b w:val="1"/>
          <w:bCs w:val="1"/>
          <w:color w:val="auto"/>
        </w:rPr>
        <w:t>(State or Other Jurisdiction of Incorporation)</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jc w:val="center"/>
        <w:ind w:right="860"/>
        <w:spacing w:after="0"/>
        <w:rPr>
          <w:sz w:val="20"/>
          <w:szCs w:val="20"/>
          <w:color w:val="auto"/>
        </w:rPr>
      </w:pPr>
      <w:r>
        <w:rPr>
          <w:rFonts w:ascii="Arial" w:cs="Arial" w:eastAsia="Arial" w:hAnsi="Arial"/>
          <w:sz w:val="18"/>
          <w:szCs w:val="18"/>
          <w:color w:val="auto"/>
        </w:rPr>
        <w:t>1-12154</w:t>
      </w:r>
    </w:p>
    <w:p>
      <w:pPr>
        <w:spacing w:after="0" w:line="23" w:lineRule="exact"/>
        <w:rPr>
          <w:sz w:val="20"/>
          <w:szCs w:val="20"/>
          <w:color w:val="auto"/>
        </w:rPr>
      </w:pPr>
    </w:p>
    <w:p>
      <w:pPr>
        <w:jc w:val="center"/>
        <w:ind w:right="860"/>
        <w:spacing w:after="0"/>
        <w:rPr>
          <w:sz w:val="20"/>
          <w:szCs w:val="20"/>
          <w:color w:val="auto"/>
        </w:rPr>
      </w:pPr>
      <w:r>
        <w:rPr>
          <w:rFonts w:ascii="Arial" w:cs="Arial" w:eastAsia="Arial" w:hAnsi="Arial"/>
          <w:sz w:val="16"/>
          <w:szCs w:val="16"/>
          <w:b w:val="1"/>
          <w:bCs w:val="1"/>
          <w:color w:val="auto"/>
        </w:rPr>
        <w:t>(Commission File Number)</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73-1309529</w:t>
      </w:r>
    </w:p>
    <w:p>
      <w:pPr>
        <w:spacing w:after="0" w:line="23" w:lineRule="exact"/>
        <w:rPr>
          <w:sz w:val="20"/>
          <w:szCs w:val="20"/>
          <w:color w:val="auto"/>
        </w:rPr>
      </w:pPr>
    </w:p>
    <w:p>
      <w:pPr>
        <w:jc w:val="center"/>
        <w:ind w:right="360"/>
        <w:spacing w:after="0"/>
        <w:rPr>
          <w:sz w:val="20"/>
          <w:szCs w:val="20"/>
          <w:color w:val="auto"/>
        </w:rPr>
      </w:pPr>
      <w:r>
        <w:rPr>
          <w:rFonts w:ascii="Arial" w:cs="Arial" w:eastAsia="Arial" w:hAnsi="Arial"/>
          <w:sz w:val="16"/>
          <w:szCs w:val="16"/>
          <w:b w:val="1"/>
          <w:bCs w:val="1"/>
          <w:color w:val="auto"/>
        </w:rPr>
        <w:t>(IRS Employer Identification No.)</w:t>
      </w:r>
    </w:p>
    <w:p>
      <w:pPr>
        <w:spacing w:after="0" w:line="200" w:lineRule="exact"/>
        <w:rPr>
          <w:sz w:val="20"/>
          <w:szCs w:val="20"/>
          <w:color w:val="auto"/>
        </w:rPr>
      </w:pPr>
    </w:p>
    <w:p>
      <w:pPr>
        <w:sectPr>
          <w:pgSz w:w="11900" w:h="16838" w:orient="portrait"/>
          <w:cols w:equalWidth="0" w:num="3">
            <w:col w:w="3940" w:space="720"/>
            <w:col w:w="2940" w:space="720"/>
            <w:col w:w="2980"/>
          </w:cols>
          <w:pgMar w:left="240" w:top="927" w:right="359" w:bottom="1440" w:gutter="0" w:footer="0" w:header="0"/>
          <w:type w:val="continuous"/>
        </w:sectPr>
      </w:pPr>
    </w:p>
    <w:p>
      <w:pPr>
        <w:spacing w:after="0" w:line="34" w:lineRule="exact"/>
        <w:rPr>
          <w:sz w:val="20"/>
          <w:szCs w:val="20"/>
          <w:color w:val="auto"/>
        </w:rPr>
      </w:pPr>
    </w:p>
    <w:p>
      <w:pPr>
        <w:ind w:left="1180" w:right="2180" w:firstLine="72"/>
        <w:spacing w:after="0" w:line="277" w:lineRule="auto"/>
        <w:rPr>
          <w:sz w:val="20"/>
          <w:szCs w:val="20"/>
          <w:color w:val="auto"/>
        </w:rPr>
      </w:pPr>
      <w:r>
        <w:rPr>
          <w:rFonts w:ascii="Arial" w:cs="Arial" w:eastAsia="Arial" w:hAnsi="Arial"/>
          <w:sz w:val="18"/>
          <w:szCs w:val="18"/>
          <w:color w:val="auto"/>
        </w:rPr>
        <w:t xml:space="preserve">1001 Fannin, Suite 4000 Houston, Texas 77002 </w:t>
      </w:r>
      <w:r>
        <w:rPr>
          <w:rFonts w:ascii="Arial" w:cs="Arial" w:eastAsia="Arial" w:hAnsi="Arial"/>
          <w:sz w:val="18"/>
          <w:szCs w:val="18"/>
          <w:b w:val="1"/>
          <w:bCs w:val="1"/>
          <w:color w:val="auto"/>
        </w:rPr>
        <w:t>(Address of Principal Executive Offices) (Zip Code)</w:t>
      </w:r>
    </w:p>
    <w:p>
      <w:pPr>
        <w:sectPr>
          <w:pgSz w:w="11900" w:h="16838" w:orient="portrait"/>
          <w:cols w:equalWidth="0" w:num="1">
            <w:col w:w="11300"/>
          </w:cols>
          <w:pgMar w:left="240" w:top="927" w:right="359" w:bottom="1440" w:gutter="0" w:footer="0" w:header="0"/>
          <w:type w:val="continuous"/>
        </w:sectPr>
      </w:pPr>
    </w:p>
    <w:p>
      <w:pPr>
        <w:spacing w:after="0" w:line="16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 xml:space="preserve">Registrant’s Telephone number, including area code: </w:t>
      </w:r>
      <w:r>
        <w:rPr>
          <w:rFonts w:ascii="Arial" w:cs="Arial" w:eastAsia="Arial" w:hAnsi="Arial"/>
          <w:sz w:val="18"/>
          <w:szCs w:val="18"/>
          <w:color w:val="auto"/>
        </w:rPr>
        <w:t>(713) 512-6200</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2011680</wp:posOffset>
            </wp:positionH>
            <wp:positionV relativeFrom="paragraph">
              <wp:posOffset>-127635</wp:posOffset>
            </wp:positionV>
            <wp:extent cx="32327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32785" cy="8890"/>
                    </a:xfrm>
                    <a:prstGeom prst="rect">
                      <a:avLst/>
                    </a:prstGeom>
                    <a:noFill/>
                  </pic:spPr>
                </pic:pic>
              </a:graphicData>
            </a:graphic>
          </wp:anchor>
        </w:drawing>
      </w:r>
    </w:p>
    <w:p>
      <w:pPr>
        <w:spacing w:after="0" w:line="10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0"/>
          <w:szCs w:val="20"/>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561975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927" w:right="359" w:bottom="1440" w:gutter="0" w:footer="0" w:header="0"/>
          <w:type w:val="continuous"/>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1.01 Entry Into a Material Definitive Agreement; Item 8.01 Other Events.</w:t>
      </w:r>
    </w:p>
    <w:p>
      <w:pPr>
        <w:spacing w:after="0" w:line="121" w:lineRule="exact"/>
        <w:rPr>
          <w:sz w:val="20"/>
          <w:szCs w:val="20"/>
          <w:color w:val="auto"/>
        </w:rPr>
      </w:pPr>
    </w:p>
    <w:p>
      <w:pPr>
        <w:ind w:firstLine="225"/>
        <w:spacing w:after="0" w:line="270" w:lineRule="auto"/>
        <w:rPr>
          <w:sz w:val="20"/>
          <w:szCs w:val="20"/>
          <w:color w:val="auto"/>
        </w:rPr>
      </w:pPr>
      <w:r>
        <w:rPr>
          <w:rFonts w:ascii="Arial" w:cs="Arial" w:eastAsia="Arial" w:hAnsi="Arial"/>
          <w:sz w:val="17"/>
          <w:szCs w:val="17"/>
          <w:color w:val="auto"/>
        </w:rPr>
        <w:t>On March 3, 2008, Waste Management, Inc. (the “Company”) commenced an underwritten public offering of $600,000,000 aggregate principal amount of its 6.10% Senior Notes due 2018 (the “Notes”) under the Company’s Registration Statement on Form S-3 (No. 333-137526) (the “Registration Statement”). The Notes, which will be fully and unconditionally guaranteed by our wholly-owned subsidiary Waste Management Holdings, Inc. (“WM Holdings”), were sold pursuant to an underwriting agreement (the “Underwriting Agreement”) entered into on March 3, 2008 by the Company, WM Holdings and Banc of America Securities LLC, J.P. Morgan Securities Inc. and Greenwich Capital Markets, Inc. as representatives of the several underwriters set forth therein. The Notes will be issued under an indenture dated as of September 10, 1997, between the Company and The Bank of New York Trust Company, N.A. (the current successor to Texas Commerce Bank National Association), as trustee (the “Indenture”). Closing of the issuance and sale of the Notes is scheduled to occur on March 6, 2008. The exhibits filed herewith are filed pursuant to the Registration Statement pursuant to Item 601 of Regulation S-K and are included as exhibits to this current report and are incorporated herein by reference. The description of the Underwriting Agreement is qualified in its entirety by the full text of such document, which is filed herewith.</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11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1.1 Underwriting Agreement dated March 3, 2008 by and among the Company, WM Holdings and Banc of America Securities LLC, J.P. Morgan Securities Inc. and Greenwich Capital Markets, Inc. as representatives of the several Underwriters named therein.</w:t>
      </w:r>
    </w:p>
    <w:p>
      <w:pPr>
        <w:spacing w:after="0" w:line="62" w:lineRule="exact"/>
        <w:rPr>
          <w:sz w:val="20"/>
          <w:szCs w:val="20"/>
          <w:color w:val="auto"/>
        </w:rPr>
      </w:pPr>
    </w:p>
    <w:p>
      <w:pPr>
        <w:jc w:val="both"/>
        <w:ind w:right="360"/>
        <w:spacing w:after="0" w:line="264" w:lineRule="auto"/>
        <w:rPr>
          <w:sz w:val="20"/>
          <w:szCs w:val="20"/>
          <w:color w:val="auto"/>
        </w:rPr>
      </w:pPr>
      <w:r>
        <w:rPr>
          <w:rFonts w:ascii="Arial" w:cs="Arial" w:eastAsia="Arial" w:hAnsi="Arial"/>
          <w:sz w:val="18"/>
          <w:szCs w:val="18"/>
          <w:color w:val="auto"/>
        </w:rPr>
        <w:t>4.1 Indenture dated September 10, 1997 by and between the Company and The Bank of New York Trust Company, N.A. (the current successor to Texas Commerce Bank National Association), as Trustee, relating to senior debt securities of the Company (incorporated by reference to Exhibit 4.1 to Current Report on Form 8-K filed September 24, 1997).</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4.2 Form of Officers’ Certificate delivered pursuant to Section 3.01 of the Indenture.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4.3 Form of Note (included in Exhibit 4.2 above).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4.4 Form of Guarantee Agreement by WM Holding in favor of the holders of Waste Management, Inc.’s 6.10% Senior Notes due 2018.</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5.1 Opinion of Baker Botts L.L.P.</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1" w:right="27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300"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20" w:type="dxa"/>
            <w:vAlign w:val="bottom"/>
          </w:tcPr>
          <w:p>
            <w:pPr>
              <w:spacing w:after="0"/>
              <w:rPr>
                <w:sz w:val="20"/>
                <w:szCs w:val="20"/>
                <w:color w:val="auto"/>
              </w:rPr>
            </w:pPr>
          </w:p>
        </w:tc>
        <w:tc>
          <w:tcPr>
            <w:tcW w:w="6320" w:type="dxa"/>
            <w:vAlign w:val="bottom"/>
            <w:gridSpan w:val="2"/>
          </w:tcPr>
          <w:p>
            <w:pPr>
              <w:ind w:left="1940"/>
              <w:spacing w:after="0"/>
              <w:rPr>
                <w:sz w:val="20"/>
                <w:szCs w:val="20"/>
                <w:color w:val="auto"/>
              </w:rPr>
            </w:pPr>
            <w:r>
              <w:rPr>
                <w:rFonts w:ascii="Arial" w:cs="Arial" w:eastAsia="Arial" w:hAnsi="Arial"/>
                <w:sz w:val="18"/>
                <w:szCs w:val="18"/>
                <w:color w:val="auto"/>
              </w:rPr>
              <w:t>WASTE MANAGEMENT, INC.</w:t>
            </w:r>
          </w:p>
        </w:tc>
        <w:tc>
          <w:tcPr>
            <w:tcW w:w="1680" w:type="dxa"/>
            <w:vAlign w:val="bottom"/>
          </w:tcPr>
          <w:p>
            <w:pPr>
              <w:spacing w:after="0"/>
              <w:rPr>
                <w:sz w:val="20"/>
                <w:szCs w:val="20"/>
                <w:color w:val="auto"/>
              </w:rPr>
            </w:pPr>
          </w:p>
        </w:tc>
      </w:tr>
      <w:tr>
        <w:trPr>
          <w:trHeight w:val="432"/>
        </w:trPr>
        <w:tc>
          <w:tcPr>
            <w:tcW w:w="3420" w:type="dxa"/>
            <w:vAlign w:val="bottom"/>
          </w:tcPr>
          <w:p>
            <w:pPr>
              <w:spacing w:after="0"/>
              <w:rPr>
                <w:sz w:val="20"/>
                <w:szCs w:val="20"/>
                <w:color w:val="auto"/>
              </w:rPr>
            </w:pPr>
            <w:r>
              <w:rPr>
                <w:rFonts w:ascii="Arial" w:cs="Arial" w:eastAsia="Arial" w:hAnsi="Arial"/>
                <w:sz w:val="18"/>
                <w:szCs w:val="18"/>
                <w:color w:val="auto"/>
              </w:rPr>
              <w:t>Date: March 5, 2008</w:t>
            </w:r>
          </w:p>
        </w:tc>
        <w:tc>
          <w:tcPr>
            <w:tcW w:w="6320" w:type="dxa"/>
            <w:vAlign w:val="bottom"/>
            <w:gridSpan w:val="2"/>
          </w:tcPr>
          <w:p>
            <w:pPr>
              <w:ind w:left="1940"/>
              <w:spacing w:after="0"/>
              <w:rPr>
                <w:sz w:val="20"/>
                <w:szCs w:val="20"/>
                <w:color w:val="auto"/>
              </w:rPr>
            </w:pPr>
            <w:r>
              <w:rPr>
                <w:rFonts w:ascii="Arial" w:cs="Arial" w:eastAsia="Arial" w:hAnsi="Arial"/>
                <w:sz w:val="18"/>
                <w:szCs w:val="18"/>
                <w:color w:val="auto"/>
              </w:rPr>
              <w:t>By:  /s/ Rick L Wittenbraker</w:t>
            </w:r>
          </w:p>
        </w:tc>
        <w:tc>
          <w:tcPr>
            <w:tcW w:w="1680" w:type="dxa"/>
            <w:vAlign w:val="bottom"/>
          </w:tcPr>
          <w:p>
            <w:pPr>
              <w:spacing w:after="0"/>
              <w:rPr>
                <w:sz w:val="24"/>
                <w:szCs w:val="24"/>
                <w:color w:val="auto"/>
              </w:rPr>
            </w:pPr>
          </w:p>
        </w:tc>
      </w:tr>
      <w:tr>
        <w:trPr>
          <w:trHeight w:val="224"/>
        </w:trPr>
        <w:tc>
          <w:tcPr>
            <w:tcW w:w="34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4040" w:type="dxa"/>
            <w:vAlign w:val="bottom"/>
            <w:tcBorders>
              <w:top w:val="single" w:sz="8" w:color="auto"/>
            </w:tcBorders>
          </w:tcPr>
          <w:p>
            <w:pPr>
              <w:jc w:val="right"/>
              <w:ind w:right="810"/>
              <w:spacing w:after="0"/>
              <w:rPr>
                <w:sz w:val="20"/>
                <w:szCs w:val="20"/>
                <w:color w:val="auto"/>
              </w:rPr>
            </w:pPr>
            <w:r>
              <w:rPr>
                <w:rFonts w:ascii="Arial" w:cs="Arial" w:eastAsia="Arial" w:hAnsi="Arial"/>
                <w:sz w:val="18"/>
                <w:szCs w:val="18"/>
                <w:color w:val="auto"/>
                <w:w w:val="91"/>
              </w:rPr>
              <w:t>Rick L Wittenbraker, Senior Vice President</w:t>
            </w:r>
          </w:p>
        </w:tc>
        <w:tc>
          <w:tcPr>
            <w:tcW w:w="1680" w:type="dxa"/>
            <w:vAlign w:val="bottom"/>
          </w:tcPr>
          <w:p>
            <w:pPr>
              <w:spacing w:after="0"/>
              <w:rPr>
                <w:sz w:val="19"/>
                <w:szCs w:val="19"/>
                <w:color w:val="auto"/>
              </w:rPr>
            </w:pPr>
          </w:p>
        </w:tc>
      </w:tr>
      <w:tr>
        <w:trPr>
          <w:trHeight w:val="823"/>
        </w:trPr>
        <w:tc>
          <w:tcPr>
            <w:tcW w:w="3420" w:type="dxa"/>
            <w:vAlign w:val="bottom"/>
          </w:tcPr>
          <w:p>
            <w:pPr>
              <w:spacing w:after="0"/>
              <w:rPr>
                <w:sz w:val="24"/>
                <w:szCs w:val="24"/>
                <w:color w:val="auto"/>
              </w:rPr>
            </w:pPr>
          </w:p>
        </w:tc>
        <w:tc>
          <w:tcPr>
            <w:tcW w:w="6320" w:type="dxa"/>
            <w:vAlign w:val="bottom"/>
            <w:gridSpan w:val="2"/>
          </w:tcPr>
          <w:p>
            <w:pPr>
              <w:jc w:val="right"/>
              <w:ind w:right="3890"/>
              <w:spacing w:after="0"/>
              <w:rPr>
                <w:sz w:val="20"/>
                <w:szCs w:val="20"/>
                <w:color w:val="auto"/>
              </w:rPr>
            </w:pPr>
            <w:r>
              <w:rPr>
                <w:rFonts w:ascii="Arial" w:cs="Arial" w:eastAsia="Arial" w:hAnsi="Arial"/>
                <w:sz w:val="18"/>
                <w:szCs w:val="18"/>
                <w:color w:val="auto"/>
              </w:rPr>
              <w:t>3</w:t>
            </w:r>
          </w:p>
        </w:tc>
        <w:tc>
          <w:tcPr>
            <w:tcW w:w="1680" w:type="dxa"/>
            <w:vAlign w:val="bottom"/>
          </w:tcPr>
          <w:p>
            <w:pPr>
              <w:spacing w:after="0"/>
              <w:rPr>
                <w:sz w:val="24"/>
                <w:szCs w:val="24"/>
                <w:color w:val="auto"/>
              </w:rPr>
            </w:pPr>
          </w:p>
        </w:tc>
      </w:tr>
      <w:tr>
        <w:trPr>
          <w:trHeight w:val="226"/>
        </w:trPr>
        <w:tc>
          <w:tcPr>
            <w:tcW w:w="3420" w:type="dxa"/>
            <w:vAlign w:val="bottom"/>
            <w:tcBorders>
              <w:bottom w:val="single" w:sz="8" w:color="808080"/>
            </w:tcBorders>
          </w:tcPr>
          <w:p>
            <w:pPr>
              <w:spacing w:after="0"/>
              <w:rPr>
                <w:sz w:val="19"/>
                <w:szCs w:val="19"/>
                <w:color w:val="auto"/>
              </w:rPr>
            </w:pPr>
          </w:p>
        </w:tc>
        <w:tc>
          <w:tcPr>
            <w:tcW w:w="2280" w:type="dxa"/>
            <w:vAlign w:val="bottom"/>
            <w:tcBorders>
              <w:bottom w:val="single" w:sz="8" w:color="808080"/>
            </w:tcBorders>
          </w:tcPr>
          <w:p>
            <w:pPr>
              <w:spacing w:after="0"/>
              <w:rPr>
                <w:sz w:val="19"/>
                <w:szCs w:val="19"/>
                <w:color w:val="auto"/>
              </w:rPr>
            </w:pPr>
          </w:p>
        </w:tc>
        <w:tc>
          <w:tcPr>
            <w:tcW w:w="4040" w:type="dxa"/>
            <w:vAlign w:val="bottom"/>
            <w:tcBorders>
              <w:bottom w:val="single" w:sz="8" w:color="808080"/>
            </w:tcBorders>
          </w:tcPr>
          <w:p>
            <w:pPr>
              <w:spacing w:after="0"/>
              <w:rPr>
                <w:sz w:val="19"/>
                <w:szCs w:val="19"/>
                <w:color w:val="auto"/>
              </w:rPr>
            </w:pPr>
          </w:p>
        </w:tc>
        <w:tc>
          <w:tcPr>
            <w:tcW w:w="16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4" w:name="page5"/>
    <w:bookmarkEnd w:id="4"/>
    <w:p>
      <w:pPr>
        <w:jc w:val="center"/>
        <w:ind w:right="-199"/>
        <w:spacing w:after="0"/>
        <w:rPr>
          <w:sz w:val="20"/>
          <w:szCs w:val="20"/>
          <w:color w:val="auto"/>
        </w:rPr>
      </w:pPr>
      <w:r>
        <w:rPr>
          <w:rFonts w:ascii="Arial" w:cs="Arial" w:eastAsia="Arial" w:hAnsi="Arial"/>
          <w:sz w:val="18"/>
          <w:szCs w:val="18"/>
          <w:b w:val="1"/>
          <w:bCs w:val="1"/>
          <w:color w:val="auto"/>
        </w:rPr>
        <w:t>Exhibit Index</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1.1 Underwriting Agreement dated March 3, 2008 by and among the Company, WM Holdings and Banc of America Securities LLC, J.P. Morgan Securities Inc. and Greenwich Capital Markets, Inc. as representatives of the several Underwriters named therein.</w:t>
      </w:r>
    </w:p>
    <w:p>
      <w:pPr>
        <w:spacing w:after="0" w:line="62"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4.1 Indenture dated September 10, 1997 by and between the Company and The Bank of New York Trust Company, N.A. (the current successor to Texas Commerce Bank National Association), as Trustee, relating to senior debt securities of the Company (incorporated by reference to Exhibit 4.1 to Current Report on Form 8-K filed September 24, 1997).</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4.2 Form of Officers’ Certificate delivered pursuant to Section 3.01 of the Indenture.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4.3 Form of Notes (included in Exhibit 4.2 above).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4.4 Form of Guarantee Agreement by WM Holdings in favor of the holders of Waste Management, Inc.’s 6.10% Senior Notes due 2018.</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5.1 Opinion of Baker Botts L.L.P.</w:t>
      </w:r>
    </w:p>
    <w:p>
      <w:pPr>
        <w:spacing w:after="0" w:line="19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20"/>
          </w:cols>
          <w:pgMar w:left="240" w:top="958" w:right="4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1.1</w:t>
      </w:r>
    </w:p>
    <w:p>
      <w:pPr>
        <w:spacing w:after="0" w:line="222" w:lineRule="exact"/>
        <w:rPr>
          <w:sz w:val="20"/>
          <w:szCs w:val="20"/>
          <w:color w:val="auto"/>
        </w:rPr>
      </w:pPr>
    </w:p>
    <w:p>
      <w:pPr>
        <w:jc w:val="right"/>
        <w:spacing w:after="0"/>
        <w:rPr>
          <w:sz w:val="20"/>
          <w:szCs w:val="20"/>
          <w:color w:val="auto"/>
        </w:rPr>
      </w:pPr>
      <w:r>
        <w:rPr>
          <w:rFonts w:ascii="Arial" w:cs="Arial" w:eastAsia="Arial" w:hAnsi="Arial"/>
          <w:sz w:val="22"/>
          <w:szCs w:val="22"/>
          <w:b w:val="1"/>
          <w:bCs w:val="1"/>
          <w:i w:val="1"/>
          <w:iCs w:val="1"/>
          <w:color w:val="auto"/>
        </w:rPr>
        <w:t>EXECUTION VERSION</w:t>
      </w: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w:t>
      </w:r>
      <w:r>
        <w:rPr>
          <w:rFonts w:ascii="Arial" w:cs="Arial" w:eastAsia="Arial" w:hAnsi="Arial"/>
          <w:sz w:val="12"/>
          <w:szCs w:val="12"/>
          <w:b w:val="1"/>
          <w:bCs w:val="1"/>
          <w:color w:val="auto"/>
        </w:rPr>
        <w:t>ASTE</w:t>
      </w:r>
      <w:r>
        <w:rPr>
          <w:rFonts w:ascii="Arial" w:cs="Arial" w:eastAsia="Arial" w:hAnsi="Arial"/>
          <w:sz w:val="18"/>
          <w:szCs w:val="18"/>
          <w:b w:val="1"/>
          <w:bCs w:val="1"/>
          <w:color w:val="auto"/>
        </w:rPr>
        <w:t xml:space="preserve"> M</w:t>
      </w:r>
      <w:r>
        <w:rPr>
          <w:rFonts w:ascii="Arial" w:cs="Arial" w:eastAsia="Arial" w:hAnsi="Arial"/>
          <w:sz w:val="12"/>
          <w:szCs w:val="12"/>
          <w:b w:val="1"/>
          <w:bCs w:val="1"/>
          <w:color w:val="auto"/>
        </w:rPr>
        <w:t>ANAGEMENT</w:t>
      </w:r>
      <w:r>
        <w:rPr>
          <w:rFonts w:ascii="Arial" w:cs="Arial" w:eastAsia="Arial" w:hAnsi="Arial"/>
          <w:sz w:val="18"/>
          <w:szCs w:val="18"/>
          <w:b w:val="1"/>
          <w:bCs w:val="1"/>
          <w:color w:val="auto"/>
        </w:rPr>
        <w:t>, I</w:t>
      </w:r>
      <w:r>
        <w:rPr>
          <w:rFonts w:ascii="Arial" w:cs="Arial" w:eastAsia="Arial" w:hAnsi="Arial"/>
          <w:sz w:val="12"/>
          <w:szCs w:val="12"/>
          <w:b w:val="1"/>
          <w:bCs w:val="1"/>
          <w:color w:val="auto"/>
        </w:rPr>
        <w:t>NC</w:t>
      </w:r>
      <w:r>
        <w:rPr>
          <w:rFonts w:ascii="Arial" w:cs="Arial" w:eastAsia="Arial" w:hAnsi="Arial"/>
          <w:sz w:val="18"/>
          <w:szCs w:val="18"/>
          <w:b w:val="1"/>
          <w:bCs w:val="1"/>
          <w:color w:val="auto"/>
        </w:rPr>
        <w:t>.</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$600,000,000</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6.10% Senior Notes due 2018</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 Agreement</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March 3, 2008</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To the Representatives named</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in Schedule II hereto of the</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Underwriters named in</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Schedule II hereto</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Waste Management, Inc., a corporation organized under the laws of Delaware (the “</w:t>
      </w:r>
      <w:r>
        <w:rPr>
          <w:rFonts w:ascii="Arial" w:cs="Arial" w:eastAsia="Arial" w:hAnsi="Arial"/>
          <w:sz w:val="17"/>
          <w:szCs w:val="17"/>
          <w:u w:val="single" w:color="auto"/>
          <w:color w:val="auto"/>
        </w:rPr>
        <w:t>Company</w:t>
      </w:r>
      <w:r>
        <w:rPr>
          <w:rFonts w:ascii="Arial" w:cs="Arial" w:eastAsia="Arial" w:hAnsi="Arial"/>
          <w:sz w:val="17"/>
          <w:szCs w:val="17"/>
          <w:color w:val="auto"/>
        </w:rPr>
        <w:t>”), proposes to sell to the several underwriters named in Schedule II hereto (the “</w:t>
      </w:r>
      <w:r>
        <w:rPr>
          <w:rFonts w:ascii="Arial" w:cs="Arial" w:eastAsia="Arial" w:hAnsi="Arial"/>
          <w:sz w:val="17"/>
          <w:szCs w:val="17"/>
          <w:u w:val="single" w:color="auto"/>
          <w:color w:val="auto"/>
        </w:rPr>
        <w:t>Underwriters</w:t>
      </w:r>
      <w:r>
        <w:rPr>
          <w:rFonts w:ascii="Arial" w:cs="Arial" w:eastAsia="Arial" w:hAnsi="Arial"/>
          <w:sz w:val="17"/>
          <w:szCs w:val="17"/>
          <w:color w:val="auto"/>
        </w:rPr>
        <w:t>”), for whom you (the “</w:t>
      </w:r>
      <w:r>
        <w:rPr>
          <w:rFonts w:ascii="Arial" w:cs="Arial" w:eastAsia="Arial" w:hAnsi="Arial"/>
          <w:sz w:val="17"/>
          <w:szCs w:val="17"/>
          <w:u w:val="single" w:color="auto"/>
          <w:color w:val="auto"/>
        </w:rPr>
        <w:t>Representatives</w:t>
      </w:r>
      <w:r>
        <w:rPr>
          <w:rFonts w:ascii="Arial" w:cs="Arial" w:eastAsia="Arial" w:hAnsi="Arial"/>
          <w:sz w:val="17"/>
          <w:szCs w:val="17"/>
          <w:color w:val="auto"/>
        </w:rPr>
        <w:t>”) are acting as representatives, the principal amount of its securities identified in Schedule I hereto (the “</w:t>
      </w:r>
      <w:r>
        <w:rPr>
          <w:rFonts w:ascii="Arial" w:cs="Arial" w:eastAsia="Arial" w:hAnsi="Arial"/>
          <w:sz w:val="17"/>
          <w:szCs w:val="17"/>
          <w:u w:val="single" w:color="auto"/>
          <w:color w:val="auto"/>
        </w:rPr>
        <w:t>Notes</w:t>
      </w:r>
      <w:r>
        <w:rPr>
          <w:rFonts w:ascii="Arial" w:cs="Arial" w:eastAsia="Arial" w:hAnsi="Arial"/>
          <w:sz w:val="17"/>
          <w:szCs w:val="17"/>
          <w:color w:val="auto"/>
        </w:rPr>
        <w:t>”), to be issued under an indenture (the “</w:t>
      </w:r>
      <w:r>
        <w:rPr>
          <w:rFonts w:ascii="Arial" w:cs="Arial" w:eastAsia="Arial" w:hAnsi="Arial"/>
          <w:sz w:val="17"/>
          <w:szCs w:val="17"/>
          <w:u w:val="single" w:color="auto"/>
          <w:color w:val="auto"/>
        </w:rPr>
        <w:t>Indenture</w:t>
      </w:r>
      <w:r>
        <w:rPr>
          <w:rFonts w:ascii="Arial" w:cs="Arial" w:eastAsia="Arial" w:hAnsi="Arial"/>
          <w:sz w:val="17"/>
          <w:szCs w:val="17"/>
          <w:color w:val="auto"/>
        </w:rPr>
        <w:t>”) dated as of September 10, 1997, between the Company and The Bank of New York Trust Company, N.A. (as the current successor to Texas Commerce Bank National Association), as trustee (the “</w:t>
      </w:r>
      <w:r>
        <w:rPr>
          <w:rFonts w:ascii="Arial" w:cs="Arial" w:eastAsia="Arial" w:hAnsi="Arial"/>
          <w:sz w:val="17"/>
          <w:szCs w:val="17"/>
          <w:u w:val="single" w:color="auto"/>
          <w:color w:val="auto"/>
        </w:rPr>
        <w:t>Trustee</w:t>
      </w:r>
      <w:r>
        <w:rPr>
          <w:rFonts w:ascii="Arial" w:cs="Arial" w:eastAsia="Arial" w:hAnsi="Arial"/>
          <w:sz w:val="17"/>
          <w:szCs w:val="17"/>
          <w:color w:val="auto"/>
        </w:rPr>
        <w:t>”), and to be guaranteed on a senior unsecured basis (the “</w:t>
      </w:r>
      <w:r>
        <w:rPr>
          <w:rFonts w:ascii="Arial" w:cs="Arial" w:eastAsia="Arial" w:hAnsi="Arial"/>
          <w:sz w:val="17"/>
          <w:szCs w:val="17"/>
          <w:u w:val="single" w:color="auto"/>
          <w:color w:val="auto"/>
        </w:rPr>
        <w:t>Guarantee</w:t>
      </w:r>
      <w:r>
        <w:rPr>
          <w:rFonts w:ascii="Arial" w:cs="Arial" w:eastAsia="Arial" w:hAnsi="Arial"/>
          <w:sz w:val="17"/>
          <w:szCs w:val="17"/>
          <w:color w:val="auto"/>
        </w:rPr>
        <w:t>”) by Waste Management Holdings, Inc. (“</w:t>
      </w:r>
      <w:r>
        <w:rPr>
          <w:rFonts w:ascii="Arial" w:cs="Arial" w:eastAsia="Arial" w:hAnsi="Arial"/>
          <w:sz w:val="17"/>
          <w:szCs w:val="17"/>
          <w:u w:val="single" w:color="auto"/>
          <w:color w:val="auto"/>
        </w:rPr>
        <w:t>Holdings</w:t>
      </w:r>
      <w:r>
        <w:rPr>
          <w:rFonts w:ascii="Arial" w:cs="Arial" w:eastAsia="Arial" w:hAnsi="Arial"/>
          <w:sz w:val="17"/>
          <w:szCs w:val="17"/>
          <w:color w:val="auto"/>
        </w:rPr>
        <w:t>”) pursuant to a guarantee (the “</w:t>
      </w:r>
      <w:r>
        <w:rPr>
          <w:rFonts w:ascii="Arial" w:cs="Arial" w:eastAsia="Arial" w:hAnsi="Arial"/>
          <w:sz w:val="17"/>
          <w:szCs w:val="17"/>
          <w:u w:val="single" w:color="auto"/>
          <w:color w:val="auto"/>
        </w:rPr>
        <w:t>Guarantee Agreement</w:t>
      </w:r>
      <w:r>
        <w:rPr>
          <w:rFonts w:ascii="Arial" w:cs="Arial" w:eastAsia="Arial" w:hAnsi="Arial"/>
          <w:sz w:val="17"/>
          <w:szCs w:val="17"/>
          <w:color w:val="auto"/>
        </w:rPr>
        <w:t>”) in favor of the holders of the Notes to be dated as of the Closing Date (as defined in Section 3 hereof). The Notes and the Guarantee are sometimes referred to herein collectively as the “</w:t>
      </w:r>
      <w:r>
        <w:rPr>
          <w:rFonts w:ascii="Arial" w:cs="Arial" w:eastAsia="Arial" w:hAnsi="Arial"/>
          <w:sz w:val="17"/>
          <w:szCs w:val="17"/>
          <w:u w:val="single" w:color="auto"/>
          <w:color w:val="auto"/>
        </w:rPr>
        <w:t>Securities</w:t>
      </w:r>
      <w:r>
        <w:rPr>
          <w:rFonts w:ascii="Arial" w:cs="Arial" w:eastAsia="Arial" w:hAnsi="Arial"/>
          <w:sz w:val="17"/>
          <w:szCs w:val="17"/>
          <w:color w:val="auto"/>
        </w:rPr>
        <w:t>.” Any reference herein to the Registration Statement, the Preliminary Prospectus or the Final Prospectus shall be deemed to refer to and include the documents incorporated by reference therein pursuant to Item 12 of Form S-3 under the Act, which were filed under the Exchange Act on or before the Effective Date of the Registration Statement or the date of the Preliminary Prospectus or the Final Prospectus, as the case may be; and any reference herein to the terms “amend,” “amendment” or “supplement” with respect to the Registration Statement, the Preliminary Prospectus or the Final Prospectus shall be deemed to refer to and include the filing of any document under the Exchange Act after the Effective Date of the Registration Statement or the date of the Preliminary Prospectus or the Final Prospectus, as the case may be, deemed to be incorporated therein by reference. Certain terms used herein are defined in Section 18 hereof.</w:t>
      </w:r>
    </w:p>
    <w:p>
      <w:pPr>
        <w:spacing w:after="0" w:line="80" w:lineRule="exact"/>
        <w:rPr>
          <w:sz w:val="20"/>
          <w:szCs w:val="20"/>
          <w:color w:val="auto"/>
        </w:rPr>
      </w:pPr>
    </w:p>
    <w:p>
      <w:pPr>
        <w:ind w:right="320" w:firstLine="215"/>
        <w:spacing w:after="0" w:line="277" w:lineRule="auto"/>
        <w:rPr>
          <w:sz w:val="20"/>
          <w:szCs w:val="20"/>
          <w:color w:val="auto"/>
        </w:rPr>
      </w:pPr>
      <w:r>
        <w:rPr>
          <w:rFonts w:ascii="Arial" w:cs="Arial" w:eastAsia="Arial" w:hAnsi="Arial"/>
          <w:sz w:val="18"/>
          <w:szCs w:val="18"/>
          <w:color w:val="auto"/>
        </w:rPr>
        <w:t>At or prior to the Time of Sale, the Company had prepared the following information (the “</w:t>
      </w:r>
      <w:r>
        <w:rPr>
          <w:rFonts w:ascii="Arial" w:cs="Arial" w:eastAsia="Arial" w:hAnsi="Arial"/>
          <w:sz w:val="18"/>
          <w:szCs w:val="18"/>
          <w:u w:val="single" w:color="auto"/>
          <w:color w:val="auto"/>
        </w:rPr>
        <w:t>Time of Sale Information</w:t>
      </w:r>
      <w:r>
        <w:rPr>
          <w:rFonts w:ascii="Arial" w:cs="Arial" w:eastAsia="Arial" w:hAnsi="Arial"/>
          <w:sz w:val="18"/>
          <w:szCs w:val="18"/>
          <w:color w:val="auto"/>
        </w:rPr>
        <w:t>”): the Preliminary Prospectus and each “free-writing prospectus” (as defined pursuant to Rule 405 under the Act) listed on Annex A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6" w:name="page7"/>
    <w:bookmarkEnd w:id="6"/>
    <w:p>
      <w:pPr>
        <w:ind w:left="-20" w:right="80" w:firstLine="233"/>
        <w:spacing w:after="0" w:line="277" w:lineRule="auto"/>
        <w:tabs>
          <w:tab w:leader="none" w:pos="385"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Each of the Company and Holdings represents and warrants to, and agrees with, each Underwriter as set forth below in this Section 1.</w:t>
      </w:r>
    </w:p>
    <w:p>
      <w:pPr>
        <w:spacing w:after="0" w:line="62" w:lineRule="exact"/>
        <w:rPr>
          <w:rFonts w:ascii="Arial" w:cs="Arial" w:eastAsia="Arial" w:hAnsi="Arial"/>
          <w:sz w:val="18"/>
          <w:szCs w:val="18"/>
          <w:color w:val="auto"/>
        </w:rPr>
      </w:pPr>
    </w:p>
    <w:p>
      <w:pPr>
        <w:ind w:left="220" w:right="20" w:firstLine="221"/>
        <w:spacing w:after="0" w:line="289" w:lineRule="auto"/>
        <w:tabs>
          <w:tab w:leader="none" w:pos="690" w:val="left"/>
        </w:tabs>
        <w:numPr>
          <w:ilvl w:val="1"/>
          <w:numId w:val="2"/>
        </w:numPr>
        <w:rPr>
          <w:rFonts w:ascii="Arial" w:cs="Arial" w:eastAsia="Arial" w:hAnsi="Arial"/>
          <w:sz w:val="16"/>
          <w:szCs w:val="16"/>
          <w:color w:val="auto"/>
        </w:rPr>
      </w:pPr>
      <w:r>
        <w:rPr>
          <w:rFonts w:ascii="Arial" w:cs="Arial" w:eastAsia="Arial" w:hAnsi="Arial"/>
          <w:sz w:val="16"/>
          <w:szCs w:val="16"/>
          <w:color w:val="auto"/>
        </w:rPr>
        <w:t>The Company meets the requirements for use of Form S-3 under the Act and has prepared and filed with the Commission a registration statement (File Number 333-137526) on Form S-3, including a related basic prospectus, for registration under the Act of the offering and sale of the Securities. The Registration Statement is an “automatic effective registration statement” as defined under Rule 405 of the Act that has been filed with the Commission not earlier than three years prior to the date hereof; and no notice of objection of the Commission to the use of such registration statement or any post-effective amendment thereto pursuant to Rule 401(g)(2) under the Act has been received by the Company. No order suspending the effectiveness of the Registration Statement has been issued by the Commission and no proceeding for that purpose or pursuant to Section 8A of the Act against the Company or related to the offering has been initiated or threatened by the Commission. The Company may have filed one or more amendments thereto each of which has previously been furnished to you. The Company will next file with the Commission a final prospectus in accordance with Rules 415 and 424(b). The Registration Statement, at the Time of Sale, meets the requirements set forth in Rule 415(a)(1)(x).</w:t>
      </w:r>
    </w:p>
    <w:p>
      <w:pPr>
        <w:spacing w:after="0" w:line="58" w:lineRule="exact"/>
        <w:rPr>
          <w:rFonts w:ascii="Arial" w:cs="Arial" w:eastAsia="Arial" w:hAnsi="Arial"/>
          <w:sz w:val="16"/>
          <w:szCs w:val="16"/>
          <w:color w:val="auto"/>
        </w:rPr>
      </w:pPr>
    </w:p>
    <w:p>
      <w:pPr>
        <w:ind w:left="220" w:firstLine="221"/>
        <w:spacing w:after="0" w:line="286" w:lineRule="auto"/>
        <w:tabs>
          <w:tab w:leader="none" w:pos="700" w:val="left"/>
        </w:tabs>
        <w:numPr>
          <w:ilvl w:val="1"/>
          <w:numId w:val="2"/>
        </w:numPr>
        <w:rPr>
          <w:rFonts w:ascii="Arial" w:cs="Arial" w:eastAsia="Arial" w:hAnsi="Arial"/>
          <w:sz w:val="16"/>
          <w:szCs w:val="16"/>
          <w:color w:val="auto"/>
        </w:rPr>
      </w:pPr>
      <w:r>
        <w:rPr>
          <w:rFonts w:ascii="Arial" w:cs="Arial" w:eastAsia="Arial" w:hAnsi="Arial"/>
          <w:sz w:val="16"/>
          <w:szCs w:val="16"/>
          <w:color w:val="auto"/>
        </w:rPr>
        <w:t xml:space="preserve">At the Effective Date, the Registration Statement did, and when the Final Prospectus is first filed in accordance with Rule 424(b) and on the Closing Date (as defined herein), the Final Prospectus (and any supplement thereto) will, comply in all material respects with the applicable requirements of the Act, the Exchange Act and the Trust Indenture Act and the respective rules thereunder; on the Effective Date the Registration Statement did not, and on the Closing Date the Registration Statement will not, contain any untrue statement of a material fact or omit to state any material fact required to be stated therein or necessary in order to make the statements therein not misleading; on the Effective Date the Indenture did, and on the Closing Date the Indenture will, comply in all material respects with the applicable requirements of the Trust Indenture Act and the rules thereunder; and on the date of filing of the Final Prospectus pursuant to Rule 424(b) and on the Closing Date, the Registration Statement and the Final Prospectus (together with any supplement thereto) will not, include any untrue statement of a material fact or omit to state a material fact necessary in order to make the statements therein (in the light of the circumstances under which they were made with respect to the Final Prospectus), not misleading;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the Company makes no representations or warranties as to (i) that part of the Registration Statement which shall constitute the Statement of Eligibility and Qualification (Form T-1) under the Trust Indenture Act of the Trustee or (ii) the information contained in or omitted from the Registration Statement or the Final Prospectus (or any supplement thereto) in reliance upon and in conformity with information furnished in writing to the Company by or on behalf of any Underwriter through the Representatives specifically for inclusion in the Registration Statement or the Final Prospectus (or any supplement thereto).</w:t>
      </w:r>
    </w:p>
    <w:p>
      <w:pPr>
        <w:spacing w:after="0" w:line="66" w:lineRule="exact"/>
        <w:rPr>
          <w:rFonts w:ascii="Arial" w:cs="Arial" w:eastAsia="Arial" w:hAnsi="Arial"/>
          <w:sz w:val="16"/>
          <w:szCs w:val="16"/>
          <w:color w:val="auto"/>
        </w:rPr>
      </w:pPr>
    </w:p>
    <w:p>
      <w:pPr>
        <w:ind w:left="220" w:right="180" w:firstLine="221"/>
        <w:spacing w:after="0" w:line="277" w:lineRule="auto"/>
        <w:tabs>
          <w:tab w:leader="none" w:pos="690" w:val="left"/>
        </w:tabs>
        <w:numPr>
          <w:ilvl w:val="1"/>
          <w:numId w:val="2"/>
        </w:numPr>
        <w:rPr>
          <w:rFonts w:ascii="Arial" w:cs="Arial" w:eastAsia="Arial" w:hAnsi="Arial"/>
          <w:sz w:val="18"/>
          <w:szCs w:val="18"/>
          <w:color w:val="auto"/>
        </w:rPr>
      </w:pPr>
      <w:r>
        <w:rPr>
          <w:rFonts w:ascii="Arial" w:cs="Arial" w:eastAsia="Arial" w:hAnsi="Arial"/>
          <w:sz w:val="18"/>
          <w:szCs w:val="18"/>
          <w:color w:val="auto"/>
        </w:rPr>
        <w:t>The Time of Sale Information, at the Time of Sale did not, and at the Closing Date will not, contain any untrue statement of a material fact or omit to state a</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60" w:top="935" w:right="239" w:bottom="1440" w:gutter="0" w:footer="0" w:header="0"/>
        </w:sectPr>
      </w:pPr>
    </w:p>
    <w:bookmarkStart w:id="7" w:name="page8"/>
    <w:bookmarkEnd w:id="7"/>
    <w:p>
      <w:pPr>
        <w:ind w:right="220"/>
        <w:spacing w:after="0" w:line="297" w:lineRule="auto"/>
        <w:rPr>
          <w:sz w:val="20"/>
          <w:szCs w:val="20"/>
          <w:color w:val="auto"/>
        </w:rPr>
      </w:pPr>
      <w:r>
        <w:rPr>
          <w:rFonts w:ascii="Arial" w:cs="Arial" w:eastAsia="Arial" w:hAnsi="Arial"/>
          <w:sz w:val="16"/>
          <w:szCs w:val="16"/>
          <w:color w:val="auto"/>
        </w:rPr>
        <w:t>material fact necessary in order to make the statements therein, in the light of the circumstances under which they were made, not misleading; provided that the Company makes no representation and warranty with respect to any statements or omissions made in reliance upon and in conformity with information relating to any Underwriter furnished to the Company in writing by such Underwriter through the Representatives expressly for use in such Time of Sale Information. No statement of material fact included in the Final Prospectus has been omitted from the Time of Sale Information and no statement of material fact included in the Time of Sale Information that is required to be included in the Final Prospectus has been omitted therefrom.</w:t>
      </w:r>
    </w:p>
    <w:p>
      <w:pPr>
        <w:spacing w:after="0" w:line="50" w:lineRule="exact"/>
        <w:rPr>
          <w:sz w:val="20"/>
          <w:szCs w:val="20"/>
          <w:color w:val="auto"/>
        </w:rPr>
      </w:pPr>
    </w:p>
    <w:p>
      <w:pPr>
        <w:ind w:firstLine="221"/>
        <w:spacing w:after="0" w:line="286" w:lineRule="auto"/>
        <w:tabs>
          <w:tab w:leader="none" w:pos="4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Company (including its agents and representatives, other than the Underwriters in their capacity as such) has not prepared, made, used, authorized, approved or referred to and will not prepare, make, use, authorize, approve or refer to any “written communication” (as defined in Rule 405 under the Act) that constitutes an offer to sell or solicitation of an offer to buy the Securities (each such communication by the Company or its agents and representatives (other than a communication referred to in clauses (i) (ii) and (iii) below) an “Issuer Free Writing Prospectus”) other than (i) any document not constituting a prospectus pursuant to Section 2(a)(10)(a) of the Act or Rule 134 under the Act, (ii) the Preliminary Prospectus, (iii) the Final Prospectus, (iv) the documents constituting the Time of Sale Information and (v) any electronic road show or other written communications, in each case approved in writing in advance by the Representatives. Each such Issuer Free Writing Prospectus complied in all material respects with the Act, has been or will be (within the time period specified in Rule 433) filed in accordance with the Act (to the extent required thereby) and, when taken together with the Preliminary Prospectus filed prior to the first use of such Issuer Free Writing Prospectus, did not, and at the Closing Date will not, contain any untrue statement of a material fact or omit to state a material fact necessary in order to make the statements therein, in the light of the circumstances under which they were made, not misleading; provided that the Company makes no representation and warranty with respect to any statements or omissions made in each such Issuer Free Writing Prospectus in reliance upon and in conformity with information relating to any Underwriter furnished to the Company in writing by such Underwriter through the Representatives expressly for use in any Issuer Free Writing Prospectus.</w:t>
      </w:r>
    </w:p>
    <w:p>
      <w:pPr>
        <w:spacing w:after="0" w:line="66" w:lineRule="exact"/>
        <w:rPr>
          <w:rFonts w:ascii="Arial" w:cs="Arial" w:eastAsia="Arial" w:hAnsi="Arial"/>
          <w:sz w:val="16"/>
          <w:szCs w:val="16"/>
          <w:color w:val="auto"/>
        </w:rPr>
      </w:pPr>
    </w:p>
    <w:p>
      <w:pPr>
        <w:ind w:right="100" w:firstLine="221"/>
        <w:spacing w:after="0" w:line="271" w:lineRule="auto"/>
        <w:tabs>
          <w:tab w:leader="none" w:pos="47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documents incorporated by reference in the Registration Statement, the Time of Sale Information and the Final Prospectus, when they were filed with the Commission conformed in all material respects to the requirements of the Exchange Act and none of such documents contained any untrue statement of a material fact or omitted to state a material fact required to be stated therein or necessary to make the statements therein, in the light of the circumstances under which they were made, not misleading; and any further documents so filed and incorporated by reference in the Registration Statement, the Time of Sale Information and the Final Prospectus, when such documents become effective or are filed with the Commission, as the case may be, will conform in all material respects to the requirements of the Act or the Exchange Act, as applicable, and will not contain any untrue statement of a material fact or omit to state a material fact required to be stated therein or necessary to make the statements therein, in the light of the circumstances under which they were made, not misleading.</w:t>
      </w:r>
    </w:p>
    <w:p>
      <w:pPr>
        <w:spacing w:after="0" w:line="152"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0"/>
          </w:cols>
          <w:pgMar w:left="480" w:top="935" w:right="279" w:bottom="1440" w:gutter="0" w:footer="0" w:header="0"/>
        </w:sectPr>
      </w:pPr>
    </w:p>
    <w:bookmarkStart w:id="8" w:name="page9"/>
    <w:bookmarkEnd w:id="8"/>
    <w:p>
      <w:pPr>
        <w:ind w:firstLine="221"/>
        <w:spacing w:after="0" w:line="255" w:lineRule="auto"/>
        <w:tabs>
          <w:tab w:leader="none" w:pos="45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Indenture has been duly authorized, executed and delivered by the Company and, assuming it was duly executed and delivered by the Trustee, is a valid and binding agreement of the Company, enforceable against the Company in accordance with its terms, except as enforcement thereof may be limited by applicable bankruptcy, insolvency, fraudulent conveyance, reorganization, moratorium and similar laws now or hereafter in effect relating to or affecting rights and remedies of creditors, and to general principles of equity (regardless of whether enforcement is sought in a proceeding at law or in equity), and the Indenture has been duly qualified under the Trust Indenture Act and conforms to the description thereof in the Registration Statement, the Time of Sale Information and the Final Prospectus.</w:t>
      </w:r>
    </w:p>
    <w:p>
      <w:pPr>
        <w:spacing w:after="0" w:line="85" w:lineRule="exact"/>
        <w:rPr>
          <w:rFonts w:ascii="Arial" w:cs="Arial" w:eastAsia="Arial" w:hAnsi="Arial"/>
          <w:sz w:val="18"/>
          <w:szCs w:val="18"/>
          <w:color w:val="auto"/>
        </w:rPr>
      </w:pPr>
    </w:p>
    <w:p>
      <w:pPr>
        <w:ind w:firstLine="221"/>
        <w:spacing w:after="0" w:line="255" w:lineRule="auto"/>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Notes have been duly authorized and, when executed by the Company and authenticated by the Trustee in accordance with the Indenture and delivered to you against payment therefor in accordance with the terms hereof, will have been validly issued and delivered, and will constitute valid and binding obligations of the Company entitled to the benefits of the Indenture and enforceable against the Company in accordance with their terms, except as enforcement thereof may be limited by applicable bankruptcy, insolvency, fraudulent conveyance, reorganization, moratorium and similar laws now or hereafter in effect relating to or affecting rights and remedies of creditors, and to general principles of equity (regardless of whether enforcement is sought in a proceeding at law or in equity), and the Notes conform to the description thereof in the Registration Statement, the Time of Sale Information and the Final Prospectus.</w:t>
      </w:r>
    </w:p>
    <w:p>
      <w:pPr>
        <w:spacing w:after="0" w:line="81" w:lineRule="exact"/>
        <w:rPr>
          <w:rFonts w:ascii="Arial" w:cs="Arial" w:eastAsia="Arial" w:hAnsi="Arial"/>
          <w:sz w:val="18"/>
          <w:szCs w:val="18"/>
          <w:color w:val="auto"/>
        </w:rPr>
      </w:pPr>
    </w:p>
    <w:p>
      <w:pPr>
        <w:ind w:right="80" w:firstLine="221"/>
        <w:spacing w:after="0" w:line="273" w:lineRule="auto"/>
        <w:tabs>
          <w:tab w:leader="none" w:pos="48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Guarantee Agreement has been duly authorized and, when executed and delivered by Holdings against payment for the Notes in accordance with the terms thereof, will have been validly executed and delivered, and will constitute a valid and binding agreement of Holdings, enforceable against Holdings in accordance with its terms, except as enforcement thereof may be limited by applicable bankruptcy, insolvency, fraudulent conveyance, reorganization, moratorium and similar laws now or hereafter in effect relating to or affecting rights and remedies of creditors, and to general principles of equity (regardless of whether enforcement is sought in a proceeding at law or in equity), and the Guarantee conforms to the description thereof in the Registration Statement, the Time of Sale Information and the Final Prospectus.</w:t>
      </w:r>
    </w:p>
    <w:p>
      <w:pPr>
        <w:spacing w:after="0" w:line="70" w:lineRule="exact"/>
        <w:rPr>
          <w:rFonts w:ascii="Arial" w:cs="Arial" w:eastAsia="Arial" w:hAnsi="Arial"/>
          <w:sz w:val="17"/>
          <w:szCs w:val="17"/>
          <w:color w:val="auto"/>
        </w:rPr>
      </w:pPr>
    </w:p>
    <w:p>
      <w:pPr>
        <w:ind w:right="20" w:firstLine="221"/>
        <w:spacing w:after="0" w:line="293" w:lineRule="auto"/>
        <w:tabs>
          <w:tab w:leader="none" w:pos="44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Company is a corporation duly organized and validly existing in good standing under the laws of the State of Delaware with full corporate power and authority to own, lease and operate its properties and to conduct its business as described in the Registration Statement, the Time of Sale Information and the Final Prospectus, and is duly registered and qualified to conduct its business and is in good standing in each jurisdiction or place where the nature of its properties or the conduct of its business requires such registration or qualification, except where the failure so to register or qualify does not have a material adverse effect on the condition (financial or other), prospects, earnings, business or properties of the Company and its subsidiaries taken as a whole, whether or not arising from transactions in the ordinary course of business (a “</w:t>
      </w:r>
      <w:r>
        <w:rPr>
          <w:rFonts w:ascii="Arial" w:cs="Arial" w:eastAsia="Arial" w:hAnsi="Arial"/>
          <w:sz w:val="16"/>
          <w:szCs w:val="16"/>
          <w:u w:val="single" w:color="auto"/>
          <w:color w:val="auto"/>
        </w:rPr>
        <w:t>Material Adverse Effect</w:t>
      </w:r>
      <w:r>
        <w:rPr>
          <w:rFonts w:ascii="Arial" w:cs="Arial" w:eastAsia="Arial" w:hAnsi="Arial"/>
          <w:sz w:val="16"/>
          <w:szCs w:val="16"/>
          <w:color w:val="auto"/>
        </w:rPr>
        <w:t>”).</w:t>
      </w:r>
    </w:p>
    <w:p>
      <w:pPr>
        <w:spacing w:after="0" w:line="138"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480" w:top="935" w:right="239" w:bottom="1440" w:gutter="0" w:footer="0" w:header="0"/>
        </w:sectPr>
      </w:pPr>
    </w:p>
    <w:bookmarkStart w:id="9" w:name="page10"/>
    <w:bookmarkEnd w:id="9"/>
    <w:p>
      <w:pPr>
        <w:ind w:firstLine="221"/>
        <w:spacing w:after="0" w:line="257" w:lineRule="auto"/>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Holdings is a corporation duly organized and validly existing in good standing under the laws of the State of Delaware with full corporate power and authority to own, lease and operate its properties and to conduct its business as described in the Registration Statement, the Time of Sale Information and the Final Prospectus, and is duly registered and qualified to conduct its business and is in good standing in each jurisdiction or place where the nature of its properties or the conduct of its business requires such registration or qualification, except where the failure so to register or qualify does not have a Material Adverse Effect.</w:t>
      </w:r>
    </w:p>
    <w:p>
      <w:pPr>
        <w:spacing w:after="0" w:line="80" w:lineRule="exact"/>
        <w:rPr>
          <w:rFonts w:ascii="Arial" w:cs="Arial" w:eastAsia="Arial" w:hAnsi="Arial"/>
          <w:sz w:val="18"/>
          <w:szCs w:val="18"/>
          <w:color w:val="auto"/>
        </w:rPr>
      </w:pPr>
    </w:p>
    <w:p>
      <w:pPr>
        <w:ind w:right="80" w:firstLine="221"/>
        <w:spacing w:after="0" w:line="272" w:lineRule="auto"/>
        <w:tabs>
          <w:tab w:leader="none" w:pos="480" w:val="left"/>
        </w:tabs>
        <w:numPr>
          <w:ilvl w:val="0"/>
          <w:numId w:val="5"/>
        </w:numPr>
        <w:rPr>
          <w:rFonts w:ascii="Arial" w:cs="Arial" w:eastAsia="Arial" w:hAnsi="Arial"/>
          <w:sz w:val="17"/>
          <w:szCs w:val="17"/>
          <w:color w:val="auto"/>
        </w:rPr>
      </w:pPr>
      <w:r>
        <w:rPr>
          <w:rFonts w:ascii="Arial" w:cs="Arial" w:eastAsia="Arial" w:hAnsi="Arial"/>
          <w:sz w:val="17"/>
          <w:szCs w:val="17"/>
          <w:color w:val="auto"/>
        </w:rPr>
        <w:t>Each of the Company’s “significant subsidiaries” (as such term is defined in Regulation S-X under the Exchange Act) is included in the list of subsidiaries on Exhibit 21.1 of the Annual Report on Form 10-K for the year ended December 31, 2007 (the “</w:t>
      </w:r>
      <w:r>
        <w:rPr>
          <w:rFonts w:ascii="Arial" w:cs="Arial" w:eastAsia="Arial" w:hAnsi="Arial"/>
          <w:sz w:val="17"/>
          <w:szCs w:val="17"/>
          <w:u w:val="single" w:color="auto"/>
          <w:color w:val="auto"/>
        </w:rPr>
        <w:t>Subsidiaries</w:t>
      </w:r>
      <w:r>
        <w:rPr>
          <w:rFonts w:ascii="Arial" w:cs="Arial" w:eastAsia="Arial" w:hAnsi="Arial"/>
          <w:sz w:val="17"/>
          <w:szCs w:val="17"/>
          <w:color w:val="auto"/>
        </w:rPr>
        <w:t>”), and each of the Subsidiaries has been duly organized, is validly existing and is in good standing in the jurisdiction of its incorporation, with full corporate power and authority to own, lease and operate its properties and to conduct its business as described in the Registration Statement, the Time of Sale Information and the Final Prospectus; and each of the Subsidiaries is duly registered and qualified to conduct its business and is in good standing in each jurisdiction or place where the nature of its properties or the conduct of its business requires such registration or qualification, except where the failure so to register or qualify does not, singly or in the aggregate, have a Material Adverse Effect.</w:t>
      </w:r>
    </w:p>
    <w:p>
      <w:pPr>
        <w:spacing w:after="0" w:line="69" w:lineRule="exact"/>
        <w:rPr>
          <w:rFonts w:ascii="Arial" w:cs="Arial" w:eastAsia="Arial" w:hAnsi="Arial"/>
          <w:sz w:val="17"/>
          <w:szCs w:val="17"/>
          <w:color w:val="auto"/>
        </w:rPr>
      </w:pPr>
    </w:p>
    <w:p>
      <w:pPr>
        <w:ind w:firstLine="221"/>
        <w:spacing w:after="0" w:line="255" w:lineRule="auto"/>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All of the issued and outstanding shares of capital stock of each of the Subsidiaries have been duly authorized and validly issued and are owned, directly or indirectly, by the Company. All such shares are fully paid and nonassessable, and, except as disclosed in the Registration Statement, the Time of Sale Information and the Final Prospectus, are owned by the Company, directly or indirectly, free and clear of any security interest, mortgage, pledge, claim, lien, encumbrance or adverse interest of any nature (each, a “</w:t>
      </w:r>
      <w:r>
        <w:rPr>
          <w:rFonts w:ascii="Arial" w:cs="Arial" w:eastAsia="Arial" w:hAnsi="Arial"/>
          <w:sz w:val="18"/>
          <w:szCs w:val="18"/>
          <w:u w:val="single" w:color="auto"/>
          <w:color w:val="auto"/>
        </w:rPr>
        <w:t>Lien</w:t>
      </w:r>
      <w:r>
        <w:rPr>
          <w:rFonts w:ascii="Arial" w:cs="Arial" w:eastAsia="Arial" w:hAnsi="Arial"/>
          <w:sz w:val="18"/>
          <w:szCs w:val="18"/>
          <w:color w:val="auto"/>
        </w:rPr>
        <w:t>”). Except as disclosed in the Registration Statement, the Time of Sale Information and the Final Prospectus, there are no outstanding subscriptions, rights, warrants, options, calls, convertible or exchangeable securities, commitments of sale, or Liens related to or entitling any person to purchase or otherwise to acquire any shares of the capital stock of, or other ownership interests in, any Subsidiary.</w:t>
      </w:r>
    </w:p>
    <w:p>
      <w:pPr>
        <w:spacing w:after="0" w:line="81" w:lineRule="exact"/>
        <w:rPr>
          <w:rFonts w:ascii="Arial" w:cs="Arial" w:eastAsia="Arial" w:hAnsi="Arial"/>
          <w:sz w:val="18"/>
          <w:szCs w:val="18"/>
          <w:color w:val="auto"/>
        </w:rPr>
      </w:pPr>
    </w:p>
    <w:p>
      <w:pPr>
        <w:ind w:left="520" w:hanging="299"/>
        <w:spacing w:after="0"/>
        <w:tabs>
          <w:tab w:leader="none" w:pos="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This Agreement has been duly and validly authorized, executed and delivered by the Company and Holdings.</w:t>
      </w:r>
    </w:p>
    <w:p>
      <w:pPr>
        <w:spacing w:after="0" w:line="117" w:lineRule="exact"/>
        <w:rPr>
          <w:rFonts w:ascii="Arial" w:cs="Arial" w:eastAsia="Arial" w:hAnsi="Arial"/>
          <w:sz w:val="18"/>
          <w:szCs w:val="18"/>
          <w:color w:val="auto"/>
        </w:rPr>
      </w:pPr>
    </w:p>
    <w:p>
      <w:pPr>
        <w:ind w:right="40" w:firstLine="221"/>
        <w:spacing w:after="0" w:line="293" w:lineRule="auto"/>
        <w:tabs>
          <w:tab w:leader="none" w:pos="480" w:val="left"/>
        </w:tabs>
        <w:numPr>
          <w:ilvl w:val="0"/>
          <w:numId w:val="5"/>
        </w:numPr>
        <w:rPr>
          <w:rFonts w:ascii="Arial" w:cs="Arial" w:eastAsia="Arial" w:hAnsi="Arial"/>
          <w:sz w:val="16"/>
          <w:szCs w:val="16"/>
          <w:color w:val="auto"/>
        </w:rPr>
      </w:pPr>
      <w:r>
        <w:rPr>
          <w:rFonts w:ascii="Arial" w:cs="Arial" w:eastAsia="Arial" w:hAnsi="Arial"/>
          <w:sz w:val="16"/>
          <w:szCs w:val="16"/>
          <w:color w:val="auto"/>
        </w:rPr>
        <w:t>Except as disclosed in the Registration Statement, the Time of Sale Information and the Final Prospectus, there is no action, suit or proceeding before or by any court or governmental agency or body or any arbitrator pending against the Company or any of its subsidiaries that is required to be disclosed in the Registration Statement, the Time of Sale Information and the Final Prospectus, or which could reasonably be expected to have a Material Adverse Effect, or materially and adversely affect the performance of the Company’s obligations pursuant to this Agreement and, to the best of the Company’s knowledge, no such proceedings are contemplated or threatened. No action has been taken with respect to the Company or any subsidiary, and no statute, rule or regulation or order has been enacted, adopted or issued by any governmental agency</w:t>
      </w:r>
    </w:p>
    <w:p>
      <w:pPr>
        <w:spacing w:after="0" w:line="138"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480" w:top="935" w:right="259" w:bottom="1440" w:gutter="0" w:footer="0" w:header="0"/>
        </w:sectPr>
      </w:pPr>
    </w:p>
    <w:bookmarkStart w:id="10" w:name="page11"/>
    <w:bookmarkEnd w:id="10"/>
    <w:p>
      <w:pPr>
        <w:spacing w:after="0" w:line="276" w:lineRule="auto"/>
        <w:rPr>
          <w:sz w:val="20"/>
          <w:szCs w:val="20"/>
          <w:color w:val="auto"/>
        </w:rPr>
      </w:pPr>
      <w:r>
        <w:rPr>
          <w:rFonts w:ascii="Arial" w:cs="Arial" w:eastAsia="Arial" w:hAnsi="Arial"/>
          <w:sz w:val="17"/>
          <w:szCs w:val="17"/>
          <w:color w:val="auto"/>
        </w:rPr>
        <w:t>and no injunction, restraining order or other order of any court of competent jurisdiction has been issued with respect to the Company or any subsidiary that prevents the issuance of the Securities or suspends the effectiveness of the Registration Statement, prevents or suspends the use of the Final Prospectus or prevents or suspends the sale of the Securities in any of the jurisdictions that you may have specified pursuant to Section 5(h) hereof; and every request of the Commission, or any securities authority or agency of any jurisdiction, for additional information to be included in the Registration Statement or the Final Prospectus or otherwise has been complied with in all material respects.</w:t>
      </w:r>
    </w:p>
    <w:p>
      <w:pPr>
        <w:spacing w:after="0" w:line="64" w:lineRule="exact"/>
        <w:rPr>
          <w:sz w:val="20"/>
          <w:szCs w:val="20"/>
          <w:color w:val="auto"/>
        </w:rPr>
      </w:pPr>
    </w:p>
    <w:p>
      <w:pPr>
        <w:ind w:right="20" w:firstLine="221"/>
        <w:spacing w:after="0" w:line="291" w:lineRule="auto"/>
        <w:tabs>
          <w:tab w:leader="none" w:pos="480" w:val="left"/>
        </w:tabs>
        <w:numPr>
          <w:ilvl w:val="0"/>
          <w:numId w:val="6"/>
        </w:numPr>
        <w:rPr>
          <w:rFonts w:ascii="Arial" w:cs="Arial" w:eastAsia="Arial" w:hAnsi="Arial"/>
          <w:sz w:val="16"/>
          <w:szCs w:val="16"/>
          <w:color w:val="auto"/>
        </w:rPr>
      </w:pPr>
      <w:r>
        <w:rPr>
          <w:rFonts w:ascii="Arial" w:cs="Arial" w:eastAsia="Arial" w:hAnsi="Arial"/>
          <w:sz w:val="16"/>
          <w:szCs w:val="16"/>
          <w:color w:val="auto"/>
        </w:rPr>
        <w:t>Except as disclosed in the Registration Statement, the Time of Sale Information and the Final Prospectus (or any amendment or supplement thereto), subsequent to the respective dates as of which such information is given in the Registration Statement, the Time of Sale Information and the Final Prospectus (or any amendment or supplement thereto), neither the Company nor any of its subsidiaries has incurred any liability or obligation, direct or contingent, that is material to the Company and its subsidiaries taken as a whole, or entered into any transaction, not in the ordinary course of business, that is material to the Company and its subsidiaries taken as a whole, and there has not been any material adverse change, or any development involving or which may reasonably be expected to involve, a prospective material adverse change, in the condition (financial or other), prospects, earnings, business or properties of the Company and its subsidiaries taken as a whole, whether or not arising from transactions in the ordinary course of business.</w:t>
      </w:r>
    </w:p>
    <w:p>
      <w:pPr>
        <w:spacing w:after="0" w:line="59" w:lineRule="exact"/>
        <w:rPr>
          <w:rFonts w:ascii="Arial" w:cs="Arial" w:eastAsia="Arial" w:hAnsi="Arial"/>
          <w:sz w:val="16"/>
          <w:szCs w:val="16"/>
          <w:color w:val="auto"/>
        </w:rPr>
      </w:pPr>
    </w:p>
    <w:p>
      <w:pPr>
        <w:ind w:right="80" w:firstLine="221"/>
        <w:spacing w:after="0" w:line="255" w:lineRule="auto"/>
        <w:tabs>
          <w:tab w:leader="none" w:pos="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Except as otherwise set forth in the Registration Statement, the Time of Sale Information and the Final Prospectus or such as would not have a Material Adverse Effect, each of the Company and its subsidiaries has good and marketable title to all property (real and personal) described in the Registration Statement, the Time of Sale Information and the Final Prospectus as being owned by it, free and clear of all Liens, except Liens for taxes not yet due and payable and Liens described in the Registration Statement, the Time of Sale Information and the Final Prospectus or in a document filed as an exhibit to the Registration Statement. All the property described in the Registration Statement, the Time of Sale Information and the Final Prospectus as being held under lease by each of the Company and its subsidiaries is held by it under valid, subsisting and enforceable leases, except as would not have a Material Adverse Effect.</w:t>
      </w:r>
    </w:p>
    <w:p>
      <w:pPr>
        <w:spacing w:after="0" w:line="81" w:lineRule="exact"/>
        <w:rPr>
          <w:rFonts w:ascii="Arial" w:cs="Arial" w:eastAsia="Arial" w:hAnsi="Arial"/>
          <w:sz w:val="18"/>
          <w:szCs w:val="18"/>
          <w:color w:val="auto"/>
        </w:rPr>
      </w:pPr>
    </w:p>
    <w:p>
      <w:pPr>
        <w:ind w:firstLine="221"/>
        <w:spacing w:after="0" w:line="276" w:lineRule="auto"/>
        <w:tabs>
          <w:tab w:leader="none" w:pos="480" w:val="left"/>
        </w:tabs>
        <w:numPr>
          <w:ilvl w:val="0"/>
          <w:numId w:val="6"/>
        </w:numPr>
        <w:rPr>
          <w:rFonts w:ascii="Arial" w:cs="Arial" w:eastAsia="Arial" w:hAnsi="Arial"/>
          <w:sz w:val="17"/>
          <w:szCs w:val="17"/>
          <w:color w:val="auto"/>
        </w:rPr>
      </w:pPr>
      <w:r>
        <w:rPr>
          <w:rFonts w:ascii="Arial" w:cs="Arial" w:eastAsia="Arial" w:hAnsi="Arial"/>
          <w:sz w:val="17"/>
          <w:szCs w:val="17"/>
          <w:color w:val="auto"/>
        </w:rPr>
        <w:t>Neither the Company nor any Subsidiary is in violation or default of (i) any provision of its charter or bylaws, (ii) the terms of any indenture, contract, lease, mortgage, deed of trust, note agreement, loan agreement or other agreement, obligation, condition, covenant or instrument to which it is a party or bound or to which its property is subject, or (iii) any statute, law, rule, regulation, judgment, order or decree of any court, regulatory body, administrative agency, governmental body, arbitrator or other authority having jurisdiction over the Company or such Subsidiary or any of its properties, as applicable, except in the case of clauses (ii) and (iii) where such violation or default would not have a Material Adverse Effect.</w:t>
      </w:r>
    </w:p>
    <w:p>
      <w:pPr>
        <w:spacing w:after="0" w:line="64" w:lineRule="exact"/>
        <w:rPr>
          <w:rFonts w:ascii="Arial" w:cs="Arial" w:eastAsia="Arial" w:hAnsi="Arial"/>
          <w:sz w:val="17"/>
          <w:szCs w:val="17"/>
          <w:color w:val="auto"/>
        </w:rPr>
      </w:pPr>
    </w:p>
    <w:p>
      <w:pPr>
        <w:ind w:right="20" w:firstLine="221"/>
        <w:spacing w:after="0" w:line="277" w:lineRule="auto"/>
        <w:tabs>
          <w:tab w:leader="none" w:pos="450" w:val="left"/>
        </w:tabs>
        <w:numPr>
          <w:ilvl w:val="0"/>
          <w:numId w:val="6"/>
        </w:numPr>
        <w:rPr>
          <w:rFonts w:ascii="Arial" w:cs="Arial" w:eastAsia="Arial" w:hAnsi="Arial"/>
          <w:sz w:val="18"/>
          <w:szCs w:val="18"/>
          <w:color w:val="auto"/>
        </w:rPr>
      </w:pPr>
      <w:r>
        <w:rPr>
          <w:rFonts w:ascii="Arial" w:cs="Arial" w:eastAsia="Arial" w:hAnsi="Arial"/>
          <w:sz w:val="18"/>
          <w:szCs w:val="18"/>
          <w:color w:val="auto"/>
        </w:rPr>
        <w:t>Neither the Company nor Holdings has distributed and, prior to the later to occur of (i) the Closing Date and (ii) completion of the distribution of the Securities,</w:t>
      </w:r>
    </w:p>
    <w:p>
      <w:pPr>
        <w:spacing w:after="0" w:line="143"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480" w:top="935" w:right="239" w:bottom="1440" w:gutter="0" w:footer="0" w:header="0"/>
        </w:sectPr>
      </w:pPr>
    </w:p>
    <w:bookmarkStart w:id="11" w:name="page12"/>
    <w:bookmarkEnd w:id="11"/>
    <w:p>
      <w:pPr>
        <w:ind w:right="300"/>
        <w:spacing w:after="0" w:line="277" w:lineRule="auto"/>
        <w:rPr>
          <w:sz w:val="20"/>
          <w:szCs w:val="20"/>
          <w:color w:val="auto"/>
        </w:rPr>
      </w:pPr>
      <w:r>
        <w:rPr>
          <w:rFonts w:ascii="Arial" w:cs="Arial" w:eastAsia="Arial" w:hAnsi="Arial"/>
          <w:sz w:val="18"/>
          <w:szCs w:val="18"/>
          <w:color w:val="auto"/>
        </w:rPr>
        <w:t>neither will distribute any offering material in connection with the offering and sale of the Securities other than the Registration Statement, the Time of Sale Information and the Final Prospectus or other materials, if any, permitted by the Act.</w:t>
      </w:r>
    </w:p>
    <w:p>
      <w:pPr>
        <w:spacing w:after="0" w:line="62" w:lineRule="exact"/>
        <w:rPr>
          <w:sz w:val="20"/>
          <w:szCs w:val="20"/>
          <w:color w:val="auto"/>
        </w:rPr>
      </w:pPr>
    </w:p>
    <w:p>
      <w:pPr>
        <w:ind w:firstLine="221"/>
        <w:spacing w:after="0" w:line="257"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Except as would not have a Material Adverse Effect, each of the Company and its subsidiaries own or possess the right to use all patents, trademarks, trademark registrations, service marks, service mark registrations, trade names, copyrights, licenses, inventions, trade secrets and rights described in the Registration Statement, the Time of Sale Information and the Final Prospectus as being owned by them or any of them or necessary for the conduct of their respective businesses, and the Company is not aware of any claim to the contrary or any challenge by any other person to the rights of the Company and its subsidiaries with respect to the foregoing.</w:t>
      </w:r>
    </w:p>
    <w:p>
      <w:pPr>
        <w:spacing w:after="0" w:line="80" w:lineRule="exact"/>
        <w:rPr>
          <w:rFonts w:ascii="Arial" w:cs="Arial" w:eastAsia="Arial" w:hAnsi="Arial"/>
          <w:sz w:val="18"/>
          <w:szCs w:val="18"/>
          <w:color w:val="auto"/>
        </w:rPr>
      </w:pPr>
    </w:p>
    <w:p>
      <w:pPr>
        <w:jc w:val="both"/>
        <w:ind w:right="80" w:firstLine="221"/>
        <w:spacing w:after="0" w:line="264" w:lineRule="auto"/>
        <w:tabs>
          <w:tab w:leader="none" w:pos="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Neither the Company nor Holdings is and, after giving effect to the offering and sale of the Securities and the application of the proceeds thereof as described in the Registration Statement, the Time of Sale Information and the Final Prospectus, neither will be an “investment company” as defined in the 1940 Act.</w:t>
      </w:r>
    </w:p>
    <w:p>
      <w:pPr>
        <w:spacing w:after="0" w:line="73" w:lineRule="exact"/>
        <w:rPr>
          <w:rFonts w:ascii="Arial" w:cs="Arial" w:eastAsia="Arial" w:hAnsi="Arial"/>
          <w:sz w:val="18"/>
          <w:szCs w:val="18"/>
          <w:color w:val="auto"/>
        </w:rPr>
      </w:pPr>
    </w:p>
    <w:p>
      <w:pPr>
        <w:ind w:firstLine="221"/>
        <w:spacing w:after="0" w:line="259" w:lineRule="auto"/>
        <w:tabs>
          <w:tab w:leader="none" w:pos="480" w:val="left"/>
        </w:tabs>
        <w:numPr>
          <w:ilvl w:val="0"/>
          <w:numId w:val="7"/>
        </w:numPr>
        <w:rPr>
          <w:rFonts w:ascii="Arial" w:cs="Arial" w:eastAsia="Arial" w:hAnsi="Arial"/>
          <w:sz w:val="18"/>
          <w:szCs w:val="18"/>
          <w:color w:val="auto"/>
        </w:rPr>
      </w:pPr>
      <w:r>
        <w:rPr>
          <w:rFonts w:ascii="Arial" w:cs="Arial" w:eastAsia="Arial" w:hAnsi="Arial"/>
          <w:sz w:val="18"/>
          <w:szCs w:val="18"/>
          <w:color w:val="auto"/>
        </w:rPr>
        <w:t>No consent, approval, authorization, filing with or order of any court or governmental agency or body is required in connection with the transactions contemplated herein, except such as have been obtained under the Act and the Trust Indenture Act and such as may be required under the blue sky laws of any jurisdiction in connection with the purchase and distribution of the Securities by the Underwriters in the manner contemplated herein and in the Registration Statement, the Time of Sale Information and the Final Prospectus.</w:t>
      </w:r>
    </w:p>
    <w:p>
      <w:pPr>
        <w:spacing w:after="0" w:line="78" w:lineRule="exact"/>
        <w:rPr>
          <w:rFonts w:ascii="Arial" w:cs="Arial" w:eastAsia="Arial" w:hAnsi="Arial"/>
          <w:sz w:val="18"/>
          <w:szCs w:val="18"/>
          <w:color w:val="auto"/>
        </w:rPr>
      </w:pPr>
    </w:p>
    <w:p>
      <w:pPr>
        <w:ind w:right="40" w:firstLine="221"/>
        <w:spacing w:after="0" w:line="291" w:lineRule="auto"/>
        <w:tabs>
          <w:tab w:leader="none" w:pos="480" w:val="left"/>
        </w:tabs>
        <w:numPr>
          <w:ilvl w:val="0"/>
          <w:numId w:val="7"/>
        </w:numPr>
        <w:rPr>
          <w:rFonts w:ascii="Arial" w:cs="Arial" w:eastAsia="Arial" w:hAnsi="Arial"/>
          <w:sz w:val="16"/>
          <w:szCs w:val="16"/>
          <w:color w:val="auto"/>
        </w:rPr>
      </w:pPr>
      <w:r>
        <w:rPr>
          <w:rFonts w:ascii="Arial" w:cs="Arial" w:eastAsia="Arial" w:hAnsi="Arial"/>
          <w:sz w:val="16"/>
          <w:szCs w:val="16"/>
          <w:color w:val="auto"/>
        </w:rPr>
        <w:t>Neither the issue and sale of the Securities nor the consummation of any other of the transactions herein contemplated nor the fulfillment of the terms hereof will conflict with, result in a breach or violation of or imposition of any lien, charge or encumbrance upon any property or assets of the Company or any of its subsidiaries pursuant to, (i) the charter or bylaws of the Company or any of its subsidiaries, (ii) the terms of any indenture, contract, lease, mortgage, deed of trust, note agreement, loan agreement or other agreement, obligation, condition, covenant or instrument to which the Company or any of its subsidiaries is a party or bound or to which its or their property is subject, except as would not have a Material Adverse Effect, or (iii) any statute, law, rule, regulation, judgment, order or decree applicable to the Company or any of its subsidiaries of any court, regulatory body, administrative agency, governmental body, arbitrator or other authority having jurisdiction over the Company or any of its subsidiaries or any of its or their properties.</w:t>
      </w:r>
    </w:p>
    <w:p>
      <w:pPr>
        <w:spacing w:after="0" w:line="59" w:lineRule="exact"/>
        <w:rPr>
          <w:rFonts w:ascii="Arial" w:cs="Arial" w:eastAsia="Arial" w:hAnsi="Arial"/>
          <w:sz w:val="16"/>
          <w:szCs w:val="16"/>
          <w:color w:val="auto"/>
        </w:rPr>
      </w:pPr>
    </w:p>
    <w:p>
      <w:pPr>
        <w:ind w:firstLine="221"/>
        <w:spacing w:after="0" w:line="259" w:lineRule="auto"/>
        <w:tabs>
          <w:tab w:leader="none" w:pos="5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consolidated historical financial statements and schedules of the Company and its consolidated subsidiaries included or incorporated by reference in the Registration Statement, the Time of Sale Information and the Final Prospectus present fairly in all material respects the financial condition, results of operations and cash flows of the Company as of the dates and for the periods indicated, comply as to form with the applicable accounting requirements of the Act and have been prepared in conformity with</w:t>
      </w:r>
    </w:p>
    <w:p>
      <w:pPr>
        <w:spacing w:after="0" w:line="160"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480" w:top="935"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generally accepted accounting principles applied on a consistent basis throughout the periods involved (except as otherwise noted therein).</w:t>
      </w:r>
    </w:p>
    <w:p>
      <w:pPr>
        <w:spacing w:after="0" w:line="117" w:lineRule="exact"/>
        <w:rPr>
          <w:sz w:val="20"/>
          <w:szCs w:val="20"/>
          <w:color w:val="auto"/>
        </w:rPr>
      </w:pPr>
    </w:p>
    <w:p>
      <w:pPr>
        <w:ind w:right="100" w:firstLine="221"/>
        <w:spacing w:after="0" w:line="279" w:lineRule="auto"/>
        <w:tabs>
          <w:tab w:leader="none" w:pos="480" w:val="left"/>
        </w:tabs>
        <w:numPr>
          <w:ilvl w:val="0"/>
          <w:numId w:val="8"/>
        </w:numPr>
        <w:rPr>
          <w:rFonts w:ascii="Arial" w:cs="Arial" w:eastAsia="Arial" w:hAnsi="Arial"/>
          <w:sz w:val="17"/>
          <w:szCs w:val="17"/>
          <w:color w:val="auto"/>
        </w:rPr>
      </w:pPr>
      <w:r>
        <w:rPr>
          <w:rFonts w:ascii="Arial" w:cs="Arial" w:eastAsia="Arial" w:hAnsi="Arial"/>
          <w:sz w:val="17"/>
          <w:szCs w:val="17"/>
          <w:color w:val="auto"/>
        </w:rPr>
        <w:t>Ernst &amp; Young LLP, who has certified certain financial statements of the Company and its consolidated subsidiaries and delivered their report with respect to the audited consolidated financial statements and schedules included in the Registration Statement, the Time of Sale Information and the Final Prospectus, are an independent registered public accounting firm with respect to the Company within the applicable rules and regulations adopted by the Commission and the Public Accounting Oversight Board (United States) and as required by the Act.</w:t>
      </w:r>
    </w:p>
    <w:p>
      <w:pPr>
        <w:spacing w:after="0" w:line="63" w:lineRule="exact"/>
        <w:rPr>
          <w:rFonts w:ascii="Arial" w:cs="Arial" w:eastAsia="Arial" w:hAnsi="Arial"/>
          <w:sz w:val="17"/>
          <w:szCs w:val="17"/>
          <w:color w:val="auto"/>
        </w:rPr>
      </w:pPr>
    </w:p>
    <w:p>
      <w:pPr>
        <w:ind w:right="80" w:firstLine="221"/>
        <w:spacing w:after="0" w:line="255" w:lineRule="auto"/>
        <w:tabs>
          <w:tab w:leader="none" w:pos="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Each of the Company and Holdings has filed all foreign, federal, state and local tax returns that are required to be filed or has requested extensions thereof (except in any case in which the failure so to file would not have a Material Adverse Effect, and except as set forth or incorporated by reference in the Registration Statement, the Time of Sale Information and the Final Prospectus (exclusive of any amendment or supplement thereto)) and has paid all taxes required to be paid by it and any other assessment, fine or penalty levied against it, to the extent that any of the foregoing is due and payable, except for any such assessment, fine or penalty that is currently being contested in good faith or as would not have a Material Adverse Effect, and except as set forth or incorporated by reference in the Registration Statement, the Time of Sale Information and the Final Prospectus (exclusive of any amendment or supplement thereto).</w:t>
      </w:r>
    </w:p>
    <w:p>
      <w:pPr>
        <w:spacing w:after="0" w:line="81" w:lineRule="exact"/>
        <w:rPr>
          <w:rFonts w:ascii="Arial" w:cs="Arial" w:eastAsia="Arial" w:hAnsi="Arial"/>
          <w:sz w:val="18"/>
          <w:szCs w:val="18"/>
          <w:color w:val="auto"/>
        </w:rPr>
      </w:pPr>
    </w:p>
    <w:p>
      <w:pPr>
        <w:ind w:right="40" w:firstLine="221"/>
        <w:spacing w:after="0" w:line="259" w:lineRule="auto"/>
        <w:tabs>
          <w:tab w:leader="none" w:pos="47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 labor problem or dispute with the employees of the Company or any of its subsidiaries exists or is threatened or imminent, nor is the Company aware of any existing or imminent labor disturbance by the employees of any of its or its subsidiaries’ principal suppliers, contractors or customers, that would have a Material Adverse Effect, except as set forth or incorporated by reference in the Registration Statement, the Time of Sale Information and the Final Prospectus (exclusive of any amendment or supplement thereto).</w:t>
      </w:r>
    </w:p>
    <w:p>
      <w:pPr>
        <w:spacing w:after="0" w:line="79" w:lineRule="exact"/>
        <w:rPr>
          <w:sz w:val="20"/>
          <w:szCs w:val="20"/>
          <w:color w:val="auto"/>
        </w:rPr>
      </w:pPr>
    </w:p>
    <w:p>
      <w:pPr>
        <w:ind w:firstLine="221"/>
        <w:spacing w:after="0" w:line="270" w:lineRule="auto"/>
        <w:tabs>
          <w:tab w:leader="none" w:pos="550" w:val="left"/>
        </w:tabs>
        <w:numPr>
          <w:ilvl w:val="0"/>
          <w:numId w:val="9"/>
        </w:numPr>
        <w:rPr>
          <w:rFonts w:ascii="Arial" w:cs="Arial" w:eastAsia="Arial" w:hAnsi="Arial"/>
          <w:sz w:val="17"/>
          <w:szCs w:val="17"/>
          <w:color w:val="auto"/>
        </w:rPr>
      </w:pPr>
      <w:r>
        <w:rPr>
          <w:rFonts w:ascii="Arial" w:cs="Arial" w:eastAsia="Arial" w:hAnsi="Arial"/>
          <w:sz w:val="17"/>
          <w:szCs w:val="17"/>
          <w:color w:val="auto"/>
        </w:rPr>
        <w:t>Except as would not have a Material Adverse Effect: the Company and each of its Subsidiaries are insured by insurers of recognized financial responsibility against such losses and risks and in such amounts as are prudent and customary in the businesses in which they are engaged; all policies of insurance insuring the Company or any of its Subsidiaries or their respective businesses, assets, employees, officers and directors are in full force and effect; the Company and its Subsidiaries are in compliance with the terms of such policies and instruments; there are no claims by the Company or any of its Subsidiaries under any such policy or instrument as to which any insurance company is denying liability or defending under a reservation of rights clause; and neither the Company nor any such Subsidiary has been refused any insurance coverage sought or applied for, except in each case as set forth or incorporated by reference in the Registration Statement, the Time of Sale Information and the Final Prospectus (exclusive of any amendment or supplement thereto). Neither the Company nor any such Subsidiary has any reason to believe that it will not be able to renew its existing insurance coverage as and when such coverage expires or to obtain similar coverage from similar insurers as may be necessary to continue its business at a cost that would not have a Material</w:t>
      </w:r>
    </w:p>
    <w:p>
      <w:pPr>
        <w:spacing w:after="0" w:line="151"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480" w:top="935" w:right="259" w:bottom="1440" w:gutter="0" w:footer="0" w:header="0"/>
        </w:sectPr>
      </w:pPr>
    </w:p>
    <w:bookmarkStart w:id="13" w:name="page14"/>
    <w:bookmarkEnd w:id="13"/>
    <w:p>
      <w:pPr>
        <w:ind w:left="4" w:right="480"/>
        <w:spacing w:after="0" w:line="277" w:lineRule="auto"/>
        <w:rPr>
          <w:sz w:val="20"/>
          <w:szCs w:val="20"/>
          <w:color w:val="auto"/>
        </w:rPr>
      </w:pPr>
      <w:r>
        <w:rPr>
          <w:rFonts w:ascii="Arial" w:cs="Arial" w:eastAsia="Arial" w:hAnsi="Arial"/>
          <w:sz w:val="18"/>
          <w:szCs w:val="18"/>
          <w:color w:val="auto"/>
        </w:rPr>
        <w:t>Adverse Effect, except as set forth or incorporated by reference in the Registration Statement, the Time of Sale Information and the Final Prospectus (exclusive of any amendment or supplement thereto).</w:t>
      </w:r>
    </w:p>
    <w:p>
      <w:pPr>
        <w:spacing w:after="0" w:line="62" w:lineRule="exact"/>
        <w:rPr>
          <w:sz w:val="20"/>
          <w:szCs w:val="20"/>
          <w:color w:val="auto"/>
        </w:rPr>
      </w:pPr>
    </w:p>
    <w:p>
      <w:pPr>
        <w:jc w:val="both"/>
        <w:ind w:left="4" w:right="40" w:firstLine="221"/>
        <w:spacing w:after="0" w:line="279" w:lineRule="auto"/>
        <w:tabs>
          <w:tab w:leader="none" w:pos="574" w:val="left"/>
        </w:tabs>
        <w:numPr>
          <w:ilvl w:val="1"/>
          <w:numId w:val="10"/>
        </w:numPr>
        <w:rPr>
          <w:rFonts w:ascii="Arial" w:cs="Arial" w:eastAsia="Arial" w:hAnsi="Arial"/>
          <w:sz w:val="17"/>
          <w:szCs w:val="17"/>
          <w:color w:val="auto"/>
        </w:rPr>
      </w:pPr>
      <w:r>
        <w:rPr>
          <w:rFonts w:ascii="Arial" w:cs="Arial" w:eastAsia="Arial" w:hAnsi="Arial"/>
          <w:sz w:val="17"/>
          <w:szCs w:val="17"/>
          <w:color w:val="auto"/>
        </w:rPr>
        <w:t>No Subsidiary is currently prohibited, directly or indirectly, from paying any dividends to the Company, from making any other distribution on such Subsidiary’s capital stock, from repaying to the Company any loans or advances to such Subsidiary from the Company or from transferring any of such Subsidiary’s property or assets to the Company or any other Subsidiary of the Company, except as described or incorporated by reference in the Time of Sale Information and the Final Prospectus (exclusive of any amendment or supplement thereto).</w:t>
      </w:r>
    </w:p>
    <w:p>
      <w:pPr>
        <w:spacing w:after="0" w:line="63" w:lineRule="exact"/>
        <w:rPr>
          <w:rFonts w:ascii="Arial" w:cs="Arial" w:eastAsia="Arial" w:hAnsi="Arial"/>
          <w:sz w:val="17"/>
          <w:szCs w:val="17"/>
          <w:color w:val="auto"/>
        </w:rPr>
      </w:pPr>
    </w:p>
    <w:p>
      <w:pPr>
        <w:ind w:left="4" w:right="160" w:firstLine="221"/>
        <w:spacing w:after="0" w:line="255" w:lineRule="auto"/>
        <w:tabs>
          <w:tab w:leader="none" w:pos="553" w:val="left"/>
        </w:tabs>
        <w:numPr>
          <w:ilvl w:val="1"/>
          <w:numId w:val="10"/>
        </w:numPr>
        <w:rPr>
          <w:rFonts w:ascii="Arial" w:cs="Arial" w:eastAsia="Arial" w:hAnsi="Arial"/>
          <w:sz w:val="18"/>
          <w:szCs w:val="18"/>
          <w:color w:val="auto"/>
        </w:rPr>
      </w:pPr>
      <w:r>
        <w:rPr>
          <w:rFonts w:ascii="Arial" w:cs="Arial" w:eastAsia="Arial" w:hAnsi="Arial"/>
          <w:sz w:val="18"/>
          <w:szCs w:val="18"/>
          <w:color w:val="auto"/>
        </w:rPr>
        <w:t>Except as would not have a Material Adverse Effect, the Company and its subsidiaries possess all licenses, certificates, permits and other authorizations issued by the appropriate federal, state or foreign regulatory authorities necessary to conduct their respective businesses, and neither the Company nor any such subsidiary has received any notice of proceedings relating to the revocation or modification of any such license, certificate, authorization or permit, which, singly or in the aggregate, if the subject of an unfavorable decision, ruling or finding, would have a Material Adverse Effect, except as set forth or incorporated by reference in the Registration Statement, the Time of Sale Information and the Final Prospectus (exclusive of any amendment or supplement thereto).</w:t>
      </w:r>
    </w:p>
    <w:p>
      <w:pPr>
        <w:spacing w:after="0" w:line="85" w:lineRule="exact"/>
        <w:rPr>
          <w:rFonts w:ascii="Arial" w:cs="Arial" w:eastAsia="Arial" w:hAnsi="Arial"/>
          <w:sz w:val="18"/>
          <w:szCs w:val="18"/>
          <w:color w:val="auto"/>
        </w:rPr>
      </w:pPr>
    </w:p>
    <w:p>
      <w:pPr>
        <w:ind w:left="564" w:hanging="339"/>
        <w:spacing w:after="0"/>
        <w:tabs>
          <w:tab w:leader="none" w:pos="564" w:val="left"/>
        </w:tabs>
        <w:numPr>
          <w:ilvl w:val="1"/>
          <w:numId w:val="10"/>
        </w:numPr>
        <w:rPr>
          <w:rFonts w:ascii="Arial" w:cs="Arial" w:eastAsia="Arial" w:hAnsi="Arial"/>
          <w:sz w:val="17"/>
          <w:szCs w:val="17"/>
          <w:color w:val="auto"/>
        </w:rPr>
      </w:pPr>
      <w:r>
        <w:rPr>
          <w:rFonts w:ascii="Arial" w:cs="Arial" w:eastAsia="Arial" w:hAnsi="Arial"/>
          <w:sz w:val="17"/>
          <w:szCs w:val="17"/>
          <w:color w:val="auto"/>
        </w:rPr>
        <w:t>The Company and each of its subsidiaries maintain a system of internal accounting controls sufficient to provide reasonable assurance that</w:t>
      </w:r>
    </w:p>
    <w:p>
      <w:pPr>
        <w:spacing w:after="0" w:line="34" w:lineRule="exact"/>
        <w:rPr>
          <w:rFonts w:ascii="Arial" w:cs="Arial" w:eastAsia="Arial" w:hAnsi="Arial"/>
          <w:sz w:val="17"/>
          <w:szCs w:val="17"/>
          <w:color w:val="auto"/>
        </w:rPr>
      </w:pPr>
    </w:p>
    <w:p>
      <w:pPr>
        <w:ind w:left="4" w:hanging="4"/>
        <w:spacing w:after="0" w:line="273" w:lineRule="auto"/>
        <w:tabs>
          <w:tab w:leader="none" w:pos="219" w:val="left"/>
        </w:tabs>
        <w:numPr>
          <w:ilvl w:val="0"/>
          <w:numId w:val="11"/>
        </w:numPr>
        <w:rPr>
          <w:rFonts w:ascii="Arial" w:cs="Arial" w:eastAsia="Arial" w:hAnsi="Arial"/>
          <w:sz w:val="17"/>
          <w:szCs w:val="17"/>
          <w:color w:val="auto"/>
        </w:rPr>
      </w:pPr>
      <w:r>
        <w:rPr>
          <w:rFonts w:ascii="Arial" w:cs="Arial" w:eastAsia="Arial" w:hAnsi="Arial"/>
          <w:sz w:val="17"/>
          <w:szCs w:val="17"/>
          <w:color w:val="auto"/>
        </w:rPr>
        <w:t>transactions are executed in accordance with management’s general or specific authorizations; (ii) transactions are recorded as necessary to permit preparation of financial statements in conformity with generally accepted accounting principles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w:t>
      </w:r>
    </w:p>
    <w:p>
      <w:pPr>
        <w:spacing w:after="0" w:line="68" w:lineRule="exact"/>
        <w:rPr>
          <w:rFonts w:ascii="Arial" w:cs="Arial" w:eastAsia="Arial" w:hAnsi="Arial"/>
          <w:sz w:val="17"/>
          <w:szCs w:val="17"/>
          <w:color w:val="auto"/>
        </w:rPr>
      </w:pPr>
    </w:p>
    <w:p>
      <w:pPr>
        <w:jc w:val="both"/>
        <w:ind w:left="4" w:right="320" w:firstLine="221"/>
        <w:spacing w:after="0" w:line="264" w:lineRule="auto"/>
        <w:tabs>
          <w:tab w:leader="none" w:pos="553" w:val="left"/>
        </w:tabs>
        <w:numPr>
          <w:ilvl w:val="1"/>
          <w:numId w:val="11"/>
        </w:numPr>
        <w:rPr>
          <w:rFonts w:ascii="Arial" w:cs="Arial" w:eastAsia="Arial" w:hAnsi="Arial"/>
          <w:sz w:val="18"/>
          <w:szCs w:val="18"/>
          <w:color w:val="auto"/>
        </w:rPr>
      </w:pPr>
      <w:r>
        <w:rPr>
          <w:rFonts w:ascii="Arial" w:cs="Arial" w:eastAsia="Arial" w:hAnsi="Arial"/>
          <w:sz w:val="18"/>
          <w:szCs w:val="18"/>
          <w:color w:val="auto"/>
        </w:rPr>
        <w:t>Neither the Company nor Holdings has taken, directly or indirectly, any action designed to or that would constitute or that might reasonably be expected to cause or result in stabilization or manipulation of the price of any security of the Company or Holdings to facilitate the sale or resale of the Securities.</w:t>
      </w:r>
    </w:p>
    <w:p>
      <w:pPr>
        <w:spacing w:after="0" w:line="73" w:lineRule="exact"/>
        <w:rPr>
          <w:rFonts w:ascii="Arial" w:cs="Arial" w:eastAsia="Arial" w:hAnsi="Arial"/>
          <w:sz w:val="18"/>
          <w:szCs w:val="18"/>
          <w:color w:val="auto"/>
        </w:rPr>
      </w:pPr>
    </w:p>
    <w:p>
      <w:pPr>
        <w:ind w:left="4" w:right="80" w:firstLine="221"/>
        <w:spacing w:after="0" w:line="297" w:lineRule="auto"/>
        <w:tabs>
          <w:tab w:leader="none" w:pos="510" w:val="left"/>
        </w:tabs>
        <w:numPr>
          <w:ilvl w:val="1"/>
          <w:numId w:val="11"/>
        </w:numPr>
        <w:rPr>
          <w:rFonts w:ascii="Arial" w:cs="Arial" w:eastAsia="Arial" w:hAnsi="Arial"/>
          <w:sz w:val="16"/>
          <w:szCs w:val="16"/>
          <w:color w:val="auto"/>
        </w:rPr>
      </w:pPr>
      <w:r>
        <w:rPr>
          <w:rFonts w:ascii="Arial" w:cs="Arial" w:eastAsia="Arial" w:hAnsi="Arial"/>
          <w:sz w:val="16"/>
          <w:szCs w:val="16"/>
          <w:color w:val="auto"/>
        </w:rPr>
        <w:t>The Company and its subsidiaries (i) are in compliance with any and all applicable foreign, federal, state and local laws, regulations and requirements relating to the protection of human health and safety, the environment or hazardous or toxic substances or wastes, pollutants or contaminants (“</w:t>
      </w:r>
      <w:r>
        <w:rPr>
          <w:rFonts w:ascii="Arial" w:cs="Arial" w:eastAsia="Arial" w:hAnsi="Arial"/>
          <w:sz w:val="16"/>
          <w:szCs w:val="16"/>
          <w:u w:val="single" w:color="auto"/>
          <w:color w:val="auto"/>
        </w:rPr>
        <w:t>Environmental Laws</w:t>
      </w:r>
      <w:r>
        <w:rPr>
          <w:rFonts w:ascii="Arial" w:cs="Arial" w:eastAsia="Arial" w:hAnsi="Arial"/>
          <w:sz w:val="16"/>
          <w:szCs w:val="16"/>
          <w:color w:val="auto"/>
        </w:rPr>
        <w:t>”), (ii) have received and are in compliance with all permits, licenses, certificates or other authorizations or approvals required of them under applicable Environmental Laws to conduct their respective businesses and (iii) have not received notice of any actual or potential liability for the investigation or remediation of any disposal or release of hazardous or toxic substances or wastes, pollutants or contaminants, except where such</w:t>
      </w:r>
    </w:p>
    <w:p>
      <w:pPr>
        <w:spacing w:after="0" w:line="131" w:lineRule="exact"/>
        <w:rPr>
          <w:sz w:val="20"/>
          <w:szCs w:val="20"/>
          <w:color w:val="auto"/>
        </w:rPr>
      </w:pPr>
    </w:p>
    <w:p>
      <w:pPr>
        <w:jc w:val="center"/>
        <w:ind w:right="216"/>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4"/>
          </w:cols>
          <w:pgMar w:left="476" w:top="935" w:right="239" w:bottom="1440" w:gutter="0" w:footer="0" w:header="0"/>
        </w:sectPr>
      </w:pPr>
    </w:p>
    <w:bookmarkStart w:id="14" w:name="page15"/>
    <w:bookmarkEnd w:id="14"/>
    <w:p>
      <w:pPr>
        <w:ind w:right="60"/>
        <w:spacing w:after="0" w:line="276" w:lineRule="auto"/>
        <w:rPr>
          <w:sz w:val="20"/>
          <w:szCs w:val="20"/>
          <w:color w:val="auto"/>
        </w:rPr>
      </w:pPr>
      <w:r>
        <w:rPr>
          <w:rFonts w:ascii="Arial" w:cs="Arial" w:eastAsia="Arial" w:hAnsi="Arial"/>
          <w:sz w:val="17"/>
          <w:szCs w:val="17"/>
          <w:color w:val="auto"/>
        </w:rPr>
        <w:t>non-compliance with Environmental Laws, failure to receive required permits, licenses or other approvals, or cost or liability would not, individually or in the aggregate, have a Material Adverse Effect, except as set forth or incorporated by reference in the Registration Statement, the Time of Sale Information and the Final Prospectus (exclusive of any amendment or supplement thereto). The environmental reserves described or incorporated by reference in the Registration Statement, the Time of Sale Information and the Final Prospectus reflect in accordance with generally accepted accounting principles the known liabilities and obligations of the Company and its subsidiaries under Environmental Laws.</w:t>
      </w:r>
    </w:p>
    <w:p>
      <w:pPr>
        <w:spacing w:after="0" w:line="64" w:lineRule="exact"/>
        <w:rPr>
          <w:sz w:val="20"/>
          <w:szCs w:val="20"/>
          <w:color w:val="auto"/>
        </w:rPr>
      </w:pPr>
    </w:p>
    <w:p>
      <w:pPr>
        <w:ind w:firstLine="221"/>
        <w:spacing w:after="0" w:line="255" w:lineRule="auto"/>
        <w:tabs>
          <w:tab w:leader="none" w:pos="57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the ordinary course of its business, the Company periodically reviews the effect of Environmental Laws on the business, operations and properties of the Company and its subsidiaries, in the course of which it identifies and evaluates associated costs and liabilities (including, without limitation, any capital or operating expenditures required for clean-up, closure of properties or compliance with Environmental Laws, or any permit, license or approval, any related constraints on operating activities and any potential liabilities to third parties). On the basis of such review, the Company has reasonably concluded that such associated costs and liabilities would not, singly or in the aggregate, have a Material Adverse Effect, except as set forth or incorporated by reference in the Registration Statement, the Time of Sale Information and the Final Prospectus (exclusive of any amendment or supplement thereto).</w:t>
      </w:r>
    </w:p>
    <w:p>
      <w:pPr>
        <w:spacing w:after="0" w:line="81" w:lineRule="exact"/>
        <w:rPr>
          <w:rFonts w:ascii="Arial" w:cs="Arial" w:eastAsia="Arial" w:hAnsi="Arial"/>
          <w:sz w:val="18"/>
          <w:szCs w:val="18"/>
          <w:color w:val="auto"/>
        </w:rPr>
      </w:pPr>
    </w:p>
    <w:p>
      <w:pPr>
        <w:ind w:right="140" w:firstLine="221"/>
        <w:spacing w:after="0" w:line="255" w:lineRule="auto"/>
        <w:tabs>
          <w:tab w:leader="none" w:pos="57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Except as would not have a Material Adverse Effect, each of the Company and its subsidiaries has fulfilled its obligations, if any, under the minimum funding standards of Section 302 of the United States Employee Retirement Income Security Act of 1974 (“</w:t>
      </w:r>
      <w:r>
        <w:rPr>
          <w:rFonts w:ascii="Arial" w:cs="Arial" w:eastAsia="Arial" w:hAnsi="Arial"/>
          <w:sz w:val="18"/>
          <w:szCs w:val="18"/>
          <w:u w:val="single" w:color="auto"/>
          <w:color w:val="auto"/>
        </w:rPr>
        <w:t>ERISA</w:t>
      </w:r>
      <w:r>
        <w:rPr>
          <w:rFonts w:ascii="Arial" w:cs="Arial" w:eastAsia="Arial" w:hAnsi="Arial"/>
          <w:sz w:val="18"/>
          <w:szCs w:val="18"/>
          <w:color w:val="auto"/>
        </w:rPr>
        <w:t>”) and the regulations and published interpretations thereunder with respect to each “plan” (as defined in Section 3(3) of ERISA and such regulations and published interpretations) in which employees of the Company and its subsidiaries are eligible to participate and each such plan is in compliance with the presently applicable provisions of ERISA and such regulations and published interpretations. Except as would not have a Material Adverse Effect, the Company and its subsidiaries have not incurred any unpaid liability to the Pension Benefit Guaranty Corporation (other than for the payment of premiums in the ordinary course) or to any such plan under Title IV of ERISA.</w:t>
      </w:r>
    </w:p>
    <w:p>
      <w:pPr>
        <w:spacing w:after="0" w:line="81" w:lineRule="exact"/>
        <w:rPr>
          <w:rFonts w:ascii="Arial" w:cs="Arial" w:eastAsia="Arial" w:hAnsi="Arial"/>
          <w:sz w:val="18"/>
          <w:szCs w:val="18"/>
          <w:color w:val="auto"/>
        </w:rPr>
      </w:pPr>
    </w:p>
    <w:p>
      <w:pPr>
        <w:ind w:left="480" w:hanging="259"/>
        <w:spacing w:after="0"/>
        <w:tabs>
          <w:tab w:leader="none" w:pos="4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No holders of securities of the Company or Holdings have rights to the registration of such securities under the Registration Statement.</w:t>
      </w:r>
    </w:p>
    <w:p>
      <w:pPr>
        <w:spacing w:after="0" w:line="128" w:lineRule="exact"/>
        <w:rPr>
          <w:rFonts w:ascii="Arial" w:cs="Arial" w:eastAsia="Arial" w:hAnsi="Arial"/>
          <w:sz w:val="17"/>
          <w:szCs w:val="17"/>
          <w:color w:val="auto"/>
        </w:rPr>
      </w:pPr>
    </w:p>
    <w:p>
      <w:pPr>
        <w:ind w:firstLine="221"/>
        <w:spacing w:after="0" w:line="257" w:lineRule="auto"/>
        <w:tabs>
          <w:tab w:leader="none" w:pos="49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principal executive officer and principal financial officer of the Company have made all certifications required by the Sarbanes-Oxley Act of 2002 and the rules and regulations promulgated in connection therewith (the “Sarbanes-Oxley Act”), and the statements contained in any such certification are true and correct in all material respects. There is and has been no failure on the part of the Company or, to the knowledge of the Company, on the part of any of the Company’s directors or officers, in their capacities as such, to comply with any provision of the Sarbanes-Oxley Act, including Section 402 related to loans.</w:t>
      </w:r>
    </w:p>
    <w:p>
      <w:pPr>
        <w:spacing w:after="0" w:line="161"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480" w:top="935" w:right="259" w:bottom="1440" w:gutter="0" w:footer="0" w:header="0"/>
        </w:sectPr>
      </w:pPr>
    </w:p>
    <w:bookmarkStart w:id="15" w:name="page16"/>
    <w:bookmarkEnd w:id="15"/>
    <w:p>
      <w:pPr>
        <w:ind w:left="4" w:firstLine="221"/>
        <w:spacing w:after="0" w:line="285" w:lineRule="auto"/>
        <w:tabs>
          <w:tab w:leader="none" w:pos="574" w:val="left"/>
        </w:tabs>
        <w:numPr>
          <w:ilvl w:val="1"/>
          <w:numId w:val="13"/>
        </w:numPr>
        <w:rPr>
          <w:rFonts w:ascii="Arial" w:cs="Arial" w:eastAsia="Arial" w:hAnsi="Arial"/>
          <w:sz w:val="16"/>
          <w:szCs w:val="16"/>
          <w:color w:val="auto"/>
        </w:rPr>
      </w:pPr>
      <w:r>
        <w:rPr>
          <w:rFonts w:ascii="Arial" w:cs="Arial" w:eastAsia="Arial" w:hAnsi="Arial"/>
          <w:sz w:val="16"/>
          <w:szCs w:val="16"/>
          <w:color w:val="auto"/>
        </w:rPr>
        <w:t>The Company maintains disclosure controls and procedures (as such term is defined in Rule 13a-15(e) under the Exchange Act), which (i) were designed to ensure, among other things, that material information relating to the Company, including its consolidated subsidiaries, was made known to the principal executive officer and the principal financial officer of the Company by others within those entities, particularly during the period in which the Annual Report on Form 10-K for the year ended December 31, 2007 was being prepared; (ii) have been evaluated for effectiveness as of the end of the periods covered by the Company’s Annual Report on Form 10-K for the year ended December 31, 2007 pursuant to Rule 13a-15 of the Exchange Act; and</w:t>
      </w:r>
    </w:p>
    <w:p>
      <w:pPr>
        <w:spacing w:after="0" w:line="2" w:lineRule="exact"/>
        <w:rPr>
          <w:rFonts w:ascii="Arial" w:cs="Arial" w:eastAsia="Arial" w:hAnsi="Arial"/>
          <w:sz w:val="16"/>
          <w:szCs w:val="16"/>
          <w:color w:val="auto"/>
        </w:rPr>
      </w:pPr>
    </w:p>
    <w:p>
      <w:pPr>
        <w:ind w:left="4" w:right="480" w:hanging="4"/>
        <w:spacing w:after="0" w:line="261" w:lineRule="auto"/>
        <w:tabs>
          <w:tab w:leader="none" w:pos="319" w:val="left"/>
        </w:tabs>
        <w:numPr>
          <w:ilvl w:val="0"/>
          <w:numId w:val="14"/>
        </w:numPr>
        <w:rPr>
          <w:rFonts w:ascii="Arial" w:cs="Arial" w:eastAsia="Arial" w:hAnsi="Arial"/>
          <w:sz w:val="18"/>
          <w:szCs w:val="18"/>
          <w:color w:val="auto"/>
        </w:rPr>
      </w:pPr>
      <w:r>
        <w:rPr>
          <w:rFonts w:ascii="Arial" w:cs="Arial" w:eastAsia="Arial" w:hAnsi="Arial"/>
          <w:sz w:val="18"/>
          <w:szCs w:val="18"/>
          <w:color w:val="auto"/>
        </w:rPr>
        <w:t>are effective to ensure that the Company is able to collect, process and disclose the information required to be disclosed in reports filed with the Commission within required time periods.</w:t>
      </w:r>
    </w:p>
    <w:p>
      <w:pPr>
        <w:spacing w:after="0" w:line="75" w:lineRule="exact"/>
        <w:rPr>
          <w:rFonts w:ascii="Arial" w:cs="Arial" w:eastAsia="Arial" w:hAnsi="Arial"/>
          <w:sz w:val="18"/>
          <w:szCs w:val="18"/>
          <w:color w:val="auto"/>
        </w:rPr>
      </w:pPr>
    </w:p>
    <w:p>
      <w:pPr>
        <w:ind w:left="4" w:right="20" w:firstLine="221"/>
        <w:spacing w:after="0" w:line="276" w:lineRule="auto"/>
        <w:tabs>
          <w:tab w:leader="none" w:pos="494" w:val="left"/>
        </w:tabs>
        <w:numPr>
          <w:ilvl w:val="1"/>
          <w:numId w:val="14"/>
        </w:numPr>
        <w:rPr>
          <w:rFonts w:ascii="Arial" w:cs="Arial" w:eastAsia="Arial" w:hAnsi="Arial"/>
          <w:sz w:val="17"/>
          <w:szCs w:val="17"/>
          <w:color w:val="auto"/>
        </w:rPr>
      </w:pPr>
      <w:r>
        <w:rPr>
          <w:rFonts w:ascii="Arial" w:cs="Arial" w:eastAsia="Arial" w:hAnsi="Arial"/>
          <w:sz w:val="17"/>
          <w:szCs w:val="17"/>
          <w:color w:val="auto"/>
        </w:rPr>
        <w:t>Based on the evaluation of its disclosure controls and procedures as of the end of the period covered by the Annual Report on Form 10-K for the year ended December 31, 2007, and other than as has been disclosed in the Registration Statement, the Time of Sale Information and the Final Prospectus, the Company is not aware of (i) any significant deficiency in the design or operation of internal controls which could adversely affect its ability to record, process, summarize and report financial data or any material weaknesses in internal controls; or (ii) any fraud, whether or not material, that involves management or other employees who have a significant role in the internal controls of the Company.</w:t>
      </w:r>
    </w:p>
    <w:p>
      <w:pPr>
        <w:spacing w:after="0" w:line="64" w:lineRule="exact"/>
        <w:rPr>
          <w:rFonts w:ascii="Arial" w:cs="Arial" w:eastAsia="Arial" w:hAnsi="Arial"/>
          <w:sz w:val="17"/>
          <w:szCs w:val="17"/>
          <w:color w:val="auto"/>
        </w:rPr>
      </w:pPr>
    </w:p>
    <w:p>
      <w:pPr>
        <w:ind w:left="4" w:right="220" w:firstLine="221"/>
        <w:spacing w:after="0" w:line="297" w:lineRule="auto"/>
        <w:tabs>
          <w:tab w:leader="none" w:pos="674" w:val="left"/>
        </w:tabs>
        <w:numPr>
          <w:ilvl w:val="1"/>
          <w:numId w:val="14"/>
        </w:numPr>
        <w:rPr>
          <w:rFonts w:ascii="Arial" w:cs="Arial" w:eastAsia="Arial" w:hAnsi="Arial"/>
          <w:sz w:val="16"/>
          <w:szCs w:val="16"/>
          <w:color w:val="auto"/>
        </w:rPr>
      </w:pPr>
      <w:r>
        <w:rPr>
          <w:rFonts w:ascii="Arial" w:cs="Arial" w:eastAsia="Arial" w:hAnsi="Arial"/>
          <w:sz w:val="16"/>
          <w:szCs w:val="16"/>
          <w:color w:val="auto"/>
        </w:rPr>
        <w:t>The Company maintains systems of “internal control over financial reporting” (as defined in Rule 12a-15(f) of the Exchange Act) that comply with the requirements of the Exchange Act and have been designed by, or under the supervision of, their respective principal executive and principal financial officers, or persons performing similar functions, to provide reasonable assurance regarding the reliability of financial reporting and the preparation of financial statements for external purposes in accordance with generally accepted accounting principles. Except as disclosed in the Registration Statement, the Time of Sale Information and the Final Prospectus, there are no material weaknesses in the Company’s internal controls.</w:t>
      </w:r>
    </w:p>
    <w:p>
      <w:pPr>
        <w:spacing w:after="0" w:line="50" w:lineRule="exact"/>
        <w:rPr>
          <w:rFonts w:ascii="Arial" w:cs="Arial" w:eastAsia="Arial" w:hAnsi="Arial"/>
          <w:sz w:val="16"/>
          <w:szCs w:val="16"/>
          <w:color w:val="auto"/>
        </w:rPr>
      </w:pPr>
    </w:p>
    <w:p>
      <w:pPr>
        <w:ind w:left="4" w:right="680" w:firstLine="221"/>
        <w:spacing w:after="0" w:line="277" w:lineRule="auto"/>
        <w:tabs>
          <w:tab w:leader="none" w:pos="574" w:val="left"/>
        </w:tabs>
        <w:numPr>
          <w:ilvl w:val="1"/>
          <w:numId w:val="14"/>
        </w:numPr>
        <w:rPr>
          <w:rFonts w:ascii="Arial" w:cs="Arial" w:eastAsia="Arial" w:hAnsi="Arial"/>
          <w:sz w:val="18"/>
          <w:szCs w:val="18"/>
          <w:color w:val="auto"/>
        </w:rPr>
      </w:pPr>
      <w:r>
        <w:rPr>
          <w:rFonts w:ascii="Arial" w:cs="Arial" w:eastAsia="Arial" w:hAnsi="Arial"/>
          <w:sz w:val="18"/>
          <w:szCs w:val="18"/>
          <w:color w:val="auto"/>
        </w:rPr>
        <w:t>Since December 31, 2007, there have been no significant changes in internal controls or in other factors that could significantly affect the Company’s internal controls over financial reporting.</w:t>
      </w:r>
    </w:p>
    <w:p>
      <w:pPr>
        <w:spacing w:after="0" w:line="62" w:lineRule="exact"/>
        <w:rPr>
          <w:rFonts w:ascii="Arial" w:cs="Arial" w:eastAsia="Arial" w:hAnsi="Arial"/>
          <w:sz w:val="18"/>
          <w:szCs w:val="18"/>
          <w:color w:val="auto"/>
        </w:rPr>
      </w:pPr>
    </w:p>
    <w:p>
      <w:pPr>
        <w:ind w:left="4" w:right="280" w:firstLine="221"/>
        <w:spacing w:after="0" w:line="277" w:lineRule="auto"/>
        <w:tabs>
          <w:tab w:leader="none" w:pos="574" w:val="left"/>
        </w:tabs>
        <w:numPr>
          <w:ilvl w:val="1"/>
          <w:numId w:val="14"/>
        </w:numPr>
        <w:rPr>
          <w:rFonts w:ascii="Arial" w:cs="Arial" w:eastAsia="Arial" w:hAnsi="Arial"/>
          <w:sz w:val="18"/>
          <w:szCs w:val="18"/>
          <w:color w:val="auto"/>
        </w:rPr>
      </w:pPr>
      <w:r>
        <w:rPr>
          <w:rFonts w:ascii="Arial" w:cs="Arial" w:eastAsia="Arial" w:hAnsi="Arial"/>
          <w:sz w:val="18"/>
          <w:szCs w:val="18"/>
          <w:color w:val="auto"/>
        </w:rPr>
        <w:t xml:space="preserve">Other than Holdings, no subsidiary of the Company has guaranteed any outstanding senior indebtedness of the Company except for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guarantees made in the ordinary course of business.</w:t>
      </w:r>
    </w:p>
    <w:p>
      <w:pPr>
        <w:spacing w:after="0" w:line="62" w:lineRule="exact"/>
        <w:rPr>
          <w:rFonts w:ascii="Arial" w:cs="Arial" w:eastAsia="Arial" w:hAnsi="Arial"/>
          <w:sz w:val="18"/>
          <w:szCs w:val="18"/>
          <w:color w:val="auto"/>
        </w:rPr>
      </w:pPr>
    </w:p>
    <w:p>
      <w:pPr>
        <w:ind w:left="4" w:right="380" w:firstLine="221"/>
        <w:spacing w:after="0" w:line="264" w:lineRule="auto"/>
        <w:tabs>
          <w:tab w:leader="none" w:pos="574" w:val="left"/>
        </w:tabs>
        <w:numPr>
          <w:ilvl w:val="1"/>
          <w:numId w:val="14"/>
        </w:numPr>
        <w:rPr>
          <w:rFonts w:ascii="Arial" w:cs="Arial" w:eastAsia="Arial" w:hAnsi="Arial"/>
          <w:sz w:val="18"/>
          <w:szCs w:val="18"/>
          <w:color w:val="auto"/>
        </w:rPr>
      </w:pPr>
      <w:r>
        <w:rPr>
          <w:rFonts w:ascii="Arial" w:cs="Arial" w:eastAsia="Arial" w:hAnsi="Arial"/>
          <w:sz w:val="18"/>
          <w:szCs w:val="18"/>
          <w:color w:val="auto"/>
        </w:rPr>
        <w:t>The Company is not an ineligible issuer and is a well-known seasoned issuer, in each case as defined under the Act, in each case at the times specified in the Act in connection with the offering of the Securities. The Company has paid the registration fee for this offering pursuant to Rule 457 under the Act.</w:t>
      </w:r>
    </w:p>
    <w:p>
      <w:pPr>
        <w:spacing w:after="0" w:line="154" w:lineRule="exact"/>
        <w:rPr>
          <w:sz w:val="20"/>
          <w:szCs w:val="20"/>
          <w:color w:val="auto"/>
        </w:rPr>
      </w:pPr>
    </w:p>
    <w:p>
      <w:pPr>
        <w:jc w:val="center"/>
        <w:ind w:right="176"/>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4"/>
          </w:cols>
          <w:pgMar w:left="476" w:top="935" w:right="279" w:bottom="1440" w:gutter="0" w:footer="0" w:header="0"/>
        </w:sectPr>
      </w:pPr>
    </w:p>
    <w:bookmarkStart w:id="16" w:name="page17"/>
    <w:bookmarkEnd w:id="16"/>
    <w:p>
      <w:pPr>
        <w:ind w:left="240" w:right="60" w:firstLine="221"/>
        <w:spacing w:after="0" w:line="257" w:lineRule="auto"/>
        <w:tabs>
          <w:tab w:leader="none" w:pos="81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None of the Company, any of its subsidiaries or, to the knowledge of the Company, any director, officer, agent, employee or Affiliate of the Company or any of its subsidiaries is currently subject to any U.S. sanctions administered by the Office of Foreign Assets Control of the U.S. Department of the Treasury (“OFAC”); and the Company will not directly or indirectly use the proceeds of the offering of the Securities hereunder, or lend, contribute or otherwise make available such proceeds to any subsidiary, joint venture partner or other person or entity, for the purpose of financing the activities of any person currently subject to any U.S. sanctions administered by OFAC.</w:t>
      </w:r>
    </w:p>
    <w:p>
      <w:pPr>
        <w:spacing w:after="0" w:line="80" w:lineRule="exact"/>
        <w:rPr>
          <w:rFonts w:ascii="Arial" w:cs="Arial" w:eastAsia="Arial" w:hAnsi="Arial"/>
          <w:sz w:val="18"/>
          <w:szCs w:val="18"/>
          <w:color w:val="auto"/>
        </w:rPr>
      </w:pPr>
    </w:p>
    <w:p>
      <w:pPr>
        <w:ind w:left="240" w:right="20" w:firstLine="221"/>
        <w:spacing w:after="0" w:line="255" w:lineRule="auto"/>
        <w:tabs>
          <w:tab w:leader="none" w:pos="75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operations of the Company and its subsidiaries are and have been conducted at all times in compliance with applicable financial recordkeeping and reporting requirements of the Currency and Foreign Transactions Reporting Act of 1970, as amended, the money laundering statutes of all jurisdictions, the rules and regulations thereunder and any related or similar rules, regulations or guidelines, issued, administered or enforced by any governmental agency (collectively, the “Money Laundering Laws”) and no action, suit or proceeding by or before any court or governmental agency, authority or body or any arbitrator involving the Company or any of its subsidiaries with respect to the Money Laundering Laws is pending or, to the knowledge of the Company, threatened.</w:t>
      </w:r>
    </w:p>
    <w:p>
      <w:pPr>
        <w:spacing w:after="0" w:line="85" w:lineRule="exact"/>
        <w:rPr>
          <w:sz w:val="20"/>
          <w:szCs w:val="20"/>
          <w:color w:val="auto"/>
        </w:rPr>
      </w:pPr>
    </w:p>
    <w:p>
      <w:pPr>
        <w:jc w:val="both"/>
        <w:ind w:right="60" w:firstLine="215"/>
        <w:spacing w:after="0" w:line="264" w:lineRule="auto"/>
        <w:rPr>
          <w:sz w:val="20"/>
          <w:szCs w:val="20"/>
          <w:color w:val="auto"/>
        </w:rPr>
      </w:pPr>
      <w:r>
        <w:rPr>
          <w:rFonts w:ascii="Arial" w:cs="Arial" w:eastAsia="Arial" w:hAnsi="Arial"/>
          <w:sz w:val="18"/>
          <w:szCs w:val="18"/>
          <w:color w:val="auto"/>
        </w:rPr>
        <w:t>Any certificate signed by any officer of the Company or Holdings and delivered to the Representatives or counsel for the Underwriters in connection with the offering of the Securities shall be deemed a representation and warranty by the Company or Holdings, as the case may be, as to matters covered thereby, to each Underwriter.</w:t>
      </w:r>
    </w:p>
    <w:p>
      <w:pPr>
        <w:spacing w:after="0" w:line="73" w:lineRule="exact"/>
        <w:rPr>
          <w:sz w:val="20"/>
          <w:szCs w:val="20"/>
          <w:color w:val="auto"/>
        </w:rPr>
      </w:pPr>
    </w:p>
    <w:p>
      <w:pPr>
        <w:jc w:val="both"/>
        <w:ind w:right="140" w:firstLine="233"/>
        <w:spacing w:after="0" w:line="286" w:lineRule="auto"/>
        <w:tabs>
          <w:tab w:leader="none" w:pos="405" w:val="left"/>
        </w:tabs>
        <w:numPr>
          <w:ilvl w:val="0"/>
          <w:numId w:val="16"/>
        </w:numPr>
        <w:rPr>
          <w:rFonts w:ascii="Arial" w:cs="Arial" w:eastAsia="Arial" w:hAnsi="Arial"/>
          <w:sz w:val="17"/>
          <w:szCs w:val="17"/>
          <w:color w:val="auto"/>
        </w:rPr>
      </w:pPr>
      <w:r>
        <w:rPr>
          <w:rFonts w:ascii="Arial" w:cs="Arial" w:eastAsia="Arial" w:hAnsi="Arial"/>
          <w:sz w:val="17"/>
          <w:szCs w:val="17"/>
          <w:u w:val="single" w:color="auto"/>
          <w:color w:val="auto"/>
        </w:rPr>
        <w:t>Purchase and Sale</w:t>
      </w:r>
      <w:r>
        <w:rPr>
          <w:rFonts w:ascii="Arial" w:cs="Arial" w:eastAsia="Arial" w:hAnsi="Arial"/>
          <w:sz w:val="17"/>
          <w:szCs w:val="17"/>
          <w:color w:val="auto"/>
        </w:rPr>
        <w:t>. Subject to the terms and conditions and in reliance upon the representations and warranties herein set forth, the Company agrees to sell to each Underwriter, and each Underwriter agrees, severally and not jointly, to purchase from the Company, at the purchase price set forth in Schedule I hereto, the principal amount of the Securities set forth opposite such Underwriter’s name in Schedule II hereto.</w:t>
      </w:r>
    </w:p>
    <w:p>
      <w:pPr>
        <w:spacing w:after="0" w:line="57" w:lineRule="exact"/>
        <w:rPr>
          <w:sz w:val="20"/>
          <w:szCs w:val="20"/>
          <w:color w:val="auto"/>
        </w:rPr>
      </w:pPr>
    </w:p>
    <w:p>
      <w:pPr>
        <w:ind w:firstLine="222"/>
        <w:spacing w:after="0" w:line="271" w:lineRule="auto"/>
        <w:rPr>
          <w:sz w:val="20"/>
          <w:szCs w:val="20"/>
          <w:color w:val="auto"/>
        </w:rPr>
      </w:pPr>
      <w:r>
        <w:rPr>
          <w:rFonts w:ascii="Arial" w:cs="Arial" w:eastAsia="Arial" w:hAnsi="Arial"/>
          <w:sz w:val="17"/>
          <w:szCs w:val="17"/>
          <w:color w:val="auto"/>
        </w:rPr>
        <w:t>The Company acknowledges and agrees that the Underwriters are acting solely in the capacity of an arm’s length contractual counterparty to the Company with respect to the offering of Securities contemplated hereby (including in connection with determining the terms of the offering) and not as a financial advisor or a fiduciary to, or an agent of, the Company or any other person. Additionally, in connection with the offering of Securities hereby, neither the Representatives nor any other Underwriter is advising the Company or any other person as to any legal, tax, investment, accounting or regulatory matters in any jurisdiction. The Company shall consult with its own advisors concerning such matters and shall be responsible for making its own independent investigation and appraisal of the transactions contemplated hereby, and the Underwriters shall have no responsibility or liability to the Company with respect thereto. Any review by the Underwriters of the Company, the transactions contemplated hereby or other matters relating to such transactions will be performed solely for the benefit of the Underwriters and shall not be on behalf of the Company.</w:t>
      </w:r>
    </w:p>
    <w:p>
      <w:pPr>
        <w:spacing w:after="0" w:line="71" w:lineRule="exact"/>
        <w:rPr>
          <w:sz w:val="20"/>
          <w:szCs w:val="20"/>
          <w:color w:val="auto"/>
        </w:rPr>
      </w:pPr>
    </w:p>
    <w:p>
      <w:pPr>
        <w:ind w:right="300" w:firstLine="233"/>
        <w:spacing w:after="0" w:line="277" w:lineRule="auto"/>
        <w:tabs>
          <w:tab w:leader="none" w:pos="405"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Delivery and Payment</w:t>
      </w:r>
      <w:r>
        <w:rPr>
          <w:rFonts w:ascii="Arial" w:cs="Arial" w:eastAsia="Arial" w:hAnsi="Arial"/>
          <w:sz w:val="18"/>
          <w:szCs w:val="18"/>
          <w:color w:val="auto"/>
        </w:rPr>
        <w:t>. Delivery of and payment for the Securities shall be made on the date and at the time specified in Schedule I hereto or at such time on such later date not</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17" w:name="page18"/>
    <w:bookmarkEnd w:id="17"/>
    <w:p>
      <w:pPr>
        <w:ind w:right="100"/>
        <w:spacing w:after="0" w:line="255" w:lineRule="auto"/>
        <w:rPr>
          <w:sz w:val="20"/>
          <w:szCs w:val="20"/>
          <w:color w:val="auto"/>
        </w:rPr>
      </w:pPr>
      <w:r>
        <w:rPr>
          <w:rFonts w:ascii="Arial" w:cs="Arial" w:eastAsia="Arial" w:hAnsi="Arial"/>
          <w:sz w:val="18"/>
          <w:szCs w:val="18"/>
          <w:color w:val="auto"/>
        </w:rPr>
        <w:t>more than three Business Days after the foregoing date as the Representatives shall designate, which date and time may be postponed by agreement between the Representatives and the Company or as provided in Section 10 hereof (such date and time of delivery and payment for the Securities being herein called the “</w:t>
      </w:r>
      <w:r>
        <w:rPr>
          <w:rFonts w:ascii="Arial" w:cs="Arial" w:eastAsia="Arial" w:hAnsi="Arial"/>
          <w:sz w:val="18"/>
          <w:szCs w:val="18"/>
          <w:u w:val="single" w:color="auto"/>
          <w:color w:val="auto"/>
        </w:rPr>
        <w:t>Closing Date</w:t>
      </w:r>
      <w:r>
        <w:rPr>
          <w:rFonts w:ascii="Arial" w:cs="Arial" w:eastAsia="Arial" w:hAnsi="Arial"/>
          <w:sz w:val="18"/>
          <w:szCs w:val="18"/>
          <w:color w:val="auto"/>
        </w:rPr>
        <w:t>”). Delivery of the Securities shall be made to the Representatives for the respective accounts of the several Underwriters against payment by the several Underwriters through the Representatives of the purchase price thereof to or upon the order of the Company by wire transfer payable in same-day funds to an account specified by the Company. Delivery of the Securities shall be made through the facilities of The Depository Trust Company unless the Representatives shall otherwise instruct.</w:t>
      </w:r>
    </w:p>
    <w:p>
      <w:pPr>
        <w:spacing w:after="0" w:line="85" w:lineRule="exact"/>
        <w:rPr>
          <w:sz w:val="20"/>
          <w:szCs w:val="20"/>
          <w:color w:val="auto"/>
        </w:rPr>
      </w:pPr>
    </w:p>
    <w:p>
      <w:pPr>
        <w:ind w:right="780" w:firstLine="233"/>
        <w:spacing w:after="0" w:line="277" w:lineRule="auto"/>
        <w:tabs>
          <w:tab w:leader="none" w:pos="405"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Offering by Underwriters</w:t>
      </w:r>
      <w:r>
        <w:rPr>
          <w:rFonts w:ascii="Arial" w:cs="Arial" w:eastAsia="Arial" w:hAnsi="Arial"/>
          <w:sz w:val="18"/>
          <w:szCs w:val="18"/>
          <w:color w:val="auto"/>
        </w:rPr>
        <w:t>. It is understood that the several Underwriters propose to offer the Securities for sale to the public as set forth in the Registration Statement, the Time of Sale Information and the Final Prospectus.</w:t>
      </w:r>
    </w:p>
    <w:p>
      <w:pPr>
        <w:spacing w:after="0" w:line="62" w:lineRule="exact"/>
        <w:rPr>
          <w:rFonts w:ascii="Arial" w:cs="Arial" w:eastAsia="Arial" w:hAnsi="Arial"/>
          <w:sz w:val="18"/>
          <w:szCs w:val="18"/>
          <w:color w:val="auto"/>
        </w:rPr>
      </w:pPr>
    </w:p>
    <w:p>
      <w:pPr>
        <w:ind w:left="420" w:hanging="187"/>
        <w:spacing w:after="0"/>
        <w:tabs>
          <w:tab w:leader="none" w:pos="420"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Agreements</w:t>
      </w:r>
      <w:r>
        <w:rPr>
          <w:rFonts w:ascii="Arial" w:cs="Arial" w:eastAsia="Arial" w:hAnsi="Arial"/>
          <w:sz w:val="18"/>
          <w:szCs w:val="18"/>
          <w:color w:val="auto"/>
        </w:rPr>
        <w:t>. The Company agrees with the several Underwriters that:</w:t>
      </w:r>
    </w:p>
    <w:p>
      <w:pPr>
        <w:spacing w:after="0" w:line="117" w:lineRule="exact"/>
        <w:rPr>
          <w:rFonts w:ascii="Arial" w:cs="Arial" w:eastAsia="Arial" w:hAnsi="Arial"/>
          <w:sz w:val="18"/>
          <w:szCs w:val="18"/>
          <w:color w:val="auto"/>
        </w:rPr>
      </w:pPr>
    </w:p>
    <w:p>
      <w:pPr>
        <w:ind w:left="240" w:firstLine="221"/>
        <w:spacing w:after="0" w:line="253" w:lineRule="auto"/>
        <w:tabs>
          <w:tab w:leader="none" w:pos="710" w:val="left"/>
        </w:tabs>
        <w:numPr>
          <w:ilvl w:val="1"/>
          <w:numId w:val="18"/>
        </w:numPr>
        <w:rPr>
          <w:rFonts w:ascii="Arial" w:cs="Arial" w:eastAsia="Arial" w:hAnsi="Arial"/>
          <w:sz w:val="18"/>
          <w:szCs w:val="18"/>
          <w:color w:val="auto"/>
        </w:rPr>
      </w:pPr>
      <w:r>
        <w:rPr>
          <w:rFonts w:ascii="Arial" w:cs="Arial" w:eastAsia="Arial" w:hAnsi="Arial"/>
          <w:sz w:val="18"/>
          <w:szCs w:val="18"/>
          <w:color w:val="auto"/>
        </w:rPr>
        <w:t>The Company will file the Final Prospectus with the Commission within the time periods specified by Rule 424(b) and Rule 430A, 430B or 430C under the Act, will file any Issuer Free Writing Prospectus (including the term sheet in the form of Schedule I hereto) to the extent required by Rule 433 under the Act; and will file promptly all reports and any definitive proxy or information statements required to be filed by the Company with the Commission pursuant to Section 13(a), 13(c), 14 or 15(d) of the Exchange Act subsequent to the date of the Final Prospectus and for so long as the delivery of a prospectus is required in connection with the offering or sale of the Securities; and the Company will furnish copies of the Final Prospectus and each Issuer Free Writing Prospectus (to the extent not previously delivered) to the Underwriters in New York City prior to 10:00 A.M., New York City time, on the business day next succeeding the date of this Agreement in such quantities as the Representatives may reasonably request. The Company has paid the registration fees for this offering within the time period required by Rule 456(b)(1)(i) under the Act (without giving effect to the proviso therein) and in any event prior to the Closing Date.</w:t>
      </w:r>
    </w:p>
    <w:p>
      <w:pPr>
        <w:spacing w:after="0" w:line="89" w:lineRule="exact"/>
        <w:rPr>
          <w:rFonts w:ascii="Arial" w:cs="Arial" w:eastAsia="Arial" w:hAnsi="Arial"/>
          <w:sz w:val="18"/>
          <w:szCs w:val="18"/>
          <w:color w:val="auto"/>
        </w:rPr>
      </w:pPr>
    </w:p>
    <w:p>
      <w:pPr>
        <w:ind w:left="240" w:right="20" w:firstLine="221"/>
        <w:spacing w:after="0" w:line="291" w:lineRule="auto"/>
        <w:tabs>
          <w:tab w:leader="none" w:pos="720" w:val="left"/>
        </w:tabs>
        <w:numPr>
          <w:ilvl w:val="1"/>
          <w:numId w:val="18"/>
        </w:numPr>
        <w:rPr>
          <w:rFonts w:ascii="Arial" w:cs="Arial" w:eastAsia="Arial" w:hAnsi="Arial"/>
          <w:sz w:val="16"/>
          <w:szCs w:val="16"/>
          <w:color w:val="auto"/>
        </w:rPr>
      </w:pPr>
      <w:r>
        <w:rPr>
          <w:rFonts w:ascii="Arial" w:cs="Arial" w:eastAsia="Arial" w:hAnsi="Arial"/>
          <w:sz w:val="16"/>
          <w:szCs w:val="16"/>
          <w:color w:val="auto"/>
        </w:rPr>
        <w:t>Before making, preparing, using, authorizing, approving, referring to or filing any Issuer Free Writing Prospectus, and before filing any amendment or supplement to the Registration Statement or the Final Prospectus, the Company will furnish to the Representatives and counsel for the Underwriters a copy of the proposed Issuer Free Writing Prospectus, amendment or supplement for review and will not make, prepare, use, authorize, approve, refer to or file any such Issuer Free Writing Prospectus or file any such proposed amendment or supplement to which the Representatives reasonably object. Subject to the foregoing sentence, if the filing of the Final Prospectus is otherwise required under Rule 424(b), the Company will cause the Final Prospectus, properly completed, and any supplement thereto to be filed with the Commission pursuant to the applicable paragraph of Rule 424(b) within the time period prescribed and will provide evidence satisfactory to the Representatives of such timely filing.</w:t>
      </w:r>
    </w:p>
    <w:p>
      <w:pPr>
        <w:spacing w:after="0" w:line="59" w:lineRule="exact"/>
        <w:rPr>
          <w:rFonts w:ascii="Arial" w:cs="Arial" w:eastAsia="Arial" w:hAnsi="Arial"/>
          <w:sz w:val="16"/>
          <w:szCs w:val="16"/>
          <w:color w:val="auto"/>
        </w:rPr>
      </w:pPr>
    </w:p>
    <w:p>
      <w:pPr>
        <w:ind w:left="240" w:right="100" w:firstLine="221"/>
        <w:spacing w:after="0" w:line="277" w:lineRule="auto"/>
        <w:tabs>
          <w:tab w:leader="none" w:pos="710" w:val="left"/>
        </w:tabs>
        <w:numPr>
          <w:ilvl w:val="1"/>
          <w:numId w:val="18"/>
        </w:numPr>
        <w:rPr>
          <w:rFonts w:ascii="Arial" w:cs="Arial" w:eastAsia="Arial" w:hAnsi="Arial"/>
          <w:sz w:val="18"/>
          <w:szCs w:val="18"/>
          <w:color w:val="auto"/>
        </w:rPr>
      </w:pPr>
      <w:r>
        <w:rPr>
          <w:rFonts w:ascii="Arial" w:cs="Arial" w:eastAsia="Arial" w:hAnsi="Arial"/>
          <w:sz w:val="18"/>
          <w:szCs w:val="18"/>
          <w:color w:val="auto"/>
        </w:rPr>
        <w:t>The Company will promptly advise the Representatives (1) when the Final Prospectus, and any supplement thereto, or any amendment to the Final Prospectus</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18" w:name="page19"/>
    <w:bookmarkEnd w:id="18"/>
    <w:p>
      <w:pPr>
        <w:spacing w:after="0" w:line="288" w:lineRule="auto"/>
        <w:rPr>
          <w:sz w:val="20"/>
          <w:szCs w:val="20"/>
          <w:color w:val="auto"/>
        </w:rPr>
      </w:pPr>
      <w:r>
        <w:rPr>
          <w:rFonts w:ascii="Arial" w:cs="Arial" w:eastAsia="Arial" w:hAnsi="Arial"/>
          <w:sz w:val="16"/>
          <w:szCs w:val="16"/>
          <w:color w:val="auto"/>
        </w:rPr>
        <w:t>or any Issuer Free Writing Prospectus shall have been filed with the Commission pursuant to Rule 424(b) or when any Rule 462(b) Registration Statement shall have been filed with the Commission, (2) when, prior to termination of the offering of the Securities, any amendment to the Registration Statement shall have been filed or become effective, (3) of any request by the Commission or its staff for any amendment to the Registration Statement, or any Rule 462(b) Registration Statement, or for any supplement to the Final Prospectus or for any additional information, (4) of the issuance by the Commission of any stop order suspending the effectiveness of the Registration Statement or preventing or suspending the use of any Preliminary Prospectus or the Final Prospectus or the institution or threatening of any proceeding for that purpose or pursuant to Section 8A of the Act; (5) of the receipt by the Company of any notification with respect to the suspension of the qualification of the Securities for sale in any jurisdiction or the institution or threatening of any proceeding for such purpose, and (6) of the receipt by the Company of any notice of objection of the Commission to the use of the Registration Statement or any post-effective amendment thereto pursuant to Rule 401(g)(2) under the Act. The Company will use its best efforts to prevent the issuance of any such stop order or the suspension of any such qualification and, if issued, to obtain as soon as possible the withdrawal thereof.</w:t>
      </w:r>
    </w:p>
    <w:p>
      <w:pPr>
        <w:spacing w:after="0" w:line="61" w:lineRule="exact"/>
        <w:rPr>
          <w:sz w:val="20"/>
          <w:szCs w:val="20"/>
          <w:color w:val="auto"/>
        </w:rPr>
      </w:pPr>
    </w:p>
    <w:p>
      <w:pPr>
        <w:ind w:firstLine="221"/>
        <w:spacing w:after="0" w:line="293" w:lineRule="auto"/>
        <w:tabs>
          <w:tab w:leader="none" w:pos="4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If, during the Prospectus Delivery Period, (i) any event occurs as a result of which the Final Prospectus as then supplemented would include any untrue statement of a material fact or omit to state any material fact necessary to make the statements therein in the light of the circumstances under which they were made not misleading, or (ii) it shall be necessary to amend the Registration Statement or supplement the Final Prospectus to comply with the Act or the Exchange Act or the respective rules thereunder, the Company promptly will (1) notify the Representatives of such event, (2) prepare and file with the Commission, subject to the second sentence of paragraph (b) of this Section 5, an amendment or supplement which will correct such statement or omission or effect such compliance and (3) supply any supplemented Final Prospectus to you in such quantities as you may reasonably request.</w:t>
      </w:r>
    </w:p>
    <w:p>
      <w:pPr>
        <w:spacing w:after="0" w:line="56" w:lineRule="exact"/>
        <w:rPr>
          <w:rFonts w:ascii="Arial" w:cs="Arial" w:eastAsia="Arial" w:hAnsi="Arial"/>
          <w:sz w:val="16"/>
          <w:szCs w:val="16"/>
          <w:color w:val="auto"/>
        </w:rPr>
      </w:pPr>
    </w:p>
    <w:p>
      <w:pPr>
        <w:ind w:firstLine="221"/>
        <w:spacing w:after="0" w:line="272" w:lineRule="auto"/>
        <w:tabs>
          <w:tab w:leader="none" w:pos="470" w:val="left"/>
        </w:tabs>
        <w:numPr>
          <w:ilvl w:val="0"/>
          <w:numId w:val="19"/>
        </w:numPr>
        <w:rPr>
          <w:rFonts w:ascii="Arial" w:cs="Arial" w:eastAsia="Arial" w:hAnsi="Arial"/>
          <w:sz w:val="17"/>
          <w:szCs w:val="17"/>
          <w:color w:val="auto"/>
        </w:rPr>
      </w:pPr>
      <w:r>
        <w:rPr>
          <w:rFonts w:ascii="Arial" w:cs="Arial" w:eastAsia="Arial" w:hAnsi="Arial"/>
          <w:sz w:val="17"/>
          <w:szCs w:val="17"/>
          <w:color w:val="auto"/>
        </w:rPr>
        <w:t>If at any time prior to the Closing Date (i) any event shall occur or condition shall exist as a result of which the Time of Sale Information as then amended or supplemented would include any untrue statement of a material fact or omit to state any material fact necessary in order to make the statements therein, in the light of the circumstances, not misleading or (ii) it is necessary to amend or supplement the Time of Sale Information to comply with law, the Company will immediately notify the Underwriters thereof and forthwith prepare and, subject to paragraph (b) of this Section 5, file with the Commission (to the extent required) and furnish to the Underwriters and to such dealers as the Representatives may designate, such amendments or supplements to the Time of Sale Information as may be necessary so that the statements in the Time of Sale Information as so amended or supplemented will not, in the light of the circumstances, be misleading or so that the Time of Sale Information will comply with law.</w:t>
      </w:r>
    </w:p>
    <w:p>
      <w:pPr>
        <w:spacing w:after="0" w:line="151"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0"/>
          </w:cols>
          <w:pgMar w:left="480" w:top="935" w:right="299" w:bottom="1440" w:gutter="0" w:footer="0" w:header="0"/>
        </w:sectPr>
      </w:pPr>
    </w:p>
    <w:bookmarkStart w:id="19" w:name="page20"/>
    <w:bookmarkEnd w:id="19"/>
    <w:p>
      <w:pPr>
        <w:ind w:right="540" w:firstLine="221"/>
        <w:spacing w:after="0" w:line="342" w:lineRule="auto"/>
        <w:tabs>
          <w:tab w:leader="none" w:pos="45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As soon as practicable, the Company will make generally available to its security holders and to the Representatives an earnings statement or statements of the Company and its Subsidiaries which will satisfy the provisions of Section 11(a) of the Act and Rule 158 under the Act.</w:t>
      </w:r>
    </w:p>
    <w:p>
      <w:pPr>
        <w:spacing w:after="0" w:line="15" w:lineRule="exact"/>
        <w:rPr>
          <w:rFonts w:ascii="Arial" w:cs="Arial" w:eastAsia="Arial" w:hAnsi="Arial"/>
          <w:sz w:val="16"/>
          <w:szCs w:val="16"/>
          <w:color w:val="auto"/>
        </w:rPr>
      </w:pPr>
    </w:p>
    <w:p>
      <w:pPr>
        <w:ind w:firstLine="221"/>
        <w:spacing w:after="0" w:line="297" w:lineRule="auto"/>
        <w:tabs>
          <w:tab w:leader="none" w:pos="4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Company will furnish to the Representatives and counsel for the Underwriters, without charge, signed or conformed copies of the Registration Statement (including exhibits thereto and documents incorporated by reference therein) and to each other Underwriter a copy of the Registration Statement (without exhibits thereto) and, during the Prospectus Delivery Period, as many copies of the Final Prospectus, any amendment or supplement thereto and documents incorporated by reference therein, and each Issuer Free Writing Prospectus as the Representatives may reasonably request. The Company will pay the expenses of printing or other production of all documents relating to the offering.</w:t>
      </w:r>
    </w:p>
    <w:p>
      <w:pPr>
        <w:spacing w:after="0" w:line="50" w:lineRule="exact"/>
        <w:rPr>
          <w:rFonts w:ascii="Arial" w:cs="Arial" w:eastAsia="Arial" w:hAnsi="Arial"/>
          <w:sz w:val="16"/>
          <w:szCs w:val="16"/>
          <w:color w:val="auto"/>
        </w:rPr>
      </w:pPr>
    </w:p>
    <w:p>
      <w:pPr>
        <w:ind w:right="80" w:firstLine="221"/>
        <w:spacing w:after="0" w:line="276" w:lineRule="auto"/>
        <w:tabs>
          <w:tab w:leader="none" w:pos="4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 xml:space="preserve">The Company will arrange, if necessary, for the qualification of the Securities for sale under the laws of such jurisdictions as the Representatives may designate, will maintain such qualifications in effect so long as required for the distribution of the Securities and will pay any fee of the Financial Industry Regulatory Authority, in connection with its review of the offering;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no event shall the Company be obligated to qualify to do business in any jurisdiction where it is not now so qualified or to take any action that would subject it to tax or service of process in suits, other than those arising out of the offering or sale of the Securities, in any jurisdiction where it is not now so subject.</w:t>
      </w:r>
    </w:p>
    <w:p>
      <w:pPr>
        <w:spacing w:after="0" w:line="64" w:lineRule="exact"/>
        <w:rPr>
          <w:rFonts w:ascii="Arial" w:cs="Arial" w:eastAsia="Arial" w:hAnsi="Arial"/>
          <w:sz w:val="17"/>
          <w:szCs w:val="17"/>
          <w:color w:val="auto"/>
        </w:rPr>
      </w:pPr>
    </w:p>
    <w:p>
      <w:pPr>
        <w:ind w:right="20" w:firstLine="221"/>
        <w:spacing w:after="0" w:line="254" w:lineRule="auto"/>
        <w:tabs>
          <w:tab w:leader="none" w:pos="4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Company will not, without the prior written consent of Banc of America Securities LLC, J.P. Morgan Securities Inc. and Greenwich Capital Markets, Inc., offer, sell, contract to sell, pledge, or otherwise dispose of, (or enter into any transaction which is designed to, or might reasonably be expected to, result in the disposition (whether by actual disposition or effective economic disposition due to cash settlement or otherwise) by the Company or any affiliate of the Company or any person in privity with the Company or any affiliate of the Company) directly or indirectly, including the filing (or participation in the filing) of a registration statement with the Commission in respect of, or establish or increase a put equivalent position or liquidate or decrease a call equivalent position within the meaning of Section 16 of the Exchange Act, any debt securities (excluding commercial paper or bank borrowings) issued or guaranteed by the Company (other than the Securities) or publicly announce an intention to effect any such transaction, until April 2, 2008.</w:t>
      </w:r>
    </w:p>
    <w:p>
      <w:pPr>
        <w:spacing w:after="0" w:line="84" w:lineRule="exact"/>
        <w:rPr>
          <w:rFonts w:ascii="Arial" w:cs="Arial" w:eastAsia="Arial" w:hAnsi="Arial"/>
          <w:sz w:val="18"/>
          <w:szCs w:val="18"/>
          <w:color w:val="auto"/>
        </w:rPr>
      </w:pPr>
    </w:p>
    <w:p>
      <w:pPr>
        <w:ind w:right="100" w:firstLine="221"/>
        <w:spacing w:after="0" w:line="264" w:lineRule="auto"/>
        <w:tabs>
          <w:tab w:leader="none" w:pos="4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Neither the Company nor Holdings will take, directly or indirectly, any action designed to or that would constitute or that might reasonably be expected to cause or result in, under the Exchange Act or otherwise, stabilization or manipulation of the price of any security of the Company to facilitate the sale or resale of the Securities.</w:t>
      </w:r>
    </w:p>
    <w:p>
      <w:pPr>
        <w:spacing w:after="0" w:line="73" w:lineRule="exact"/>
        <w:rPr>
          <w:rFonts w:ascii="Arial" w:cs="Arial" w:eastAsia="Arial" w:hAnsi="Arial"/>
          <w:sz w:val="18"/>
          <w:szCs w:val="18"/>
          <w:color w:val="auto"/>
        </w:rPr>
      </w:pPr>
    </w:p>
    <w:p>
      <w:pPr>
        <w:ind w:right="80" w:firstLine="221"/>
        <w:spacing w:after="0" w:line="277" w:lineRule="auto"/>
        <w:tabs>
          <w:tab w:leader="none" w:pos="4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Company will, pursuant to reasonable procedures developed in good faith, retain copies of each Issuer Free Writing Prospectus that is not filed with the Commission in accordance with Rule 433 under the Act</w:t>
      </w:r>
    </w:p>
    <w:p>
      <w:pPr>
        <w:spacing w:after="0" w:line="143"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480" w:top="935" w:right="259" w:bottom="1440" w:gutter="0" w:footer="0" w:header="0"/>
        </w:sectPr>
      </w:pPr>
    </w:p>
    <w:bookmarkStart w:id="20" w:name="page21"/>
    <w:bookmarkEnd w:id="20"/>
    <w:p>
      <w:pPr>
        <w:ind w:left="420" w:hanging="187"/>
        <w:spacing w:after="0"/>
        <w:tabs>
          <w:tab w:leader="none" w:pos="420"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Certain Agreements of the Underwriters</w:t>
      </w:r>
      <w:r>
        <w:rPr>
          <w:rFonts w:ascii="Arial" w:cs="Arial" w:eastAsia="Arial" w:hAnsi="Arial"/>
          <w:sz w:val="18"/>
          <w:szCs w:val="18"/>
          <w:color w:val="auto"/>
        </w:rPr>
        <w:t>. Each Underwriter hereby represents and agrees that:</w:t>
      </w:r>
    </w:p>
    <w:p>
      <w:pPr>
        <w:spacing w:after="0" w:line="117" w:lineRule="exact"/>
        <w:rPr>
          <w:rFonts w:ascii="Arial" w:cs="Arial" w:eastAsia="Arial" w:hAnsi="Arial"/>
          <w:sz w:val="18"/>
          <w:szCs w:val="18"/>
          <w:color w:val="auto"/>
        </w:rPr>
      </w:pPr>
    </w:p>
    <w:p>
      <w:pPr>
        <w:ind w:left="240" w:firstLine="446"/>
        <w:spacing w:after="0" w:line="271" w:lineRule="auto"/>
        <w:tabs>
          <w:tab w:leader="none" w:pos="935" w:val="left"/>
        </w:tabs>
        <w:numPr>
          <w:ilvl w:val="2"/>
          <w:numId w:val="21"/>
        </w:numPr>
        <w:rPr>
          <w:rFonts w:ascii="Arial" w:cs="Arial" w:eastAsia="Arial" w:hAnsi="Arial"/>
          <w:sz w:val="17"/>
          <w:szCs w:val="17"/>
          <w:color w:val="auto"/>
        </w:rPr>
      </w:pPr>
      <w:r>
        <w:rPr>
          <w:rFonts w:ascii="Arial" w:cs="Arial" w:eastAsia="Arial" w:hAnsi="Arial"/>
          <w:sz w:val="17"/>
          <w:szCs w:val="17"/>
          <w:color w:val="auto"/>
        </w:rPr>
        <w:t>It has not and will not use, authorize use of, refer to, or participate in the planning for use of, any “free writing prospectus”, as defined in Rule 405 under the Act (which term includes use of any written information furnished to the Commission by the Company and not incorporated by reference into the Registration Statement and any press release issued by the Company) other than (i) a free writing prospectus that, solely as a result of use by such Underwriter, would not trigger an obligation to file such free writing prospectus with the Commission pursuant to Rule 433, (ii) any Issuer Free Writing Prospectus listed on Annex A or prepared pursuant to Section 1(d) or Section 5(b) above (including any electronic road show), or (iii) any free writing prospectus prepared by such Underwriter and approved by the Company in advance in writing (each such free writing prospectus referred to in clauses (i) or (iii), an “</w:t>
      </w:r>
      <w:r>
        <w:rPr>
          <w:rFonts w:ascii="Arial" w:cs="Arial" w:eastAsia="Arial" w:hAnsi="Arial"/>
          <w:sz w:val="17"/>
          <w:szCs w:val="17"/>
          <w:u w:val="single" w:color="auto"/>
          <w:color w:val="auto"/>
        </w:rPr>
        <w:t>Underwriter Free Writing Prospectus</w:t>
      </w:r>
      <w:r>
        <w:rPr>
          <w:rFonts w:ascii="Arial" w:cs="Arial" w:eastAsia="Arial" w:hAnsi="Arial"/>
          <w:sz w:val="17"/>
          <w:szCs w:val="17"/>
          <w:color w:val="auto"/>
        </w:rPr>
        <w:t>”). Notwithstanding the foregoing, the Underwriters may use a term sheet substantially in the form of Schedule I hereto without the consent of the Company.</w:t>
      </w:r>
    </w:p>
    <w:p>
      <w:pPr>
        <w:spacing w:after="0" w:line="70" w:lineRule="exact"/>
        <w:rPr>
          <w:rFonts w:ascii="Arial" w:cs="Arial" w:eastAsia="Arial" w:hAnsi="Arial"/>
          <w:sz w:val="17"/>
          <w:szCs w:val="17"/>
          <w:color w:val="auto"/>
        </w:rPr>
      </w:pPr>
    </w:p>
    <w:p>
      <w:pPr>
        <w:ind w:left="240" w:right="240" w:firstLine="221"/>
        <w:spacing w:after="0" w:line="277" w:lineRule="auto"/>
        <w:tabs>
          <w:tab w:leader="none" w:pos="7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It is not subject to any pending proceeding under Section 8A of the Act with respect to the offering (and will promptly notify the Company if any such proceeding against it is initiated during the Prospectus Delivery Period).</w:t>
      </w:r>
    </w:p>
    <w:p>
      <w:pPr>
        <w:spacing w:after="0" w:line="62" w:lineRule="exact"/>
        <w:rPr>
          <w:rFonts w:ascii="Arial" w:cs="Arial" w:eastAsia="Arial" w:hAnsi="Arial"/>
          <w:sz w:val="18"/>
          <w:szCs w:val="18"/>
          <w:color w:val="auto"/>
        </w:rPr>
      </w:pPr>
    </w:p>
    <w:p>
      <w:pPr>
        <w:jc w:val="both"/>
        <w:ind w:firstLine="233"/>
        <w:spacing w:after="0" w:line="259" w:lineRule="auto"/>
        <w:tabs>
          <w:tab w:leader="none" w:pos="405"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Conditions to the Obligations of the Underwriters</w:t>
      </w:r>
      <w:r>
        <w:rPr>
          <w:rFonts w:ascii="Arial" w:cs="Arial" w:eastAsia="Arial" w:hAnsi="Arial"/>
          <w:sz w:val="18"/>
          <w:szCs w:val="18"/>
          <w:color w:val="auto"/>
        </w:rPr>
        <w:t>. The obligations of the Underwriters to purchase the Securities shall be subject to the accuracy of the representations and warranties on the part of the Company and Holdings contained herein as of the Time of Sale and the Closing Date, to the accuracy of the statements of the Company and Holdings made in any certificates pursuant to the provisions hereof, to the performance by the Company and Holdings of their obligations hereunder and to the following additional conditions:</w:t>
      </w:r>
    </w:p>
    <w:p>
      <w:pPr>
        <w:spacing w:after="0" w:line="78" w:lineRule="exact"/>
        <w:rPr>
          <w:rFonts w:ascii="Arial" w:cs="Arial" w:eastAsia="Arial" w:hAnsi="Arial"/>
          <w:sz w:val="18"/>
          <w:szCs w:val="18"/>
          <w:color w:val="auto"/>
        </w:rPr>
      </w:pPr>
    </w:p>
    <w:p>
      <w:pPr>
        <w:ind w:left="240" w:right="120" w:firstLine="221"/>
        <w:spacing w:after="0" w:line="255" w:lineRule="auto"/>
        <w:tabs>
          <w:tab w:leader="none" w:pos="710" w:val="left"/>
        </w:tabs>
        <w:numPr>
          <w:ilvl w:val="1"/>
          <w:numId w:val="21"/>
        </w:numPr>
        <w:rPr>
          <w:rFonts w:ascii="Arial" w:cs="Arial" w:eastAsia="Arial" w:hAnsi="Arial"/>
          <w:sz w:val="18"/>
          <w:szCs w:val="18"/>
          <w:color w:val="auto"/>
        </w:rPr>
      </w:pPr>
      <w:r>
        <w:rPr>
          <w:rFonts w:ascii="Arial" w:cs="Arial" w:eastAsia="Arial" w:hAnsi="Arial"/>
          <w:sz w:val="18"/>
          <w:szCs w:val="18"/>
          <w:color w:val="auto"/>
        </w:rPr>
        <w:t>If the filing of the Final Prospectus, or any supplement thereto, is required pursuant to Rule 424(b), the Final Prospectus, and any such supplement, will be filed in the manner and within the time period required by Rule 424(b); no stop order suspending the effectiveness of the Registration Statement shall have been issued and no proceedings for that purpose, pursuant to Rule 401(g)(2) and Section 8A under the Act or otherwise, shall have been instituted or threatened; each Issuer Free Writing Prospectus shall have been timely filed with the Commission under the Act to the extent required by Rule 433 thereunder; and all requests by the Commission for additional information shall have been complied with to the reasonable satisfaction of the Representatives.</w:t>
      </w:r>
    </w:p>
    <w:p>
      <w:pPr>
        <w:spacing w:after="0" w:line="85" w:lineRule="exact"/>
        <w:rPr>
          <w:rFonts w:ascii="Arial" w:cs="Arial" w:eastAsia="Arial" w:hAnsi="Arial"/>
          <w:sz w:val="18"/>
          <w:szCs w:val="18"/>
          <w:color w:val="auto"/>
        </w:rPr>
      </w:pPr>
    </w:p>
    <w:p>
      <w:pPr>
        <w:ind w:left="240" w:right="60" w:firstLine="221"/>
        <w:spacing w:after="0" w:line="277" w:lineRule="auto"/>
        <w:tabs>
          <w:tab w:leader="none" w:pos="7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The Company shall have requested and caused Baker Botts L.L.P., counsel for the Company and Holdings, to have furnished to the Representatives their opinion, dated the Closing Date and addressed to the Representatives, to the effect that:</w:t>
      </w:r>
    </w:p>
    <w:p>
      <w:pPr>
        <w:spacing w:after="0" w:line="62" w:lineRule="exact"/>
        <w:rPr>
          <w:rFonts w:ascii="Arial" w:cs="Arial" w:eastAsia="Arial" w:hAnsi="Arial"/>
          <w:sz w:val="18"/>
          <w:szCs w:val="18"/>
          <w:color w:val="auto"/>
        </w:rPr>
      </w:pPr>
    </w:p>
    <w:p>
      <w:pPr>
        <w:ind w:left="460" w:right="220" w:firstLine="229"/>
        <w:spacing w:after="0" w:line="264" w:lineRule="auto"/>
        <w:tabs>
          <w:tab w:leader="none" w:pos="900" w:val="left"/>
        </w:tabs>
        <w:numPr>
          <w:ilvl w:val="2"/>
          <w:numId w:val="22"/>
        </w:numPr>
        <w:rPr>
          <w:rFonts w:ascii="Arial" w:cs="Arial" w:eastAsia="Arial" w:hAnsi="Arial"/>
          <w:sz w:val="18"/>
          <w:szCs w:val="18"/>
          <w:color w:val="auto"/>
        </w:rPr>
      </w:pPr>
      <w:r>
        <w:rPr>
          <w:rFonts w:ascii="Arial" w:cs="Arial" w:eastAsia="Arial" w:hAnsi="Arial"/>
          <w:sz w:val="18"/>
          <w:szCs w:val="18"/>
          <w:color w:val="auto"/>
        </w:rPr>
        <w:t>each of the Company and Holdings is a corporation duly incorporated and validly existing in good standing under the laws of the State of Delaware, with corporate power and authority under such laws to own, lease and operate its properties and to conduct its business as described in the Registration</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1" w:name="page22"/>
    <w:bookmarkEnd w:id="21"/>
    <w:p>
      <w:pPr>
        <w:spacing w:after="0"/>
        <w:rPr>
          <w:sz w:val="20"/>
          <w:szCs w:val="20"/>
          <w:color w:val="auto"/>
        </w:rPr>
      </w:pPr>
      <w:r>
        <w:rPr>
          <w:rFonts w:ascii="Arial" w:cs="Arial" w:eastAsia="Arial" w:hAnsi="Arial"/>
          <w:sz w:val="17"/>
          <w:szCs w:val="17"/>
          <w:color w:val="auto"/>
        </w:rPr>
        <w:t>Statement, the Time of Sale Information and the Final Prospectus and to execute and deliver and perform its obligations under this Agreement;</w:t>
      </w:r>
    </w:p>
    <w:p>
      <w:pPr>
        <w:spacing w:after="0" w:line="129" w:lineRule="exact"/>
        <w:rPr>
          <w:sz w:val="20"/>
          <w:szCs w:val="20"/>
          <w:color w:val="auto"/>
        </w:rPr>
      </w:pPr>
    </w:p>
    <w:p>
      <w:pPr>
        <w:ind w:left="500" w:hanging="271"/>
        <w:spacing w:after="0"/>
        <w:tabs>
          <w:tab w:leader="none" w:pos="5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this Agreement has been duly authorized, executed and delivered by the Company and Holdings;</w:t>
      </w:r>
    </w:p>
    <w:p>
      <w:pPr>
        <w:spacing w:after="0" w:line="117" w:lineRule="exact"/>
        <w:rPr>
          <w:rFonts w:ascii="Arial" w:cs="Arial" w:eastAsia="Arial" w:hAnsi="Arial"/>
          <w:sz w:val="18"/>
          <w:szCs w:val="18"/>
          <w:color w:val="auto"/>
        </w:rPr>
      </w:pPr>
    </w:p>
    <w:p>
      <w:pPr>
        <w:ind w:right="140" w:firstLine="229"/>
        <w:spacing w:after="0" w:line="276" w:lineRule="auto"/>
        <w:tabs>
          <w:tab w:leader="none" w:pos="5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Indenture has been duly authorized, executed and delivered by the Company and (assuming the due authorization, execution and delivery thereof by the Trustee) constitutes a valid and binding agreement of the Company, enforceable against the Company in accordance with its terms, except as the enforcement thereof may be limited by bankruptcy, insolvency, fraudulent transfer, reorganization, moratorium or similar laws affecting enforcement of creditors’ rights and remedies generally and except as enforcement thereof is subject to general principles of equity (regardless of whether enforcement is considered in a proceeding in equity or at law);</w:t>
      </w:r>
    </w:p>
    <w:p>
      <w:pPr>
        <w:spacing w:after="0" w:line="64" w:lineRule="exact"/>
        <w:rPr>
          <w:rFonts w:ascii="Arial" w:cs="Arial" w:eastAsia="Arial" w:hAnsi="Arial"/>
          <w:sz w:val="17"/>
          <w:szCs w:val="17"/>
          <w:color w:val="auto"/>
        </w:rPr>
      </w:pPr>
    </w:p>
    <w:p>
      <w:pPr>
        <w:ind w:firstLine="229"/>
        <w:spacing w:after="0" w:line="272" w:lineRule="auto"/>
        <w:tabs>
          <w:tab w:leader="none" w:pos="53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global certificate representing the Notes is in a form authorized by the Indenture, the Notes have been duly authorized by the Company and, assuming the global certificate representing the Notes has been authenticated by the Trustee in the manner provided for in the Indenture and delivered against payment of the consideration therefor specified in this Agreement, the Notes constitute valid and binding obligations of the Company, enforceable against the Company in accordance with their terms, except as the enforcement thereof may be limited by bankruptcy, insolvency, fraudulent transfer, reorganization, moratorium or similar laws affecting enforcement of creditors’ rights and remedies generally and except as enforcement thereof is subject to general principles of equity (regardless of whether enforcement is considered in a proceeding in equity or at law), and each registered holder thereof is entitled to the benefits of the Indenture;</w:t>
      </w:r>
    </w:p>
    <w:p>
      <w:pPr>
        <w:spacing w:after="0" w:line="69" w:lineRule="exact"/>
        <w:rPr>
          <w:rFonts w:ascii="Arial" w:cs="Arial" w:eastAsia="Arial" w:hAnsi="Arial"/>
          <w:sz w:val="17"/>
          <w:szCs w:val="17"/>
          <w:color w:val="auto"/>
        </w:rPr>
      </w:pPr>
    </w:p>
    <w:p>
      <w:pPr>
        <w:ind w:firstLine="229"/>
        <w:spacing w:after="0" w:line="302" w:lineRule="auto"/>
        <w:tabs>
          <w:tab w:leader="none" w:pos="4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Guarantee Agreement has been duly authorized, executed and delivered by Holdings and constitutes a valid and binding agreement of Holdings, enforceable against Holdings in accordance with its terms, except as the enforcement thereof may be limited by bankruptcy, insolvency, fraudulent transfer, reorganization, moratorium or similar laws affecting enforcement of creditors’ rights and remedies generally except as enforcement thereof is subject to general principles of equity (regardless of whether enforcement is considered in a proceeding in equity or at law);</w:t>
      </w:r>
    </w:p>
    <w:p>
      <w:pPr>
        <w:spacing w:after="0" w:line="46" w:lineRule="exact"/>
        <w:rPr>
          <w:rFonts w:ascii="Arial" w:cs="Arial" w:eastAsia="Arial" w:hAnsi="Arial"/>
          <w:sz w:val="16"/>
          <w:szCs w:val="16"/>
          <w:color w:val="auto"/>
        </w:rPr>
      </w:pPr>
    </w:p>
    <w:p>
      <w:pPr>
        <w:ind w:left="540" w:hanging="311"/>
        <w:spacing w:after="0"/>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Indenture has been duly qualified under the Trust Indenture Act;</w:t>
      </w:r>
    </w:p>
    <w:p>
      <w:pPr>
        <w:spacing w:after="0" w:line="117" w:lineRule="exact"/>
        <w:rPr>
          <w:rFonts w:ascii="Arial" w:cs="Arial" w:eastAsia="Arial" w:hAnsi="Arial"/>
          <w:sz w:val="18"/>
          <w:szCs w:val="18"/>
          <w:color w:val="auto"/>
        </w:rPr>
      </w:pPr>
    </w:p>
    <w:p>
      <w:pPr>
        <w:ind w:right="320" w:firstLine="229"/>
        <w:spacing w:after="0" w:line="277" w:lineRule="auto"/>
        <w:tabs>
          <w:tab w:leader="none" w:pos="5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Securities and the Indenture conform as to legal matters in all material respects to the descriptions thereof contained in the Registration Statement, the Time of Sale Information and the Final Prospectus;</w:t>
      </w:r>
    </w:p>
    <w:p>
      <w:pPr>
        <w:spacing w:after="0" w:line="143"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00"/>
          </w:cols>
          <w:pgMar w:left="700" w:top="935" w:right="299" w:bottom="1440" w:gutter="0" w:footer="0" w:header="0"/>
        </w:sectPr>
      </w:pPr>
    </w:p>
    <w:bookmarkStart w:id="22" w:name="page23"/>
    <w:bookmarkEnd w:id="22"/>
    <w:p>
      <w:pPr>
        <w:ind w:left="220" w:right="40" w:firstLine="229"/>
        <w:spacing w:after="0" w:line="259" w:lineRule="auto"/>
        <w:tabs>
          <w:tab w:leader="none" w:pos="85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Registration Statement has become effective under the Act; any required filing of the Final Prospectus pursuant to Rule 424(b) has been made in the manner and within the time period required by Rule 424(b); and, to the best of such counsel’s knowledge, no stop order suspending the effectiveness of the Registration Statement has been issued and no proceedings for that purpose have been instituted or are pending or threatened under the Act;</w:t>
      </w:r>
    </w:p>
    <w:p>
      <w:pPr>
        <w:spacing w:after="0" w:line="78" w:lineRule="exact"/>
        <w:rPr>
          <w:rFonts w:ascii="Arial" w:cs="Arial" w:eastAsia="Arial" w:hAnsi="Arial"/>
          <w:sz w:val="18"/>
          <w:szCs w:val="18"/>
          <w:color w:val="auto"/>
        </w:rPr>
      </w:pPr>
    </w:p>
    <w:p>
      <w:pPr>
        <w:ind w:left="220" w:right="360" w:firstLine="229"/>
        <w:spacing w:after="0" w:line="286" w:lineRule="auto"/>
        <w:tabs>
          <w:tab w:leader="none" w:pos="750" w:val="left"/>
        </w:tabs>
        <w:numPr>
          <w:ilvl w:val="0"/>
          <w:numId w:val="24"/>
        </w:numPr>
        <w:rPr>
          <w:rFonts w:ascii="Arial" w:cs="Arial" w:eastAsia="Arial" w:hAnsi="Arial"/>
          <w:sz w:val="17"/>
          <w:szCs w:val="17"/>
          <w:color w:val="auto"/>
        </w:rPr>
      </w:pPr>
      <w:r>
        <w:rPr>
          <w:rFonts w:ascii="Arial" w:cs="Arial" w:eastAsia="Arial" w:hAnsi="Arial"/>
          <w:sz w:val="17"/>
          <w:szCs w:val="17"/>
          <w:color w:val="auto"/>
        </w:rPr>
        <w:t>no authorization, approval, consent or license of any regulatory body or authority (other than under the Act, the Trust Indenture Act and the securities or Blue Sky laws of the various states) and no approval of the stockholders of the Company or Holdings is required for the valid authorization, issuance, sale and delivery of the Securities by the Company or Holdings, or for the performance of the Indenture;</w:t>
      </w:r>
    </w:p>
    <w:p>
      <w:pPr>
        <w:spacing w:after="0" w:line="57" w:lineRule="exact"/>
        <w:rPr>
          <w:rFonts w:ascii="Arial" w:cs="Arial" w:eastAsia="Arial" w:hAnsi="Arial"/>
          <w:sz w:val="17"/>
          <w:szCs w:val="17"/>
          <w:color w:val="auto"/>
        </w:rPr>
      </w:pPr>
    </w:p>
    <w:p>
      <w:pPr>
        <w:ind w:left="220" w:right="60" w:firstLine="229"/>
        <w:spacing w:after="0" w:line="255" w:lineRule="auto"/>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execution and delivery of the Underwriting Agreement, the consummation of the transactions contemplated in the Underwriting Agreement and compliance with the terms of the Underwriting Agreement and the Indenture do not and will not conflict with or result in a breach of any of the terms or provisions of, or constitute a default under, the charter or by-laws of the Company, Holdings or Wheelabrator Technologies Inc., or any indenture, mortgage or other agreement or instrument to which the Company or its subsidiaries is a party or by which they or any of their property is bound which is filed as an exhibit to the Registration Statement or to any of the documents incorporated by reference in the Registration Statement, the Time of Sale Information and the Final Prospectus, or any existing applicable laws, rule, regulation (excluding any state securities or state or federal anti-fraud law, rule or regulation); and</w:t>
      </w:r>
    </w:p>
    <w:p>
      <w:pPr>
        <w:spacing w:after="0" w:line="81" w:lineRule="exact"/>
        <w:rPr>
          <w:rFonts w:ascii="Arial" w:cs="Arial" w:eastAsia="Arial" w:hAnsi="Arial"/>
          <w:sz w:val="18"/>
          <w:szCs w:val="18"/>
          <w:color w:val="auto"/>
        </w:rPr>
      </w:pPr>
    </w:p>
    <w:p>
      <w:pPr>
        <w:ind w:left="220" w:firstLine="229"/>
        <w:spacing w:after="0" w:line="277" w:lineRule="auto"/>
        <w:tabs>
          <w:tab w:leader="none" w:pos="75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neither the Company nor Holdings is an “investment company” or an entity “controlled” by an “investment company,” as such terms are defined in the 1940 Act.</w:t>
      </w:r>
    </w:p>
    <w:p>
      <w:pPr>
        <w:spacing w:after="0" w:line="62" w:lineRule="exact"/>
        <w:rPr>
          <w:sz w:val="20"/>
          <w:szCs w:val="20"/>
          <w:color w:val="auto"/>
        </w:rPr>
      </w:pPr>
    </w:p>
    <w:p>
      <w:pPr>
        <w:ind w:right="120" w:firstLine="225"/>
        <w:spacing w:after="0" w:line="302" w:lineRule="auto"/>
        <w:rPr>
          <w:sz w:val="20"/>
          <w:szCs w:val="20"/>
          <w:color w:val="auto"/>
        </w:rPr>
      </w:pPr>
      <w:r>
        <w:rPr>
          <w:rFonts w:ascii="Arial" w:cs="Arial" w:eastAsia="Arial" w:hAnsi="Arial"/>
          <w:sz w:val="16"/>
          <w:szCs w:val="16"/>
          <w:color w:val="auto"/>
        </w:rPr>
        <w:t>Such counsel shall state that the Registration Statement, the Time of Sale Information and the Final Prospectus, excluding the documents incorporated by reference therein and the financial statements and related schedules and other financial data included therein or omitted therefrom and the Trustee’s Statement of Eligibility on Form T-1 (the “</w:t>
      </w:r>
      <w:r>
        <w:rPr>
          <w:rFonts w:ascii="Arial" w:cs="Arial" w:eastAsia="Arial" w:hAnsi="Arial"/>
          <w:sz w:val="16"/>
          <w:szCs w:val="16"/>
          <w:u w:val="single" w:color="auto"/>
          <w:color w:val="auto"/>
        </w:rPr>
        <w:t>Form T-1</w:t>
      </w:r>
      <w:r>
        <w:rPr>
          <w:rFonts w:ascii="Arial" w:cs="Arial" w:eastAsia="Arial" w:hAnsi="Arial"/>
          <w:sz w:val="16"/>
          <w:szCs w:val="16"/>
          <w:color w:val="auto"/>
        </w:rPr>
        <w:t>”), as to which such counsel need not express a view, as of the dates they became effective or issue dates, as the case may be, appear on their face to be appropriately responsive in all material respects with the requirements of the Act.</w:t>
      </w:r>
    </w:p>
    <w:p>
      <w:pPr>
        <w:spacing w:after="0" w:line="46" w:lineRule="exact"/>
        <w:rPr>
          <w:sz w:val="20"/>
          <w:szCs w:val="20"/>
          <w:color w:val="auto"/>
        </w:rPr>
      </w:pPr>
    </w:p>
    <w:p>
      <w:pPr>
        <w:ind w:right="120" w:firstLine="225"/>
        <w:spacing w:after="0" w:line="302" w:lineRule="auto"/>
        <w:rPr>
          <w:sz w:val="20"/>
          <w:szCs w:val="20"/>
          <w:color w:val="auto"/>
        </w:rPr>
      </w:pPr>
      <w:r>
        <w:rPr>
          <w:rFonts w:ascii="Arial" w:cs="Arial" w:eastAsia="Arial" w:hAnsi="Arial"/>
          <w:sz w:val="16"/>
          <w:szCs w:val="16"/>
          <w:color w:val="auto"/>
        </w:rPr>
        <w:t>In addition, such counsel shall state that they have participated in conferences with officers and other representatives of the Company, counsel employed by the Company, representatives of the independent public accountants of the Company, representatives of the Underwriters and counsel to the Underwriters at which the contents of the Registration Statement, the Time of Sale Information and the Final Prospectus were discussed and, although such counsel did not independently verify such information and is not passing upon and does not assume any responsibility for the accuracy,</w:t>
      </w:r>
    </w:p>
    <w:p>
      <w:pPr>
        <w:spacing w:after="0" w:line="127"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480" w:top="935" w:right="259" w:bottom="1440" w:gutter="0" w:footer="0" w:header="0"/>
        </w:sectPr>
      </w:pPr>
    </w:p>
    <w:bookmarkStart w:id="23" w:name="page24"/>
    <w:bookmarkEnd w:id="23"/>
    <w:p>
      <w:pPr>
        <w:ind w:left="4"/>
        <w:spacing w:after="0" w:line="288" w:lineRule="auto"/>
        <w:rPr>
          <w:sz w:val="20"/>
          <w:szCs w:val="20"/>
          <w:color w:val="auto"/>
        </w:rPr>
      </w:pPr>
      <w:r>
        <w:rPr>
          <w:rFonts w:ascii="Arial" w:cs="Arial" w:eastAsia="Arial" w:hAnsi="Arial"/>
          <w:sz w:val="16"/>
          <w:szCs w:val="16"/>
          <w:color w:val="auto"/>
        </w:rPr>
        <w:t>completeness or fairness of the statements contained in the Registration Statement, the Time of Sale Information and the Final Prospectus (other than as set forth in paragraph (vii) above), on the basis of the foregoing, no facts have come to such counsel’s attention that led such counsel to believe (i) that the Registration Statement (other than the financial statements, the notes thereto and the auditors’ reports thereon and the related schedules and the other financial and accounting data included or incorporated by reference therein, or omitted therefrom, and the exhibits thereto, as to which such counsel need not comment) as of the Effective Date and the Closing Date contained an untrue statement of a material fact or omitted to state a material fact required to be stated therein or necessary in order to make the statements therein not misleading, or (ii) that (A) the Time of Sale Information, as of the Time of Sale and as of the Closing Date, contained or contains, or (B) the Final Prospectus, as of its date and as of the Closing Date, contained or contains, (other than the financial statements, the notes thereto and the auditors’ reports thereon and the other financial and accounting data included or incorporated by reference therein, or omitted therefrom, as to which such counsel need not comment) an untrue statement of a material fact or omitted or omits to state a material fact necessary in order to make the statements therein, in the light of the circumstances under which they were made, not misleading.</w:t>
      </w:r>
    </w:p>
    <w:p>
      <w:pPr>
        <w:spacing w:after="0" w:line="61" w:lineRule="exact"/>
        <w:rPr>
          <w:sz w:val="20"/>
          <w:szCs w:val="20"/>
          <w:color w:val="auto"/>
        </w:rPr>
      </w:pPr>
    </w:p>
    <w:p>
      <w:pPr>
        <w:ind w:left="4" w:right="40" w:firstLine="225"/>
        <w:spacing w:after="0" w:line="288" w:lineRule="auto"/>
        <w:rPr>
          <w:sz w:val="20"/>
          <w:szCs w:val="20"/>
          <w:color w:val="auto"/>
        </w:rPr>
      </w:pPr>
      <w:r>
        <w:rPr>
          <w:rFonts w:ascii="Arial" w:cs="Arial" w:eastAsia="Arial" w:hAnsi="Arial"/>
          <w:sz w:val="16"/>
          <w:szCs w:val="16"/>
          <w:color w:val="auto"/>
        </w:rPr>
        <w:t>In rendering such opinions, such counsel may (A) state that the opinions are based on and limited to the contract law of the State of New York, the laws of the State of Texas, the General Corporation Law of Delaware and the Federal laws of the United States, and (B) rely, as to matters of fact, to the extent they deem proper, on certificates of responsible officers of the Company and public officials. References to the Final Prospectus in this paragraph</w:t>
      </w:r>
    </w:p>
    <w:p>
      <w:pPr>
        <w:ind w:left="264" w:hanging="264"/>
        <w:spacing w:after="0"/>
        <w:tabs>
          <w:tab w:leader="none" w:pos="264"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include any supplements thereto at the Closing Date.</w:t>
      </w:r>
    </w:p>
    <w:p>
      <w:pPr>
        <w:spacing w:after="0" w:line="102" w:lineRule="exact"/>
        <w:rPr>
          <w:rFonts w:ascii="Arial" w:cs="Arial" w:eastAsia="Arial" w:hAnsi="Arial"/>
          <w:sz w:val="18"/>
          <w:szCs w:val="18"/>
          <w:color w:val="auto"/>
        </w:rPr>
      </w:pPr>
    </w:p>
    <w:p>
      <w:pPr>
        <w:ind w:left="4" w:right="20" w:firstLine="221"/>
        <w:spacing w:after="0" w:line="277" w:lineRule="auto"/>
        <w:tabs>
          <w:tab w:leader="none" w:pos="474" w:val="left"/>
        </w:tabs>
        <w:numPr>
          <w:ilvl w:val="1"/>
          <w:numId w:val="25"/>
        </w:numPr>
        <w:rPr>
          <w:rFonts w:ascii="Arial" w:cs="Arial" w:eastAsia="Arial" w:hAnsi="Arial"/>
          <w:sz w:val="18"/>
          <w:szCs w:val="18"/>
          <w:color w:val="auto"/>
        </w:rPr>
      </w:pPr>
      <w:r>
        <w:rPr>
          <w:rFonts w:ascii="Arial" w:cs="Arial" w:eastAsia="Arial" w:hAnsi="Arial"/>
          <w:sz w:val="18"/>
          <w:szCs w:val="18"/>
          <w:color w:val="auto"/>
        </w:rPr>
        <w:t>Rick L. Wittenbraker, Senior Vice President and General Counsel of the Company, shall have furnished to the Representatives his opinion, dated the Closing Date and addressed to the Representatives, to the effect that:</w:t>
      </w:r>
    </w:p>
    <w:p>
      <w:pPr>
        <w:spacing w:after="0" w:line="62" w:lineRule="exact"/>
        <w:rPr>
          <w:rFonts w:ascii="Arial" w:cs="Arial" w:eastAsia="Arial" w:hAnsi="Arial"/>
          <w:sz w:val="18"/>
          <w:szCs w:val="18"/>
          <w:color w:val="auto"/>
        </w:rPr>
      </w:pPr>
    </w:p>
    <w:p>
      <w:pPr>
        <w:ind w:left="224" w:right="40" w:firstLine="229"/>
        <w:spacing w:after="0" w:line="254" w:lineRule="auto"/>
        <w:tabs>
          <w:tab w:leader="none" w:pos="664" w:val="left"/>
        </w:tabs>
        <w:numPr>
          <w:ilvl w:val="2"/>
          <w:numId w:val="25"/>
        </w:numPr>
        <w:rPr>
          <w:rFonts w:ascii="Arial" w:cs="Arial" w:eastAsia="Arial" w:hAnsi="Arial"/>
          <w:sz w:val="18"/>
          <w:szCs w:val="18"/>
          <w:color w:val="auto"/>
        </w:rPr>
      </w:pPr>
      <w:r>
        <w:rPr>
          <w:rFonts w:ascii="Arial" w:cs="Arial" w:eastAsia="Arial" w:hAnsi="Arial"/>
          <w:sz w:val="18"/>
          <w:szCs w:val="18"/>
          <w:color w:val="auto"/>
        </w:rPr>
        <w:t>each of the corporate Subsidiaries organized under United States law is a corporation duly incorporated and validly existing in good standing under the laws of the jurisdiction of its incorporation, has corporate power and authority to own, lease and operate its properties and to conduct its business as described in the Registration Statement, the Time of Sale Information and the Final Prospectus, except as would not have a Material Adverse Effect; except as otherwise disclosed in the Registration Statement, the Time of Sale Information and the Final Prospectus, or set forth in the opinion, all of the issued and outstanding capital stock of each of the Subsidiaries is validly issued, fully paid and nonassessable and, to the best of such counsel’s knowledge, all of such shares of stock owned by the Company are owned free and clear of any security interest, mortgage, pledge, lien, encumbrance, claim or equity; none of the outstanding shares of capital stock of the Subsidiaries was issued in violation of the preemptive or similar rights of any security holder thereof;</w:t>
      </w:r>
    </w:p>
    <w:p>
      <w:pPr>
        <w:spacing w:after="0" w:line="84" w:lineRule="exact"/>
        <w:rPr>
          <w:rFonts w:ascii="Arial" w:cs="Arial" w:eastAsia="Arial" w:hAnsi="Arial"/>
          <w:sz w:val="18"/>
          <w:szCs w:val="18"/>
          <w:color w:val="auto"/>
        </w:rPr>
      </w:pPr>
    </w:p>
    <w:p>
      <w:pPr>
        <w:ind w:left="724" w:hanging="271"/>
        <w:spacing w:after="0"/>
        <w:tabs>
          <w:tab w:leader="none" w:pos="724" w:val="left"/>
        </w:tabs>
        <w:numPr>
          <w:ilvl w:val="2"/>
          <w:numId w:val="25"/>
        </w:numPr>
        <w:rPr>
          <w:rFonts w:ascii="Arial" w:cs="Arial" w:eastAsia="Arial" w:hAnsi="Arial"/>
          <w:sz w:val="16"/>
          <w:szCs w:val="16"/>
          <w:color w:val="auto"/>
        </w:rPr>
      </w:pPr>
      <w:r>
        <w:rPr>
          <w:rFonts w:ascii="Arial" w:cs="Arial" w:eastAsia="Arial" w:hAnsi="Arial"/>
          <w:sz w:val="16"/>
          <w:szCs w:val="16"/>
          <w:color w:val="auto"/>
        </w:rPr>
        <w:t>the documents incorporated by reference in the Registration Statement, the Time of Sale Information and the Final Prospectus (other than the</w:t>
      </w:r>
    </w:p>
    <w:p>
      <w:pPr>
        <w:spacing w:after="0" w:line="221" w:lineRule="exact"/>
        <w:rPr>
          <w:sz w:val="20"/>
          <w:szCs w:val="20"/>
          <w:color w:val="auto"/>
        </w:rPr>
      </w:pPr>
    </w:p>
    <w:p>
      <w:pPr>
        <w:jc w:val="center"/>
        <w:ind w:right="216"/>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4"/>
          </w:cols>
          <w:pgMar w:left="476" w:top="935" w:right="239" w:bottom="1440" w:gutter="0" w:footer="0" w:header="0"/>
        </w:sectPr>
      </w:pPr>
    </w:p>
    <w:bookmarkStart w:id="24" w:name="page25"/>
    <w:bookmarkEnd w:id="24"/>
    <w:p>
      <w:pPr>
        <w:ind w:left="220" w:right="20"/>
        <w:spacing w:after="0" w:line="279" w:lineRule="auto"/>
        <w:rPr>
          <w:sz w:val="20"/>
          <w:szCs w:val="20"/>
          <w:color w:val="auto"/>
        </w:rPr>
      </w:pPr>
      <w:r>
        <w:rPr>
          <w:rFonts w:ascii="Arial" w:cs="Arial" w:eastAsia="Arial" w:hAnsi="Arial"/>
          <w:sz w:val="17"/>
          <w:szCs w:val="17"/>
          <w:color w:val="auto"/>
        </w:rPr>
        <w:t>financial statements, related schedules and other financial data included therein or omitted therefrom, as to which he need express no opinion, and except to the extent that any statement therein is modified or superseded in the Time of Sale Information and the Final Prospectus), as of the dates they became effective or were filed with the Commission, as the case may be, appear on their face to be appropriately responsive in all material respects to the requirements of the Exchange Act and the rules and regulations promulgated thereunder;</w:t>
      </w:r>
    </w:p>
    <w:p>
      <w:pPr>
        <w:spacing w:after="0" w:line="63" w:lineRule="exact"/>
        <w:rPr>
          <w:sz w:val="20"/>
          <w:szCs w:val="20"/>
          <w:color w:val="auto"/>
        </w:rPr>
      </w:pPr>
    </w:p>
    <w:p>
      <w:pPr>
        <w:ind w:left="220" w:right="120" w:firstLine="229"/>
        <w:spacing w:after="0" w:line="279" w:lineRule="auto"/>
        <w:tabs>
          <w:tab w:leader="none" w:pos="760" w:val="left"/>
        </w:tabs>
        <w:numPr>
          <w:ilvl w:val="1"/>
          <w:numId w:val="26"/>
        </w:numPr>
        <w:rPr>
          <w:rFonts w:ascii="Arial" w:cs="Arial" w:eastAsia="Arial" w:hAnsi="Arial"/>
          <w:sz w:val="17"/>
          <w:szCs w:val="17"/>
          <w:color w:val="auto"/>
        </w:rPr>
      </w:pPr>
      <w:r>
        <w:rPr>
          <w:rFonts w:ascii="Arial" w:cs="Arial" w:eastAsia="Arial" w:hAnsi="Arial"/>
          <w:sz w:val="17"/>
          <w:szCs w:val="17"/>
          <w:color w:val="auto"/>
        </w:rPr>
        <w:t>except as set forth in the Registration Statement, the Time of Sale Information and the Final Prospectus (or incorporated by reference therein), such counsel does not know of any action, suit, proceeding, inquiry or investigation pending or threatened against the Company or any of its subsidiaries, or to which the property of the Company or any of its subsidiaries is subject, before or brought by any court or governmental agency or body, domestic or foreign, in which there is a reasonable probability of a Material Adverse Effect;</w:t>
      </w:r>
    </w:p>
    <w:p>
      <w:pPr>
        <w:spacing w:after="0" w:line="63" w:lineRule="exact"/>
        <w:rPr>
          <w:rFonts w:ascii="Arial" w:cs="Arial" w:eastAsia="Arial" w:hAnsi="Arial"/>
          <w:sz w:val="17"/>
          <w:szCs w:val="17"/>
          <w:color w:val="auto"/>
        </w:rPr>
      </w:pPr>
    </w:p>
    <w:p>
      <w:pPr>
        <w:ind w:left="760" w:hanging="311"/>
        <w:spacing w:after="0"/>
        <w:tabs>
          <w:tab w:leader="none" w:pos="760" w:val="left"/>
        </w:tabs>
        <w:numPr>
          <w:ilvl w:val="1"/>
          <w:numId w:val="26"/>
        </w:numPr>
        <w:rPr>
          <w:rFonts w:ascii="Arial" w:cs="Arial" w:eastAsia="Arial" w:hAnsi="Arial"/>
          <w:sz w:val="17"/>
          <w:szCs w:val="17"/>
          <w:color w:val="auto"/>
        </w:rPr>
      </w:pPr>
      <w:r>
        <w:rPr>
          <w:rFonts w:ascii="Arial" w:cs="Arial" w:eastAsia="Arial" w:hAnsi="Arial"/>
          <w:sz w:val="17"/>
          <w:szCs w:val="17"/>
          <w:color w:val="auto"/>
        </w:rPr>
        <w:t>such counsel does not know of any statutes or regulations or any pending or threatened legal or governmental proceedings required to be</w:t>
      </w:r>
    </w:p>
    <w:p>
      <w:pPr>
        <w:spacing w:after="0" w:line="34" w:lineRule="exact"/>
        <w:rPr>
          <w:rFonts w:ascii="Arial" w:cs="Arial" w:eastAsia="Arial" w:hAnsi="Arial"/>
          <w:sz w:val="17"/>
          <w:szCs w:val="17"/>
          <w:color w:val="auto"/>
        </w:rPr>
      </w:pPr>
    </w:p>
    <w:p>
      <w:pPr>
        <w:jc w:val="both"/>
        <w:ind w:left="220"/>
        <w:spacing w:after="0" w:line="277" w:lineRule="auto"/>
        <w:rPr>
          <w:rFonts w:ascii="Arial" w:cs="Arial" w:eastAsia="Arial" w:hAnsi="Arial"/>
          <w:sz w:val="17"/>
          <w:szCs w:val="17"/>
          <w:color w:val="auto"/>
        </w:rPr>
      </w:pPr>
      <w:r>
        <w:rPr>
          <w:rFonts w:ascii="Arial" w:cs="Arial" w:eastAsia="Arial" w:hAnsi="Arial"/>
          <w:sz w:val="17"/>
          <w:szCs w:val="17"/>
          <w:color w:val="auto"/>
        </w:rPr>
        <w:t>described in the Registration Statement, the Time of Sale Information and the Final Prospectus which are not described as required, nor of any material contracts or documents of a character required to be described in the Registration Statement, the Time of Sale Information or the Final Prospectus or to be filed or incorporated as exhibits to the Registration Statement which are not described and filed or incorporated as required;</w:t>
      </w:r>
    </w:p>
    <w:p>
      <w:pPr>
        <w:spacing w:after="0" w:line="65" w:lineRule="exact"/>
        <w:rPr>
          <w:rFonts w:ascii="Arial" w:cs="Arial" w:eastAsia="Arial" w:hAnsi="Arial"/>
          <w:sz w:val="17"/>
          <w:szCs w:val="17"/>
          <w:color w:val="auto"/>
        </w:rPr>
      </w:pPr>
    </w:p>
    <w:p>
      <w:pPr>
        <w:ind w:left="220" w:right="80" w:firstLine="229"/>
        <w:spacing w:after="0" w:line="277" w:lineRule="auto"/>
        <w:tabs>
          <w:tab w:leader="none" w:pos="7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such counsel does not know of any holders of securities of the Company or Holdings that have rights to the registration of such securities under the Registration Statement; and</w:t>
      </w:r>
    </w:p>
    <w:p>
      <w:pPr>
        <w:spacing w:after="0" w:line="62" w:lineRule="exact"/>
        <w:rPr>
          <w:rFonts w:ascii="Arial" w:cs="Arial" w:eastAsia="Arial" w:hAnsi="Arial"/>
          <w:sz w:val="18"/>
          <w:szCs w:val="18"/>
          <w:color w:val="auto"/>
        </w:rPr>
      </w:pPr>
    </w:p>
    <w:p>
      <w:pPr>
        <w:ind w:left="220" w:right="260" w:firstLine="229"/>
        <w:spacing w:after="0" w:line="290" w:lineRule="auto"/>
        <w:tabs>
          <w:tab w:leader="none" w:pos="750" w:val="left"/>
        </w:tabs>
        <w:numPr>
          <w:ilvl w:val="1"/>
          <w:numId w:val="26"/>
        </w:numPr>
        <w:rPr>
          <w:rFonts w:ascii="Arial" w:cs="Arial" w:eastAsia="Arial" w:hAnsi="Arial"/>
          <w:sz w:val="16"/>
          <w:szCs w:val="16"/>
          <w:color w:val="auto"/>
        </w:rPr>
      </w:pPr>
      <w:r>
        <w:rPr>
          <w:rFonts w:ascii="Arial" w:cs="Arial" w:eastAsia="Arial" w:hAnsi="Arial"/>
          <w:sz w:val="16"/>
          <w:szCs w:val="16"/>
          <w:color w:val="auto"/>
        </w:rPr>
        <w:t>the execution and delivery of the Underwriting Agreement, the Notes, the Guarantee Agreement and the execution and performance of the Indenture (the “</w:t>
      </w:r>
      <w:r>
        <w:rPr>
          <w:rFonts w:ascii="Arial" w:cs="Arial" w:eastAsia="Arial" w:hAnsi="Arial"/>
          <w:sz w:val="16"/>
          <w:szCs w:val="16"/>
          <w:u w:val="single" w:color="auto"/>
          <w:color w:val="auto"/>
        </w:rPr>
        <w:t>Operative Agreements</w:t>
      </w:r>
      <w:r>
        <w:rPr>
          <w:rFonts w:ascii="Arial" w:cs="Arial" w:eastAsia="Arial" w:hAnsi="Arial"/>
          <w:sz w:val="16"/>
          <w:szCs w:val="16"/>
          <w:color w:val="auto"/>
        </w:rPr>
        <w:t>”), the consummation of the transactions contemplated in the Operative Agreements and compliance with the terms of the Operative Agreement do not and will not conflict with or result in a breach of any of the terms or provisions of, or constitute a default under, the charter or by-laws of the Company or any of its Subsidiaries, or, to the knowledge of such counsel, any indenture, mortgage or other agreement or instrument to which the Company or its Subsidiaries is a party or by which they or any of their property is bound, or any existing applicable laws, rule, regulation (excluding any state securities or state or federal anti-fraud law, rule or regulation), or, to the knowledge of such counsel, any judgment, order or decree of any government, governmental instrumentality or court, domestic or foreign, having jurisdiction over the Company or its Subsidiaries or any of their properties, that in any case would have a Material Adverse Effect.</w:t>
      </w:r>
    </w:p>
    <w:p>
      <w:pPr>
        <w:spacing w:after="0" w:line="58" w:lineRule="exact"/>
        <w:rPr>
          <w:rFonts w:ascii="Arial" w:cs="Arial" w:eastAsia="Arial" w:hAnsi="Arial"/>
          <w:sz w:val="16"/>
          <w:szCs w:val="16"/>
          <w:color w:val="auto"/>
        </w:rPr>
      </w:pPr>
    </w:p>
    <w:p>
      <w:pPr>
        <w:ind w:right="260" w:firstLine="221"/>
        <w:spacing w:after="0" w:line="277" w:lineRule="auto"/>
        <w:tabs>
          <w:tab w:leader="none" w:pos="4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Representatives shall have received from Vinson &amp; Elkins L.L.P., counsel for the Underwriters, such opinion or opinions, dated the Closing Date and</w:t>
      </w:r>
    </w:p>
    <w:p>
      <w:pPr>
        <w:spacing w:after="0" w:line="143"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0"/>
          </w:cols>
          <w:pgMar w:left="480" w:top="935" w:right="299" w:bottom="1440" w:gutter="0" w:footer="0" w:header="0"/>
        </w:sectPr>
      </w:pPr>
    </w:p>
    <w:bookmarkStart w:id="25" w:name="page26"/>
    <w:bookmarkEnd w:id="25"/>
    <w:p>
      <w:pPr>
        <w:ind w:right="100"/>
        <w:spacing w:after="0" w:line="312" w:lineRule="auto"/>
        <w:rPr>
          <w:sz w:val="20"/>
          <w:szCs w:val="20"/>
          <w:color w:val="auto"/>
        </w:rPr>
      </w:pPr>
      <w:r>
        <w:rPr>
          <w:rFonts w:ascii="Arial" w:cs="Arial" w:eastAsia="Arial" w:hAnsi="Arial"/>
          <w:sz w:val="16"/>
          <w:szCs w:val="16"/>
          <w:color w:val="auto"/>
        </w:rPr>
        <w:t>addressed to the Representatives, with respect to the issuance and sale of the Securities, the Indenture, the Registration Statement, the Time of Sale Information and the Final Prospectus (together with any supplement thereto) and other related matters as the Representatives may reasonably require, and the Company shall have furnished to such counsel such documents as they request for the purpose of enabling them to pass upon such matters.</w:t>
      </w:r>
    </w:p>
    <w:p>
      <w:pPr>
        <w:spacing w:after="0" w:line="39" w:lineRule="exact"/>
        <w:rPr>
          <w:sz w:val="20"/>
          <w:szCs w:val="20"/>
          <w:color w:val="auto"/>
        </w:rPr>
      </w:pPr>
    </w:p>
    <w:p>
      <w:pPr>
        <w:ind w:right="160" w:firstLine="221"/>
        <w:spacing w:after="0" w:line="302" w:lineRule="auto"/>
        <w:tabs>
          <w:tab w:leader="none" w:pos="470" w:val="left"/>
        </w:tabs>
        <w:numPr>
          <w:ilvl w:val="0"/>
          <w:numId w:val="28"/>
        </w:numPr>
        <w:rPr>
          <w:rFonts w:ascii="Arial" w:cs="Arial" w:eastAsia="Arial" w:hAnsi="Arial"/>
          <w:sz w:val="16"/>
          <w:szCs w:val="16"/>
          <w:color w:val="auto"/>
        </w:rPr>
      </w:pPr>
      <w:r>
        <w:rPr>
          <w:rFonts w:ascii="Arial" w:cs="Arial" w:eastAsia="Arial" w:hAnsi="Arial"/>
          <w:sz w:val="16"/>
          <w:szCs w:val="16"/>
          <w:color w:val="auto"/>
        </w:rPr>
        <w:t>Each of the Company and Holdings shall have furnished to the Representatives a certificate, signed by the principal legal officer and the vice president and treasurer of the Company in the case of the Company, and signed by the vice president and treasurer of Holdings in the case of Holdings, dated the Closing Date, to the effect that the signers of such certificate have carefully examined the Registration Statement, the Time of Sale Information and the Final Prospectus, any supplements to the Time of Sale Information and the Final Prospectus, and this Agreement and that:</w:t>
      </w:r>
    </w:p>
    <w:p>
      <w:pPr>
        <w:spacing w:after="0" w:line="46" w:lineRule="exact"/>
        <w:rPr>
          <w:rFonts w:ascii="Arial" w:cs="Arial" w:eastAsia="Arial" w:hAnsi="Arial"/>
          <w:sz w:val="16"/>
          <w:szCs w:val="16"/>
          <w:color w:val="auto"/>
        </w:rPr>
      </w:pPr>
    </w:p>
    <w:p>
      <w:pPr>
        <w:ind w:left="220" w:right="80" w:firstLine="229"/>
        <w:spacing w:after="0" w:line="277" w:lineRule="auto"/>
        <w:tabs>
          <w:tab w:leader="none" w:pos="6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in the case of Holdings, the representations and warranties of Holdings in this Agreement are true and correct on and as of the Closing Date with the same effect as if made on the Closing Date;</w:t>
      </w:r>
    </w:p>
    <w:p>
      <w:pPr>
        <w:spacing w:after="0" w:line="62" w:lineRule="exact"/>
        <w:rPr>
          <w:rFonts w:ascii="Arial" w:cs="Arial" w:eastAsia="Arial" w:hAnsi="Arial"/>
          <w:sz w:val="18"/>
          <w:szCs w:val="18"/>
          <w:color w:val="auto"/>
        </w:rPr>
      </w:pPr>
    </w:p>
    <w:p>
      <w:pPr>
        <w:jc w:val="both"/>
        <w:ind w:left="220" w:right="120" w:firstLine="229"/>
        <w:spacing w:after="0" w:line="264" w:lineRule="auto"/>
        <w:tabs>
          <w:tab w:leader="none" w:pos="710" w:val="left"/>
        </w:tabs>
        <w:numPr>
          <w:ilvl w:val="1"/>
          <w:numId w:val="28"/>
        </w:numPr>
        <w:rPr>
          <w:rFonts w:ascii="Arial" w:cs="Arial" w:eastAsia="Arial" w:hAnsi="Arial"/>
          <w:sz w:val="18"/>
          <w:szCs w:val="18"/>
          <w:color w:val="auto"/>
        </w:rPr>
      </w:pPr>
      <w:r>
        <w:rPr>
          <w:rFonts w:ascii="Arial" w:cs="Arial" w:eastAsia="Arial" w:hAnsi="Arial"/>
          <w:sz w:val="18"/>
          <w:szCs w:val="18"/>
          <w:color w:val="auto"/>
        </w:rPr>
        <w:t>in the case of the Company, the representations and warranties of the Company in this Agreement are true and correct on and as of the Closing Date with the same effect as if made on the Closing Date and the Company has complied with all the agreements and satisfied all the conditions on its part to be performed or satisfied at or prior to the Closing Date;</w:t>
      </w:r>
    </w:p>
    <w:p>
      <w:pPr>
        <w:spacing w:after="0" w:line="73" w:lineRule="exact"/>
        <w:rPr>
          <w:rFonts w:ascii="Arial" w:cs="Arial" w:eastAsia="Arial" w:hAnsi="Arial"/>
          <w:sz w:val="18"/>
          <w:szCs w:val="18"/>
          <w:color w:val="auto"/>
        </w:rPr>
      </w:pPr>
    </w:p>
    <w:p>
      <w:pPr>
        <w:ind w:left="220" w:right="640" w:firstLine="229"/>
        <w:spacing w:after="0" w:line="277" w:lineRule="auto"/>
        <w:tabs>
          <w:tab w:leader="none" w:pos="7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no stop order suspending the effectiveness of the Registration Statement has been issued and no proceedings for that purpose have been instituted or, to the Company’s knowledge, threatened; and</w:t>
      </w:r>
    </w:p>
    <w:p>
      <w:pPr>
        <w:spacing w:after="0" w:line="62" w:lineRule="exact"/>
        <w:rPr>
          <w:rFonts w:ascii="Arial" w:cs="Arial" w:eastAsia="Arial" w:hAnsi="Arial"/>
          <w:sz w:val="18"/>
          <w:szCs w:val="18"/>
          <w:color w:val="auto"/>
        </w:rPr>
      </w:pPr>
    </w:p>
    <w:p>
      <w:pPr>
        <w:ind w:left="220" w:right="60" w:firstLine="229"/>
        <w:spacing w:after="0" w:line="257" w:lineRule="auto"/>
        <w:tabs>
          <w:tab w:leader="none" w:pos="750" w:val="left"/>
        </w:tabs>
        <w:numPr>
          <w:ilvl w:val="1"/>
          <w:numId w:val="28"/>
        </w:numPr>
        <w:rPr>
          <w:rFonts w:ascii="Arial" w:cs="Arial" w:eastAsia="Arial" w:hAnsi="Arial"/>
          <w:sz w:val="18"/>
          <w:szCs w:val="18"/>
          <w:color w:val="auto"/>
        </w:rPr>
      </w:pPr>
      <w:r>
        <w:rPr>
          <w:rFonts w:ascii="Arial" w:cs="Arial" w:eastAsia="Arial" w:hAnsi="Arial"/>
          <w:sz w:val="18"/>
          <w:szCs w:val="18"/>
          <w:color w:val="auto"/>
        </w:rPr>
        <w:t>since the date of the most recent financial statements included or incorporated by reference in the Time of Sale Information and the Final Prospectus (exclusive of any amendment or supplement thereto), there has been no material adverse effect on the condition (financial or otherwise), prospects, earnings, business or properties of the Company and its Subsidiaries, taken as a whole, whether or not arising from transactions in the ordinary course of business, except as set forth or contemplated in the Time of Sale Information and the Final Prospectus (exclusive of any amendment or supplement thereto).</w:t>
      </w:r>
    </w:p>
    <w:p>
      <w:pPr>
        <w:spacing w:after="0" w:line="80" w:lineRule="exact"/>
        <w:rPr>
          <w:rFonts w:ascii="Arial" w:cs="Arial" w:eastAsia="Arial" w:hAnsi="Arial"/>
          <w:sz w:val="18"/>
          <w:szCs w:val="18"/>
          <w:color w:val="auto"/>
        </w:rPr>
      </w:pPr>
    </w:p>
    <w:p>
      <w:pPr>
        <w:ind w:firstLine="221"/>
        <w:spacing w:after="0" w:line="257" w:lineRule="auto"/>
        <w:tabs>
          <w:tab w:leader="none" w:pos="45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Company shall have requested and caused Ernst &amp; Young LLP to have furnished to the Representatives, at the Time of Sale and at the Closing Date, letters (which may refer to letters previously delivered to one or more of the Representatives), dated respectively as of the Time of Sale and as of the Closing Date, in form and substance satisfactory to the Representatives, confirming that they are independent accountants within the meaning of the Act and the Exchange Act and the respective applicable rules and regulations adopted by the Commission thereunder, and stating in effect, among other things, that:</w:t>
      </w:r>
    </w:p>
    <w:p>
      <w:pPr>
        <w:spacing w:after="0" w:line="161"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480" w:top="935" w:right="259" w:bottom="1440" w:gutter="0" w:footer="0" w:header="0"/>
        </w:sectPr>
      </w:pPr>
    </w:p>
    <w:bookmarkStart w:id="26" w:name="page27"/>
    <w:bookmarkEnd w:id="26"/>
    <w:p>
      <w:pPr>
        <w:ind w:left="220" w:right="480" w:firstLine="229"/>
        <w:spacing w:after="0" w:line="312" w:lineRule="auto"/>
        <w:tabs>
          <w:tab w:leader="none" w:pos="6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in their opinion the audited financial statements and financial statement schedules included or incorporated by reference in the Registration Statement, the Time of Sale Information and the Final Prospectus and reported on by them comply as to form in all material respects with the applicable accounting requirements of the Act and the Exchange Act and the related rules and regulations adopted by the Commission;</w:t>
      </w:r>
    </w:p>
    <w:p>
      <w:pPr>
        <w:spacing w:after="0" w:line="38" w:lineRule="exact"/>
        <w:rPr>
          <w:rFonts w:ascii="Arial" w:cs="Arial" w:eastAsia="Arial" w:hAnsi="Arial"/>
          <w:sz w:val="16"/>
          <w:szCs w:val="16"/>
          <w:color w:val="auto"/>
        </w:rPr>
      </w:pPr>
    </w:p>
    <w:p>
      <w:pPr>
        <w:ind w:left="220" w:right="520" w:firstLine="229"/>
        <w:spacing w:after="0" w:line="264" w:lineRule="auto"/>
        <w:tabs>
          <w:tab w:leader="none" w:pos="71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information included or incorporated by reference in the Registration Statement, the Time of Sale Information and Final Prospectus in response to Regulation S-K, Item 301 (Selected Financial Data) and Item 503(d) (Ratio of Earnings to Fixed Charges) is in conformity with the applicable disclosure requirements of Regulation S-K; and</w:t>
      </w:r>
    </w:p>
    <w:p>
      <w:pPr>
        <w:spacing w:after="0" w:line="73" w:lineRule="exact"/>
        <w:rPr>
          <w:rFonts w:ascii="Arial" w:cs="Arial" w:eastAsia="Arial" w:hAnsi="Arial"/>
          <w:sz w:val="18"/>
          <w:szCs w:val="18"/>
          <w:color w:val="auto"/>
        </w:rPr>
      </w:pPr>
    </w:p>
    <w:p>
      <w:pPr>
        <w:ind w:left="220" w:firstLine="229"/>
        <w:spacing w:after="0" w:line="272" w:lineRule="auto"/>
        <w:tabs>
          <w:tab w:leader="none" w:pos="7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they have performed certain other specified procedures as a result of which they determined that certain information of an accounting, financial or statistical nature (which is limited to accounting, financial or statistical information derived from the general accounting records of the Company and its consolidated subsidiaries) set forth in the Registration Statement, the Time of Sale Information and the Final Prospectus and in Exhibit 12 to the Registration Statement, the information included or incorporated by reference in the Company’s Annual Report on Form 10-K for the year ended December 31, 2007, incorporated by reference in the Registration Statement, the Time of Sale Information and the Final Prospectus, and the information included in the “Management’s Discussion and Analysis of Financial Condition and Results of Operations” agrees with the accounting records of the Company and its consolidated subsidiaries, excluding any questions of legal interpretation.</w:t>
      </w:r>
    </w:p>
    <w:p>
      <w:pPr>
        <w:spacing w:after="0" w:line="70" w:lineRule="exact"/>
        <w:rPr>
          <w:sz w:val="20"/>
          <w:szCs w:val="20"/>
          <w:color w:val="auto"/>
        </w:rPr>
      </w:pPr>
    </w:p>
    <w:p>
      <w:pPr>
        <w:ind w:right="80" w:firstLine="225"/>
        <w:spacing w:after="0" w:line="277" w:lineRule="auto"/>
        <w:rPr>
          <w:sz w:val="20"/>
          <w:szCs w:val="20"/>
          <w:color w:val="auto"/>
        </w:rPr>
      </w:pPr>
      <w:r>
        <w:rPr>
          <w:rFonts w:ascii="Arial" w:cs="Arial" w:eastAsia="Arial" w:hAnsi="Arial"/>
          <w:sz w:val="18"/>
          <w:szCs w:val="18"/>
          <w:color w:val="auto"/>
        </w:rPr>
        <w:t>References to the Final Prospectus in this paragraph (f) of this Section 7 include any supplement thereto at the date of the letter. The letter delivered on the Closing Date shall use a “cut-off” date no more than three business days prior to the Closing Date.</w:t>
      </w:r>
    </w:p>
    <w:p>
      <w:pPr>
        <w:spacing w:after="0" w:line="62" w:lineRule="exact"/>
        <w:rPr>
          <w:sz w:val="20"/>
          <w:szCs w:val="20"/>
          <w:color w:val="auto"/>
        </w:rPr>
      </w:pPr>
    </w:p>
    <w:p>
      <w:pPr>
        <w:ind w:right="20" w:firstLine="221"/>
        <w:spacing w:after="0" w:line="270" w:lineRule="auto"/>
        <w:tabs>
          <w:tab w:leader="none" w:pos="4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Subsequent to the Time of Sale or, if earlier, the dates as of which information is given in the Registration Statement (exclusive of any amendment thereof) and the Time of Sale Information and the Final Prospectus (exclusive of any amendment or supplement thereto), there shall not have been (i) any change or decrease specified in the letter or letters referred to in paragraph (f) of this Section 7 or (ii) any change, or any development involving a prospective change, in or affecting the condition (financial or otherwise), earnings, business or properties of the Company and its Subsidiaries, taken as a whole, whether or not arising from transactions in the ordinary course of business, except as set forth or contemplated in the Time of Sale Information and the Final Prospectus (exclusive of any amendment or supplement thereto) the effect of which, in any case referred to in clause (i) or (ii) above, is, in the sole judgment of the Representatives, so material and adverse as to make it impractical or inadvisable to proceed with the offering or delivery of the Securities as contemplated by the Registration Statement (exclusive of any amendment thereof) and the Time of Sale Information and the Final Prospectus (exclusive of any amendment or supplement thereto).</w:t>
      </w:r>
    </w:p>
    <w:p>
      <w:pPr>
        <w:spacing w:after="0" w:line="155"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480" w:top="935" w:right="259" w:bottom="1440" w:gutter="0" w:footer="0" w:header="0"/>
        </w:sectPr>
      </w:pPr>
    </w:p>
    <w:bookmarkStart w:id="27" w:name="page28"/>
    <w:bookmarkEnd w:id="27"/>
    <w:p>
      <w:pPr>
        <w:ind w:left="240" w:right="80" w:firstLine="221"/>
        <w:spacing w:after="0" w:line="286" w:lineRule="auto"/>
        <w:tabs>
          <w:tab w:leader="none" w:pos="7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Subsequent to the Time of Sale, there shall not have been any decrease in the rating of any of the Company’s debt securities by any “nationally recognized statistical rating organization” (as defined for purposes of Rule 436(g) under the Act) or any notice given of any intended or potential decrease in any such rating or of a possible change in any such rating that does not indicate the direction of the possible change.</w:t>
      </w:r>
    </w:p>
    <w:p>
      <w:pPr>
        <w:spacing w:after="0" w:line="57" w:lineRule="exact"/>
        <w:rPr>
          <w:rFonts w:ascii="Arial" w:cs="Arial" w:eastAsia="Arial" w:hAnsi="Arial"/>
          <w:sz w:val="17"/>
          <w:szCs w:val="17"/>
          <w:color w:val="auto"/>
        </w:rPr>
      </w:pPr>
    </w:p>
    <w:p>
      <w:pPr>
        <w:ind w:left="240" w:right="760" w:firstLine="221"/>
        <w:spacing w:after="0" w:line="277" w:lineRule="auto"/>
        <w:tabs>
          <w:tab w:leader="none" w:pos="6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Prior to the Closing Date, the Company and Holdings shall have furnished to the Representatives such further information, certificates and documents as the Representatives may reasonably request.</w:t>
      </w:r>
    </w:p>
    <w:p>
      <w:pPr>
        <w:spacing w:after="0" w:line="62" w:lineRule="exact"/>
        <w:rPr>
          <w:sz w:val="20"/>
          <w:szCs w:val="20"/>
          <w:color w:val="auto"/>
        </w:rPr>
      </w:pPr>
    </w:p>
    <w:p>
      <w:pPr>
        <w:ind w:right="20" w:firstLine="225"/>
        <w:spacing w:after="0" w:line="257" w:lineRule="auto"/>
        <w:rPr>
          <w:sz w:val="20"/>
          <w:szCs w:val="20"/>
          <w:color w:val="auto"/>
        </w:rPr>
      </w:pPr>
      <w:r>
        <w:rPr>
          <w:rFonts w:ascii="Arial" w:cs="Arial" w:eastAsia="Arial" w:hAnsi="Arial"/>
          <w:sz w:val="18"/>
          <w:szCs w:val="18"/>
          <w:color w:val="auto"/>
        </w:rPr>
        <w:t>If any of the conditions specified in this Section 7 shall not have been fulfilled in all material respects when and as provided in this Agreement, or if any of the opinions and certificates mentioned above or elsewhere in this Agreement shall not be in all material respects reasonably satisfactory in form and substance to the Representatives and counsel for the Underwriters, this Agreement and all obligations of the Underwriters hereunder may be canceled at, or at any time prior to, the Closing Date by the Representatives. Notice of such cancellation shall be given to the Company in writing or by telephone or facsimile confirmed in writing.</w:t>
      </w:r>
    </w:p>
    <w:p>
      <w:pPr>
        <w:spacing w:after="0" w:line="80" w:lineRule="exact"/>
        <w:rPr>
          <w:sz w:val="20"/>
          <w:szCs w:val="20"/>
          <w:color w:val="auto"/>
        </w:rPr>
      </w:pPr>
    </w:p>
    <w:p>
      <w:pPr>
        <w:ind w:right="420" w:firstLine="222"/>
        <w:spacing w:after="0" w:line="277" w:lineRule="auto"/>
        <w:rPr>
          <w:sz w:val="20"/>
          <w:szCs w:val="20"/>
          <w:color w:val="auto"/>
        </w:rPr>
      </w:pPr>
      <w:r>
        <w:rPr>
          <w:rFonts w:ascii="Arial" w:cs="Arial" w:eastAsia="Arial" w:hAnsi="Arial"/>
          <w:sz w:val="18"/>
          <w:szCs w:val="18"/>
          <w:color w:val="auto"/>
        </w:rPr>
        <w:t>The documents required to be delivered by this Section 7 shall be delivered at the office of Baker Botts L.L.P., counsel for the Company, at One Shell Plaza, 910 Louisiana Street, Houston, Texas 77002, on the Closing Date.</w:t>
      </w:r>
    </w:p>
    <w:p>
      <w:pPr>
        <w:spacing w:after="0" w:line="62" w:lineRule="exact"/>
        <w:rPr>
          <w:sz w:val="20"/>
          <w:szCs w:val="20"/>
          <w:color w:val="auto"/>
        </w:rPr>
      </w:pPr>
    </w:p>
    <w:p>
      <w:pPr>
        <w:ind w:right="20" w:firstLine="233"/>
        <w:spacing w:after="0" w:line="255" w:lineRule="auto"/>
        <w:tabs>
          <w:tab w:leader="none" w:pos="405"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Reimbursement of Underwriters’ Expenses</w:t>
      </w:r>
      <w:r>
        <w:rPr>
          <w:rFonts w:ascii="Arial" w:cs="Arial" w:eastAsia="Arial" w:hAnsi="Arial"/>
          <w:sz w:val="18"/>
          <w:szCs w:val="18"/>
          <w:color w:val="auto"/>
        </w:rPr>
        <w:t>. If the sale of the Securities provided for herein is not consummated because any condition to the obligations of the Underwriters set forth in Section 7 hereof is not satisfied, because of any termination pursuant to Section 11 hereof (other than as a result of the occurrence of the circumstances in Sections 11(ii) and 11(iii)) or because of any refusal, inability or failure on the part of the Company to perform any agreement herein or comply with any provision hereof other than by reason of a default by any of the Underwriters, the Company will reimburse the Underwriters severally through Banc of America Securities LLC, J.P. Morgan Securities Inc. and Greenwich Capital Markets, Inc. on demand for all out-of-pocket expenses (including reasonable fees and disbursements of counsel) that shall have been incurred by them in connection with the proposed purchase and sale of the Securities.</w:t>
      </w:r>
    </w:p>
    <w:p>
      <w:pPr>
        <w:spacing w:after="0" w:line="81" w:lineRule="exact"/>
        <w:rPr>
          <w:rFonts w:ascii="Arial" w:cs="Arial" w:eastAsia="Arial" w:hAnsi="Arial"/>
          <w:sz w:val="18"/>
          <w:szCs w:val="18"/>
          <w:color w:val="auto"/>
        </w:rPr>
      </w:pPr>
    </w:p>
    <w:p>
      <w:pPr>
        <w:ind w:firstLine="233"/>
        <w:spacing w:after="0" w:line="290" w:lineRule="auto"/>
        <w:tabs>
          <w:tab w:leader="none" w:pos="405" w:val="left"/>
        </w:tabs>
        <w:numPr>
          <w:ilvl w:val="0"/>
          <w:numId w:val="32"/>
        </w:numPr>
        <w:rPr>
          <w:rFonts w:ascii="Arial" w:cs="Arial" w:eastAsia="Arial" w:hAnsi="Arial"/>
          <w:sz w:val="16"/>
          <w:szCs w:val="16"/>
          <w:color w:val="auto"/>
        </w:rPr>
      </w:pPr>
      <w:r>
        <w:rPr>
          <w:rFonts w:ascii="Arial" w:cs="Arial" w:eastAsia="Arial" w:hAnsi="Arial"/>
          <w:sz w:val="16"/>
          <w:szCs w:val="16"/>
          <w:u w:val="single" w:color="auto"/>
          <w:color w:val="auto"/>
        </w:rPr>
        <w:t>Indemnification and Contribution</w:t>
      </w:r>
      <w:r>
        <w:rPr>
          <w:rFonts w:ascii="Arial" w:cs="Arial" w:eastAsia="Arial" w:hAnsi="Arial"/>
          <w:sz w:val="16"/>
          <w:szCs w:val="16"/>
          <w:color w:val="auto"/>
        </w:rPr>
        <w:t>. (a) Each of the Company and Holdings, jointly and severally, agrees to indemnify and hold harmless each Underwriter, the directors, officers, employees and agents of each Underwriter and each person who controls any Underwriter within the meaning of either the Act or the Exchange Act against any and all losses, claims, damages or liabilities, joint or several, to which they or any of them may become subject under the Act, the Exchange Act or other Federal or state statutory law or regulation, at common law or otherwise, insofar as such losses, claims, damages or liabilities (or actions in respect thereof) (i) arise out of or are based upon any untrue statement or alleged untrue statement of a material fact contained in the Registration Statement or in any amendment thereof, or arise out of or are based upon the omission or alleged omission to state therein a material fact required to be stated therein or necessary to make the statements therein not misleading, or (ii) arise out of or are based upon any untrue statement or alleged untrue statement of a material fact contained in the Final Prospectus (or any amendment or supplement thereto), any Issuer Free Writing</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8" w:name="page29"/>
    <w:bookmarkEnd w:id="28"/>
    <w:p>
      <w:pPr>
        <w:ind w:right="140"/>
        <w:spacing w:after="0" w:line="291" w:lineRule="auto"/>
        <w:rPr>
          <w:sz w:val="20"/>
          <w:szCs w:val="20"/>
          <w:color w:val="auto"/>
        </w:rPr>
      </w:pPr>
      <w:r>
        <w:rPr>
          <w:rFonts w:ascii="Arial" w:cs="Arial" w:eastAsia="Arial" w:hAnsi="Arial"/>
          <w:sz w:val="16"/>
          <w:szCs w:val="16"/>
          <w:color w:val="auto"/>
        </w:rPr>
        <w:t xml:space="preserve">Prospectus or the Time of Sale Information, or arise out of or are based upon any omission or alleged omission to state therein a material fact necessary in order to make the statements therein, in light of the circumstances under which they were made, not misleading, and agrees to reimburse each such indemnified party, as incurred, for any legal or other expenses reasonably incurred by them in connection with investigating or defending any such loss, claim, damage, liability or action;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neither the Company nor Holdings will be liable in any such case to the extent that any such loss, claim, damage or liability arises out of or is based upon any such untrue statement or alleged untrue statement or omission or alleged omission made therein in reliance upon and in conformity with written information furnished to the Company by or on behalf of any Underwriter through the Representatives specifically for inclusion therein. This indemnity agreement will be in addition to any liability that the Company or Holdings may otherwise have.</w:t>
      </w:r>
    </w:p>
    <w:p>
      <w:pPr>
        <w:spacing w:after="0" w:line="59" w:lineRule="exact"/>
        <w:rPr>
          <w:sz w:val="20"/>
          <w:szCs w:val="20"/>
          <w:color w:val="auto"/>
        </w:rPr>
      </w:pPr>
    </w:p>
    <w:p>
      <w:pPr>
        <w:ind w:right="160" w:firstLine="458"/>
        <w:spacing w:after="0" w:line="288" w:lineRule="auto"/>
        <w:tabs>
          <w:tab w:leader="none" w:pos="705" w:val="left"/>
        </w:tabs>
        <w:numPr>
          <w:ilvl w:val="1"/>
          <w:numId w:val="33"/>
        </w:numPr>
        <w:rPr>
          <w:rFonts w:ascii="Arial" w:cs="Arial" w:eastAsia="Arial" w:hAnsi="Arial"/>
          <w:sz w:val="16"/>
          <w:szCs w:val="16"/>
          <w:color w:val="auto"/>
        </w:rPr>
      </w:pPr>
      <w:r>
        <w:rPr>
          <w:rFonts w:ascii="Arial" w:cs="Arial" w:eastAsia="Arial" w:hAnsi="Arial"/>
          <w:sz w:val="16"/>
          <w:szCs w:val="16"/>
          <w:color w:val="auto"/>
        </w:rPr>
        <w:t>Each Underwriter, severally and not jointly, agrees to indemnify and hold harmless the Company and Holdings, each of their respective directors, each of their respective officers who signs the Registration Statement, and each person who controls either the Company or Holdings within the meaning of either the Act or the Exchange Act, to the same extent as the foregoing indemnity from the Company or Holdings to each Underwriter, but only with reference to written information relating to such Underwriter furnished to the Company by or on behalf of such Underwriter through the Representatives specifically for inclusion in the documents referred to in the foregoing indemnity. This indemnity agreement will be in addition to any liability which any Underwriter may otherwise have. Each of the Company and Holdings acknowledges that the statements set forth in the last paragraph of the cover page regarding delivery of the Securities and, under the heading “Underwriting”, (i) the list of Underwriters and their respective participation in the sale of the Securities, (ii) the sentences related to concessions and reallowances, (iii) the paragraph related to stabilization, syndicate covering transactions and penalty bids and (iv) the paragraph relating to internet distribution of the Securities in the Time of Sale Information and the Final Prospectus constitute the only information furnished in writing by or on behalf of the several Underwriters for inclusion in the Time of Sale Information and the Final Prospectus.</w:t>
      </w:r>
    </w:p>
    <w:p>
      <w:pPr>
        <w:spacing w:after="0" w:line="61" w:lineRule="exact"/>
        <w:rPr>
          <w:rFonts w:ascii="Arial" w:cs="Arial" w:eastAsia="Arial" w:hAnsi="Arial"/>
          <w:sz w:val="16"/>
          <w:szCs w:val="16"/>
          <w:color w:val="auto"/>
        </w:rPr>
      </w:pPr>
    </w:p>
    <w:p>
      <w:pPr>
        <w:ind w:firstLine="458"/>
        <w:spacing w:after="0" w:line="285" w:lineRule="auto"/>
        <w:tabs>
          <w:tab w:leader="none" w:pos="695" w:val="left"/>
        </w:tabs>
        <w:numPr>
          <w:ilvl w:val="1"/>
          <w:numId w:val="33"/>
        </w:numPr>
        <w:rPr>
          <w:rFonts w:ascii="Arial" w:cs="Arial" w:eastAsia="Arial" w:hAnsi="Arial"/>
          <w:sz w:val="16"/>
          <w:szCs w:val="16"/>
          <w:color w:val="auto"/>
        </w:rPr>
      </w:pPr>
      <w:r>
        <w:rPr>
          <w:rFonts w:ascii="Arial" w:cs="Arial" w:eastAsia="Arial" w:hAnsi="Arial"/>
          <w:sz w:val="16"/>
          <w:szCs w:val="16"/>
          <w:color w:val="auto"/>
        </w:rPr>
        <w:t>Promptly after receipt by an indemnified party under this Section 9 of notice of the commencement of any action, such indemnified party will, if a claim in respect thereof is to be made against the indemnifying party under this Section 9, notify the indemnifying party in writing of the commencement thereof; but the failure so to notify the indemnifying party (i) will not relieve it from liability under paragraph (a) or (b) above unless and to the extent it did not otherwise learn of such action and such failure results in the forfeiture by the indemnifying party of substantial rights and defenses and (ii) will not, in any event, relieve the indemnifying party from any obligations to any indemnified party other than the indemnification obligation provided in paragraph (a) or</w:t>
      </w:r>
    </w:p>
    <w:p>
      <w:pPr>
        <w:spacing w:after="0" w:line="2" w:lineRule="exact"/>
        <w:rPr>
          <w:rFonts w:ascii="Arial" w:cs="Arial" w:eastAsia="Arial" w:hAnsi="Arial"/>
          <w:sz w:val="16"/>
          <w:szCs w:val="16"/>
          <w:color w:val="auto"/>
        </w:rPr>
      </w:pPr>
    </w:p>
    <w:p>
      <w:pPr>
        <w:ind w:right="40" w:firstLine="8"/>
        <w:spacing w:after="0" w:line="253" w:lineRule="auto"/>
        <w:tabs>
          <w:tab w:leader="none" w:pos="2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 xml:space="preserve">above. The indemnifying party shall be entitled to appoint counsel of the indemnifying party’s choice at the indemnifying party’s expense to represent the indemnified party in any action for which indemnification is sought (in which case the indemnifying party shall not thereafter be responsible for the fees and expenses of any separate counsel retained by the indemnified party or parties except as set forth below);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such counsel shall be reasonably satisfactory to the indemnified party and shall not, without the consent of the indemnified party, be counsel to the indemnifying party. Notwithstanding the indemnifying party’s election to appoint counsel to represent the</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29" w:name="page30"/>
    <w:bookmarkEnd w:id="29"/>
    <w:p>
      <w:pPr>
        <w:spacing w:after="0" w:line="287" w:lineRule="auto"/>
        <w:rPr>
          <w:sz w:val="20"/>
          <w:szCs w:val="20"/>
          <w:color w:val="auto"/>
        </w:rPr>
      </w:pPr>
      <w:r>
        <w:rPr>
          <w:rFonts w:ascii="Arial" w:cs="Arial" w:eastAsia="Arial" w:hAnsi="Arial"/>
          <w:sz w:val="16"/>
          <w:szCs w:val="16"/>
          <w:color w:val="auto"/>
        </w:rPr>
        <w:t>indemnified party in an action, the indemnified party shall have the right to employ a separate counsel (including a local counsel), and the indemnifying party shall bear the reasonable fees, costs and expenses of such separate counsel if (i) the indemnifying party shall not have employed counsel reasonably satisfactory to the indemnified party to represent the indemnified party within a reasonable time after notice of the institution of such action or (ii) the indemnifying party shall authorize the indemnified party to employ separate counsel at the expense of the indemnifying party. An indemnifying party will not, without the prior written consent of the indemnified parties, settle or compromise or consent to the entry of any judgment with respect to any pending or threatened claim, action, suit or proceeding in respect of which indemnification or contribution may be sought hereunder (whether or not the indemnified parties are actual or potential parties to such claim or action) unless such settlement, compromise or consent (i) includes an unconditional release of each indemnified party from all liability arising out of such claim, action, suit or proceeding and (ii) does not include a statement as to or an admission of fault, culpability or a failure to act by or on behalf of an indemnified party. An indemnifying party shall not be liable under this Section 9 to any indemnified party regarding any settlement or compromise or consent to the entry of any judgment with respect to any pending or threatened claim, action, suit or proceeding in respect of which indemnification or contribution may be sought hereunder (whether or not the indemnified parties are actual or potential parties to such claim or action) unless such settlement, compromise or consent is consented to by such indemnifying party, which consent shall not be unreasonably withheld.</w:t>
      </w:r>
    </w:p>
    <w:p>
      <w:pPr>
        <w:spacing w:after="0" w:line="61" w:lineRule="exact"/>
        <w:rPr>
          <w:sz w:val="20"/>
          <w:szCs w:val="20"/>
          <w:color w:val="auto"/>
        </w:rPr>
      </w:pPr>
    </w:p>
    <w:p>
      <w:pPr>
        <w:ind w:right="20" w:firstLine="458"/>
        <w:spacing w:after="0" w:line="285" w:lineRule="auto"/>
        <w:tabs>
          <w:tab w:leader="none" w:pos="705" w:val="left"/>
        </w:tabs>
        <w:numPr>
          <w:ilvl w:val="0"/>
          <w:numId w:val="35"/>
        </w:numPr>
        <w:rPr>
          <w:rFonts w:ascii="Arial" w:cs="Arial" w:eastAsia="Arial" w:hAnsi="Arial"/>
          <w:sz w:val="16"/>
          <w:szCs w:val="16"/>
          <w:color w:val="auto"/>
        </w:rPr>
      </w:pPr>
      <w:r>
        <w:rPr>
          <w:rFonts w:ascii="Arial" w:cs="Arial" w:eastAsia="Arial" w:hAnsi="Arial"/>
          <w:sz w:val="16"/>
          <w:szCs w:val="16"/>
          <w:color w:val="auto"/>
        </w:rPr>
        <w:t>In the event that the indemnity provided in paragraph (a) or (b) of this Section 9 is unavailable to or insufficient to hold harmless an indemnified party for any reason, the Company, Holdings and the Underwriters severally agree to contribute to the aggregate losses, claims, damages and liabilities (including legal or other expenses reasonably incurred in connection with investigating or defending same) (collectively, “</w:t>
      </w:r>
      <w:r>
        <w:rPr>
          <w:rFonts w:ascii="Arial" w:cs="Arial" w:eastAsia="Arial" w:hAnsi="Arial"/>
          <w:sz w:val="16"/>
          <w:szCs w:val="16"/>
          <w:u w:val="single" w:color="auto"/>
          <w:color w:val="auto"/>
        </w:rPr>
        <w:t>Losses</w:t>
      </w:r>
      <w:r>
        <w:rPr>
          <w:rFonts w:ascii="Arial" w:cs="Arial" w:eastAsia="Arial" w:hAnsi="Arial"/>
          <w:sz w:val="16"/>
          <w:szCs w:val="16"/>
          <w:color w:val="auto"/>
        </w:rPr>
        <w:t xml:space="preserve">”) to which the Company, Holdings and one or more of the Underwriters may be subject in such proportion as is appropriate to reflect the relative benefits received by the Company and Holdings on the one hand and by the Underwriters on the other from the offering of the Securities;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in no case shall any Underwriter (except as may be provided in any agreement among underwriters relating to the offering of the Securities) be responsible for any amount in excess of the underwriting discount or commission applicable to the Securities purchased by such Underwriter hereunder. If the allocation provided by the immediately preceding sentence is unavailable for any reason, the Company, Holdings and the Underwriters severally shall contribute in such proportion as is appropriate to reflect not only such relative benefits but also the relative fault of the Company and Holdings on the one hand and of the Underwriters on the other in connection with the statements or omissions which resulted in such Losses as well as any other relevant equitable considerations. Benefits received by the Company and Holdings shall be deemed to be equal to the total net proceeds from the offering (before deducting expenses) received by the Company, and benefits received by the Underwriters shall be deemed to be equal to the total underwriting discounts and commissions, in each case as set forth on the cover page of the Final Prospectus. Relative fault shall be determined by reference to, among other things, whether any untrue or any alleged untrue statement of a material fact or the omission or alleged omission to state a material fact relates to information provided by the Company and Holdings on the one hand or the Underwriters on the other, the intent of the parties and their relative knowledge, access to information and opportunity to correct or prevent such untrue statement or omission. The Company, Holdings and the Underwriters agree that it would</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0" w:name="page31"/>
    <w:bookmarkEnd w:id="30"/>
    <w:p>
      <w:pPr>
        <w:ind w:right="20"/>
        <w:spacing w:after="0" w:line="253" w:lineRule="auto"/>
        <w:rPr>
          <w:sz w:val="20"/>
          <w:szCs w:val="20"/>
          <w:color w:val="auto"/>
        </w:rPr>
      </w:pPr>
      <w:r>
        <w:rPr>
          <w:rFonts w:ascii="Arial" w:cs="Arial" w:eastAsia="Arial" w:hAnsi="Arial"/>
          <w:sz w:val="18"/>
          <w:szCs w:val="18"/>
          <w:color w:val="auto"/>
        </w:rPr>
        <w:t>not be just and equitable if contribution were determined by pro rata allocation or any other method of allocation which does not take account of the equitable considerations referred to above. Notwithstanding the provisions of this paragraph (d), no person guilty of fraudulent misrepresentation (within the meaning of Section 11(f) of the Act) shall be entitled to contribution from any person who was not guilty of such fraudulent misrepresentation. The Underwriters’ obligations in this paragraph (d) to contribute are several in proportion to their respective underwriting obligations and not joint. For purposes of this Section 9, each person who controls an Underwriter within the meaning of either the Act or the Exchange Act and each director, officer, employee and agent of an Underwriter shall have the same rights to contribution as such Underwriter, and each person who controls the Company or Holdings within the meaning of either the Act or the Exchange Act, each officer of the Company or Holdings who shall have signed the Registration Statement and each director of the Company or Holdings shall have the same rights to contribution as the Company or Holdings, subject in each case to the applicable terms and conditions of this paragraph (d).</w:t>
      </w:r>
    </w:p>
    <w:p>
      <w:pPr>
        <w:spacing w:after="0" w:line="89" w:lineRule="exact"/>
        <w:rPr>
          <w:sz w:val="20"/>
          <w:szCs w:val="20"/>
          <w:color w:val="auto"/>
        </w:rPr>
      </w:pPr>
    </w:p>
    <w:p>
      <w:pPr>
        <w:ind w:firstLine="233"/>
        <w:spacing w:after="0" w:line="268" w:lineRule="auto"/>
        <w:tabs>
          <w:tab w:leader="none" w:pos="495" w:val="left"/>
        </w:tabs>
        <w:numPr>
          <w:ilvl w:val="0"/>
          <w:numId w:val="36"/>
        </w:numPr>
        <w:rPr>
          <w:rFonts w:ascii="Arial" w:cs="Arial" w:eastAsia="Arial" w:hAnsi="Arial"/>
          <w:sz w:val="17"/>
          <w:szCs w:val="17"/>
          <w:color w:val="auto"/>
        </w:rPr>
      </w:pPr>
      <w:r>
        <w:rPr>
          <w:rFonts w:ascii="Arial" w:cs="Arial" w:eastAsia="Arial" w:hAnsi="Arial"/>
          <w:sz w:val="17"/>
          <w:szCs w:val="17"/>
          <w:u w:val="single" w:color="auto"/>
          <w:color w:val="auto"/>
        </w:rPr>
        <w:t>Default by an Underwriter</w:t>
      </w:r>
      <w:r>
        <w:rPr>
          <w:rFonts w:ascii="Arial" w:cs="Arial" w:eastAsia="Arial" w:hAnsi="Arial"/>
          <w:sz w:val="17"/>
          <w:szCs w:val="17"/>
          <w:color w:val="auto"/>
        </w:rPr>
        <w:t xml:space="preserve">. If any one or more Underwriters shall fail to purchase and pay for any of the Securities agreed to be purchased by such Underwriter or Underwriters hereunder and such failure to purchase shall constitute a default in the performance of its or their obligations under this Agreement, the remaining Underwriters shall be obligated severally to take up and pay for (in the respective proportions which the principal amount of Notes set forth opposite their names in Schedule II hereto bears to the aggregate principal amount of Notes set forth opposite the names of all the remaining Underwriters) the Securities which the defaulting Underwriter or Underwriters agreed but failed to purchase;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in the event that the aggregate principal amount of Notes which the defaulting Underwriter or Underwriters agreed but failed to purchase shall exceed 10% of the aggregate principal amount of Notes set forth in Schedule II hereto, the remaining Underwriters shall have the right to purchase all, but shall not be under any obligation to purchase any, of the Securities, and if such nondefaulting Underwriters do not purchase all the Securities, this Agreement will terminate without liability to any nondefaulting Underwriter, the Company or Holdings. In the event of a default by any Underwriter as set forth in this Section 9, the Closing Date shall be postponed for such period, not exceeding five Business Days, as the Representatives shall determine in order that the required changes in the Registration Statement, the Time of Sale Information and the Final Prospectus or in any other documents or arrangements may be effected. Nothing contained in this Agreement shall relieve any defaulting Underwriter of its liability, if any, to the Company and any nondefaulting Underwriter for damages occasioned by its default hereunder.</w:t>
      </w:r>
    </w:p>
    <w:p>
      <w:pPr>
        <w:spacing w:after="0" w:line="79" w:lineRule="exact"/>
        <w:rPr>
          <w:rFonts w:ascii="Arial" w:cs="Arial" w:eastAsia="Arial" w:hAnsi="Arial"/>
          <w:sz w:val="17"/>
          <w:szCs w:val="17"/>
          <w:color w:val="auto"/>
        </w:rPr>
      </w:pPr>
    </w:p>
    <w:p>
      <w:pPr>
        <w:ind w:right="80" w:firstLine="233"/>
        <w:spacing w:after="0" w:line="272" w:lineRule="auto"/>
        <w:tabs>
          <w:tab w:leader="none" w:pos="488" w:val="left"/>
        </w:tabs>
        <w:numPr>
          <w:ilvl w:val="0"/>
          <w:numId w:val="36"/>
        </w:numPr>
        <w:rPr>
          <w:rFonts w:ascii="Arial" w:cs="Arial" w:eastAsia="Arial" w:hAnsi="Arial"/>
          <w:sz w:val="17"/>
          <w:szCs w:val="17"/>
          <w:color w:val="auto"/>
        </w:rPr>
      </w:pPr>
      <w:r>
        <w:rPr>
          <w:rFonts w:ascii="Arial" w:cs="Arial" w:eastAsia="Arial" w:hAnsi="Arial"/>
          <w:sz w:val="17"/>
          <w:szCs w:val="17"/>
          <w:u w:val="single" w:color="auto"/>
          <w:color w:val="auto"/>
        </w:rPr>
        <w:t>Termination</w:t>
      </w:r>
      <w:r>
        <w:rPr>
          <w:rFonts w:ascii="Arial" w:cs="Arial" w:eastAsia="Arial" w:hAnsi="Arial"/>
          <w:sz w:val="17"/>
          <w:szCs w:val="17"/>
          <w:color w:val="auto"/>
        </w:rPr>
        <w:t>. This Agreement shall be subject to termination in the absolute discretion of the Representatives, by notice given to the Company prior to delivery of and payment for the Securities, if at any time prior to such time (i) trading in the Company’s Common Stock shall have been suspended by the Commission, (ii) trading in securities generally on the New York Stock Exchange shall have been suspended or limited or minimum prices shall have been established on such Exchange, (iii) a banking moratorium shall have been declared either by Federal, New York State or State of Texas authorities or a material disruption in commercial banking or securities settlement or clearance services in the United States or (iv) there shall have occurred any material change in the financial markets or any outbreak or escalation of hostilities, insurrection or armed conflict, declaration by the United States of a national emergency or war, or other calamity or crisis the effect of which on financial markets is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31" w:name="page32"/>
    <w:bookmarkEnd w:id="31"/>
    <w:p>
      <w:pPr>
        <w:ind w:right="660"/>
        <w:spacing w:after="0" w:line="342" w:lineRule="auto"/>
        <w:rPr>
          <w:sz w:val="20"/>
          <w:szCs w:val="20"/>
          <w:color w:val="auto"/>
        </w:rPr>
      </w:pPr>
      <w:r>
        <w:rPr>
          <w:rFonts w:ascii="Arial" w:cs="Arial" w:eastAsia="Arial" w:hAnsi="Arial"/>
          <w:sz w:val="16"/>
          <w:szCs w:val="16"/>
          <w:color w:val="auto"/>
        </w:rPr>
        <w:t>such as to make it, in the sole judgment of the Representatives, impractical or inadvisable to proceed with the offering or delivery of the Securities as contemplated by this Agreement, the Time of Sale Information and the Final Prospectus (exclusive of any amendment or supplement thereto).</w:t>
      </w:r>
    </w:p>
    <w:p>
      <w:pPr>
        <w:spacing w:after="0" w:line="16" w:lineRule="exact"/>
        <w:rPr>
          <w:sz w:val="20"/>
          <w:szCs w:val="20"/>
          <w:color w:val="auto"/>
        </w:rPr>
      </w:pPr>
    </w:p>
    <w:p>
      <w:pPr>
        <w:ind w:firstLine="233"/>
        <w:spacing w:after="0" w:line="257" w:lineRule="auto"/>
        <w:tabs>
          <w:tab w:leader="none" w:pos="495"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Representations and Indemnities to Survive</w:t>
      </w:r>
      <w:r>
        <w:rPr>
          <w:rFonts w:ascii="Arial" w:cs="Arial" w:eastAsia="Arial" w:hAnsi="Arial"/>
          <w:sz w:val="18"/>
          <w:szCs w:val="18"/>
          <w:color w:val="auto"/>
        </w:rPr>
        <w:t>. The respective agreements, representations, warranties, indemnities and other statements of the Company and Holdings or their respective officers and of the Underwriters set forth in or made pursuant to this Agreement will remain in full force and effect, regardless of any investigation made by or on behalf of any Underwriter, the Company or Holdings or any of the officers, directors, employees, agents or controlling persons referred to in Section 9 hereof, and will survive delivery of and payment for the Securities. The provisions of Sections 8 and 9 hereof shall survive the termination or cancellation of this Agreement.</w:t>
      </w:r>
    </w:p>
    <w:p>
      <w:pPr>
        <w:spacing w:after="0" w:line="80" w:lineRule="exact"/>
        <w:rPr>
          <w:rFonts w:ascii="Arial" w:cs="Arial" w:eastAsia="Arial" w:hAnsi="Arial"/>
          <w:sz w:val="18"/>
          <w:szCs w:val="18"/>
          <w:color w:val="auto"/>
        </w:rPr>
      </w:pPr>
    </w:p>
    <w:p>
      <w:pPr>
        <w:ind w:right="40" w:firstLine="233"/>
        <w:spacing w:after="0" w:line="255" w:lineRule="auto"/>
        <w:tabs>
          <w:tab w:leader="none" w:pos="495"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communications hereunder will be in writing and effective only on receipt, and, if sent to the Representatives, will be mailed, delivered or telefaxed to: (1) Banc of America Securities LLC, 40 West 57</w:t>
      </w:r>
      <w:r>
        <w:rPr>
          <w:rFonts w:ascii="Arial" w:cs="Arial" w:eastAsia="Arial" w:hAnsi="Arial"/>
          <w:sz w:val="15"/>
          <w:szCs w:val="15"/>
          <w:color w:val="auto"/>
        </w:rPr>
        <w:t>th</w:t>
      </w:r>
      <w:r>
        <w:rPr>
          <w:rFonts w:ascii="Arial" w:cs="Arial" w:eastAsia="Arial" w:hAnsi="Arial"/>
          <w:sz w:val="18"/>
          <w:szCs w:val="18"/>
          <w:color w:val="auto"/>
        </w:rPr>
        <w:t xml:space="preserve"> Street, New York, New York 10019 (fax no.: 704-264-2522), (2) J.P. Morgan Securities Inc., 270 Park Avenue, 8th Floor, New York, NY 10017 Attn: High Grade Syndicate Desk (fax no.: 212-834-6081); or (3) Greenwich Capital Markets, Inc., 600 Steamboat Road, Greenwich, CT 06830, Attn: Debt Capital Markets Syndicate (fax no.: 203-422-4534); or, if sent to the Company or Holdings, will be mailed, delivered or telefaxed to the Waste Management, Inc. General Counsel (fax no.: 713-209-9710) and confirmed to it at 1001 Fannin, Suite 4000, attention of the Legal Department.</w:t>
      </w:r>
    </w:p>
    <w:p>
      <w:pPr>
        <w:spacing w:after="0" w:line="85" w:lineRule="exact"/>
        <w:rPr>
          <w:rFonts w:ascii="Arial" w:cs="Arial" w:eastAsia="Arial" w:hAnsi="Arial"/>
          <w:sz w:val="18"/>
          <w:szCs w:val="18"/>
          <w:color w:val="auto"/>
        </w:rPr>
      </w:pPr>
    </w:p>
    <w:p>
      <w:pPr>
        <w:ind w:right="660" w:firstLine="233"/>
        <w:spacing w:after="0" w:line="342" w:lineRule="auto"/>
        <w:tabs>
          <w:tab w:leader="none" w:pos="495" w:val="left"/>
        </w:tabs>
        <w:numPr>
          <w:ilvl w:val="0"/>
          <w:numId w:val="37"/>
        </w:numPr>
        <w:rPr>
          <w:rFonts w:ascii="Arial" w:cs="Arial" w:eastAsia="Arial" w:hAnsi="Arial"/>
          <w:sz w:val="16"/>
          <w:szCs w:val="16"/>
          <w:color w:val="auto"/>
        </w:rPr>
      </w:pPr>
      <w:r>
        <w:rPr>
          <w:rFonts w:ascii="Arial" w:cs="Arial" w:eastAsia="Arial" w:hAnsi="Arial"/>
          <w:sz w:val="16"/>
          <w:szCs w:val="16"/>
          <w:u w:val="single" w:color="auto"/>
          <w:color w:val="auto"/>
        </w:rPr>
        <w:t>Successors</w:t>
      </w:r>
      <w:r>
        <w:rPr>
          <w:rFonts w:ascii="Arial" w:cs="Arial" w:eastAsia="Arial" w:hAnsi="Arial"/>
          <w:sz w:val="16"/>
          <w:szCs w:val="16"/>
          <w:color w:val="auto"/>
        </w:rPr>
        <w:t>. This Agreement will inure to the benefit of and be binding upon the parties hereto and their respective successors and the officers, directors, employees, agents and controlling persons referred to in Section 9 hereof, and no other person will have any right or obligation hereunder.</w:t>
      </w:r>
    </w:p>
    <w:p>
      <w:pPr>
        <w:spacing w:after="0" w:line="15" w:lineRule="exact"/>
        <w:rPr>
          <w:rFonts w:ascii="Arial" w:cs="Arial" w:eastAsia="Arial" w:hAnsi="Arial"/>
          <w:sz w:val="16"/>
          <w:szCs w:val="16"/>
          <w:color w:val="auto"/>
        </w:rPr>
      </w:pPr>
    </w:p>
    <w:p>
      <w:pPr>
        <w:ind w:right="400" w:firstLine="233"/>
        <w:spacing w:after="0" w:line="277" w:lineRule="auto"/>
        <w:tabs>
          <w:tab w:leader="none" w:pos="495"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Applicable Law</w:t>
      </w:r>
      <w:r>
        <w:rPr>
          <w:rFonts w:ascii="Arial" w:cs="Arial" w:eastAsia="Arial" w:hAnsi="Arial"/>
          <w:sz w:val="18"/>
          <w:szCs w:val="18"/>
          <w:color w:val="auto"/>
        </w:rPr>
        <w:t>. This Agreement will be governed by and construed in accordance with the laws of the State of New York applicable to contracts made and to be performed within the State of New York.</w:t>
      </w:r>
    </w:p>
    <w:p>
      <w:pPr>
        <w:spacing w:after="0" w:line="62" w:lineRule="exact"/>
        <w:rPr>
          <w:rFonts w:ascii="Arial" w:cs="Arial" w:eastAsia="Arial" w:hAnsi="Arial"/>
          <w:sz w:val="18"/>
          <w:szCs w:val="18"/>
          <w:color w:val="auto"/>
        </w:rPr>
      </w:pPr>
    </w:p>
    <w:p>
      <w:pPr>
        <w:ind w:right="320" w:firstLine="233"/>
        <w:spacing w:after="0" w:line="277" w:lineRule="auto"/>
        <w:tabs>
          <w:tab w:leader="none" w:pos="495"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signed in one or more counterparts, each of which shall constitute an original and all of which together shall constitute one and the same agreement.</w:t>
      </w:r>
    </w:p>
    <w:p>
      <w:pPr>
        <w:spacing w:after="0" w:line="62" w:lineRule="exact"/>
        <w:rPr>
          <w:rFonts w:ascii="Arial" w:cs="Arial" w:eastAsia="Arial" w:hAnsi="Arial"/>
          <w:sz w:val="18"/>
          <w:szCs w:val="18"/>
          <w:color w:val="auto"/>
        </w:rPr>
      </w:pPr>
    </w:p>
    <w:p>
      <w:pPr>
        <w:ind w:left="500" w:hanging="267"/>
        <w:spacing w:after="0"/>
        <w:tabs>
          <w:tab w:leader="none" w:pos="500"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section headings used herein are for convenience only and shall not affect the construction hereof.</w:t>
      </w:r>
    </w:p>
    <w:p>
      <w:pPr>
        <w:spacing w:after="0" w:line="117" w:lineRule="exact"/>
        <w:rPr>
          <w:rFonts w:ascii="Arial" w:cs="Arial" w:eastAsia="Arial" w:hAnsi="Arial"/>
          <w:sz w:val="18"/>
          <w:szCs w:val="18"/>
          <w:color w:val="auto"/>
        </w:rPr>
      </w:pPr>
    </w:p>
    <w:p>
      <w:pPr>
        <w:ind w:left="500" w:hanging="267"/>
        <w:spacing w:after="0"/>
        <w:tabs>
          <w:tab w:leader="none" w:pos="500"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The terms that follow, when used in this Agreement, shall have the meanings indicated.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“Act” shall mean the Securities Act of 1933, as amended, and the rules and regulations of the Commission promulgated thereunder.</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“Basic Prospectus” shall mean the prospectus referred to in paragraph 1(a) above contained in the Registration Statement at the Effective Date.</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32" w:name="page33"/>
    <w:bookmarkEnd w:id="32"/>
    <w:p>
      <w:pPr>
        <w:ind w:right="280" w:firstLine="450"/>
        <w:spacing w:after="0" w:line="277" w:lineRule="auto"/>
        <w:rPr>
          <w:sz w:val="20"/>
          <w:szCs w:val="20"/>
          <w:color w:val="auto"/>
        </w:rPr>
      </w:pPr>
      <w:r>
        <w:rPr>
          <w:rFonts w:ascii="Arial" w:cs="Arial" w:eastAsia="Arial" w:hAnsi="Arial"/>
          <w:sz w:val="18"/>
          <w:szCs w:val="18"/>
          <w:color w:val="auto"/>
        </w:rPr>
        <w:t>“Business Day” shall mean any day other than a Saturday, a Sunday or a legal holiday or a day on which banking institutions or trust companies are authorized or obligated by law to close in New York City or Houston, Texas.</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“Commission” shall mean the Securities and Exchange Commission.</w:t>
      </w:r>
    </w:p>
    <w:p>
      <w:pPr>
        <w:spacing w:after="0" w:line="117" w:lineRule="exact"/>
        <w:rPr>
          <w:sz w:val="20"/>
          <w:szCs w:val="20"/>
          <w:color w:val="auto"/>
        </w:rPr>
      </w:pPr>
    </w:p>
    <w:p>
      <w:pPr>
        <w:ind w:right="280" w:firstLine="450"/>
        <w:spacing w:after="0" w:line="342" w:lineRule="auto"/>
        <w:rPr>
          <w:sz w:val="20"/>
          <w:szCs w:val="20"/>
          <w:color w:val="auto"/>
        </w:rPr>
      </w:pPr>
      <w:r>
        <w:rPr>
          <w:rFonts w:ascii="Arial" w:cs="Arial" w:eastAsia="Arial" w:hAnsi="Arial"/>
          <w:sz w:val="16"/>
          <w:szCs w:val="16"/>
          <w:color w:val="auto"/>
        </w:rPr>
        <w:t>“Effective Date” shall mean each date and time that the Registration Statement, any post-effective amendment or amendments thereto and any Rule 462(b) Registration Statement became or become effective or are deemed to become effective under Rule 430A, Rule 430B and Rule 430C.</w:t>
      </w:r>
    </w:p>
    <w:p>
      <w:pPr>
        <w:spacing w:after="0" w:line="16" w:lineRule="exact"/>
        <w:rPr>
          <w:sz w:val="20"/>
          <w:szCs w:val="20"/>
          <w:color w:val="auto"/>
        </w:rPr>
      </w:pPr>
    </w:p>
    <w:p>
      <w:pPr>
        <w:ind w:right="780" w:firstLine="450"/>
        <w:spacing w:after="0" w:line="277" w:lineRule="auto"/>
        <w:rPr>
          <w:sz w:val="20"/>
          <w:szCs w:val="20"/>
          <w:color w:val="auto"/>
        </w:rPr>
      </w:pPr>
      <w:r>
        <w:rPr>
          <w:rFonts w:ascii="Arial" w:cs="Arial" w:eastAsia="Arial" w:hAnsi="Arial"/>
          <w:sz w:val="18"/>
          <w:szCs w:val="18"/>
          <w:color w:val="auto"/>
        </w:rPr>
        <w:t>“Exchange Act” shall mean the Securities Exchange Act of 1934, as amended, and the rules and regulations of the Commission promulgated thereunder.</w:t>
      </w:r>
    </w:p>
    <w:p>
      <w:pPr>
        <w:spacing w:after="0" w:line="62" w:lineRule="exact"/>
        <w:rPr>
          <w:sz w:val="20"/>
          <w:szCs w:val="20"/>
          <w:color w:val="auto"/>
        </w:rPr>
      </w:pPr>
    </w:p>
    <w:p>
      <w:pPr>
        <w:ind w:right="240" w:firstLine="450"/>
        <w:spacing w:after="0" w:line="277" w:lineRule="auto"/>
        <w:rPr>
          <w:sz w:val="20"/>
          <w:szCs w:val="20"/>
          <w:color w:val="auto"/>
        </w:rPr>
      </w:pPr>
      <w:r>
        <w:rPr>
          <w:rFonts w:ascii="Arial" w:cs="Arial" w:eastAsia="Arial" w:hAnsi="Arial"/>
          <w:sz w:val="18"/>
          <w:szCs w:val="18"/>
          <w:color w:val="auto"/>
        </w:rPr>
        <w:t>“Final Prospectus” shall mean the prospectus supplement relating to the Securities that was first filed pursuant to Rule 424(b) after the Time of Sale, together with the Basic Prospectus.</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“1940 Act” shall mean the Investment Company Act of 1940, as amended.</w:t>
      </w:r>
    </w:p>
    <w:p>
      <w:pPr>
        <w:spacing w:after="0" w:line="117" w:lineRule="exact"/>
        <w:rPr>
          <w:sz w:val="20"/>
          <w:szCs w:val="20"/>
          <w:color w:val="auto"/>
        </w:rPr>
      </w:pPr>
    </w:p>
    <w:p>
      <w:pPr>
        <w:ind w:right="440" w:firstLine="450"/>
        <w:spacing w:after="0" w:line="277" w:lineRule="auto"/>
        <w:rPr>
          <w:sz w:val="20"/>
          <w:szCs w:val="20"/>
          <w:color w:val="auto"/>
        </w:rPr>
      </w:pPr>
      <w:r>
        <w:rPr>
          <w:rFonts w:ascii="Arial" w:cs="Arial" w:eastAsia="Arial" w:hAnsi="Arial"/>
          <w:sz w:val="18"/>
          <w:szCs w:val="18"/>
          <w:color w:val="auto"/>
        </w:rPr>
        <w:t>“Preliminary Prospectus” shall mean the preliminary prospectus supplement relating to the Securities dated March 3, 2008 that was filed with the Commission pursuant to Rule 424(b) prior to the Time of Sale, together with the Basic Prospectus.</w:t>
      </w:r>
    </w:p>
    <w:p>
      <w:pPr>
        <w:spacing w:after="0" w:line="62" w:lineRule="exact"/>
        <w:rPr>
          <w:sz w:val="20"/>
          <w:szCs w:val="20"/>
          <w:color w:val="auto"/>
        </w:rPr>
      </w:pPr>
    </w:p>
    <w:p>
      <w:pPr>
        <w:ind w:right="140" w:firstLine="450"/>
        <w:spacing w:after="0" w:line="264" w:lineRule="auto"/>
        <w:rPr>
          <w:sz w:val="20"/>
          <w:szCs w:val="20"/>
          <w:color w:val="auto"/>
        </w:rPr>
      </w:pPr>
      <w:r>
        <w:rPr>
          <w:rFonts w:ascii="Arial" w:cs="Arial" w:eastAsia="Arial" w:hAnsi="Arial"/>
          <w:sz w:val="18"/>
          <w:szCs w:val="18"/>
          <w:color w:val="auto"/>
        </w:rPr>
        <w:t>“Prospectus Delivery Period” shall mean such period of time after the first date of the public offering of the Securities as in the opinion of counsel for the Underwriters a prospectus relating to the Securities is required by law to be delivered (or required to be delivered but for Rule 172 under the Act) in connection with sales of the Securities by any Underwriter or dealer.</w:t>
      </w:r>
    </w:p>
    <w:p>
      <w:pPr>
        <w:spacing w:after="0" w:line="73" w:lineRule="exact"/>
        <w:rPr>
          <w:sz w:val="20"/>
          <w:szCs w:val="20"/>
          <w:color w:val="auto"/>
        </w:rPr>
      </w:pPr>
    </w:p>
    <w:p>
      <w:pPr>
        <w:ind w:right="40" w:firstLine="450"/>
        <w:spacing w:after="0" w:line="257" w:lineRule="auto"/>
        <w:rPr>
          <w:sz w:val="20"/>
          <w:szCs w:val="20"/>
          <w:color w:val="auto"/>
        </w:rPr>
      </w:pPr>
      <w:r>
        <w:rPr>
          <w:rFonts w:ascii="Arial" w:cs="Arial" w:eastAsia="Arial" w:hAnsi="Arial"/>
          <w:sz w:val="18"/>
          <w:szCs w:val="18"/>
          <w:color w:val="auto"/>
        </w:rPr>
        <w:t>“Registration Statement” shall mean the registration statement referred to in paragraph 1(a) above, including exhibits and financial statements, as amended at the Time of Sale (or, if not effective at the Time of Sale, in the form in which it shall become effective) and, in the event any post-effective amendment thereto or any Rule 462(b) Registration Statement becomes effective prior to the Closing Date, shall also mean such registration statement as so amended or such Rule 462(b) Registration Statement, as the case may be. Such term shall include any Rule 430 Information deemed to be included therein at the Effective Date as provided by Rule 430A, Rule 430B or Rule 430C.</w:t>
      </w:r>
    </w:p>
    <w:p>
      <w:pPr>
        <w:spacing w:after="0" w:line="8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“Rule 415,” “Rule 424,” “Rule 430A,” “Rule 430B,” “Rule 430C” and “Rule 462” refer to such rules under the Act.</w:t>
      </w:r>
    </w:p>
    <w:p>
      <w:pPr>
        <w:spacing w:after="0" w:line="117" w:lineRule="exact"/>
        <w:rPr>
          <w:sz w:val="20"/>
          <w:szCs w:val="20"/>
          <w:color w:val="auto"/>
        </w:rPr>
      </w:pPr>
    </w:p>
    <w:p>
      <w:pPr>
        <w:ind w:firstLine="450"/>
        <w:spacing w:after="0" w:line="264" w:lineRule="auto"/>
        <w:rPr>
          <w:sz w:val="20"/>
          <w:szCs w:val="20"/>
          <w:color w:val="auto"/>
        </w:rPr>
      </w:pPr>
      <w:r>
        <w:rPr>
          <w:rFonts w:ascii="Arial" w:cs="Arial" w:eastAsia="Arial" w:hAnsi="Arial"/>
          <w:sz w:val="18"/>
          <w:szCs w:val="18"/>
          <w:color w:val="auto"/>
        </w:rPr>
        <w:t>“Rule 430 Information” shall mean information with respect to the Securities and the offering thereof permitted to be omitted from the Registration Statement when it becomes effective pursuant to Rule 430A, Rule 430B or Rule 430C that is deemed to be part of the Registration Statement at the time of its effectiveness.</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33" w:name="page34"/>
    <w:bookmarkEnd w:id="33"/>
    <w:p>
      <w:pPr>
        <w:ind w:firstLine="247"/>
        <w:spacing w:after="0" w:line="277" w:lineRule="auto"/>
        <w:rPr>
          <w:sz w:val="20"/>
          <w:szCs w:val="20"/>
          <w:color w:val="auto"/>
        </w:rPr>
      </w:pPr>
      <w:r>
        <w:rPr>
          <w:rFonts w:ascii="Arial" w:cs="Arial" w:eastAsia="Arial" w:hAnsi="Arial"/>
          <w:sz w:val="18"/>
          <w:szCs w:val="18"/>
          <w:color w:val="auto"/>
        </w:rPr>
        <w:t>“Rule 462(b) Registration Statement” shall mean a registration statement and any amendments thereto filed pursuant to Rule 462(b) relating to the offering covered by the registration statement referred to in Section 1(a) hereof.</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“Time of Sale” shall mean 4:09 PM CST on March 3, 2008, the time when sales of the Securities were first made.</w:t>
      </w:r>
    </w:p>
    <w:p>
      <w:pPr>
        <w:spacing w:after="0" w:line="117" w:lineRule="exact"/>
        <w:rPr>
          <w:sz w:val="20"/>
          <w:szCs w:val="20"/>
          <w:color w:val="auto"/>
        </w:rPr>
      </w:pPr>
    </w:p>
    <w:p>
      <w:pPr>
        <w:ind w:right="400" w:firstLine="247"/>
        <w:spacing w:after="0" w:line="277" w:lineRule="auto"/>
        <w:rPr>
          <w:sz w:val="20"/>
          <w:szCs w:val="20"/>
          <w:color w:val="auto"/>
        </w:rPr>
      </w:pPr>
      <w:r>
        <w:rPr>
          <w:rFonts w:ascii="Arial" w:cs="Arial" w:eastAsia="Arial" w:hAnsi="Arial"/>
          <w:sz w:val="18"/>
          <w:szCs w:val="18"/>
          <w:color w:val="auto"/>
        </w:rPr>
        <w:t>“Trust Indenture Act” shall mean the Trust Indenture Act of 1939, as amended and the rules and regulations of the Commission promulgated thereunder.</w:t>
      </w:r>
    </w:p>
    <w:p>
      <w:pPr>
        <w:spacing w:after="0" w:line="62" w:lineRule="exact"/>
        <w:rPr>
          <w:sz w:val="20"/>
          <w:szCs w:val="20"/>
          <w:color w:val="auto"/>
        </w:rPr>
      </w:pPr>
    </w:p>
    <w:p>
      <w:pPr>
        <w:ind w:left="-220" w:right="60" w:firstLine="233"/>
        <w:spacing w:after="0" w:line="312" w:lineRule="auto"/>
        <w:tabs>
          <w:tab w:leader="none" w:pos="275" w:val="left"/>
        </w:tabs>
        <w:numPr>
          <w:ilvl w:val="0"/>
          <w:numId w:val="38"/>
        </w:numPr>
        <w:rPr>
          <w:rFonts w:ascii="Arial" w:cs="Arial" w:eastAsia="Arial" w:hAnsi="Arial"/>
          <w:sz w:val="16"/>
          <w:szCs w:val="16"/>
          <w:color w:val="auto"/>
        </w:rPr>
      </w:pPr>
      <w:r>
        <w:rPr>
          <w:rFonts w:ascii="Arial" w:cs="Arial" w:eastAsia="Arial" w:hAnsi="Arial"/>
          <w:sz w:val="16"/>
          <w:szCs w:val="16"/>
          <w:u w:val="single" w:color="auto"/>
          <w:color w:val="auto"/>
        </w:rPr>
        <w:t>Consent to Representation</w:t>
      </w:r>
      <w:r>
        <w:rPr>
          <w:rFonts w:ascii="Arial" w:cs="Arial" w:eastAsia="Arial" w:hAnsi="Arial"/>
          <w:sz w:val="16"/>
          <w:szCs w:val="16"/>
          <w:color w:val="auto"/>
        </w:rPr>
        <w:t>. The Company and the Underwriters acknowledge that Vinson &amp; Elkins L.L.P., which is acting as counsel to the Underwriters in connection with the offer and sale of the Securities, also acts as counsel from time to time to the Company and certain of its affiliates in connection with unrelated matters. The Company and the Underwriters consent to Vinson &amp; Elkins L.L.P. so acting as counsel to the Underwriters.</w:t>
      </w:r>
    </w:p>
    <w:p>
      <w:pPr>
        <w:spacing w:after="0" w:line="12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80"/>
          </w:cols>
          <w:pgMar w:left="460" w:top="935" w:right="659" w:bottom="1440" w:gutter="0" w:footer="0" w:header="0"/>
        </w:sectPr>
      </w:pPr>
    </w:p>
    <w:bookmarkStart w:id="34" w:name="page35"/>
    <w:bookmarkEnd w:id="34"/>
    <w:p>
      <w:pPr>
        <w:ind w:firstLine="225"/>
        <w:spacing w:after="0" w:line="308" w:lineRule="auto"/>
        <w:rPr>
          <w:sz w:val="20"/>
          <w:szCs w:val="20"/>
          <w:color w:val="auto"/>
        </w:rPr>
      </w:pPr>
      <w:r>
        <w:rPr>
          <w:rFonts w:ascii="Arial" w:cs="Arial" w:eastAsia="Arial" w:hAnsi="Arial"/>
          <w:sz w:val="17"/>
          <w:szCs w:val="17"/>
          <w:color w:val="auto"/>
        </w:rPr>
        <w:t>If the foregoing is in accordance with your understanding of our agreement, please sign and return to us the enclosed duplicate hereof, whereupon this letter and your acceptance shall represent a binding agreement among the Company, Holdings and the several Underwriters.</w:t>
      </w:r>
    </w:p>
    <w:p>
      <w:pPr>
        <w:sectPr>
          <w:pgSz w:w="11900" w:h="16838" w:orient="portrait"/>
          <w:cols w:equalWidth="0" w:num="1">
            <w:col w:w="11040"/>
          </w:cols>
          <w:pgMar w:left="240" w:top="936" w:right="6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foregoing Agreement is hereby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confirmed and accepted as of the date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set forth above.</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BANC OF AMERICA SECURITIES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GREENWICH CAPITAL MARKETS, INC.</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BY: BANC OF AMERICA SECURITIES LLC</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jc w:val="center"/>
        <w:ind w:right="4680"/>
        <w:spacing w:after="0"/>
        <w:rPr>
          <w:sz w:val="20"/>
          <w:szCs w:val="20"/>
          <w:color w:val="auto"/>
        </w:rPr>
      </w:pPr>
      <w:r>
        <w:rPr>
          <w:rFonts w:ascii="Arial" w:cs="Arial" w:eastAsia="Arial" w:hAnsi="Arial"/>
          <w:sz w:val="16"/>
          <w:szCs w:val="16"/>
          <w:color w:val="auto"/>
        </w:rPr>
        <w:t>Very truly yours,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WASTE MANAGEMENT,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Cherie C. Rice</w:t>
      </w:r>
    </w:p>
    <w:p>
      <w:pPr>
        <w:spacing w:after="0" w:line="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Name: Cherie C. 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-130810</wp:posOffset>
            </wp:positionV>
            <wp:extent cx="276987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769870" cy="8890"/>
                    </a:xfrm>
                    <a:prstGeom prst="rect">
                      <a:avLst/>
                    </a:prstGeom>
                    <a:noFill/>
                  </pic:spPr>
                </pic:pic>
              </a:graphicData>
            </a:graphic>
          </wp:anchor>
        </w:drawing>
      </w:r>
    </w:p>
    <w:p>
      <w:pPr>
        <w:spacing w:after="0" w:line="3" w:lineRule="exact"/>
        <w:rPr>
          <w:sz w:val="20"/>
          <w:szCs w:val="20"/>
          <w:color w:val="auto"/>
        </w:rPr>
      </w:pPr>
    </w:p>
    <w:p>
      <w:pPr>
        <w:ind w:left="320"/>
        <w:spacing w:after="0"/>
        <w:tabs>
          <w:tab w:leader="none" w:pos="880" w:val="left"/>
        </w:tabs>
        <w:rPr>
          <w:sz w:val="20"/>
          <w:szCs w:val="20"/>
          <w:color w:val="auto"/>
        </w:rPr>
      </w:pPr>
      <w:r>
        <w:rPr>
          <w:rFonts w:ascii="Arial" w:cs="Arial" w:eastAsia="Arial" w:hAnsi="Arial"/>
          <w:sz w:val="18"/>
          <w:szCs w:val="18"/>
          <w:color w:val="auto"/>
        </w:rPr>
        <w:t>Title:</w:t>
        <w:tab/>
        <w:t>Vice President &amp; Treasurer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color w:val="auto"/>
        </w:rPr>
        <w:t>WASTE MANAGEMENT HOLDINGS, INC.</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By /s/ Amanda K. Maki</w:t>
      </w:r>
    </w:p>
    <w:p>
      <w:pPr>
        <w:spacing w:after="0" w:line="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Name: Amanda K. Maki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-130810</wp:posOffset>
            </wp:positionV>
            <wp:extent cx="276987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769870" cy="8890"/>
                    </a:xfrm>
                    <a:prstGeom prst="rect">
                      <a:avLst/>
                    </a:prstGeom>
                    <a:noFill/>
                  </pic:spPr>
                </pic:pic>
              </a:graphicData>
            </a:graphic>
          </wp:anchor>
        </w:drawing>
      </w:r>
    </w:p>
    <w:p>
      <w:pPr>
        <w:spacing w:after="0" w:line="3" w:lineRule="exact"/>
        <w:rPr>
          <w:sz w:val="20"/>
          <w:szCs w:val="20"/>
          <w:color w:val="auto"/>
        </w:rPr>
      </w:pPr>
    </w:p>
    <w:p>
      <w:pPr>
        <w:ind w:left="320"/>
        <w:spacing w:after="0"/>
        <w:tabs>
          <w:tab w:leader="none" w:pos="880" w:val="left"/>
        </w:tabs>
        <w:rPr>
          <w:sz w:val="20"/>
          <w:szCs w:val="20"/>
          <w:color w:val="auto"/>
        </w:rPr>
      </w:pPr>
      <w:r>
        <w:rPr>
          <w:rFonts w:ascii="Arial" w:cs="Arial" w:eastAsia="Arial" w:hAnsi="Arial"/>
          <w:sz w:val="18"/>
          <w:szCs w:val="18"/>
          <w:color w:val="auto"/>
        </w:rPr>
        <w:t>Title:</w:t>
        <w:tab/>
        <w:t>Assistant Secretary</w:t>
      </w:r>
    </w:p>
    <w:p>
      <w:pPr>
        <w:spacing w:after="0" w:line="2335" w:lineRule="exact"/>
        <w:rPr>
          <w:sz w:val="20"/>
          <w:szCs w:val="20"/>
          <w:color w:val="auto"/>
        </w:rPr>
      </w:pPr>
    </w:p>
    <w:p>
      <w:pPr>
        <w:sectPr>
          <w:pgSz w:w="11900" w:h="16838" w:orient="portrait"/>
          <w:cols w:equalWidth="0" w:num="2">
            <w:col w:w="4420" w:space="720"/>
            <w:col w:w="5900"/>
          </w:cols>
          <w:pgMar w:left="240" w:top="936" w:right="619" w:bottom="1440" w:gutter="0" w:footer="0" w:header="0"/>
          <w:type w:val="continuous"/>
        </w:sectPr>
      </w:pPr>
    </w:p>
    <w:p>
      <w:pPr>
        <w:spacing w:after="0" w:line="37"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Joseph A. Crowley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345630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5630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 Joseph A. Crowley</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J.P. MORGAN SECURITIES INC.</w:t>
      </w:r>
    </w:p>
    <w:p>
      <w:pPr>
        <w:spacing w:after="0" w:line="225"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Robert Bottamedi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345630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45630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 Robert Bottamedi</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 Vice President</w:t>
      </w:r>
    </w:p>
    <w:p>
      <w:pPr>
        <w:spacing w:after="0" w:line="103" w:lineRule="exact"/>
        <w:rPr>
          <w:sz w:val="20"/>
          <w:szCs w:val="20"/>
          <w:color w:val="auto"/>
        </w:rPr>
      </w:pPr>
    </w:p>
    <w:p>
      <w:pPr>
        <w:jc w:val="center"/>
        <w:ind w:right="-379"/>
        <w:spacing w:after="0"/>
        <w:rPr>
          <w:sz w:val="20"/>
          <w:szCs w:val="20"/>
          <w:color w:val="auto"/>
        </w:rPr>
      </w:pPr>
      <w:r>
        <w:rPr>
          <w:rFonts w:ascii="Arial" w:cs="Arial" w:eastAsia="Arial" w:hAnsi="Arial"/>
          <w:sz w:val="16"/>
          <w:szCs w:val="16"/>
          <w:i w:val="1"/>
          <w:iCs w:val="1"/>
          <w:color w:val="auto"/>
        </w:rPr>
        <w:t>Signature Page to Underwriting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421640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40"/>
          </w:cols>
          <w:pgMar w:left="240" w:top="936" w:right="619" w:bottom="1440" w:gutter="0" w:footer="0" w:header="0"/>
          <w:type w:val="continuous"/>
        </w:sectPr>
      </w:pPr>
    </w:p>
    <w:bookmarkStart w:id="35" w:name="page36"/>
    <w:bookmarkEnd w:id="35"/>
    <w:p>
      <w:pPr>
        <w:spacing w:after="0"/>
        <w:rPr>
          <w:sz w:val="20"/>
          <w:szCs w:val="20"/>
          <w:color w:val="auto"/>
        </w:rPr>
      </w:pPr>
      <w:r>
        <w:rPr>
          <w:rFonts w:ascii="Arial" w:cs="Arial" w:eastAsia="Arial" w:hAnsi="Arial"/>
          <w:sz w:val="18"/>
          <w:szCs w:val="18"/>
          <w:color w:val="auto"/>
        </w:rPr>
        <w:t>BY: GREENWICH CAPITAL MARKETS, INC.</w:t>
      </w:r>
    </w:p>
    <w:p>
      <w:pPr>
        <w:spacing w:after="0" w:line="225"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Thomas Bausano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345630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5630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 Thomas Bausano</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 Managing Director</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For themselves and the other several Underwriters,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if any, named in Schedule II to the foregoing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Agreement.</w:t>
      </w:r>
    </w:p>
    <w:p>
      <w:pPr>
        <w:spacing w:after="0" w:line="103" w:lineRule="exact"/>
        <w:rPr>
          <w:sz w:val="20"/>
          <w:szCs w:val="20"/>
          <w:color w:val="auto"/>
        </w:rPr>
      </w:pPr>
    </w:p>
    <w:p>
      <w:pPr>
        <w:jc w:val="right"/>
        <w:ind w:right="2939"/>
        <w:spacing w:after="0"/>
        <w:rPr>
          <w:sz w:val="20"/>
          <w:szCs w:val="20"/>
          <w:color w:val="auto"/>
        </w:rPr>
      </w:pPr>
      <w:r>
        <w:rPr>
          <w:rFonts w:ascii="Arial" w:cs="Arial" w:eastAsia="Arial" w:hAnsi="Arial"/>
          <w:sz w:val="18"/>
          <w:szCs w:val="18"/>
          <w:i w:val="1"/>
          <w:iCs w:val="1"/>
          <w:color w:val="auto"/>
        </w:rPr>
        <w:t>Signature Page to Underwriting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935" w:right="1440"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SCHEDULE I</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Filed Pursuant to Rule 433</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Issuer Free Writing Prospectus dated March 3, 2008 Relating to</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Preliminary Prospectus Supplement dated March 3, 2008</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to Prospectus dated September 22, 2006</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Registration Statement No. 333-137526</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40" w:type="dxa"/>
            <w:vAlign w:val="bottom"/>
          </w:tcPr>
          <w:p>
            <w:pPr>
              <w:spacing w:after="0"/>
              <w:rPr>
                <w:sz w:val="18"/>
                <w:szCs w:val="18"/>
                <w:color w:val="auto"/>
              </w:rPr>
            </w:pPr>
          </w:p>
        </w:tc>
        <w:tc>
          <w:tcPr>
            <w:tcW w:w="7880" w:type="dxa"/>
            <w:vAlign w:val="bottom"/>
          </w:tcPr>
          <w:p>
            <w:pPr>
              <w:ind w:left="1200"/>
              <w:spacing w:after="0"/>
              <w:rPr>
                <w:sz w:val="20"/>
                <w:szCs w:val="20"/>
                <w:color w:val="auto"/>
              </w:rPr>
            </w:pPr>
            <w:r>
              <w:rPr>
                <w:rFonts w:ascii="Arial" w:cs="Arial" w:eastAsia="Arial" w:hAnsi="Arial"/>
                <w:sz w:val="18"/>
                <w:szCs w:val="18"/>
                <w:b w:val="1"/>
                <w:bCs w:val="1"/>
                <w:color w:val="auto"/>
              </w:rPr>
              <w:t>Final Pricing Term Sheet</w:t>
            </w:r>
          </w:p>
        </w:tc>
      </w:tr>
      <w:tr>
        <w:trPr>
          <w:trHeight w:val="234"/>
        </w:trPr>
        <w:tc>
          <w:tcPr>
            <w:tcW w:w="3540" w:type="dxa"/>
            <w:vAlign w:val="bottom"/>
          </w:tcPr>
          <w:p>
            <w:pPr>
              <w:spacing w:after="0"/>
              <w:rPr>
                <w:sz w:val="20"/>
                <w:szCs w:val="20"/>
                <w:color w:val="auto"/>
              </w:rPr>
            </w:pPr>
          </w:p>
        </w:tc>
        <w:tc>
          <w:tcPr>
            <w:tcW w:w="7880" w:type="dxa"/>
            <w:vAlign w:val="bottom"/>
          </w:tcPr>
          <w:p>
            <w:pPr>
              <w:ind w:left="1040"/>
              <w:spacing w:after="0"/>
              <w:rPr>
                <w:sz w:val="20"/>
                <w:szCs w:val="20"/>
                <w:color w:val="auto"/>
              </w:rPr>
            </w:pPr>
            <w:r>
              <w:rPr>
                <w:rFonts w:ascii="Arial" w:cs="Arial" w:eastAsia="Arial" w:hAnsi="Arial"/>
                <w:sz w:val="18"/>
                <w:szCs w:val="18"/>
                <w:b w:val="1"/>
                <w:bCs w:val="1"/>
                <w:color w:val="auto"/>
              </w:rPr>
              <w:t>6.10% Senior Notes Due 2018</w:t>
            </w:r>
          </w:p>
        </w:tc>
      </w:tr>
      <w:tr>
        <w:trPr>
          <w:trHeight w:val="418"/>
        </w:trPr>
        <w:tc>
          <w:tcPr>
            <w:tcW w:w="3540" w:type="dxa"/>
            <w:vAlign w:val="bottom"/>
          </w:tcPr>
          <w:p>
            <w:pPr>
              <w:spacing w:after="0"/>
              <w:rPr>
                <w:sz w:val="20"/>
                <w:szCs w:val="20"/>
                <w:color w:val="auto"/>
              </w:rPr>
            </w:pPr>
            <w:r>
              <w:rPr>
                <w:rFonts w:ascii="Arial" w:cs="Arial" w:eastAsia="Arial" w:hAnsi="Arial"/>
                <w:sz w:val="18"/>
                <w:szCs w:val="18"/>
                <w:color w:val="auto"/>
              </w:rPr>
              <w:t>Issuer:</w:t>
            </w:r>
          </w:p>
        </w:tc>
        <w:tc>
          <w:tcPr>
            <w:tcW w:w="7880" w:type="dxa"/>
            <w:vAlign w:val="bottom"/>
          </w:tcPr>
          <w:p>
            <w:pPr>
              <w:ind w:left="820"/>
              <w:spacing w:after="0"/>
              <w:rPr>
                <w:sz w:val="20"/>
                <w:szCs w:val="20"/>
                <w:color w:val="auto"/>
              </w:rPr>
            </w:pPr>
            <w:r>
              <w:rPr>
                <w:rFonts w:ascii="Arial" w:cs="Arial" w:eastAsia="Arial" w:hAnsi="Arial"/>
                <w:sz w:val="18"/>
                <w:szCs w:val="18"/>
                <w:color w:val="auto"/>
              </w:rPr>
              <w:t>Waste Management, Inc.</w:t>
            </w: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Guarantor:</w:t>
            </w:r>
          </w:p>
        </w:tc>
        <w:tc>
          <w:tcPr>
            <w:tcW w:w="7880" w:type="dxa"/>
            <w:vAlign w:val="bottom"/>
          </w:tcPr>
          <w:p>
            <w:pPr>
              <w:ind w:left="820"/>
              <w:spacing w:after="0"/>
              <w:rPr>
                <w:sz w:val="20"/>
                <w:szCs w:val="20"/>
                <w:color w:val="auto"/>
              </w:rPr>
            </w:pPr>
            <w:r>
              <w:rPr>
                <w:rFonts w:ascii="Arial" w:cs="Arial" w:eastAsia="Arial" w:hAnsi="Arial"/>
                <w:sz w:val="18"/>
                <w:szCs w:val="18"/>
                <w:color w:val="auto"/>
              </w:rPr>
              <w:t>Waste Management Holdings, Inc.</w:t>
            </w: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Size:</w:t>
            </w:r>
          </w:p>
        </w:tc>
        <w:tc>
          <w:tcPr>
            <w:tcW w:w="7880" w:type="dxa"/>
            <w:vAlign w:val="bottom"/>
          </w:tcPr>
          <w:p>
            <w:pPr>
              <w:ind w:left="820"/>
              <w:spacing w:after="0"/>
              <w:rPr>
                <w:sz w:val="20"/>
                <w:szCs w:val="20"/>
                <w:color w:val="auto"/>
              </w:rPr>
            </w:pPr>
            <w:r>
              <w:rPr>
                <w:rFonts w:ascii="Arial" w:cs="Arial" w:eastAsia="Arial" w:hAnsi="Arial"/>
                <w:sz w:val="18"/>
                <w:szCs w:val="18"/>
                <w:color w:val="auto"/>
              </w:rPr>
              <w:t>$600,000,000</w:t>
            </w: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Maturity:</w:t>
            </w:r>
          </w:p>
        </w:tc>
        <w:tc>
          <w:tcPr>
            <w:tcW w:w="7880" w:type="dxa"/>
            <w:vAlign w:val="bottom"/>
          </w:tcPr>
          <w:p>
            <w:pPr>
              <w:ind w:left="820"/>
              <w:spacing w:after="0"/>
              <w:rPr>
                <w:sz w:val="20"/>
                <w:szCs w:val="20"/>
                <w:color w:val="auto"/>
              </w:rPr>
            </w:pPr>
            <w:r>
              <w:rPr>
                <w:rFonts w:ascii="Arial" w:cs="Arial" w:eastAsia="Arial" w:hAnsi="Arial"/>
                <w:sz w:val="18"/>
                <w:szCs w:val="18"/>
                <w:color w:val="auto"/>
              </w:rPr>
              <w:t>March 15, 2018</w:t>
            </w: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Coupon:</w:t>
            </w:r>
          </w:p>
        </w:tc>
        <w:tc>
          <w:tcPr>
            <w:tcW w:w="7880" w:type="dxa"/>
            <w:vAlign w:val="bottom"/>
          </w:tcPr>
          <w:p>
            <w:pPr>
              <w:ind w:left="820"/>
              <w:spacing w:after="0"/>
              <w:rPr>
                <w:sz w:val="20"/>
                <w:szCs w:val="20"/>
                <w:color w:val="auto"/>
              </w:rPr>
            </w:pPr>
            <w:r>
              <w:rPr>
                <w:rFonts w:ascii="Arial" w:cs="Arial" w:eastAsia="Arial" w:hAnsi="Arial"/>
                <w:sz w:val="18"/>
                <w:szCs w:val="18"/>
                <w:color w:val="auto"/>
              </w:rPr>
              <w:t>6.10%</w:t>
            </w: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Price:</w:t>
            </w:r>
          </w:p>
        </w:tc>
        <w:tc>
          <w:tcPr>
            <w:tcW w:w="7880" w:type="dxa"/>
            <w:vAlign w:val="bottom"/>
          </w:tcPr>
          <w:p>
            <w:pPr>
              <w:ind w:left="820"/>
              <w:spacing w:after="0"/>
              <w:rPr>
                <w:sz w:val="20"/>
                <w:szCs w:val="20"/>
                <w:color w:val="auto"/>
              </w:rPr>
            </w:pPr>
            <w:r>
              <w:rPr>
                <w:rFonts w:ascii="Arial" w:cs="Arial" w:eastAsia="Arial" w:hAnsi="Arial"/>
                <w:sz w:val="18"/>
                <w:szCs w:val="18"/>
                <w:color w:val="auto"/>
              </w:rPr>
              <w:t>99.598% of face amount</w:t>
            </w: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Yield to maturity:</w:t>
            </w:r>
          </w:p>
        </w:tc>
        <w:tc>
          <w:tcPr>
            <w:tcW w:w="7880" w:type="dxa"/>
            <w:vAlign w:val="bottom"/>
          </w:tcPr>
          <w:p>
            <w:pPr>
              <w:ind w:left="820"/>
              <w:spacing w:after="0"/>
              <w:rPr>
                <w:sz w:val="20"/>
                <w:szCs w:val="20"/>
                <w:color w:val="auto"/>
              </w:rPr>
            </w:pPr>
            <w:r>
              <w:rPr>
                <w:rFonts w:ascii="Arial" w:cs="Arial" w:eastAsia="Arial" w:hAnsi="Arial"/>
                <w:sz w:val="18"/>
                <w:szCs w:val="18"/>
                <w:color w:val="auto"/>
              </w:rPr>
              <w:t>6.154%</w:t>
            </w: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Spread to Benchmark Treasury:</w:t>
            </w:r>
          </w:p>
        </w:tc>
        <w:tc>
          <w:tcPr>
            <w:tcW w:w="7880" w:type="dxa"/>
            <w:vAlign w:val="bottom"/>
          </w:tcPr>
          <w:p>
            <w:pPr>
              <w:ind w:left="820"/>
              <w:spacing w:after="0"/>
              <w:rPr>
                <w:sz w:val="20"/>
                <w:szCs w:val="20"/>
                <w:color w:val="auto"/>
              </w:rPr>
            </w:pPr>
            <w:r>
              <w:rPr>
                <w:rFonts w:ascii="Arial" w:cs="Arial" w:eastAsia="Arial" w:hAnsi="Arial"/>
                <w:sz w:val="18"/>
                <w:szCs w:val="18"/>
                <w:color w:val="auto"/>
              </w:rPr>
              <w:t>2.60%</w:t>
            </w: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Benchmark Treasury:</w:t>
            </w:r>
          </w:p>
        </w:tc>
        <w:tc>
          <w:tcPr>
            <w:tcW w:w="7880" w:type="dxa"/>
            <w:vAlign w:val="bottom"/>
          </w:tcPr>
          <w:p>
            <w:pPr>
              <w:ind w:left="820"/>
              <w:spacing w:after="0"/>
              <w:rPr>
                <w:sz w:val="20"/>
                <w:szCs w:val="20"/>
                <w:color w:val="auto"/>
              </w:rPr>
            </w:pPr>
            <w:r>
              <w:rPr>
                <w:rFonts w:ascii="Arial" w:cs="Arial" w:eastAsia="Arial" w:hAnsi="Arial"/>
                <w:sz w:val="18"/>
                <w:szCs w:val="18"/>
                <w:color w:val="auto"/>
              </w:rPr>
              <w:t>3.50% 2/15/2018</w:t>
            </w: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Benchmark Treasury Price and Yield:</w:t>
            </w:r>
          </w:p>
        </w:tc>
        <w:tc>
          <w:tcPr>
            <w:tcW w:w="7880" w:type="dxa"/>
            <w:vAlign w:val="bottom"/>
          </w:tcPr>
          <w:p>
            <w:pPr>
              <w:ind w:left="820"/>
              <w:spacing w:after="0"/>
              <w:rPr>
                <w:sz w:val="20"/>
                <w:szCs w:val="20"/>
                <w:color w:val="auto"/>
              </w:rPr>
            </w:pPr>
            <w:r>
              <w:rPr>
                <w:rFonts w:ascii="Arial" w:cs="Arial" w:eastAsia="Arial" w:hAnsi="Arial"/>
                <w:sz w:val="18"/>
                <w:szCs w:val="18"/>
                <w:color w:val="auto"/>
              </w:rPr>
              <w:t>99-17+ 3.554%</w:t>
            </w:r>
          </w:p>
        </w:tc>
      </w:tr>
      <w:tr>
        <w:trPr>
          <w:trHeight w:val="230"/>
        </w:trPr>
        <w:tc>
          <w:tcPr>
            <w:tcW w:w="3540" w:type="dxa"/>
            <w:vAlign w:val="bottom"/>
          </w:tcPr>
          <w:p>
            <w:pPr>
              <w:spacing w:after="0"/>
              <w:rPr>
                <w:sz w:val="20"/>
                <w:szCs w:val="20"/>
                <w:color w:val="auto"/>
              </w:rPr>
            </w:pPr>
            <w:r>
              <w:rPr>
                <w:rFonts w:ascii="Arial" w:cs="Arial" w:eastAsia="Arial" w:hAnsi="Arial"/>
                <w:sz w:val="18"/>
                <w:szCs w:val="18"/>
                <w:color w:val="auto"/>
              </w:rPr>
              <w:t>Interest Payment Dates:</w:t>
            </w:r>
          </w:p>
        </w:tc>
        <w:tc>
          <w:tcPr>
            <w:tcW w:w="7880" w:type="dxa"/>
            <w:vAlign w:val="bottom"/>
          </w:tcPr>
          <w:p>
            <w:pPr>
              <w:ind w:left="820"/>
              <w:spacing w:after="0"/>
              <w:rPr>
                <w:sz w:val="20"/>
                <w:szCs w:val="20"/>
                <w:color w:val="auto"/>
              </w:rPr>
            </w:pPr>
            <w:r>
              <w:rPr>
                <w:rFonts w:ascii="Arial" w:cs="Arial" w:eastAsia="Arial" w:hAnsi="Arial"/>
                <w:sz w:val="18"/>
                <w:szCs w:val="18"/>
                <w:color w:val="auto"/>
              </w:rPr>
              <w:t>Semi-annually on March 15th and September 15th, commencing September 15, 2008</w:t>
            </w:r>
          </w:p>
        </w:tc>
      </w:tr>
      <w:tr>
        <w:trPr>
          <w:trHeight w:val="418"/>
        </w:trPr>
        <w:tc>
          <w:tcPr>
            <w:tcW w:w="3540" w:type="dxa"/>
            <w:vAlign w:val="bottom"/>
          </w:tcPr>
          <w:p>
            <w:pPr>
              <w:spacing w:after="0"/>
              <w:rPr>
                <w:sz w:val="20"/>
                <w:szCs w:val="20"/>
                <w:color w:val="auto"/>
              </w:rPr>
            </w:pPr>
            <w:r>
              <w:rPr>
                <w:rFonts w:ascii="Arial" w:cs="Arial" w:eastAsia="Arial" w:hAnsi="Arial"/>
                <w:sz w:val="18"/>
                <w:szCs w:val="18"/>
                <w:color w:val="auto"/>
              </w:rPr>
              <w:t>Redemption Provisions:</w:t>
            </w:r>
          </w:p>
        </w:tc>
        <w:tc>
          <w:tcPr>
            <w:tcW w:w="7880" w:type="dxa"/>
            <w:vAlign w:val="bottom"/>
          </w:tcPr>
          <w:p>
            <w:pPr>
              <w:spacing w:after="0"/>
              <w:rPr>
                <w:sz w:val="24"/>
                <w:szCs w:val="24"/>
                <w:color w:val="auto"/>
              </w:rPr>
            </w:pPr>
          </w:p>
        </w:tc>
      </w:tr>
      <w:tr>
        <w:trPr>
          <w:trHeight w:val="216"/>
        </w:trPr>
        <w:tc>
          <w:tcPr>
            <w:tcW w:w="3540" w:type="dxa"/>
            <w:vAlign w:val="bottom"/>
          </w:tcPr>
          <w:p>
            <w:pPr>
              <w:ind w:left="420"/>
              <w:spacing w:after="0"/>
              <w:rPr>
                <w:sz w:val="20"/>
                <w:szCs w:val="20"/>
                <w:color w:val="auto"/>
              </w:rPr>
            </w:pPr>
            <w:r>
              <w:rPr>
                <w:rFonts w:ascii="Arial" w:cs="Arial" w:eastAsia="Arial" w:hAnsi="Arial"/>
                <w:sz w:val="18"/>
                <w:szCs w:val="18"/>
                <w:color w:val="auto"/>
              </w:rPr>
              <w:t>Optional Redemption:</w:t>
            </w:r>
          </w:p>
        </w:tc>
        <w:tc>
          <w:tcPr>
            <w:tcW w:w="7880" w:type="dxa"/>
            <w:vAlign w:val="bottom"/>
          </w:tcPr>
          <w:p>
            <w:pPr>
              <w:ind w:left="820"/>
              <w:spacing w:after="0"/>
              <w:rPr>
                <w:sz w:val="20"/>
                <w:szCs w:val="20"/>
                <w:color w:val="auto"/>
              </w:rPr>
            </w:pPr>
            <w:r>
              <w:rPr>
                <w:rFonts w:ascii="Arial" w:cs="Arial" w:eastAsia="Arial" w:hAnsi="Arial"/>
                <w:sz w:val="18"/>
                <w:szCs w:val="18"/>
                <w:color w:val="auto"/>
                <w:w w:val="93"/>
              </w:rPr>
              <w:t>At any time for an amount equal to the greater of (1) 100% of the principal amount of the notes</w:t>
            </w:r>
          </w:p>
        </w:tc>
      </w:tr>
      <w:tr>
        <w:trPr>
          <w:trHeight w:val="216"/>
        </w:trPr>
        <w:tc>
          <w:tcPr>
            <w:tcW w:w="3540" w:type="dxa"/>
            <w:vAlign w:val="bottom"/>
          </w:tcPr>
          <w:p>
            <w:pPr>
              <w:spacing w:after="0"/>
              <w:rPr>
                <w:sz w:val="18"/>
                <w:szCs w:val="18"/>
                <w:color w:val="auto"/>
              </w:rPr>
            </w:pPr>
          </w:p>
        </w:tc>
        <w:tc>
          <w:tcPr>
            <w:tcW w:w="7880" w:type="dxa"/>
            <w:vAlign w:val="bottom"/>
          </w:tcPr>
          <w:p>
            <w:pPr>
              <w:ind w:left="820"/>
              <w:spacing w:after="0"/>
              <w:rPr>
                <w:sz w:val="20"/>
                <w:szCs w:val="20"/>
                <w:color w:val="auto"/>
              </w:rPr>
            </w:pPr>
            <w:r>
              <w:rPr>
                <w:rFonts w:ascii="Arial" w:cs="Arial" w:eastAsia="Arial" w:hAnsi="Arial"/>
                <w:sz w:val="18"/>
                <w:szCs w:val="18"/>
                <w:color w:val="auto"/>
                <w:w w:val="89"/>
              </w:rPr>
              <w:t>redeemed and repaid, or (2) the sum of the present values of the remaining scheduled payments of</w:t>
            </w:r>
          </w:p>
        </w:tc>
      </w:tr>
      <w:tr>
        <w:trPr>
          <w:trHeight w:val="216"/>
        </w:trPr>
        <w:tc>
          <w:tcPr>
            <w:tcW w:w="3540" w:type="dxa"/>
            <w:vAlign w:val="bottom"/>
          </w:tcPr>
          <w:p>
            <w:pPr>
              <w:spacing w:after="0"/>
              <w:rPr>
                <w:sz w:val="18"/>
                <w:szCs w:val="18"/>
                <w:color w:val="auto"/>
              </w:rPr>
            </w:pPr>
          </w:p>
        </w:tc>
        <w:tc>
          <w:tcPr>
            <w:tcW w:w="7880" w:type="dxa"/>
            <w:vAlign w:val="bottom"/>
          </w:tcPr>
          <w:p>
            <w:pPr>
              <w:ind w:left="820"/>
              <w:spacing w:after="0"/>
              <w:rPr>
                <w:sz w:val="20"/>
                <w:szCs w:val="20"/>
                <w:color w:val="auto"/>
              </w:rPr>
            </w:pPr>
            <w:r>
              <w:rPr>
                <w:rFonts w:ascii="Arial" w:cs="Arial" w:eastAsia="Arial" w:hAnsi="Arial"/>
                <w:sz w:val="18"/>
                <w:szCs w:val="18"/>
                <w:color w:val="auto"/>
                <w:w w:val="92"/>
              </w:rPr>
              <w:t>principal and interest on the notes discounted to the redemption date at the applicable Treasury</w:t>
            </w:r>
          </w:p>
        </w:tc>
      </w:tr>
      <w:tr>
        <w:trPr>
          <w:trHeight w:val="216"/>
        </w:trPr>
        <w:tc>
          <w:tcPr>
            <w:tcW w:w="3540" w:type="dxa"/>
            <w:vAlign w:val="bottom"/>
          </w:tcPr>
          <w:p>
            <w:pPr>
              <w:spacing w:after="0"/>
              <w:rPr>
                <w:sz w:val="18"/>
                <w:szCs w:val="18"/>
                <w:color w:val="auto"/>
              </w:rPr>
            </w:pPr>
          </w:p>
        </w:tc>
        <w:tc>
          <w:tcPr>
            <w:tcW w:w="7880" w:type="dxa"/>
            <w:vAlign w:val="bottom"/>
          </w:tcPr>
          <w:p>
            <w:pPr>
              <w:ind w:left="820"/>
              <w:spacing w:after="0"/>
              <w:rPr>
                <w:sz w:val="20"/>
                <w:szCs w:val="20"/>
                <w:color w:val="auto"/>
              </w:rPr>
            </w:pPr>
            <w:r>
              <w:rPr>
                <w:rFonts w:ascii="Arial" w:cs="Arial" w:eastAsia="Arial" w:hAnsi="Arial"/>
                <w:sz w:val="18"/>
                <w:szCs w:val="18"/>
                <w:color w:val="auto"/>
              </w:rPr>
              <w:t>Yield plus 40 basis points.</w:t>
            </w:r>
          </w:p>
        </w:tc>
      </w:tr>
      <w:tr>
        <w:trPr>
          <w:trHeight w:val="216"/>
        </w:trPr>
        <w:tc>
          <w:tcPr>
            <w:tcW w:w="3540" w:type="dxa"/>
            <w:vAlign w:val="bottom"/>
          </w:tcPr>
          <w:p>
            <w:pPr>
              <w:ind w:left="420"/>
              <w:spacing w:after="0"/>
              <w:rPr>
                <w:sz w:val="20"/>
                <w:szCs w:val="20"/>
                <w:color w:val="auto"/>
              </w:rPr>
            </w:pPr>
            <w:r>
              <w:rPr>
                <w:rFonts w:ascii="Arial" w:cs="Arial" w:eastAsia="Arial" w:hAnsi="Arial"/>
                <w:sz w:val="18"/>
                <w:szCs w:val="18"/>
                <w:color w:val="auto"/>
              </w:rPr>
              <w:t>Change of Control Put:</w:t>
            </w:r>
          </w:p>
        </w:tc>
        <w:tc>
          <w:tcPr>
            <w:tcW w:w="7880" w:type="dxa"/>
            <w:vAlign w:val="bottom"/>
          </w:tcPr>
          <w:p>
            <w:pPr>
              <w:ind w:left="820"/>
              <w:spacing w:after="0"/>
              <w:rPr>
                <w:sz w:val="20"/>
                <w:szCs w:val="20"/>
                <w:color w:val="auto"/>
              </w:rPr>
            </w:pPr>
            <w:r>
              <w:rPr>
                <w:rFonts w:ascii="Arial" w:cs="Arial" w:eastAsia="Arial" w:hAnsi="Arial"/>
                <w:sz w:val="18"/>
                <w:szCs w:val="18"/>
                <w:color w:val="auto"/>
                <w:w w:val="98"/>
              </w:rPr>
              <w:t>A put right upon the occurrence of a change of control triggering event as described in the</w:t>
            </w:r>
          </w:p>
        </w:tc>
      </w:tr>
      <w:tr>
        <w:trPr>
          <w:trHeight w:val="216"/>
        </w:trPr>
        <w:tc>
          <w:tcPr>
            <w:tcW w:w="3540" w:type="dxa"/>
            <w:vAlign w:val="bottom"/>
          </w:tcPr>
          <w:p>
            <w:pPr>
              <w:spacing w:after="0"/>
              <w:rPr>
                <w:sz w:val="18"/>
                <w:szCs w:val="18"/>
                <w:color w:val="auto"/>
              </w:rPr>
            </w:pPr>
          </w:p>
        </w:tc>
        <w:tc>
          <w:tcPr>
            <w:tcW w:w="7880" w:type="dxa"/>
            <w:vAlign w:val="bottom"/>
          </w:tcPr>
          <w:p>
            <w:pPr>
              <w:ind w:left="820"/>
              <w:spacing w:after="0"/>
              <w:rPr>
                <w:sz w:val="20"/>
                <w:szCs w:val="20"/>
                <w:color w:val="auto"/>
              </w:rPr>
            </w:pPr>
            <w:r>
              <w:rPr>
                <w:rFonts w:ascii="Arial" w:cs="Arial" w:eastAsia="Arial" w:hAnsi="Arial"/>
                <w:sz w:val="18"/>
                <w:szCs w:val="18"/>
                <w:color w:val="auto"/>
              </w:rPr>
              <w:t>Preliminary Prospectus dated March 3, 2008</w:t>
            </w: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Settlement:</w:t>
            </w:r>
          </w:p>
        </w:tc>
        <w:tc>
          <w:tcPr>
            <w:tcW w:w="7880" w:type="dxa"/>
            <w:vAlign w:val="bottom"/>
          </w:tcPr>
          <w:p>
            <w:pPr>
              <w:ind w:left="820"/>
              <w:spacing w:after="0"/>
              <w:rPr>
                <w:sz w:val="20"/>
                <w:szCs w:val="20"/>
                <w:color w:val="auto"/>
              </w:rPr>
            </w:pPr>
            <w:r>
              <w:rPr>
                <w:rFonts w:ascii="Arial" w:cs="Arial" w:eastAsia="Arial" w:hAnsi="Arial"/>
                <w:sz w:val="18"/>
                <w:szCs w:val="18"/>
                <w:color w:val="auto"/>
              </w:rPr>
              <w:t>T+3; March 6, 2008</w:t>
            </w: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CUSIP:</w:t>
            </w:r>
          </w:p>
        </w:tc>
        <w:tc>
          <w:tcPr>
            <w:tcW w:w="7880" w:type="dxa"/>
            <w:vAlign w:val="bottom"/>
          </w:tcPr>
          <w:p>
            <w:pPr>
              <w:ind w:left="820"/>
              <w:spacing w:after="0"/>
              <w:rPr>
                <w:sz w:val="20"/>
                <w:szCs w:val="20"/>
                <w:color w:val="auto"/>
              </w:rPr>
            </w:pPr>
            <w:r>
              <w:rPr>
                <w:rFonts w:ascii="Arial" w:cs="Arial" w:eastAsia="Arial" w:hAnsi="Arial"/>
                <w:sz w:val="18"/>
                <w:szCs w:val="18"/>
                <w:color w:val="auto"/>
              </w:rPr>
              <w:t>94106L AS8</w:t>
            </w: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Joint Book-Running and</w:t>
            </w:r>
          </w:p>
        </w:tc>
        <w:tc>
          <w:tcPr>
            <w:tcW w:w="7880" w:type="dxa"/>
            <w:vAlign w:val="bottom"/>
          </w:tcPr>
          <w:p>
            <w:pPr>
              <w:ind w:left="820"/>
              <w:spacing w:after="0"/>
              <w:rPr>
                <w:sz w:val="20"/>
                <w:szCs w:val="20"/>
                <w:color w:val="auto"/>
              </w:rPr>
            </w:pPr>
            <w:r>
              <w:rPr>
                <w:rFonts w:ascii="Arial" w:cs="Arial" w:eastAsia="Arial" w:hAnsi="Arial"/>
                <w:sz w:val="18"/>
                <w:szCs w:val="18"/>
                <w:color w:val="auto"/>
              </w:rPr>
              <w:t>Banc of America Securities LLC</w:t>
            </w:r>
          </w:p>
        </w:tc>
      </w:tr>
      <w:tr>
        <w:trPr>
          <w:trHeight w:val="216"/>
        </w:trPr>
        <w:tc>
          <w:tcPr>
            <w:tcW w:w="3540" w:type="dxa"/>
            <w:vAlign w:val="bottom"/>
          </w:tcPr>
          <w:p>
            <w:pPr>
              <w:ind w:left="220"/>
              <w:spacing w:after="0"/>
              <w:rPr>
                <w:sz w:val="20"/>
                <w:szCs w:val="20"/>
                <w:color w:val="auto"/>
              </w:rPr>
            </w:pPr>
            <w:r>
              <w:rPr>
                <w:rFonts w:ascii="Arial" w:cs="Arial" w:eastAsia="Arial" w:hAnsi="Arial"/>
                <w:sz w:val="18"/>
                <w:szCs w:val="18"/>
                <w:color w:val="auto"/>
              </w:rPr>
              <w:t>Joint Lead Managers</w:t>
            </w:r>
          </w:p>
        </w:tc>
        <w:tc>
          <w:tcPr>
            <w:tcW w:w="7880" w:type="dxa"/>
            <w:vAlign w:val="bottom"/>
          </w:tcPr>
          <w:p>
            <w:pPr>
              <w:ind w:left="820"/>
              <w:spacing w:after="0"/>
              <w:rPr>
                <w:sz w:val="20"/>
                <w:szCs w:val="20"/>
                <w:color w:val="auto"/>
              </w:rPr>
            </w:pPr>
            <w:r>
              <w:rPr>
                <w:rFonts w:ascii="Arial" w:cs="Arial" w:eastAsia="Arial" w:hAnsi="Arial"/>
                <w:sz w:val="18"/>
                <w:szCs w:val="18"/>
                <w:color w:val="auto"/>
              </w:rPr>
              <w:t>J.P. Morgan Securities Inc.</w:t>
            </w:r>
          </w:p>
        </w:tc>
      </w:tr>
      <w:tr>
        <w:trPr>
          <w:trHeight w:val="216"/>
        </w:trPr>
        <w:tc>
          <w:tcPr>
            <w:tcW w:w="3540" w:type="dxa"/>
            <w:vAlign w:val="bottom"/>
          </w:tcPr>
          <w:p>
            <w:pPr>
              <w:spacing w:after="0"/>
              <w:rPr>
                <w:sz w:val="18"/>
                <w:szCs w:val="18"/>
                <w:color w:val="auto"/>
              </w:rPr>
            </w:pPr>
          </w:p>
        </w:tc>
        <w:tc>
          <w:tcPr>
            <w:tcW w:w="7880" w:type="dxa"/>
            <w:vAlign w:val="bottom"/>
          </w:tcPr>
          <w:p>
            <w:pPr>
              <w:ind w:left="820"/>
              <w:spacing w:after="0"/>
              <w:rPr>
                <w:sz w:val="20"/>
                <w:szCs w:val="20"/>
                <w:color w:val="auto"/>
              </w:rPr>
            </w:pPr>
            <w:r>
              <w:rPr>
                <w:rFonts w:ascii="Arial" w:cs="Arial" w:eastAsia="Arial" w:hAnsi="Arial"/>
                <w:sz w:val="18"/>
                <w:szCs w:val="18"/>
                <w:color w:val="auto"/>
              </w:rPr>
              <w:t>Greenwich Capital Markets, Inc.</w:t>
            </w: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Co-Managers</w:t>
            </w:r>
          </w:p>
        </w:tc>
        <w:tc>
          <w:tcPr>
            <w:tcW w:w="7880" w:type="dxa"/>
            <w:vAlign w:val="bottom"/>
          </w:tcPr>
          <w:p>
            <w:pPr>
              <w:ind w:left="820"/>
              <w:spacing w:after="0"/>
              <w:rPr>
                <w:sz w:val="20"/>
                <w:szCs w:val="20"/>
                <w:color w:val="auto"/>
              </w:rPr>
            </w:pPr>
            <w:r>
              <w:rPr>
                <w:rFonts w:ascii="Arial" w:cs="Arial" w:eastAsia="Arial" w:hAnsi="Arial"/>
                <w:sz w:val="18"/>
                <w:szCs w:val="18"/>
                <w:color w:val="auto"/>
              </w:rPr>
              <w:t>Barclays Capital Inc.</w:t>
            </w:r>
          </w:p>
        </w:tc>
      </w:tr>
      <w:tr>
        <w:trPr>
          <w:trHeight w:val="216"/>
        </w:trPr>
        <w:tc>
          <w:tcPr>
            <w:tcW w:w="3540" w:type="dxa"/>
            <w:vAlign w:val="bottom"/>
          </w:tcPr>
          <w:p>
            <w:pPr>
              <w:spacing w:after="0"/>
              <w:rPr>
                <w:sz w:val="18"/>
                <w:szCs w:val="18"/>
                <w:color w:val="auto"/>
              </w:rPr>
            </w:pPr>
          </w:p>
        </w:tc>
        <w:tc>
          <w:tcPr>
            <w:tcW w:w="7880" w:type="dxa"/>
            <w:vAlign w:val="bottom"/>
          </w:tcPr>
          <w:p>
            <w:pPr>
              <w:ind w:left="820"/>
              <w:spacing w:after="0"/>
              <w:rPr>
                <w:sz w:val="20"/>
                <w:szCs w:val="20"/>
                <w:color w:val="auto"/>
              </w:rPr>
            </w:pPr>
            <w:r>
              <w:rPr>
                <w:rFonts w:ascii="Arial" w:cs="Arial" w:eastAsia="Arial" w:hAnsi="Arial"/>
                <w:sz w:val="18"/>
                <w:szCs w:val="18"/>
                <w:color w:val="auto"/>
              </w:rPr>
              <w:t>BNP Paribas Securities Corp.</w:t>
            </w:r>
          </w:p>
        </w:tc>
      </w:tr>
      <w:tr>
        <w:trPr>
          <w:trHeight w:val="216"/>
        </w:trPr>
        <w:tc>
          <w:tcPr>
            <w:tcW w:w="3540" w:type="dxa"/>
            <w:vAlign w:val="bottom"/>
          </w:tcPr>
          <w:p>
            <w:pPr>
              <w:spacing w:after="0"/>
              <w:rPr>
                <w:sz w:val="18"/>
                <w:szCs w:val="18"/>
                <w:color w:val="auto"/>
              </w:rPr>
            </w:pPr>
          </w:p>
        </w:tc>
        <w:tc>
          <w:tcPr>
            <w:tcW w:w="7880" w:type="dxa"/>
            <w:vAlign w:val="bottom"/>
          </w:tcPr>
          <w:p>
            <w:pPr>
              <w:ind w:left="820"/>
              <w:spacing w:after="0"/>
              <w:rPr>
                <w:sz w:val="20"/>
                <w:szCs w:val="20"/>
                <w:color w:val="auto"/>
              </w:rPr>
            </w:pPr>
            <w:r>
              <w:rPr>
                <w:rFonts w:ascii="Arial" w:cs="Arial" w:eastAsia="Arial" w:hAnsi="Arial"/>
                <w:sz w:val="18"/>
                <w:szCs w:val="18"/>
                <w:color w:val="auto"/>
              </w:rPr>
              <w:t>Citigroup Global Markets Inc.</w:t>
            </w:r>
          </w:p>
        </w:tc>
      </w:tr>
      <w:tr>
        <w:trPr>
          <w:trHeight w:val="216"/>
        </w:trPr>
        <w:tc>
          <w:tcPr>
            <w:tcW w:w="3540" w:type="dxa"/>
            <w:vAlign w:val="bottom"/>
          </w:tcPr>
          <w:p>
            <w:pPr>
              <w:spacing w:after="0"/>
              <w:rPr>
                <w:sz w:val="18"/>
                <w:szCs w:val="18"/>
                <w:color w:val="auto"/>
              </w:rPr>
            </w:pPr>
          </w:p>
        </w:tc>
        <w:tc>
          <w:tcPr>
            <w:tcW w:w="7880" w:type="dxa"/>
            <w:vAlign w:val="bottom"/>
          </w:tcPr>
          <w:p>
            <w:pPr>
              <w:ind w:left="820"/>
              <w:spacing w:after="0"/>
              <w:rPr>
                <w:sz w:val="20"/>
                <w:szCs w:val="20"/>
                <w:color w:val="auto"/>
              </w:rPr>
            </w:pPr>
            <w:r>
              <w:rPr>
                <w:rFonts w:ascii="Arial" w:cs="Arial" w:eastAsia="Arial" w:hAnsi="Arial"/>
                <w:sz w:val="18"/>
                <w:szCs w:val="18"/>
                <w:color w:val="auto"/>
              </w:rPr>
              <w:t>Deutsche Bank Securities Inc.</w:t>
            </w:r>
          </w:p>
        </w:tc>
      </w:tr>
      <w:tr>
        <w:trPr>
          <w:trHeight w:val="216"/>
        </w:trPr>
        <w:tc>
          <w:tcPr>
            <w:tcW w:w="3540" w:type="dxa"/>
            <w:vAlign w:val="bottom"/>
          </w:tcPr>
          <w:p>
            <w:pPr>
              <w:spacing w:after="0"/>
              <w:rPr>
                <w:sz w:val="18"/>
                <w:szCs w:val="18"/>
                <w:color w:val="auto"/>
              </w:rPr>
            </w:pPr>
          </w:p>
        </w:tc>
        <w:tc>
          <w:tcPr>
            <w:tcW w:w="7880" w:type="dxa"/>
            <w:vAlign w:val="bottom"/>
          </w:tcPr>
          <w:p>
            <w:pPr>
              <w:ind w:left="820"/>
              <w:spacing w:after="0"/>
              <w:rPr>
                <w:sz w:val="20"/>
                <w:szCs w:val="20"/>
                <w:color w:val="auto"/>
              </w:rPr>
            </w:pPr>
            <w:r>
              <w:rPr>
                <w:rFonts w:ascii="Arial" w:cs="Arial" w:eastAsia="Arial" w:hAnsi="Arial"/>
                <w:sz w:val="18"/>
                <w:szCs w:val="18"/>
                <w:color w:val="auto"/>
              </w:rPr>
              <w:t>Goldman, Sachs &amp; Co.</w:t>
            </w:r>
          </w:p>
        </w:tc>
      </w:tr>
      <w:tr>
        <w:trPr>
          <w:trHeight w:val="216"/>
        </w:trPr>
        <w:tc>
          <w:tcPr>
            <w:tcW w:w="3540" w:type="dxa"/>
            <w:vAlign w:val="bottom"/>
          </w:tcPr>
          <w:p>
            <w:pPr>
              <w:spacing w:after="0"/>
              <w:rPr>
                <w:sz w:val="18"/>
                <w:szCs w:val="18"/>
                <w:color w:val="auto"/>
              </w:rPr>
            </w:pPr>
          </w:p>
        </w:tc>
        <w:tc>
          <w:tcPr>
            <w:tcW w:w="7880" w:type="dxa"/>
            <w:vAlign w:val="bottom"/>
          </w:tcPr>
          <w:p>
            <w:pPr>
              <w:ind w:left="820"/>
              <w:spacing w:after="0"/>
              <w:rPr>
                <w:sz w:val="20"/>
                <w:szCs w:val="20"/>
                <w:color w:val="auto"/>
              </w:rPr>
            </w:pPr>
            <w:r>
              <w:rPr>
                <w:rFonts w:ascii="Arial" w:cs="Arial" w:eastAsia="Arial" w:hAnsi="Arial"/>
                <w:sz w:val="18"/>
                <w:szCs w:val="18"/>
                <w:color w:val="auto"/>
              </w:rPr>
              <w:t>Scotia Capital (USA) Inc.</w:t>
            </w:r>
          </w:p>
        </w:tc>
      </w:tr>
      <w:tr>
        <w:trPr>
          <w:trHeight w:val="230"/>
        </w:trPr>
        <w:tc>
          <w:tcPr>
            <w:tcW w:w="3540" w:type="dxa"/>
            <w:vAlign w:val="bottom"/>
          </w:tcPr>
          <w:p>
            <w:pPr>
              <w:spacing w:after="0"/>
              <w:rPr>
                <w:sz w:val="20"/>
                <w:szCs w:val="20"/>
                <w:color w:val="auto"/>
              </w:rPr>
            </w:pPr>
            <w:r>
              <w:rPr>
                <w:rFonts w:ascii="Arial" w:cs="Arial" w:eastAsia="Arial" w:hAnsi="Arial"/>
                <w:sz w:val="18"/>
                <w:szCs w:val="18"/>
                <w:color w:val="auto"/>
              </w:rPr>
              <w:t>Anticipated Ratings:</w:t>
            </w:r>
          </w:p>
        </w:tc>
        <w:tc>
          <w:tcPr>
            <w:tcW w:w="7880" w:type="dxa"/>
            <w:vAlign w:val="bottom"/>
          </w:tcPr>
          <w:p>
            <w:pPr>
              <w:ind w:left="820"/>
              <w:spacing w:after="0"/>
              <w:rPr>
                <w:sz w:val="20"/>
                <w:szCs w:val="20"/>
                <w:color w:val="auto"/>
              </w:rPr>
            </w:pPr>
            <w:r>
              <w:rPr>
                <w:rFonts w:ascii="Arial" w:cs="Arial" w:eastAsia="Arial" w:hAnsi="Arial"/>
                <w:sz w:val="18"/>
                <w:szCs w:val="18"/>
                <w:color w:val="auto"/>
              </w:rPr>
              <w:t>Moody’s: Baa3 (Stable)</w:t>
            </w:r>
          </w:p>
        </w:tc>
      </w:tr>
      <w:tr>
        <w:trPr>
          <w:trHeight w:val="632"/>
        </w:trPr>
        <w:tc>
          <w:tcPr>
            <w:tcW w:w="3540" w:type="dxa"/>
            <w:vAlign w:val="bottom"/>
            <w:tcBorders>
              <w:bottom w:val="single" w:sz="8" w:color="808080"/>
            </w:tcBorders>
          </w:tcPr>
          <w:p>
            <w:pPr>
              <w:spacing w:after="0"/>
              <w:rPr>
                <w:sz w:val="24"/>
                <w:szCs w:val="24"/>
                <w:color w:val="auto"/>
              </w:rPr>
            </w:pPr>
          </w:p>
        </w:tc>
        <w:tc>
          <w:tcPr>
            <w:tcW w:w="78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37" w:name="page38"/>
    <w:bookmarkEnd w:id="37"/>
    <w:p>
      <w:pPr>
        <w:ind w:left="5420"/>
        <w:spacing w:after="0"/>
        <w:rPr>
          <w:sz w:val="20"/>
          <w:szCs w:val="20"/>
          <w:color w:val="auto"/>
        </w:rPr>
      </w:pPr>
      <w:r>
        <w:rPr>
          <w:rFonts w:ascii="Arial" w:cs="Arial" w:eastAsia="Arial" w:hAnsi="Arial"/>
          <w:sz w:val="18"/>
          <w:szCs w:val="18"/>
          <w:color w:val="auto"/>
        </w:rPr>
        <w:t>S&amp;P: BBB (Stable)</w:t>
      </w:r>
    </w:p>
    <w:p>
      <w:pPr>
        <w:spacing w:after="0" w:line="23"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Fitch: BBB (Stable)</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Note: A securities rating is not a recommendation to buy, sell or hold securities and may be subject to revision or withdrawal at any time.</w:t>
      </w:r>
    </w:p>
    <w:p>
      <w:pPr>
        <w:spacing w:after="0" w:line="113" w:lineRule="exact"/>
        <w:rPr>
          <w:sz w:val="20"/>
          <w:szCs w:val="20"/>
          <w:color w:val="auto"/>
        </w:rPr>
      </w:pPr>
    </w:p>
    <w:p>
      <w:pPr>
        <w:spacing w:after="0" w:line="274" w:lineRule="auto"/>
        <w:rPr>
          <w:sz w:val="20"/>
          <w:szCs w:val="20"/>
          <w:color w:val="auto"/>
        </w:rPr>
      </w:pPr>
      <w:r>
        <w:rPr>
          <w:rFonts w:ascii="Arial" w:cs="Arial" w:eastAsia="Arial" w:hAnsi="Arial"/>
          <w:sz w:val="17"/>
          <w:szCs w:val="17"/>
          <w:b w:val="1"/>
          <w:bCs w:val="1"/>
          <w:color w:val="auto"/>
        </w:rPr>
        <w:t>The issuer has filed a registration statement (including a prospectus) and prospectus supplement with the SEC for the offering to which this communication relates. Before you invest, you should read the prospectus in that registration statement and the prospectus supplement and other documents the issuer has filed with the SEC for more complete information about the issuer and this offering. You may get these documents for free by visiting EDGAR on the SEC Web site at www.sec.gov. Alternatively, the issuer, any underwriter or any dealer participating in the offering will arrange to send you the prospectus if you request it by calling Banc of America Securities LLC toll-free at 1-800-294-1322, J.P. Morgan Securities Inc. collect at (212) 834-4533 or Greenwich Capital Markets, Inc. toll-free at 1-866-884-2071.</w:t>
      </w:r>
    </w:p>
    <w:p>
      <w:pPr>
        <w:spacing w:after="0" w:line="70"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Any disclaimers or other notices that may appear below are not applicable to this communication and should be disregarded. Such disclaimers were automatically generated as a result of this communication being sent via email or another communication system</w:t>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152" w:right="31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SCHEDULE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Representatives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Banc of America Securities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Greenwich Capital Markets, Inc.</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40" w:type="dxa"/>
            <w:vAlign w:val="bottom"/>
            <w:gridSpan w:val="3"/>
          </w:tcPr>
          <w:p>
            <w:pPr>
              <w:ind w:left="20"/>
              <w:spacing w:after="0"/>
              <w:rPr>
                <w:sz w:val="20"/>
                <w:szCs w:val="20"/>
                <w:color w:val="auto"/>
              </w:rPr>
            </w:pPr>
            <w:r>
              <w:rPr>
                <w:rFonts w:ascii="Arial" w:cs="Arial" w:eastAsia="Arial" w:hAnsi="Arial"/>
                <w:sz w:val="14"/>
                <w:szCs w:val="14"/>
                <w:b w:val="1"/>
                <w:bCs w:val="1"/>
                <w:color w:val="auto"/>
              </w:rPr>
              <w:t>Principal Amount</w:t>
            </w:r>
          </w:p>
        </w:tc>
        <w:tc>
          <w:tcPr>
            <w:tcW w:w="0" w:type="dxa"/>
            <w:vAlign w:val="bottom"/>
          </w:tcPr>
          <w:p>
            <w:pPr>
              <w:spacing w:after="0"/>
              <w:rPr>
                <w:sz w:val="1"/>
                <w:szCs w:val="1"/>
                <w:color w:val="auto"/>
              </w:rPr>
            </w:pPr>
          </w:p>
        </w:tc>
      </w:tr>
      <w:tr>
        <w:trPr>
          <w:trHeight w:val="149"/>
        </w:trPr>
        <w:tc>
          <w:tcPr>
            <w:tcW w:w="96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Underwriters</w:t>
            </w: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of Securities</w:t>
            </w:r>
          </w:p>
        </w:tc>
        <w:tc>
          <w:tcPr>
            <w:tcW w:w="0" w:type="dxa"/>
            <w:vAlign w:val="bottom"/>
          </w:tcPr>
          <w:p>
            <w:pPr>
              <w:spacing w:after="0"/>
              <w:rPr>
                <w:sz w:val="1"/>
                <w:szCs w:val="1"/>
                <w:color w:val="auto"/>
              </w:rPr>
            </w:pPr>
          </w:p>
        </w:tc>
      </w:tr>
      <w:tr>
        <w:trPr>
          <w:trHeight w:val="171"/>
        </w:trPr>
        <w:tc>
          <w:tcPr>
            <w:tcW w:w="962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12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9"/>
              </w:rPr>
              <w:t>to be Purchased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6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9600" w:type="dxa"/>
            <w:vAlign w:val="bottom"/>
            <w:shd w:val="clear" w:color="auto" w:fill="CCEEFF"/>
          </w:tcPr>
          <w:p>
            <w:pPr>
              <w:spacing w:after="0"/>
              <w:rPr>
                <w:sz w:val="20"/>
                <w:szCs w:val="20"/>
                <w:color w:val="auto"/>
              </w:rPr>
            </w:pPr>
            <w:r>
              <w:rPr>
                <w:rFonts w:ascii="Arial" w:cs="Arial" w:eastAsia="Arial" w:hAnsi="Arial"/>
                <w:sz w:val="18"/>
                <w:szCs w:val="18"/>
                <w:color w:val="auto"/>
              </w:rPr>
              <w:t>Banc of America Securities LLC.</w:t>
            </w:r>
          </w:p>
        </w:tc>
        <w:tc>
          <w:tcPr>
            <w:tcW w:w="7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160,000,000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tcPr>
          <w:p>
            <w:pPr>
              <w:spacing w:after="0"/>
              <w:rPr>
                <w:sz w:val="20"/>
                <w:szCs w:val="20"/>
                <w:color w:val="auto"/>
              </w:rPr>
            </w:pPr>
            <w:r>
              <w:rPr>
                <w:rFonts w:ascii="Arial" w:cs="Arial" w:eastAsia="Arial" w:hAnsi="Arial"/>
                <w:sz w:val="18"/>
                <w:szCs w:val="18"/>
                <w:color w:val="auto"/>
              </w:rPr>
              <w:t>J.P. Morgan Securities Inc.</w:t>
            </w:r>
          </w:p>
        </w:tc>
        <w:tc>
          <w:tcPr>
            <w:tcW w:w="70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w w:val="97"/>
              </w:rPr>
              <w:t>160,000,000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shd w:val="clear" w:color="auto" w:fill="CCEEFF"/>
          </w:tcPr>
          <w:p>
            <w:pPr>
              <w:spacing w:after="0"/>
              <w:rPr>
                <w:sz w:val="20"/>
                <w:szCs w:val="20"/>
                <w:color w:val="auto"/>
              </w:rPr>
            </w:pPr>
            <w:r>
              <w:rPr>
                <w:rFonts w:ascii="Arial" w:cs="Arial" w:eastAsia="Arial" w:hAnsi="Arial"/>
                <w:sz w:val="18"/>
                <w:szCs w:val="18"/>
                <w:color w:val="auto"/>
              </w:rPr>
              <w:t>Greenwich Capital Markets, Inc.</w:t>
            </w:r>
          </w:p>
        </w:tc>
        <w:tc>
          <w:tcPr>
            <w:tcW w:w="7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160,000,000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tcPr>
          <w:p>
            <w:pPr>
              <w:spacing w:after="0"/>
              <w:rPr>
                <w:sz w:val="20"/>
                <w:szCs w:val="20"/>
                <w:color w:val="auto"/>
              </w:rPr>
            </w:pPr>
            <w:r>
              <w:rPr>
                <w:rFonts w:ascii="Arial" w:cs="Arial" w:eastAsia="Arial" w:hAnsi="Arial"/>
                <w:sz w:val="18"/>
                <w:szCs w:val="18"/>
                <w:color w:val="auto"/>
              </w:rPr>
              <w:t>Barclays Capital Inc.</w:t>
            </w:r>
          </w:p>
        </w:tc>
        <w:tc>
          <w:tcPr>
            <w:tcW w:w="70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20,000,000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shd w:val="clear" w:color="auto" w:fill="CCEEFF"/>
          </w:tcPr>
          <w:p>
            <w:pPr>
              <w:spacing w:after="0"/>
              <w:rPr>
                <w:sz w:val="20"/>
                <w:szCs w:val="20"/>
                <w:color w:val="auto"/>
              </w:rPr>
            </w:pPr>
            <w:r>
              <w:rPr>
                <w:rFonts w:ascii="Arial" w:cs="Arial" w:eastAsia="Arial" w:hAnsi="Arial"/>
                <w:sz w:val="18"/>
                <w:szCs w:val="18"/>
                <w:color w:val="auto"/>
              </w:rPr>
              <w:t>BNP Paribas Securities Corp.</w:t>
            </w:r>
          </w:p>
        </w:tc>
        <w:tc>
          <w:tcPr>
            <w:tcW w:w="7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tcPr>
          <w:p>
            <w:pPr>
              <w:spacing w:after="0"/>
              <w:rPr>
                <w:sz w:val="20"/>
                <w:szCs w:val="20"/>
                <w:color w:val="auto"/>
              </w:rPr>
            </w:pPr>
            <w:r>
              <w:rPr>
                <w:rFonts w:ascii="Arial" w:cs="Arial" w:eastAsia="Arial" w:hAnsi="Arial"/>
                <w:sz w:val="18"/>
                <w:szCs w:val="18"/>
                <w:color w:val="auto"/>
              </w:rPr>
              <w:t>Citigroup Global Markets Inc.</w:t>
            </w:r>
          </w:p>
        </w:tc>
        <w:tc>
          <w:tcPr>
            <w:tcW w:w="70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20,000,000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shd w:val="clear" w:color="auto" w:fill="CCEEFF"/>
          </w:tcPr>
          <w:p>
            <w:pPr>
              <w:spacing w:after="0"/>
              <w:rPr>
                <w:sz w:val="20"/>
                <w:szCs w:val="20"/>
                <w:color w:val="auto"/>
              </w:rPr>
            </w:pPr>
            <w:r>
              <w:rPr>
                <w:rFonts w:ascii="Arial" w:cs="Arial" w:eastAsia="Arial" w:hAnsi="Arial"/>
                <w:sz w:val="18"/>
                <w:szCs w:val="18"/>
                <w:color w:val="auto"/>
              </w:rPr>
              <w:t>Deutsche Bank Securities Inc.</w:t>
            </w:r>
          </w:p>
        </w:tc>
        <w:tc>
          <w:tcPr>
            <w:tcW w:w="7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tcPr>
          <w:p>
            <w:pPr>
              <w:spacing w:after="0"/>
              <w:rPr>
                <w:sz w:val="20"/>
                <w:szCs w:val="20"/>
                <w:color w:val="auto"/>
              </w:rPr>
            </w:pPr>
            <w:r>
              <w:rPr>
                <w:rFonts w:ascii="Arial" w:cs="Arial" w:eastAsia="Arial" w:hAnsi="Arial"/>
                <w:sz w:val="18"/>
                <w:szCs w:val="18"/>
                <w:color w:val="auto"/>
              </w:rPr>
              <w:t>Goldman, Sachs &amp; Co.</w:t>
            </w:r>
          </w:p>
        </w:tc>
        <w:tc>
          <w:tcPr>
            <w:tcW w:w="70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20,000,000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shd w:val="clear" w:color="auto" w:fill="CCEEFF"/>
          </w:tcPr>
          <w:p>
            <w:pPr>
              <w:spacing w:after="0"/>
              <w:rPr>
                <w:sz w:val="20"/>
                <w:szCs w:val="20"/>
                <w:color w:val="auto"/>
              </w:rPr>
            </w:pPr>
            <w:r>
              <w:rPr>
                <w:rFonts w:ascii="Arial" w:cs="Arial" w:eastAsia="Arial" w:hAnsi="Arial"/>
                <w:sz w:val="18"/>
                <w:szCs w:val="18"/>
                <w:color w:val="auto"/>
              </w:rPr>
              <w:t>Scotia Capital (USA) Inc.</w:t>
            </w:r>
          </w:p>
        </w:tc>
        <w:tc>
          <w:tcPr>
            <w:tcW w:w="7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9600" w:type="dxa"/>
            <w:vAlign w:val="bottom"/>
          </w:tcPr>
          <w:p>
            <w:pPr>
              <w:ind w:left="200"/>
              <w:spacing w:after="0"/>
              <w:rPr>
                <w:sz w:val="20"/>
                <w:szCs w:val="20"/>
                <w:color w:val="auto"/>
              </w:rPr>
            </w:pPr>
            <w:r>
              <w:rPr>
                <w:rFonts w:ascii="Arial" w:cs="Arial" w:eastAsia="Arial" w:hAnsi="Arial"/>
                <w:sz w:val="18"/>
                <w:szCs w:val="18"/>
                <w:color w:val="auto"/>
              </w:rPr>
              <w:t>TOTAL</w:t>
            </w:r>
          </w:p>
        </w:tc>
        <w:tc>
          <w:tcPr>
            <w:tcW w:w="70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w w:val="97"/>
              </w:rPr>
              <w:t>600,000,000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6"/>
        </w:trPr>
        <w:tc>
          <w:tcPr>
            <w:tcW w:w="20" w:type="dxa"/>
            <w:vAlign w:val="bottom"/>
          </w:tcPr>
          <w:p>
            <w:pPr>
              <w:spacing w:after="0"/>
              <w:rPr>
                <w:sz w:val="24"/>
                <w:szCs w:val="24"/>
                <w:color w:val="auto"/>
              </w:rPr>
            </w:pPr>
          </w:p>
        </w:tc>
        <w:tc>
          <w:tcPr>
            <w:tcW w:w="960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00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39" w:name="page40"/>
    <w:bookmarkEnd w:id="39"/>
    <w:p>
      <w:pPr>
        <w:ind w:left="5060"/>
        <w:spacing w:after="0"/>
        <w:rPr>
          <w:sz w:val="20"/>
          <w:szCs w:val="20"/>
          <w:color w:val="auto"/>
        </w:rPr>
      </w:pPr>
      <w:r>
        <w:rPr>
          <w:rFonts w:ascii="Arial" w:cs="Arial" w:eastAsia="Arial" w:hAnsi="Arial"/>
          <w:sz w:val="18"/>
          <w:szCs w:val="18"/>
          <w:b w:val="1"/>
          <w:bCs w:val="1"/>
          <w:color w:val="auto"/>
        </w:rPr>
        <w:t>ANNEX A</w:t>
      </w:r>
    </w:p>
    <w:p>
      <w:pPr>
        <w:spacing w:after="0" w:line="337" w:lineRule="exact"/>
        <w:rPr>
          <w:sz w:val="20"/>
          <w:szCs w:val="20"/>
          <w:color w:val="auto"/>
        </w:rPr>
      </w:pPr>
    </w:p>
    <w:p>
      <w:pPr>
        <w:jc w:val="right"/>
        <w:ind w:right="3179"/>
        <w:spacing w:after="0"/>
        <w:rPr>
          <w:sz w:val="20"/>
          <w:szCs w:val="20"/>
          <w:color w:val="auto"/>
        </w:rPr>
      </w:pPr>
      <w:r>
        <w:rPr>
          <w:rFonts w:ascii="Arial" w:cs="Arial" w:eastAsia="Arial" w:hAnsi="Arial"/>
          <w:sz w:val="18"/>
          <w:szCs w:val="18"/>
          <w:color w:val="auto"/>
        </w:rPr>
        <w:t>FREE WRITING PROSPECTUSES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Schedule I attached to this Underwriting Agreement.</w:t>
      </w:r>
    </w:p>
    <w:p>
      <w:pPr>
        <w:sectPr>
          <w:pgSz w:w="11900" w:h="16838" w:orient="portrait"/>
          <w:cols w:equalWidth="0" w:num="1">
            <w:col w:w="9979"/>
          </w:cols>
          <w:pgMar w:left="480" w:top="959" w:right="1440"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4.2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Officers’ Certificate Delivered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301 of the Indenture dated as of September 10, 1997</w:t>
      </w:r>
    </w:p>
    <w:p>
      <w:pPr>
        <w:spacing w:after="0" w:line="103" w:lineRule="exact"/>
        <w:rPr>
          <w:sz w:val="20"/>
          <w:szCs w:val="20"/>
          <w:color w:val="auto"/>
        </w:rPr>
      </w:pPr>
    </w:p>
    <w:p>
      <w:pPr>
        <w:ind w:right="220" w:firstLine="222"/>
        <w:spacing w:after="0" w:line="277" w:lineRule="auto"/>
        <w:rPr>
          <w:sz w:val="20"/>
          <w:szCs w:val="20"/>
          <w:color w:val="auto"/>
        </w:rPr>
      </w:pPr>
      <w:r>
        <w:rPr>
          <w:rFonts w:ascii="Arial" w:cs="Arial" w:eastAsia="Arial" w:hAnsi="Arial"/>
          <w:sz w:val="18"/>
          <w:szCs w:val="18"/>
          <w:color w:val="auto"/>
        </w:rPr>
        <w:t>The undersigned, the Vice President — Finance and Treasurer, and the Corporate Secretary of Waste Management, Inc. (the “Company”), hereby certify that:</w:t>
      </w:r>
    </w:p>
    <w:p>
      <w:pPr>
        <w:spacing w:after="0" w:line="62" w:lineRule="exact"/>
        <w:rPr>
          <w:sz w:val="20"/>
          <w:szCs w:val="20"/>
          <w:color w:val="auto"/>
        </w:rPr>
      </w:pPr>
    </w:p>
    <w:p>
      <w:pPr>
        <w:ind w:right="120" w:firstLine="233"/>
        <w:spacing w:after="0" w:line="291" w:lineRule="auto"/>
        <w:tabs>
          <w:tab w:leader="none" w:pos="402"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This Certificate is delivered to The Bank of New York Trust Company, N.A. (the current successor to Texas Commerce Bank National Association), as trustee (the “Trustee”), pursuant to Sections 102 and 301 of the Indenture dated as of September 10, 1997 between the Company, formerly known as USA</w:t>
      </w:r>
    </w:p>
    <w:p>
      <w:pPr>
        <w:ind w:right="340"/>
        <w:spacing w:after="0" w:line="261" w:lineRule="auto"/>
        <w:rPr>
          <w:sz w:val="20"/>
          <w:szCs w:val="20"/>
          <w:color w:val="auto"/>
        </w:rPr>
      </w:pPr>
      <w:r>
        <w:rPr>
          <w:rFonts w:ascii="Arial" w:cs="Arial" w:eastAsia="Arial" w:hAnsi="Arial"/>
          <w:sz w:val="18"/>
          <w:szCs w:val="18"/>
          <w:color w:val="auto"/>
        </w:rPr>
        <w:t>Waste Services, Inc., and the Trustee in connection with the Company Order dated March , 2008 (the “Order”) for the authentication and delivery by the Trustee of $600,000,000 aggregate principal amount of 6.10% Notes due 2018 (“Notes”).</w:t>
      </w:r>
    </w:p>
    <w:p>
      <w:pPr>
        <w:spacing w:after="0" w:line="76" w:lineRule="exact"/>
        <w:rPr>
          <w:sz w:val="20"/>
          <w:szCs w:val="20"/>
          <w:color w:val="auto"/>
        </w:rPr>
      </w:pPr>
    </w:p>
    <w:p>
      <w:pPr>
        <w:ind w:left="400" w:hanging="167"/>
        <w:spacing w:after="0"/>
        <w:tabs>
          <w:tab w:leader="none" w:pos="4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undersigned have read Sections 102, 103, 301 and 303 of the Indenture and the definitions in the Indenture relating thereto.</w:t>
      </w:r>
    </w:p>
    <w:p>
      <w:pPr>
        <w:spacing w:after="0" w:line="117" w:lineRule="exact"/>
        <w:rPr>
          <w:rFonts w:ascii="Arial" w:cs="Arial" w:eastAsia="Arial" w:hAnsi="Arial"/>
          <w:sz w:val="18"/>
          <w:szCs w:val="18"/>
          <w:color w:val="auto"/>
        </w:rPr>
      </w:pPr>
    </w:p>
    <w:p>
      <w:pPr>
        <w:ind w:right="360" w:firstLine="233"/>
        <w:spacing w:after="0" w:line="342" w:lineRule="auto"/>
        <w:tabs>
          <w:tab w:leader="none" w:pos="402"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statements made herein are based either upon the personal knowledge of the persons making this Certificate or on information, data and reports furnished to such persons by the officers, counsel, department heads or employees of the Company who have knowledge of the facts involved.</w:t>
      </w:r>
    </w:p>
    <w:p>
      <w:pPr>
        <w:spacing w:after="0" w:line="15" w:lineRule="exact"/>
        <w:rPr>
          <w:rFonts w:ascii="Arial" w:cs="Arial" w:eastAsia="Arial" w:hAnsi="Arial"/>
          <w:sz w:val="16"/>
          <w:szCs w:val="16"/>
          <w:color w:val="auto"/>
        </w:rPr>
      </w:pPr>
    </w:p>
    <w:p>
      <w:pPr>
        <w:ind w:left="400" w:hanging="167"/>
        <w:spacing w:after="0"/>
        <w:tabs>
          <w:tab w:leader="none" w:pos="4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undersigned have examined the Order, and they have examined the covenants, conditions and provisions of the Indenture relating thereto.</w:t>
      </w:r>
    </w:p>
    <w:p>
      <w:pPr>
        <w:spacing w:after="0" w:line="128" w:lineRule="exact"/>
        <w:rPr>
          <w:rFonts w:ascii="Arial" w:cs="Arial" w:eastAsia="Arial" w:hAnsi="Arial"/>
          <w:sz w:val="17"/>
          <w:szCs w:val="17"/>
          <w:color w:val="auto"/>
        </w:rPr>
      </w:pPr>
    </w:p>
    <w:p>
      <w:pPr>
        <w:ind w:right="360" w:firstLine="233"/>
        <w:spacing w:after="0" w:line="308" w:lineRule="auto"/>
        <w:tabs>
          <w:tab w:leader="none" w:pos="405" w:val="left"/>
        </w:tabs>
        <w:numPr>
          <w:ilvl w:val="0"/>
          <w:numId w:val="40"/>
        </w:numPr>
        <w:rPr>
          <w:rFonts w:ascii="Arial" w:cs="Arial" w:eastAsia="Arial" w:hAnsi="Arial"/>
          <w:sz w:val="17"/>
          <w:szCs w:val="17"/>
          <w:color w:val="auto"/>
        </w:rPr>
      </w:pPr>
      <w:r>
        <w:rPr>
          <w:rFonts w:ascii="Arial" w:cs="Arial" w:eastAsia="Arial" w:hAnsi="Arial"/>
          <w:sz w:val="17"/>
          <w:szCs w:val="17"/>
          <w:color w:val="auto"/>
        </w:rPr>
        <w:t>In the opinion of the persons making this Certificate, they have made such examination or investigation as is necessary to enable them to express an informed opinion as to whether or not all conditions provided for in the Indenture with respect to the Order have been complied with.</w:t>
      </w:r>
    </w:p>
    <w:p>
      <w:pPr>
        <w:spacing w:after="0" w:line="38" w:lineRule="exact"/>
        <w:rPr>
          <w:rFonts w:ascii="Arial" w:cs="Arial" w:eastAsia="Arial" w:hAnsi="Arial"/>
          <w:sz w:val="17"/>
          <w:szCs w:val="17"/>
          <w:color w:val="auto"/>
        </w:rPr>
      </w:pPr>
    </w:p>
    <w:p>
      <w:pPr>
        <w:ind w:right="120" w:firstLine="233"/>
        <w:spacing w:after="0" w:line="277" w:lineRule="auto"/>
        <w:tabs>
          <w:tab w:leader="none" w:pos="395" w:val="left"/>
        </w:tabs>
        <w:numPr>
          <w:ilvl w:val="0"/>
          <w:numId w:val="40"/>
        </w:numPr>
        <w:rPr>
          <w:rFonts w:ascii="Arial" w:cs="Arial" w:eastAsia="Arial" w:hAnsi="Arial"/>
          <w:sz w:val="18"/>
          <w:szCs w:val="18"/>
          <w:color w:val="auto"/>
        </w:rPr>
      </w:pPr>
      <w:r>
        <w:rPr>
          <w:rFonts w:ascii="Arial" w:cs="Arial" w:eastAsia="Arial" w:hAnsi="Arial"/>
          <w:sz w:val="18"/>
          <w:szCs w:val="18"/>
          <w:color w:val="auto"/>
        </w:rPr>
        <w:t>All conditions precedent provided in the Indenture to the authentication by the Trustee of $600,000,000 aggregate principal amount of Notes have been complied with, and such Notes may be delivered in accordance with the Order as provided in the Indenture.</w:t>
      </w:r>
    </w:p>
    <w:p>
      <w:pPr>
        <w:spacing w:after="0" w:line="62" w:lineRule="exact"/>
        <w:rPr>
          <w:rFonts w:ascii="Arial" w:cs="Arial" w:eastAsia="Arial" w:hAnsi="Arial"/>
          <w:sz w:val="18"/>
          <w:szCs w:val="18"/>
          <w:color w:val="auto"/>
        </w:rPr>
      </w:pPr>
    </w:p>
    <w:p>
      <w:pPr>
        <w:jc w:val="both"/>
        <w:ind w:firstLine="233"/>
        <w:spacing w:after="0" w:line="264" w:lineRule="auto"/>
        <w:tabs>
          <w:tab w:leader="none" w:pos="402"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terms of the Notes (including the Form of Note) as set forth in Annex A to this Officers’ Certificate have been approved by officers of the Company as duly authorized by resolutions of the Board of Directors of the Company as of August 25, 2006 and such resolutions, copies of which are attached hereto as Annex B, are in full force and effect as of the date hereof.</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2" w:right="239" w:bottom="1440" w:gutter="0" w:footer="0" w:header="0"/>
        </w:sectPr>
      </w:pPr>
    </w:p>
    <w:bookmarkStart w:id="41" w:name="page42"/>
    <w:bookmarkEnd w:id="41"/>
    <w:p>
      <w:pPr>
        <w:spacing w:after="0"/>
        <w:rPr>
          <w:sz w:val="20"/>
          <w:szCs w:val="20"/>
          <w:color w:val="auto"/>
        </w:rPr>
      </w:pPr>
      <w:r>
        <w:rPr>
          <w:rFonts w:ascii="Arial" w:cs="Arial" w:eastAsia="Arial" w:hAnsi="Arial"/>
          <w:sz w:val="17"/>
          <w:szCs w:val="17"/>
          <w:color w:val="auto"/>
        </w:rPr>
        <w:t>IN WITNESS WHEREOF, the undersigned has hereunto executed this Certificate as of March  , 2008.</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Cherie C. 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3334385</wp:posOffset>
            </wp:positionH>
            <wp:positionV relativeFrom="paragraph">
              <wp:posOffset>-130175</wp:posOffset>
            </wp:positionV>
            <wp:extent cx="268414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5260"/>
        <w:spacing w:after="0"/>
        <w:rPr>
          <w:sz w:val="20"/>
          <w:szCs w:val="20"/>
          <w:color w:val="auto"/>
        </w:rPr>
      </w:pPr>
      <w:r>
        <w:rPr>
          <w:rFonts w:ascii="Arial" w:cs="Arial" w:eastAsia="Arial" w:hAnsi="Arial"/>
          <w:sz w:val="15"/>
          <w:szCs w:val="15"/>
          <w:color w:val="auto"/>
        </w:rPr>
        <w:t>Vice President - Finance and Treasurer</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Linda J.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3334385</wp:posOffset>
            </wp:positionH>
            <wp:positionV relativeFrom="paragraph">
              <wp:posOffset>-130175</wp:posOffset>
            </wp:positionV>
            <wp:extent cx="268414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Corporate Secretary</w:t>
      </w:r>
    </w:p>
    <w:p>
      <w:pPr>
        <w:spacing w:after="0" w:line="184"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79"/>
          </w:cols>
          <w:pgMar w:left="480" w:top="935" w:right="1440" w:bottom="1440" w:gutter="0" w:footer="0" w:header="0"/>
        </w:sectPr>
      </w:pPr>
    </w:p>
    <w:bookmarkStart w:id="42" w:name="page43"/>
    <w:bookmarkEnd w:id="42"/>
    <w:p>
      <w:pPr>
        <w:spacing w:after="0"/>
        <w:rPr>
          <w:sz w:val="20"/>
          <w:szCs w:val="20"/>
          <w:color w:val="auto"/>
        </w:rPr>
      </w:pPr>
      <w:r>
        <w:rPr>
          <w:rFonts w:ascii="Arial" w:cs="Arial" w:eastAsia="Arial" w:hAnsi="Arial"/>
          <w:sz w:val="18"/>
          <w:szCs w:val="18"/>
          <w:i w:val="1"/>
          <w:iCs w:val="1"/>
          <w:color w:val="auto"/>
        </w:rPr>
        <w:t>Annex A</w:t>
      </w: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Terms of the Notes</w:t>
      </w:r>
    </w:p>
    <w:p>
      <w:pPr>
        <w:spacing w:after="0" w:line="121" w:lineRule="exact"/>
        <w:rPr>
          <w:sz w:val="20"/>
          <w:szCs w:val="20"/>
          <w:color w:val="auto"/>
        </w:rPr>
      </w:pPr>
    </w:p>
    <w:p>
      <w:pPr>
        <w:ind w:firstLine="225"/>
        <w:spacing w:after="0" w:line="297" w:lineRule="auto"/>
        <w:rPr>
          <w:sz w:val="20"/>
          <w:szCs w:val="20"/>
          <w:color w:val="auto"/>
        </w:rPr>
      </w:pPr>
      <w:r>
        <w:rPr>
          <w:rFonts w:ascii="Arial" w:cs="Arial" w:eastAsia="Arial" w:hAnsi="Arial"/>
          <w:sz w:val="16"/>
          <w:szCs w:val="16"/>
          <w:color w:val="auto"/>
        </w:rPr>
        <w:t>Pursuant to authority granted by the Board of Directors of the Company on August 25, 2006 and the Sole Director of Waste Management Holdings, Inc. on February 22, 2008, the Company has approved the establishment, issuance, execution and delivery of a new series of Securities (as defined in the Indenture) to be issued under the Indenture dated as of September 10, 1997 (the “Indenture”), between the Company, formerly known as USA Waste Services, Inc., and The Bank of New York Trust Company, N.A. (the current successor to Texas Commerce Bank National Association), as trustee (the “Trustee”), the terms of which are set forth below. Capitalized terms used but not defined herein are used herein as defined in the Indenture.</w:t>
      </w:r>
    </w:p>
    <w:p>
      <w:pPr>
        <w:spacing w:after="0" w:line="50" w:lineRule="exact"/>
        <w:rPr>
          <w:sz w:val="20"/>
          <w:szCs w:val="20"/>
          <w:color w:val="auto"/>
        </w:rPr>
      </w:pPr>
    </w:p>
    <w:p>
      <w:pPr>
        <w:ind w:left="460" w:hanging="452"/>
        <w:spacing w:after="0"/>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title of the series of Securities shall be “6.10% Senior Notes due 2018” (the “Notes”).</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Notes shall be general unsecured, senior obligations of the Company.</w:t>
      </w:r>
    </w:p>
    <w:p>
      <w:pPr>
        <w:spacing w:after="0" w:line="130" w:lineRule="exact"/>
        <w:rPr>
          <w:rFonts w:ascii="Arial" w:cs="Arial" w:eastAsia="Arial" w:hAnsi="Arial"/>
          <w:sz w:val="18"/>
          <w:szCs w:val="18"/>
          <w:color w:val="auto"/>
        </w:rPr>
      </w:pPr>
    </w:p>
    <w:p>
      <w:pPr>
        <w:ind w:left="460" w:right="180" w:hanging="452"/>
        <w:spacing w:after="0" w:line="279" w:lineRule="auto"/>
        <w:tabs>
          <w:tab w:leader="none" w:pos="4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initial aggregate principal amount of the Notes that may be authenticated and delivered under the Indenture shall be $600,000,000 (except for Notes authenticated and delivered upon registration of transfer of, or in exchange for, or in lieu of, other Notes pursuant to Section 304, 305, 306, 907 or 1107 of the Indenture); provided, however, that the authorized aggregate principal amount of such series may be increased before or after the issuance of any Notes of such series by a Board Resolution (or action pursuant to a Board Resolution) to such effect.</w:t>
      </w:r>
    </w:p>
    <w:p>
      <w:pPr>
        <w:spacing w:after="0" w:line="76" w:lineRule="exact"/>
        <w:rPr>
          <w:rFonts w:ascii="Arial" w:cs="Arial" w:eastAsia="Arial" w:hAnsi="Arial"/>
          <w:sz w:val="17"/>
          <w:szCs w:val="17"/>
          <w:color w:val="auto"/>
        </w:rPr>
      </w:pPr>
    </w:p>
    <w:p>
      <w:pPr>
        <w:ind w:left="460" w:hanging="452"/>
        <w:spacing w:after="0"/>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principal amount of each Note shall be payable on March 15, 2018.</w:t>
      </w:r>
    </w:p>
    <w:p>
      <w:pPr>
        <w:spacing w:after="0" w:line="130" w:lineRule="exact"/>
        <w:rPr>
          <w:rFonts w:ascii="Arial" w:cs="Arial" w:eastAsia="Arial" w:hAnsi="Arial"/>
          <w:sz w:val="18"/>
          <w:szCs w:val="18"/>
          <w:color w:val="auto"/>
        </w:rPr>
      </w:pPr>
    </w:p>
    <w:p>
      <w:pPr>
        <w:ind w:left="460" w:right="80" w:hanging="452"/>
        <w:spacing w:after="0" w:line="302" w:lineRule="auto"/>
        <w:tabs>
          <w:tab w:leader="none" w:pos="4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Each Note shall bear interest from March 6, 2008 at the fixed rate of 6.10% per annum; the Interest Payment Dates on which such interest shall be payable shall be March 15 and September 15, of each year, commencing September 15, 2008, until maturity unless such date falls on a day that is not a Business Day, in which case, such payment shall be made on the next day that is a Business Day. The Regular Record Date for the determination of Holders to whom interest is payable shall be March 1 or September 1, respectively, immediately preceding such date, as the case may be.</w:t>
      </w:r>
    </w:p>
    <w:p>
      <w:pPr>
        <w:spacing w:after="0" w:line="59" w:lineRule="exact"/>
        <w:rPr>
          <w:rFonts w:ascii="Arial" w:cs="Arial" w:eastAsia="Arial" w:hAnsi="Arial"/>
          <w:sz w:val="16"/>
          <w:szCs w:val="16"/>
          <w:color w:val="auto"/>
        </w:rPr>
      </w:pPr>
    </w:p>
    <w:p>
      <w:pPr>
        <w:ind w:left="460" w:right="20" w:hanging="452"/>
        <w:spacing w:after="0" w:line="264" w:lineRule="auto"/>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If a “Change of Control Triggering Event” (as defined in the Notes) occurs, each Holder of the Notes may require us to purchase all or a portion of such Holder’s Notes at a price equal to 101% of the principal amount, plus accrued interest, if any, to the date of purchase, on the terms and subject to the conditions set forth in the Notes.</w:t>
      </w:r>
    </w:p>
    <w:p>
      <w:pPr>
        <w:spacing w:after="0" w:line="86" w:lineRule="exact"/>
        <w:rPr>
          <w:rFonts w:ascii="Arial" w:cs="Arial" w:eastAsia="Arial" w:hAnsi="Arial"/>
          <w:sz w:val="18"/>
          <w:szCs w:val="18"/>
          <w:color w:val="auto"/>
        </w:rPr>
      </w:pPr>
    </w:p>
    <w:p>
      <w:pPr>
        <w:ind w:left="460" w:right="240" w:hanging="452"/>
        <w:spacing w:after="0" w:line="259" w:lineRule="auto"/>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Notes are to be issued as Registered Securities only. Each Note is to be issued as a book-entry note (“Book-Entry Note”) but in certain circumstances may be represented by Notes in definitive form. The Book-Entry Notes shall be issued, in whole or in part, in the form of one or more Notes in global form as contemplated by Section 203 of the Indenture. The Depositary with respect to the Book-Entry Notes shall be The Depository Trust Company, New York, New York.</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60" w:right="239" w:bottom="1440" w:gutter="0" w:footer="0" w:header="0"/>
        </w:sectPr>
      </w:pPr>
    </w:p>
    <w:bookmarkStart w:id="43" w:name="page44"/>
    <w:bookmarkEnd w:id="43"/>
    <w:p>
      <w:pPr>
        <w:ind w:left="452" w:right="120" w:hanging="452"/>
        <w:spacing w:after="0" w:line="259" w:lineRule="auto"/>
        <w:tabs>
          <w:tab w:leader="none" w:pos="452" w:val="left"/>
        </w:tabs>
        <w:numPr>
          <w:ilvl w:val="0"/>
          <w:numId w:val="42"/>
        </w:numPr>
        <w:rPr>
          <w:rFonts w:ascii="Arial" w:cs="Arial" w:eastAsia="Arial" w:hAnsi="Arial"/>
          <w:sz w:val="18"/>
          <w:szCs w:val="18"/>
          <w:color w:val="auto"/>
        </w:rPr>
      </w:pPr>
      <w:r>
        <w:rPr>
          <w:rFonts w:ascii="Arial" w:cs="Arial" w:eastAsia="Arial" w:hAnsi="Arial"/>
          <w:sz w:val="18"/>
          <w:szCs w:val="18"/>
          <w:color w:val="auto"/>
        </w:rPr>
        <w:t>Payments of principal of, premium, if any, and interest due on the Notes representing Book-Entry Notes on any Interest Payment Date or at maturity will be made available to the Trustee by 11:00 a.m., New York City time, on such date, unless such date falls on a day which is not a Business Day, in which case such payments will be made available to the Trustee by 11:00 a.m., New York City time, on the next Business Day. As soon as possible thereafter, the Trustee will make such payments to the Depositary.</w:t>
      </w:r>
    </w:p>
    <w:p>
      <w:pPr>
        <w:spacing w:after="0" w:line="92" w:lineRule="exact"/>
        <w:rPr>
          <w:rFonts w:ascii="Arial" w:cs="Arial" w:eastAsia="Arial" w:hAnsi="Arial"/>
          <w:sz w:val="18"/>
          <w:szCs w:val="18"/>
          <w:color w:val="auto"/>
        </w:rPr>
      </w:pPr>
    </w:p>
    <w:p>
      <w:pPr>
        <w:ind w:left="452" w:hanging="452"/>
        <w:spacing w:after="0" w:line="297" w:lineRule="auto"/>
        <w:tabs>
          <w:tab w:leader="none" w:pos="452"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Notes will be redeemable, at the option of the Company, at any time in whole, or from time to time in part, at a Redemption Price equal to the greater of (i) 100% of the principal amount of the Notes to be redeemed or (ii) the sum of the present value of the remaining scheduled payments of principal and interest (at the rate in effect on the date of calculation of the Redemption Price) thereon (exclusive of interest accrued to the Redemption Date (as defined in the Note)) discounted to the Redemption Date on a semiannual basis (assuming a 360 day year consisting of twelve 30-day months) at the applicable Treasury Yield (as defined in the Notes) plus 40 basis points; plus, in either case, accrued interest to the Redemption Date.</w:t>
      </w:r>
    </w:p>
    <w:p>
      <w:pPr>
        <w:spacing w:after="0" w:line="63" w:lineRule="exact"/>
        <w:rPr>
          <w:rFonts w:ascii="Arial" w:cs="Arial" w:eastAsia="Arial" w:hAnsi="Arial"/>
          <w:sz w:val="16"/>
          <w:szCs w:val="16"/>
          <w:color w:val="auto"/>
        </w:rPr>
      </w:pPr>
    </w:p>
    <w:p>
      <w:pPr>
        <w:ind w:left="452" w:right="460" w:hanging="452"/>
        <w:spacing w:after="0" w:line="277" w:lineRule="auto"/>
        <w:tabs>
          <w:tab w:leader="none" w:pos="452"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Company shall have no obligation to redeem, purchase or repay the Notes pursuant to any mandatory redemption, sinking fund or analogous provisions or at the option of a Holder thereof.</w:t>
      </w:r>
    </w:p>
    <w:p>
      <w:pPr>
        <w:spacing w:after="0" w:line="75" w:lineRule="exact"/>
        <w:rPr>
          <w:rFonts w:ascii="Arial" w:cs="Arial" w:eastAsia="Arial" w:hAnsi="Arial"/>
          <w:sz w:val="18"/>
          <w:szCs w:val="18"/>
          <w:color w:val="auto"/>
        </w:rPr>
      </w:pPr>
    </w:p>
    <w:p>
      <w:pPr>
        <w:ind w:left="452" w:right="920" w:hanging="452"/>
        <w:spacing w:after="0" w:line="277" w:lineRule="auto"/>
        <w:tabs>
          <w:tab w:leader="none" w:pos="452"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Notes will be subject to defeasance and discharge as contemplated by Section 1302 of the Indenture and to covenant defeasance under Section 1303 of the Indenture.</w:t>
      </w:r>
    </w:p>
    <w:p>
      <w:pPr>
        <w:spacing w:after="0" w:line="75" w:lineRule="exact"/>
        <w:rPr>
          <w:rFonts w:ascii="Arial" w:cs="Arial" w:eastAsia="Arial" w:hAnsi="Arial"/>
          <w:sz w:val="18"/>
          <w:szCs w:val="18"/>
          <w:color w:val="auto"/>
        </w:rPr>
      </w:pPr>
    </w:p>
    <w:p>
      <w:pPr>
        <w:ind w:left="452" w:hanging="452"/>
        <w:spacing w:after="0"/>
        <w:tabs>
          <w:tab w:leader="none" w:pos="452"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Notes shall be entitled to the benefit of the covenants contained in Sections 1008 and 1009 of the Indenture.</w:t>
      </w:r>
    </w:p>
    <w:p>
      <w:pPr>
        <w:spacing w:after="0" w:line="130" w:lineRule="exact"/>
        <w:rPr>
          <w:rFonts w:ascii="Arial" w:cs="Arial" w:eastAsia="Arial" w:hAnsi="Arial"/>
          <w:sz w:val="18"/>
          <w:szCs w:val="18"/>
          <w:color w:val="auto"/>
        </w:rPr>
      </w:pPr>
    </w:p>
    <w:p>
      <w:pPr>
        <w:ind w:left="452" w:hanging="452"/>
        <w:spacing w:after="0"/>
        <w:tabs>
          <w:tab w:leader="none" w:pos="452"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Trustee shall serve initially as Security Registrar for the Notes.</w:t>
      </w:r>
    </w:p>
    <w:p>
      <w:pPr>
        <w:spacing w:after="0" w:line="130" w:lineRule="exact"/>
        <w:rPr>
          <w:rFonts w:ascii="Arial" w:cs="Arial" w:eastAsia="Arial" w:hAnsi="Arial"/>
          <w:sz w:val="18"/>
          <w:szCs w:val="18"/>
          <w:color w:val="auto"/>
        </w:rPr>
      </w:pPr>
    </w:p>
    <w:p>
      <w:pPr>
        <w:ind w:left="452" w:hanging="452"/>
        <w:spacing w:after="0"/>
        <w:tabs>
          <w:tab w:leader="none" w:pos="452"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Notes shall be substantially in the form of Exhibit A hereto.</w:t>
      </w:r>
    </w:p>
    <w:p>
      <w:pPr>
        <w:spacing w:after="0" w:line="130" w:lineRule="exact"/>
        <w:rPr>
          <w:rFonts w:ascii="Arial" w:cs="Arial" w:eastAsia="Arial" w:hAnsi="Arial"/>
          <w:sz w:val="18"/>
          <w:szCs w:val="18"/>
          <w:color w:val="auto"/>
        </w:rPr>
      </w:pPr>
    </w:p>
    <w:p>
      <w:pPr>
        <w:ind w:left="452" w:right="180" w:hanging="452"/>
        <w:spacing w:after="0" w:line="302" w:lineRule="auto"/>
        <w:tabs>
          <w:tab w:leader="none" w:pos="452"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Notes will be fully and unconditionally guaranteed on a senior basis by the Company’s wholly-owned subsidiary, Waste Management Holdings, Inc., pursuant to the terms and conditions of a Guarantee Agreement dated March 6, 2008 (the “Guarantee”). The amount of the Guarantee will be limited to the extent required under applicable fraudulent conveyance laws to cause the Guarantee to be enforceable. The terms and conditions of the Guarantee shall continue in full force and effect for the benefit of holders of the Notes until release thereof as set forth in Section 6 of the Guarantee.</w:t>
      </w:r>
    </w:p>
    <w:p>
      <w:pPr>
        <w:spacing w:after="0" w:line="127"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149860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52"/>
          </w:cols>
          <w:pgMar w:left="248" w:top="936" w:right="29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i w:val="1"/>
          <w:iCs w:val="1"/>
          <w:color w:val="auto"/>
        </w:rPr>
        <w:t>Exhibit 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Form of Note</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BOOK-ENTRY SECURITY</w:t>
      </w:r>
    </w:p>
    <w:p>
      <w:pPr>
        <w:spacing w:after="0" w:line="117" w:lineRule="exact"/>
        <w:rPr>
          <w:sz w:val="20"/>
          <w:szCs w:val="20"/>
          <w:color w:val="auto"/>
        </w:rPr>
      </w:pPr>
    </w:p>
    <w:p>
      <w:pPr>
        <w:ind w:right="260" w:firstLine="222"/>
        <w:spacing w:after="0" w:line="273" w:lineRule="auto"/>
        <w:rPr>
          <w:sz w:val="20"/>
          <w:szCs w:val="20"/>
          <w:color w:val="auto"/>
        </w:rPr>
      </w:pPr>
      <w:r>
        <w:rPr>
          <w:rFonts w:ascii="Arial" w:cs="Arial" w:eastAsia="Arial" w:hAnsi="Arial"/>
          <w:sz w:val="17"/>
          <w:szCs w:val="17"/>
          <w:color w:val="auto"/>
        </w:rPr>
        <w:t>THIS SECURITY IS A BOOK-ENTRY SECURITY WITHIN THE MEANING OF THE INDENTURE HEREINAFTER REFERRED TO AND IS REGISTERED IN THE NAME OF A DEPOSITORY OR A NOMINEE OF A DEPOSITORY. THIS SECURITY IS EXCHANGEABLE FOR SECURITIES REGISTERED IN THE NAME OF A PERSON OTHER THAN THE DEPOSITORY OR ITS NOMINEE ONLY IN THE LIMITED CIRCUMSTANCES DESCRIBED IN THE INDENTURE, AND NO TRANSFER OF THIS SECURITY (OTHER THAN A TRANSFER OF THIS SECURITY AS A WHOLE BY THE DEPOSITORY TO A NOMINEE OF THE DEPOSITORY OR BY A NOMINEE OF THE DEPOSITORY TO THE DEPOSITORY OR ANOTHER NOMINEE OF THE DEPOSITORY) MAY BE REGISTERED EXCEPT IN SUCH LIMITED CIRCUMSTANCES.</w:t>
      </w:r>
    </w:p>
    <w:p>
      <w:pPr>
        <w:spacing w:after="0" w:line="70" w:lineRule="exact"/>
        <w:rPr>
          <w:sz w:val="20"/>
          <w:szCs w:val="20"/>
          <w:color w:val="auto"/>
        </w:rPr>
      </w:pPr>
    </w:p>
    <w:p>
      <w:pPr>
        <w:ind w:right="60" w:firstLine="225"/>
        <w:spacing w:after="0" w:line="255" w:lineRule="auto"/>
        <w:rPr>
          <w:sz w:val="20"/>
          <w:szCs w:val="20"/>
          <w:color w:val="auto"/>
        </w:rPr>
      </w:pPr>
      <w:r>
        <w:rPr>
          <w:rFonts w:ascii="Arial" w:cs="Arial" w:eastAsia="Arial" w:hAnsi="Arial"/>
          <w:sz w:val="18"/>
          <w:szCs w:val="18"/>
          <w:color w:val="auto"/>
        </w:rPr>
        <w:t>UNLESS THIS CERTIFICATE IS PRESENTED BY AN AUTHORIZED REPRESENTATIVE OF THE DEPOSITORY TRUST COMPANY, A NEW YORK CORPORATION (“DTC”), TO THE COMPANY (AS DEFINED BELOW) OR ITS AGENT FOR REGISTRATION FOR TRANSFER, EXCHANGE OR PAYMENT, AND ANY CERTIFICATE ISSUED IS REGISTERED IN THE NAME OF CEDE &amp; CO. OR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ectPr>
          <w:pgSz w:w="11900" w:h="16838" w:orient="portrait"/>
          <w:cols w:equalWidth="0" w:num="1">
            <w:col w:w="11420"/>
          </w:cols>
          <w:pgMar w:left="240" w:top="935" w:right="239" w:bottom="1440" w:gutter="0" w:footer="0" w:header="0"/>
        </w:sectPr>
      </w:pP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RGN-</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Principal Amount</w:t>
      </w:r>
    </w:p>
    <w:p>
      <w:pPr>
        <w:spacing w:after="0" w:line="211" w:lineRule="exact"/>
        <w:rPr>
          <w:sz w:val="20"/>
          <w:szCs w:val="20"/>
          <w:color w:val="auto"/>
        </w:rPr>
      </w:pPr>
    </w:p>
    <w:p>
      <w:pPr>
        <w:sectPr>
          <w:pgSz w:w="11900" w:h="16838" w:orient="portrait"/>
          <w:cols w:equalWidth="0" w:num="2">
            <w:col w:w="9420" w:space="720"/>
            <w:col w:w="1280"/>
          </w:cols>
          <w:pgMar w:left="240" w:top="935" w:right="239" w:bottom="1440" w:gutter="0" w:footer="0" w:header="0"/>
          <w:type w:val="continuous"/>
        </w:sectPr>
      </w:pPr>
    </w:p>
    <w:p>
      <w:pPr>
        <w:spacing w:after="0" w:line="37" w:lineRule="exact"/>
        <w:rPr>
          <w:sz w:val="20"/>
          <w:szCs w:val="20"/>
          <w:color w:val="auto"/>
        </w:rPr>
      </w:pPr>
    </w:p>
    <w:p>
      <w:pPr>
        <w:ind w:left="10120"/>
        <w:spacing w:after="0"/>
        <w:tabs>
          <w:tab w:leader="none" w:pos="11360" w:val="left"/>
        </w:tabs>
        <w:rPr>
          <w:sz w:val="20"/>
          <w:szCs w:val="20"/>
          <w:color w:val="auto"/>
        </w:rPr>
      </w:pPr>
      <w:r>
        <w:rPr>
          <w:rFonts w:ascii="Arial" w:cs="Arial" w:eastAsia="Arial" w:hAnsi="Arial"/>
          <w:sz w:val="18"/>
          <w:szCs w:val="18"/>
          <w:color w:val="auto"/>
        </w:rPr>
        <w:t>U.S. $</w:t>
      </w:r>
      <w:r>
        <w:rPr>
          <w:sz w:val="20"/>
          <w:szCs w:val="20"/>
          <w:color w:val="auto"/>
        </w:rPr>
        <w:tab/>
      </w:r>
      <w:r>
        <w:rPr>
          <w:rFonts w:ascii="Arial" w:cs="Arial" w:eastAsia="Arial" w:hAnsi="Arial"/>
          <w:sz w:val="14"/>
          <w:szCs w:val="14"/>
          <w:color w:val="auto"/>
        </w:rPr>
        <w:t>,</w:t>
      </w:r>
    </w:p>
    <w:p>
      <w:pPr>
        <w:sectPr>
          <w:pgSz w:w="11900" w:h="16838" w:orient="portrait"/>
          <w:cols w:equalWidth="0" w:num="1">
            <w:col w:w="11420"/>
          </w:cols>
          <w:pgMar w:left="240" w:top="935" w:right="239" w:bottom="1440" w:gutter="0" w:footer="0" w:header="0"/>
          <w:type w:val="continuous"/>
        </w:sectPr>
      </w:pP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which may be decreased</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by the Schedule of</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Exchanges of Definitive</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Security attached hereto</w:t>
      </w:r>
    </w:p>
    <w:p>
      <w:pPr>
        <w:spacing w:after="0" w:line="10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WASTE MANAGEMENT, INC.</w:t>
      </w:r>
    </w:p>
    <w:p>
      <w:pPr>
        <w:spacing w:after="0" w:line="11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6.10% SENIOR NOTES DUE 2018</w:t>
      </w:r>
    </w:p>
    <w:p>
      <w:pPr>
        <w:spacing w:after="0" w:line="225" w:lineRule="exact"/>
        <w:rPr>
          <w:sz w:val="20"/>
          <w:szCs w:val="20"/>
          <w:color w:val="auto"/>
        </w:rPr>
      </w:pPr>
    </w:p>
    <w:p>
      <w:pPr>
        <w:ind w:left="10060"/>
        <w:spacing w:after="0"/>
        <w:rPr>
          <w:sz w:val="20"/>
          <w:szCs w:val="20"/>
          <w:color w:val="auto"/>
        </w:rPr>
      </w:pPr>
      <w:r>
        <w:rPr>
          <w:rFonts w:ascii="Arial" w:cs="Arial" w:eastAsia="Arial" w:hAnsi="Arial"/>
          <w:sz w:val="18"/>
          <w:szCs w:val="18"/>
          <w:color w:val="auto"/>
        </w:rPr>
        <w:t>CUSIP</w:t>
      </w:r>
    </w:p>
    <w:p>
      <w:pPr>
        <w:spacing w:after="0" w:line="117" w:lineRule="exact"/>
        <w:rPr>
          <w:sz w:val="20"/>
          <w:szCs w:val="20"/>
          <w:color w:val="auto"/>
        </w:rPr>
      </w:pPr>
    </w:p>
    <w:p>
      <w:pPr>
        <w:ind w:right="260" w:firstLine="222"/>
        <w:spacing w:after="0" w:line="291" w:lineRule="auto"/>
        <w:rPr>
          <w:sz w:val="20"/>
          <w:szCs w:val="20"/>
          <w:color w:val="auto"/>
        </w:rPr>
      </w:pPr>
      <w:r>
        <w:rPr>
          <w:rFonts w:ascii="Arial" w:cs="Arial" w:eastAsia="Arial" w:hAnsi="Arial"/>
          <w:sz w:val="16"/>
          <w:szCs w:val="16"/>
          <w:color w:val="auto"/>
        </w:rPr>
        <w:t>WASTE MANAGEMENT, INC., a Delaware corporation (the “Company,” which term includes any successors under the Indenture hereinafter referred to), for value received, hereby promises to pay to CEDE &amp; CO. or registered assigns, at the office or agency of the Company, the principal sum of</w:t>
      </w:r>
    </w:p>
    <w:p>
      <w:pPr>
        <w:ind w:right="40"/>
        <w:spacing w:after="0" w:line="254" w:lineRule="auto"/>
        <w:rPr>
          <w:sz w:val="20"/>
          <w:szCs w:val="20"/>
          <w:color w:val="auto"/>
        </w:rPr>
      </w:pPr>
      <w:r>
        <w:rPr>
          <w:rFonts w:ascii="Arial" w:cs="Arial" w:eastAsia="Arial" w:hAnsi="Arial"/>
          <w:sz w:val="18"/>
          <w:szCs w:val="18"/>
          <w:color w:val="auto"/>
        </w:rPr>
        <w:t>($ ) U.S. dollars, or such lesser principal sum as is shown on the attached Schedule of Exchanges of Definitive Security, on March 15, 2018 in such coin or currency of the United States of America as at the time of payment shall be legal tender for the payment of public and private debts, and to pay interest at an annual rate of 6.10% payable on March 15 and September 15 of each year, to the person in whose name this Security is registered at the close of business on the record date for such interest, which shall be</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type w:val="continuous"/>
        </w:sectPr>
      </w:pPr>
    </w:p>
    <w:bookmarkStart w:id="45" w:name="page46"/>
    <w:bookmarkEnd w:id="45"/>
    <w:p>
      <w:pPr>
        <w:ind w:right="300"/>
        <w:spacing w:after="0" w:line="277" w:lineRule="auto"/>
        <w:rPr>
          <w:sz w:val="20"/>
          <w:szCs w:val="20"/>
          <w:color w:val="auto"/>
        </w:rPr>
      </w:pPr>
      <w:r>
        <w:rPr>
          <w:rFonts w:ascii="Arial" w:cs="Arial" w:eastAsia="Arial" w:hAnsi="Arial"/>
          <w:sz w:val="18"/>
          <w:szCs w:val="18"/>
          <w:color w:val="auto"/>
        </w:rPr>
        <w:t>the preceding March 1 or September 1, respectively, payable commencing September 15, 2008, with interest consisting of interest accrued from March , 2008.</w:t>
      </w:r>
    </w:p>
    <w:p>
      <w:pPr>
        <w:spacing w:after="0" w:line="62" w:lineRule="exact"/>
        <w:rPr>
          <w:sz w:val="20"/>
          <w:szCs w:val="20"/>
          <w:color w:val="auto"/>
        </w:rPr>
      </w:pPr>
    </w:p>
    <w:p>
      <w:pPr>
        <w:ind w:right="280" w:firstLine="225"/>
        <w:spacing w:after="0" w:line="277" w:lineRule="auto"/>
        <w:rPr>
          <w:sz w:val="20"/>
          <w:szCs w:val="20"/>
          <w:color w:val="auto"/>
        </w:rPr>
      </w:pPr>
      <w:r>
        <w:rPr>
          <w:rFonts w:ascii="Arial" w:cs="Arial" w:eastAsia="Arial" w:hAnsi="Arial"/>
          <w:sz w:val="18"/>
          <w:szCs w:val="18"/>
          <w:color w:val="auto"/>
        </w:rPr>
        <w:t>Reference is made to the further provisions of this Security set forth on the reverse hereof. Such further provisions shall for all purposes have the same effect as though fully set forth at this place.</w:t>
      </w:r>
    </w:p>
    <w:p>
      <w:pPr>
        <w:spacing w:after="0" w:line="62" w:lineRule="exact"/>
        <w:rPr>
          <w:sz w:val="20"/>
          <w:szCs w:val="20"/>
          <w:color w:val="auto"/>
        </w:rPr>
      </w:pPr>
    </w:p>
    <w:p>
      <w:pPr>
        <w:ind w:right="100" w:firstLine="222"/>
        <w:spacing w:after="0" w:line="277" w:lineRule="auto"/>
        <w:rPr>
          <w:sz w:val="20"/>
          <w:szCs w:val="20"/>
          <w:color w:val="auto"/>
        </w:rPr>
      </w:pPr>
      <w:r>
        <w:rPr>
          <w:rFonts w:ascii="Arial" w:cs="Arial" w:eastAsia="Arial" w:hAnsi="Arial"/>
          <w:sz w:val="18"/>
          <w:szCs w:val="18"/>
          <w:color w:val="auto"/>
        </w:rPr>
        <w:t>The statements in the legends set forth above are an integral part of the terms of this Security and by acceptance hereof the Holder of this Security agrees to be subject to, and bound by, the terms and provisions set forth in each such legend.</w:t>
      </w:r>
    </w:p>
    <w:p>
      <w:pPr>
        <w:spacing w:after="0" w:line="62" w:lineRule="exact"/>
        <w:rPr>
          <w:sz w:val="20"/>
          <w:szCs w:val="20"/>
          <w:color w:val="auto"/>
        </w:rPr>
      </w:pPr>
    </w:p>
    <w:p>
      <w:pPr>
        <w:ind w:right="80" w:firstLine="222"/>
        <w:spacing w:after="0" w:line="255" w:lineRule="auto"/>
        <w:rPr>
          <w:sz w:val="20"/>
          <w:szCs w:val="20"/>
          <w:color w:val="auto"/>
        </w:rPr>
      </w:pPr>
      <w:r>
        <w:rPr>
          <w:rFonts w:ascii="Arial" w:cs="Arial" w:eastAsia="Arial" w:hAnsi="Arial"/>
          <w:sz w:val="18"/>
          <w:szCs w:val="18"/>
          <w:color w:val="auto"/>
        </w:rPr>
        <w:t>This Security is issued in respect of a series of Securities of an initial aggregate of U.S. $600,000,000 in principal amount designated as the 6.10% Senior Notes due 2018 of the Company and is governed by the Indenture dated as of September 10, 1997, duly executed and delivered by the Company, formerly known as USA Waste Services, Inc., to The Bank of New York Trust Company N.A. (the current successor to Texas Commerce Bank National Association) as trustee (the “Trustee”), as supplemented by Board Resolutions (as defined in the Indenture) (such Indenture and Board Resolutions, collectively, the “Indenture”). The terms of the Indenture are incorporated herein by reference. This Security shall in all respects be entitled to the same benefits as definitive Securities under the Indenture.</w:t>
      </w:r>
    </w:p>
    <w:p>
      <w:pPr>
        <w:spacing w:after="0" w:line="85" w:lineRule="exact"/>
        <w:rPr>
          <w:sz w:val="20"/>
          <w:szCs w:val="20"/>
          <w:color w:val="auto"/>
        </w:rPr>
      </w:pPr>
    </w:p>
    <w:p>
      <w:pPr>
        <w:jc w:val="both"/>
        <w:ind w:firstLine="225"/>
        <w:spacing w:after="0" w:line="264" w:lineRule="auto"/>
        <w:rPr>
          <w:sz w:val="20"/>
          <w:szCs w:val="20"/>
          <w:color w:val="auto"/>
        </w:rPr>
      </w:pPr>
      <w:r>
        <w:rPr>
          <w:rFonts w:ascii="Arial" w:cs="Arial" w:eastAsia="Arial" w:hAnsi="Arial"/>
          <w:sz w:val="18"/>
          <w:szCs w:val="18"/>
          <w:color w:val="auto"/>
        </w:rPr>
        <w:t>If and to the extent that any provision of the Indenture limits, qualifies or conflicts with any other provision of the Indenture that is required to be included in the Indenture or is deemed applicable to the Indenture by virtue of the provisions of the Trust Indenture Act of 1939, as amended, such required provision shall control.</w:t>
      </w:r>
    </w:p>
    <w:p>
      <w:pPr>
        <w:spacing w:after="0" w:line="73"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The Company hereby irrevocably undertakes to the Holder hereof to exchange this Security in accordance with the terms of the Indenture without charge.</w:t>
      </w:r>
    </w:p>
    <w:p>
      <w:pPr>
        <w:spacing w:after="0" w:line="22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5" w:right="299" w:bottom="1440" w:gutter="0" w:footer="0" w:header="0"/>
        </w:sectPr>
      </w:pPr>
    </w:p>
    <w:bookmarkStart w:id="46" w:name="page47"/>
    <w:bookmarkEnd w:id="46"/>
    <w:p>
      <w:pPr>
        <w:ind w:right="40" w:firstLine="222"/>
        <w:spacing w:after="0" w:line="277" w:lineRule="auto"/>
        <w:rPr>
          <w:sz w:val="20"/>
          <w:szCs w:val="20"/>
          <w:color w:val="auto"/>
        </w:rPr>
      </w:pPr>
      <w:r>
        <w:rPr>
          <w:rFonts w:ascii="Arial" w:cs="Arial" w:eastAsia="Arial" w:hAnsi="Arial"/>
          <w:sz w:val="18"/>
          <w:szCs w:val="18"/>
          <w:color w:val="auto"/>
        </w:rPr>
        <w:t>This Security shall not be valid or become obligatory for any purpose until the Certificate of Authentication hereon shall have been manually signed by the Trustee under the Indenture.</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 WITNESS WHEREOF, the Company has caused this instrument to be duly executed under its corporate seal.</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Dated: March  , 2008</w:t>
            </w:r>
          </w:p>
        </w:tc>
        <w:tc>
          <w:tcPr>
            <w:tcW w:w="6260" w:type="dxa"/>
            <w:vAlign w:val="bottom"/>
            <w:gridSpan w:val="2"/>
          </w:tcPr>
          <w:p>
            <w:pPr>
              <w:ind w:left="1880"/>
              <w:spacing w:after="0"/>
              <w:rPr>
                <w:sz w:val="20"/>
                <w:szCs w:val="20"/>
                <w:color w:val="auto"/>
              </w:rPr>
            </w:pPr>
            <w:r>
              <w:rPr>
                <w:rFonts w:ascii="Arial" w:cs="Arial" w:eastAsia="Arial" w:hAnsi="Arial"/>
                <w:sz w:val="18"/>
                <w:szCs w:val="18"/>
                <w:color w:val="auto"/>
              </w:rPr>
              <w:t>WASTE MANAGEMENT, INC.,</w:t>
            </w:r>
          </w:p>
        </w:tc>
      </w:tr>
      <w:tr>
        <w:trPr>
          <w:trHeight w:val="230"/>
        </w:trPr>
        <w:tc>
          <w:tcPr>
            <w:tcW w:w="3480" w:type="dxa"/>
            <w:vAlign w:val="bottom"/>
          </w:tcPr>
          <w:p>
            <w:pPr>
              <w:spacing w:after="0"/>
              <w:rPr>
                <w:sz w:val="20"/>
                <w:szCs w:val="20"/>
                <w:color w:val="auto"/>
              </w:rPr>
            </w:pPr>
          </w:p>
        </w:tc>
        <w:tc>
          <w:tcPr>
            <w:tcW w:w="6260" w:type="dxa"/>
            <w:vAlign w:val="bottom"/>
            <w:gridSpan w:val="2"/>
          </w:tcPr>
          <w:p>
            <w:pPr>
              <w:ind w:left="1880"/>
              <w:spacing w:after="0"/>
              <w:rPr>
                <w:sz w:val="20"/>
                <w:szCs w:val="20"/>
                <w:color w:val="auto"/>
              </w:rPr>
            </w:pPr>
            <w:r>
              <w:rPr>
                <w:rFonts w:ascii="Arial" w:cs="Arial" w:eastAsia="Arial" w:hAnsi="Arial"/>
                <w:sz w:val="18"/>
                <w:szCs w:val="18"/>
                <w:color w:val="auto"/>
              </w:rPr>
              <w:t>a Delaware corporation</w:t>
            </w:r>
          </w:p>
        </w:tc>
      </w:tr>
      <w:tr>
        <w:trPr>
          <w:trHeight w:val="432"/>
        </w:trPr>
        <w:tc>
          <w:tcPr>
            <w:tcW w:w="3480" w:type="dxa"/>
            <w:vAlign w:val="bottom"/>
          </w:tcPr>
          <w:p>
            <w:pPr>
              <w:spacing w:after="0"/>
              <w:rPr>
                <w:sz w:val="24"/>
                <w:szCs w:val="24"/>
                <w:color w:val="auto"/>
              </w:rPr>
            </w:pPr>
          </w:p>
        </w:tc>
        <w:tc>
          <w:tcPr>
            <w:tcW w:w="6260" w:type="dxa"/>
            <w:vAlign w:val="bottom"/>
            <w:gridSpan w:val="2"/>
          </w:tcPr>
          <w:p>
            <w:pPr>
              <w:ind w:left="1880"/>
              <w:spacing w:after="0"/>
              <w:rPr>
                <w:sz w:val="20"/>
                <w:szCs w:val="20"/>
                <w:color w:val="auto"/>
              </w:rPr>
            </w:pPr>
            <w:r>
              <w:rPr>
                <w:rFonts w:ascii="Arial" w:cs="Arial" w:eastAsia="Arial" w:hAnsi="Arial"/>
                <w:sz w:val="18"/>
                <w:szCs w:val="18"/>
                <w:color w:val="auto"/>
              </w:rPr>
              <w:t>By:</w:t>
            </w:r>
          </w:p>
        </w:tc>
      </w:tr>
      <w:tr>
        <w:trPr>
          <w:trHeight w:val="195"/>
        </w:trPr>
        <w:tc>
          <w:tcPr>
            <w:tcW w:w="348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4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Cherie C. Rice</w:t>
            </w:r>
          </w:p>
        </w:tc>
      </w:tr>
      <w:tr>
        <w:trPr>
          <w:trHeight w:val="230"/>
        </w:trPr>
        <w:tc>
          <w:tcPr>
            <w:tcW w:w="3480" w:type="dxa"/>
            <w:vAlign w:val="bottom"/>
          </w:tcPr>
          <w:p>
            <w:pPr>
              <w:spacing w:after="0"/>
              <w:rPr>
                <w:sz w:val="20"/>
                <w:szCs w:val="20"/>
                <w:color w:val="auto"/>
              </w:rPr>
            </w:pPr>
          </w:p>
        </w:tc>
        <w:tc>
          <w:tcPr>
            <w:tcW w:w="6260" w:type="dxa"/>
            <w:vAlign w:val="bottom"/>
            <w:gridSpan w:val="2"/>
          </w:tcPr>
          <w:p>
            <w:pPr>
              <w:ind w:left="2220"/>
              <w:spacing w:after="0"/>
              <w:rPr>
                <w:sz w:val="20"/>
                <w:szCs w:val="20"/>
                <w:color w:val="auto"/>
              </w:rPr>
            </w:pPr>
            <w:r>
              <w:rPr>
                <w:rFonts w:ascii="Arial" w:cs="Arial" w:eastAsia="Arial" w:hAnsi="Arial"/>
                <w:sz w:val="18"/>
                <w:szCs w:val="18"/>
                <w:color w:val="auto"/>
              </w:rPr>
              <w:t>Vice President and Treasurer</w:t>
            </w:r>
          </w:p>
        </w:tc>
      </w:tr>
      <w:tr>
        <w:trPr>
          <w:trHeight w:val="432"/>
        </w:trPr>
        <w:tc>
          <w:tcPr>
            <w:tcW w:w="3480" w:type="dxa"/>
            <w:vAlign w:val="bottom"/>
          </w:tcPr>
          <w:p>
            <w:pPr>
              <w:spacing w:after="0"/>
              <w:rPr>
                <w:sz w:val="24"/>
                <w:szCs w:val="24"/>
                <w:color w:val="auto"/>
              </w:rPr>
            </w:pPr>
          </w:p>
        </w:tc>
        <w:tc>
          <w:tcPr>
            <w:tcW w:w="6260" w:type="dxa"/>
            <w:vAlign w:val="bottom"/>
            <w:gridSpan w:val="2"/>
          </w:tcPr>
          <w:p>
            <w:pPr>
              <w:ind w:left="1880"/>
              <w:spacing w:after="0"/>
              <w:rPr>
                <w:sz w:val="20"/>
                <w:szCs w:val="20"/>
                <w:color w:val="auto"/>
              </w:rPr>
            </w:pPr>
            <w:r>
              <w:rPr>
                <w:rFonts w:ascii="Arial" w:cs="Arial" w:eastAsia="Arial" w:hAnsi="Arial"/>
                <w:sz w:val="18"/>
                <w:szCs w:val="18"/>
                <w:color w:val="auto"/>
              </w:rPr>
              <w:t>Attest:</w:t>
            </w:r>
          </w:p>
        </w:tc>
      </w:tr>
      <w:tr>
        <w:trPr>
          <w:trHeight w:val="432"/>
        </w:trPr>
        <w:tc>
          <w:tcPr>
            <w:tcW w:w="3480" w:type="dxa"/>
            <w:vAlign w:val="bottom"/>
          </w:tcPr>
          <w:p>
            <w:pPr>
              <w:spacing w:after="0"/>
              <w:rPr>
                <w:sz w:val="24"/>
                <w:szCs w:val="24"/>
                <w:color w:val="auto"/>
              </w:rPr>
            </w:pPr>
          </w:p>
        </w:tc>
        <w:tc>
          <w:tcPr>
            <w:tcW w:w="6260" w:type="dxa"/>
            <w:vAlign w:val="bottom"/>
            <w:gridSpan w:val="2"/>
          </w:tcPr>
          <w:p>
            <w:pPr>
              <w:ind w:left="1880"/>
              <w:spacing w:after="0"/>
              <w:rPr>
                <w:sz w:val="20"/>
                <w:szCs w:val="20"/>
                <w:color w:val="auto"/>
              </w:rPr>
            </w:pPr>
            <w:r>
              <w:rPr>
                <w:rFonts w:ascii="Arial" w:cs="Arial" w:eastAsia="Arial" w:hAnsi="Arial"/>
                <w:sz w:val="18"/>
                <w:szCs w:val="18"/>
                <w:color w:val="auto"/>
              </w:rPr>
              <w:t>By:</w:t>
            </w:r>
          </w:p>
        </w:tc>
      </w:tr>
      <w:tr>
        <w:trPr>
          <w:trHeight w:val="195"/>
        </w:trPr>
        <w:tc>
          <w:tcPr>
            <w:tcW w:w="348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4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Rick L Wittenbraker</w:t>
            </w:r>
          </w:p>
        </w:tc>
      </w:tr>
      <w:tr>
        <w:trPr>
          <w:trHeight w:val="230"/>
        </w:trPr>
        <w:tc>
          <w:tcPr>
            <w:tcW w:w="3480" w:type="dxa"/>
            <w:vAlign w:val="bottom"/>
          </w:tcPr>
          <w:p>
            <w:pPr>
              <w:spacing w:after="0"/>
              <w:rPr>
                <w:sz w:val="20"/>
                <w:szCs w:val="20"/>
                <w:color w:val="auto"/>
              </w:rPr>
            </w:pPr>
          </w:p>
        </w:tc>
        <w:tc>
          <w:tcPr>
            <w:tcW w:w="6260" w:type="dxa"/>
            <w:vAlign w:val="bottom"/>
            <w:gridSpan w:val="2"/>
          </w:tcPr>
          <w:p>
            <w:pPr>
              <w:ind w:left="2220"/>
              <w:spacing w:after="0"/>
              <w:rPr>
                <w:sz w:val="20"/>
                <w:szCs w:val="20"/>
                <w:color w:val="auto"/>
              </w:rPr>
            </w:pPr>
            <w:r>
              <w:rPr>
                <w:rFonts w:ascii="Arial" w:cs="Arial" w:eastAsia="Arial" w:hAnsi="Arial"/>
                <w:sz w:val="18"/>
                <w:szCs w:val="18"/>
                <w:color w:val="auto"/>
              </w:rPr>
              <w:t>Assistant Secretary</w:t>
            </w: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CERTIFICATE OF AUTHENTICATION</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This is one of the Securities of the series designated therein referred to in the within-mentioned Indenture.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Date of Authentication: March  , 2008</w:t>
            </w:r>
          </w:p>
        </w:tc>
        <w:tc>
          <w:tcPr>
            <w:tcW w:w="5660" w:type="dxa"/>
            <w:vAlign w:val="bottom"/>
            <w:gridSpan w:val="2"/>
          </w:tcPr>
          <w:p>
            <w:pPr>
              <w:ind w:left="1280"/>
              <w:spacing w:after="0"/>
              <w:rPr>
                <w:sz w:val="20"/>
                <w:szCs w:val="20"/>
                <w:color w:val="auto"/>
              </w:rPr>
            </w:pPr>
            <w:r>
              <w:rPr>
                <w:rFonts w:ascii="Arial" w:cs="Arial" w:eastAsia="Arial" w:hAnsi="Arial"/>
                <w:sz w:val="18"/>
                <w:szCs w:val="18"/>
                <w:color w:val="auto"/>
              </w:rPr>
              <w:t>The Bank of New York Trust Company N.A.,</w:t>
            </w:r>
          </w:p>
        </w:tc>
        <w:tc>
          <w:tcPr>
            <w:tcW w:w="1680" w:type="dxa"/>
            <w:vAlign w:val="bottom"/>
          </w:tcPr>
          <w:p>
            <w:pPr>
              <w:spacing w:after="0"/>
              <w:rPr>
                <w:sz w:val="18"/>
                <w:szCs w:val="18"/>
                <w:color w:val="auto"/>
              </w:rPr>
            </w:pPr>
          </w:p>
        </w:tc>
      </w:tr>
      <w:tr>
        <w:trPr>
          <w:trHeight w:val="230"/>
        </w:trPr>
        <w:tc>
          <w:tcPr>
            <w:tcW w:w="4080" w:type="dxa"/>
            <w:vAlign w:val="bottom"/>
          </w:tcPr>
          <w:p>
            <w:pPr>
              <w:spacing w:after="0"/>
              <w:rPr>
                <w:sz w:val="20"/>
                <w:szCs w:val="20"/>
                <w:color w:val="auto"/>
              </w:rPr>
            </w:pPr>
          </w:p>
        </w:tc>
        <w:tc>
          <w:tcPr>
            <w:tcW w:w="5660" w:type="dxa"/>
            <w:vAlign w:val="bottom"/>
            <w:gridSpan w:val="2"/>
          </w:tcPr>
          <w:p>
            <w:pPr>
              <w:ind w:left="1280"/>
              <w:spacing w:after="0"/>
              <w:rPr>
                <w:sz w:val="20"/>
                <w:szCs w:val="20"/>
                <w:color w:val="auto"/>
              </w:rPr>
            </w:pPr>
            <w:r>
              <w:rPr>
                <w:rFonts w:ascii="Arial" w:cs="Arial" w:eastAsia="Arial" w:hAnsi="Arial"/>
                <w:sz w:val="18"/>
                <w:szCs w:val="18"/>
                <w:color w:val="auto"/>
              </w:rPr>
              <w:t>as Trustee</w:t>
            </w:r>
          </w:p>
        </w:tc>
        <w:tc>
          <w:tcPr>
            <w:tcW w:w="1680" w:type="dxa"/>
            <w:vAlign w:val="bottom"/>
          </w:tcPr>
          <w:p>
            <w:pPr>
              <w:spacing w:after="0"/>
              <w:rPr>
                <w:sz w:val="20"/>
                <w:szCs w:val="20"/>
                <w:color w:val="auto"/>
              </w:rPr>
            </w:pPr>
          </w:p>
        </w:tc>
      </w:tr>
      <w:tr>
        <w:trPr>
          <w:trHeight w:val="432"/>
        </w:trPr>
        <w:tc>
          <w:tcPr>
            <w:tcW w:w="4080" w:type="dxa"/>
            <w:vAlign w:val="bottom"/>
          </w:tcPr>
          <w:p>
            <w:pPr>
              <w:spacing w:after="0"/>
              <w:rPr>
                <w:sz w:val="24"/>
                <w:szCs w:val="24"/>
                <w:color w:val="auto"/>
              </w:rPr>
            </w:pPr>
          </w:p>
        </w:tc>
        <w:tc>
          <w:tcPr>
            <w:tcW w:w="1640" w:type="dxa"/>
            <w:vAlign w:val="bottom"/>
          </w:tcPr>
          <w:p>
            <w:pPr>
              <w:ind w:left="1280"/>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spacing w:after="0"/>
              <w:rPr>
                <w:sz w:val="24"/>
                <w:szCs w:val="24"/>
                <w:color w:val="auto"/>
              </w:rPr>
            </w:pPr>
          </w:p>
        </w:tc>
        <w:tc>
          <w:tcPr>
            <w:tcW w:w="1680" w:type="dxa"/>
            <w:vAlign w:val="bottom"/>
          </w:tcPr>
          <w:p>
            <w:pPr>
              <w:spacing w:after="0"/>
              <w:rPr>
                <w:sz w:val="24"/>
                <w:szCs w:val="24"/>
                <w:color w:val="auto"/>
              </w:rPr>
            </w:pPr>
          </w:p>
        </w:tc>
      </w:tr>
      <w:tr>
        <w:trPr>
          <w:trHeight w:val="831"/>
        </w:trPr>
        <w:tc>
          <w:tcPr>
            <w:tcW w:w="4080" w:type="dxa"/>
            <w:vAlign w:val="bottom"/>
          </w:tcPr>
          <w:p>
            <w:pPr>
              <w:spacing w:after="0"/>
              <w:rPr>
                <w:sz w:val="24"/>
                <w:szCs w:val="24"/>
                <w:color w:val="auto"/>
              </w:rPr>
            </w:pPr>
          </w:p>
        </w:tc>
        <w:tc>
          <w:tcPr>
            <w:tcW w:w="5660" w:type="dxa"/>
            <w:vAlign w:val="bottom"/>
            <w:gridSpan w:val="2"/>
          </w:tcPr>
          <w:p>
            <w:pPr>
              <w:ind w:left="1500"/>
              <w:spacing w:after="0"/>
              <w:rPr>
                <w:sz w:val="20"/>
                <w:szCs w:val="20"/>
                <w:color w:val="auto"/>
              </w:rPr>
            </w:pPr>
            <w:r>
              <w:rPr>
                <w:rFonts w:ascii="Arial" w:cs="Arial" w:eastAsia="Arial" w:hAnsi="Arial"/>
                <w:sz w:val="18"/>
                <w:szCs w:val="18"/>
                <w:color w:val="auto"/>
              </w:rPr>
              <w:t>A-3</w:t>
            </w:r>
          </w:p>
        </w:tc>
        <w:tc>
          <w:tcPr>
            <w:tcW w:w="1680" w:type="dxa"/>
            <w:vAlign w:val="bottom"/>
          </w:tcPr>
          <w:p>
            <w:pPr>
              <w:spacing w:after="0"/>
              <w:rPr>
                <w:sz w:val="24"/>
                <w:szCs w:val="24"/>
                <w:color w:val="auto"/>
              </w:rPr>
            </w:pPr>
          </w:p>
        </w:tc>
      </w:tr>
      <w:tr>
        <w:trPr>
          <w:trHeight w:val="226"/>
        </w:trPr>
        <w:tc>
          <w:tcPr>
            <w:tcW w:w="4080" w:type="dxa"/>
            <w:vAlign w:val="bottom"/>
            <w:tcBorders>
              <w:bottom w:val="single" w:sz="8" w:color="808080"/>
            </w:tcBorders>
          </w:tcPr>
          <w:p>
            <w:pPr>
              <w:spacing w:after="0"/>
              <w:rPr>
                <w:sz w:val="19"/>
                <w:szCs w:val="19"/>
                <w:color w:val="auto"/>
              </w:rPr>
            </w:pPr>
          </w:p>
        </w:tc>
        <w:tc>
          <w:tcPr>
            <w:tcW w:w="1640" w:type="dxa"/>
            <w:vAlign w:val="bottom"/>
            <w:tcBorders>
              <w:bottom w:val="single" w:sz="8" w:color="808080"/>
            </w:tcBorders>
          </w:tcPr>
          <w:p>
            <w:pPr>
              <w:spacing w:after="0"/>
              <w:rPr>
                <w:sz w:val="19"/>
                <w:szCs w:val="19"/>
                <w:color w:val="auto"/>
              </w:rPr>
            </w:pPr>
          </w:p>
        </w:tc>
        <w:tc>
          <w:tcPr>
            <w:tcW w:w="4020" w:type="dxa"/>
            <w:vAlign w:val="bottom"/>
            <w:tcBorders>
              <w:bottom w:val="single" w:sz="8" w:color="808080"/>
            </w:tcBorders>
          </w:tcPr>
          <w:p>
            <w:pPr>
              <w:spacing w:after="0"/>
              <w:rPr>
                <w:sz w:val="19"/>
                <w:szCs w:val="19"/>
                <w:color w:val="auto"/>
              </w:rPr>
            </w:pPr>
          </w:p>
        </w:tc>
        <w:tc>
          <w:tcPr>
            <w:tcW w:w="16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47" w:name="page48"/>
    <w:bookmarkEnd w:id="47"/>
    <w:p>
      <w:pPr>
        <w:jc w:val="center"/>
        <w:ind w:right="-19"/>
        <w:spacing w:after="0"/>
        <w:rPr>
          <w:sz w:val="20"/>
          <w:szCs w:val="20"/>
          <w:color w:val="auto"/>
        </w:rPr>
      </w:pPr>
      <w:r>
        <w:rPr>
          <w:rFonts w:ascii="Arial" w:cs="Arial" w:eastAsia="Arial" w:hAnsi="Arial"/>
          <w:sz w:val="18"/>
          <w:szCs w:val="18"/>
          <w:color w:val="auto"/>
        </w:rPr>
        <w:t>REVERSE OF BOOK-ENTRY SECURITY</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WASTE MANAGEMENT,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6.10% SENIOR NOTES DUE 2018</w:t>
      </w:r>
    </w:p>
    <w:p>
      <w:pPr>
        <w:spacing w:after="0" w:line="117" w:lineRule="exact"/>
        <w:rPr>
          <w:sz w:val="20"/>
          <w:szCs w:val="20"/>
          <w:color w:val="auto"/>
        </w:rPr>
      </w:pPr>
    </w:p>
    <w:p>
      <w:pPr>
        <w:ind w:right="40" w:firstLine="222"/>
        <w:spacing w:after="0" w:line="284" w:lineRule="auto"/>
        <w:rPr>
          <w:sz w:val="20"/>
          <w:szCs w:val="20"/>
          <w:color w:val="auto"/>
        </w:rPr>
      </w:pPr>
      <w:r>
        <w:rPr>
          <w:rFonts w:ascii="Arial" w:cs="Arial" w:eastAsia="Arial" w:hAnsi="Arial"/>
          <w:sz w:val="16"/>
          <w:szCs w:val="16"/>
          <w:color w:val="auto"/>
        </w:rPr>
        <w:t>This Security is one of a duly authorized issue of unsecured debentures, notes or other evidences of indebtedness of the Company (the “Debt Securities”) of the series hereinafter specified, all issued or to be issued under and pursuant to the Indenture, to which Indenture reference is hereby made for a description of the rights, limitations of rights, obligations, duties and immunities thereunder of the Trustee, the Company and the Holders of the Debt Securities. The Debt Securities may be issued in one or more series, which different series may be issued in various aggregate principal amounts, may mature at different times, may bear interest (if any) at different rates, may be subject to different sinking, purchase or analogous funds (if any) and may otherwise vary as provided in the Indenture. This Security is one of a series designated as the 6.10% Senior Notes due 2018 of the Company, in initial aggregate principal</w:t>
      </w:r>
    </w:p>
    <w:p>
      <w:pPr>
        <w:spacing w:after="0" w:line="5" w:lineRule="exact"/>
        <w:rPr>
          <w:sz w:val="20"/>
          <w:szCs w:val="20"/>
          <w:color w:val="auto"/>
        </w:rPr>
      </w:pPr>
    </w:p>
    <w:p>
      <w:pPr>
        <w:spacing w:after="0"/>
        <w:tabs>
          <w:tab w:leader="none" w:pos="1760" w:val="left"/>
        </w:tabs>
        <w:rPr>
          <w:sz w:val="20"/>
          <w:szCs w:val="20"/>
          <w:color w:val="auto"/>
        </w:rPr>
      </w:pPr>
      <w:r>
        <w:rPr>
          <w:rFonts w:ascii="Arial" w:cs="Arial" w:eastAsia="Arial" w:hAnsi="Arial"/>
          <w:sz w:val="18"/>
          <w:szCs w:val="18"/>
          <w:color w:val="auto"/>
        </w:rPr>
        <w:t>amount of $</w:t>
      </w:r>
      <w:r>
        <w:rPr>
          <w:sz w:val="20"/>
          <w:szCs w:val="20"/>
          <w:color w:val="auto"/>
        </w:rPr>
        <w:tab/>
      </w:r>
      <w:r>
        <w:rPr>
          <w:rFonts w:ascii="Arial" w:cs="Arial" w:eastAsia="Arial" w:hAnsi="Arial"/>
          <w:sz w:val="16"/>
          <w:szCs w:val="16"/>
          <w:color w:val="auto"/>
        </w:rPr>
        <w:t>(the “Securities”).</w:t>
      </w:r>
    </w:p>
    <w:p>
      <w:pPr>
        <w:spacing w:after="0" w:line="103" w:lineRule="exact"/>
        <w:rPr>
          <w:sz w:val="20"/>
          <w:szCs w:val="20"/>
          <w:color w:val="auto"/>
        </w:rPr>
      </w:pPr>
    </w:p>
    <w:p>
      <w:pPr>
        <w:ind w:left="420" w:hanging="187"/>
        <w:spacing w:after="0"/>
        <w:tabs>
          <w:tab w:leader="none" w:pos="420" w:val="left"/>
        </w:tabs>
        <w:numPr>
          <w:ilvl w:val="0"/>
          <w:numId w:val="43"/>
        </w:numPr>
        <w:rPr>
          <w:rFonts w:ascii="Arial" w:cs="Arial" w:eastAsia="Arial" w:hAnsi="Arial"/>
          <w:sz w:val="18"/>
          <w:szCs w:val="18"/>
          <w:color w:val="auto"/>
        </w:rPr>
      </w:pPr>
      <w:r>
        <w:rPr>
          <w:rFonts w:ascii="Arial" w:cs="Arial" w:eastAsia="Arial" w:hAnsi="Arial"/>
          <w:sz w:val="18"/>
          <w:szCs w:val="18"/>
          <w:i w:val="1"/>
          <w:iCs w:val="1"/>
          <w:color w:val="auto"/>
        </w:rPr>
        <w:t>Interest.</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Company promises to pay interest on the principal amount of this Security at the rate of 6.10% per annum.</w:t>
      </w:r>
    </w:p>
    <w:p>
      <w:pPr>
        <w:spacing w:after="0" w:line="117" w:lineRule="exact"/>
        <w:rPr>
          <w:sz w:val="20"/>
          <w:szCs w:val="20"/>
          <w:color w:val="auto"/>
        </w:rPr>
      </w:pPr>
    </w:p>
    <w:p>
      <w:pPr>
        <w:ind w:right="40" w:firstLine="222"/>
        <w:spacing w:after="0" w:line="297" w:lineRule="auto"/>
        <w:rPr>
          <w:sz w:val="20"/>
          <w:szCs w:val="20"/>
          <w:color w:val="auto"/>
        </w:rPr>
      </w:pPr>
      <w:r>
        <w:rPr>
          <w:rFonts w:ascii="Arial" w:cs="Arial" w:eastAsia="Arial" w:hAnsi="Arial"/>
          <w:sz w:val="16"/>
          <w:szCs w:val="16"/>
          <w:color w:val="auto"/>
        </w:rPr>
        <w:t>The Company will pay interest semi-annually on March 15 and September 15 of each year (each an “Interest Payment Date”), commencing September 15, 2008. Interest on the Securities will accrue from the most recent date to which interest has been paid or, if no interest has been paid on the Securities, from March , 2008. Interest will be computed on the basis of a 360-day year consisting of twelve 30-day months. The Company shall pay interest (including post-petition interest in any proceeding under any applicable bankruptcy laws) on overdue installments of interest (without regard to any applicable grace period) and on overdue principal and premium, if any, from time to time on demand at the rate of 6.10% per annum, in each case to the extent lawful.</w:t>
      </w:r>
    </w:p>
    <w:p>
      <w:pPr>
        <w:spacing w:after="0" w:line="50" w:lineRule="exact"/>
        <w:rPr>
          <w:sz w:val="20"/>
          <w:szCs w:val="20"/>
          <w:color w:val="auto"/>
        </w:rPr>
      </w:pPr>
    </w:p>
    <w:p>
      <w:pPr>
        <w:ind w:left="420" w:hanging="187"/>
        <w:spacing w:after="0"/>
        <w:tabs>
          <w:tab w:leader="none" w:pos="420"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Method of Payment.</w:t>
      </w:r>
    </w:p>
    <w:p>
      <w:pPr>
        <w:spacing w:after="0" w:line="117" w:lineRule="exact"/>
        <w:rPr>
          <w:sz w:val="20"/>
          <w:szCs w:val="20"/>
          <w:color w:val="auto"/>
        </w:rPr>
      </w:pPr>
    </w:p>
    <w:p>
      <w:pPr>
        <w:ind w:firstLine="222"/>
        <w:spacing w:after="0" w:line="254" w:lineRule="auto"/>
        <w:rPr>
          <w:sz w:val="20"/>
          <w:szCs w:val="20"/>
          <w:color w:val="auto"/>
        </w:rPr>
      </w:pPr>
      <w:r>
        <w:rPr>
          <w:rFonts w:ascii="Arial" w:cs="Arial" w:eastAsia="Arial" w:hAnsi="Arial"/>
          <w:sz w:val="18"/>
          <w:szCs w:val="18"/>
          <w:color w:val="auto"/>
        </w:rPr>
        <w:t>The Company shall pay interest on the Securities (except Defaulted Interest) to the persons who are the registered Holders at the close of business on the Regular Record Date immediately preceding the Interest Payment Date. Any such interest not so punctually paid or duly provided for (“Defaulted Interest”) may be paid to the persons who are registered Holders at the close of business on a Special Record Date for the payment of such Defaulted Interest, or in any other lawful manner not inconsistent with the requirements of any securities exchange on which such Securities may then be listed if such manner of payment shall be deemed practicable by the Trustee, as more fully provided in the Indenture. Except as provided below, the Company shall pay principal and interest in such coin or currency of the United States of America as at the time of payment shall be legal tender for payment of public and private debts (“U.S. Legal Tender”). Payments in respect of a Book-Entry Security (including principal, premium, if any, and interest) will be made by wire transfer of immediately available funds to the accounts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63" w:right="239" w:bottom="1440" w:gutter="0" w:footer="0" w:header="0"/>
        </w:sectPr>
      </w:pPr>
    </w:p>
    <w:bookmarkStart w:id="48" w:name="page49"/>
    <w:bookmarkEnd w:id="48"/>
    <w:p>
      <w:pPr>
        <w:jc w:val="both"/>
        <w:ind w:right="20"/>
        <w:spacing w:after="0" w:line="257" w:lineRule="auto"/>
        <w:rPr>
          <w:sz w:val="20"/>
          <w:szCs w:val="20"/>
          <w:color w:val="auto"/>
        </w:rPr>
      </w:pPr>
      <w:r>
        <w:rPr>
          <w:rFonts w:ascii="Arial" w:cs="Arial" w:eastAsia="Arial" w:hAnsi="Arial"/>
          <w:sz w:val="18"/>
          <w:szCs w:val="18"/>
          <w:color w:val="auto"/>
        </w:rPr>
        <w:t>specified by the Depository. Payments in respect of Securities in definitive form (including principal, premium, if any, and interest) will be made at the office or agency of the Company maintained for such purpose within the Borough of Manhattan, the City of New York, which initially will be at the corporate trust office of The Bank of New York located at 101 Barclay Street, Floor 21W, New York, New York, 10286 or at the option of the Company, payment of interest may be made by check mailed to the Holders on the Regular Record Date or on the Special Record Date at their addresses set forth in the Security Register of Holders.</w:t>
      </w:r>
    </w:p>
    <w:p>
      <w:pPr>
        <w:spacing w:after="0" w:line="80" w:lineRule="exact"/>
        <w:rPr>
          <w:sz w:val="20"/>
          <w:szCs w:val="20"/>
          <w:color w:val="auto"/>
        </w:rPr>
      </w:pPr>
    </w:p>
    <w:p>
      <w:pPr>
        <w:ind w:left="420" w:hanging="187"/>
        <w:spacing w:after="0"/>
        <w:tabs>
          <w:tab w:leader="none" w:pos="420" w:val="left"/>
        </w:tabs>
        <w:numPr>
          <w:ilvl w:val="0"/>
          <w:numId w:val="45"/>
        </w:numPr>
        <w:rPr>
          <w:rFonts w:ascii="Arial" w:cs="Arial" w:eastAsia="Arial" w:hAnsi="Arial"/>
          <w:sz w:val="18"/>
          <w:szCs w:val="18"/>
          <w:color w:val="auto"/>
        </w:rPr>
      </w:pPr>
      <w:r>
        <w:rPr>
          <w:rFonts w:ascii="Arial" w:cs="Arial" w:eastAsia="Arial" w:hAnsi="Arial"/>
          <w:sz w:val="18"/>
          <w:szCs w:val="18"/>
          <w:i w:val="1"/>
          <w:iCs w:val="1"/>
          <w:color w:val="auto"/>
        </w:rPr>
        <w:t>Paying Agent and Registrar.</w:t>
      </w:r>
    </w:p>
    <w:p>
      <w:pPr>
        <w:spacing w:after="0" w:line="117" w:lineRule="exact"/>
        <w:rPr>
          <w:sz w:val="20"/>
          <w:szCs w:val="20"/>
          <w:color w:val="auto"/>
        </w:rPr>
      </w:pPr>
    </w:p>
    <w:p>
      <w:pPr>
        <w:ind w:right="80" w:firstLine="225"/>
        <w:spacing w:after="0" w:line="264" w:lineRule="auto"/>
        <w:rPr>
          <w:sz w:val="20"/>
          <w:szCs w:val="20"/>
          <w:color w:val="auto"/>
        </w:rPr>
      </w:pPr>
      <w:r>
        <w:rPr>
          <w:rFonts w:ascii="Arial" w:cs="Arial" w:eastAsia="Arial" w:hAnsi="Arial"/>
          <w:sz w:val="18"/>
          <w:szCs w:val="18"/>
          <w:color w:val="auto"/>
        </w:rPr>
        <w:t>Initially, The Bank of New York will act as Paying Agent and Registrar. The Company may change any Paying Agent, Registrar or co-Registrar at any time upon notice to the Trustee and the Holders. The Company or any of its Subsidiaries may, subject to certain exceptions, act as Paying Agent, Registrar or co-Registrar.</w:t>
      </w:r>
    </w:p>
    <w:p>
      <w:pPr>
        <w:spacing w:after="0" w:line="73" w:lineRule="exact"/>
        <w:rPr>
          <w:sz w:val="20"/>
          <w:szCs w:val="20"/>
          <w:color w:val="auto"/>
        </w:rPr>
      </w:pPr>
    </w:p>
    <w:p>
      <w:pPr>
        <w:ind w:left="420" w:hanging="187"/>
        <w:spacing w:after="0"/>
        <w:tabs>
          <w:tab w:leader="none" w:pos="420" w:val="left"/>
        </w:tabs>
        <w:numPr>
          <w:ilvl w:val="0"/>
          <w:numId w:val="46"/>
        </w:numPr>
        <w:rPr>
          <w:rFonts w:ascii="Arial" w:cs="Arial" w:eastAsia="Arial" w:hAnsi="Arial"/>
          <w:sz w:val="18"/>
          <w:szCs w:val="18"/>
          <w:color w:val="auto"/>
        </w:rPr>
      </w:pPr>
      <w:r>
        <w:rPr>
          <w:rFonts w:ascii="Arial" w:cs="Arial" w:eastAsia="Arial" w:hAnsi="Arial"/>
          <w:sz w:val="18"/>
          <w:szCs w:val="18"/>
          <w:i w:val="1"/>
          <w:iCs w:val="1"/>
          <w:color w:val="auto"/>
        </w:rPr>
        <w:t>Indenture.</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This Security is one of a duly authorized issue of Debt Securities of the Company issued and to be issued in one or more series under the Indenture.</w:t>
      </w:r>
    </w:p>
    <w:p>
      <w:pPr>
        <w:spacing w:after="0" w:line="129" w:lineRule="exact"/>
        <w:rPr>
          <w:sz w:val="20"/>
          <w:szCs w:val="20"/>
          <w:color w:val="auto"/>
        </w:rPr>
      </w:pPr>
    </w:p>
    <w:p>
      <w:pPr>
        <w:ind w:right="60" w:firstLine="225"/>
        <w:spacing w:after="0" w:line="272" w:lineRule="auto"/>
        <w:rPr>
          <w:sz w:val="20"/>
          <w:szCs w:val="20"/>
          <w:color w:val="auto"/>
        </w:rPr>
      </w:pPr>
      <w:r>
        <w:rPr>
          <w:rFonts w:ascii="Arial" w:cs="Arial" w:eastAsia="Arial" w:hAnsi="Arial"/>
          <w:sz w:val="17"/>
          <w:szCs w:val="17"/>
          <w:color w:val="auto"/>
        </w:rPr>
        <w:t>Capitalized terms herein are used as defined in the Indenture unless otherwise defined herein. The terms of the Securities include those stated in the Indenture and all indentures supplemental thereto, those made part of the Indenture by reference to the Trust Indenture Act of 1939, as amended, as in effect on the date of the Indenture, and those terms stated in the Officers’ Certificate to the Trustee, duly authorized by resolutions of the Board of Directors of the Company on August 25, 2006 (the “Resolutions”) and the written consent of the sole Director of Waste Management Holdings, Inc. on February 22, 2008 (the “Consent”). The Securities are subject to all such terms, and Holders of Securities are referred to the Indenture, all indentures supplemental thereto, said Act, said Resolutions and said Consent and Officers’ Certificate for a statement of them. The Securities of this series are general unsecured obligations of the Company limited with an initial aggregate principal amount of $600,000,000.</w:t>
      </w:r>
    </w:p>
    <w:p>
      <w:pPr>
        <w:spacing w:after="0" w:line="70" w:lineRule="exact"/>
        <w:rPr>
          <w:sz w:val="20"/>
          <w:szCs w:val="20"/>
          <w:color w:val="auto"/>
        </w:rPr>
      </w:pPr>
    </w:p>
    <w:p>
      <w:pPr>
        <w:ind w:left="420" w:hanging="187"/>
        <w:spacing w:after="0"/>
        <w:tabs>
          <w:tab w:leader="none" w:pos="420" w:val="left"/>
        </w:tabs>
        <w:numPr>
          <w:ilvl w:val="0"/>
          <w:numId w:val="47"/>
        </w:numPr>
        <w:rPr>
          <w:rFonts w:ascii="Arial" w:cs="Arial" w:eastAsia="Arial" w:hAnsi="Arial"/>
          <w:sz w:val="18"/>
          <w:szCs w:val="18"/>
          <w:color w:val="auto"/>
        </w:rPr>
      </w:pPr>
      <w:r>
        <w:rPr>
          <w:rFonts w:ascii="Arial" w:cs="Arial" w:eastAsia="Arial" w:hAnsi="Arial"/>
          <w:sz w:val="18"/>
          <w:szCs w:val="18"/>
          <w:i w:val="1"/>
          <w:iCs w:val="1"/>
          <w:color w:val="auto"/>
        </w:rPr>
        <w:t>Redemption.</w:t>
      </w:r>
    </w:p>
    <w:p>
      <w:pPr>
        <w:spacing w:after="0" w:line="117" w:lineRule="exact"/>
        <w:rPr>
          <w:sz w:val="20"/>
          <w:szCs w:val="20"/>
          <w:color w:val="auto"/>
        </w:rPr>
      </w:pPr>
    </w:p>
    <w:p>
      <w:pPr>
        <w:ind w:firstLine="222"/>
        <w:spacing w:after="0" w:line="276" w:lineRule="auto"/>
        <w:rPr>
          <w:sz w:val="20"/>
          <w:szCs w:val="20"/>
          <w:color w:val="auto"/>
        </w:rPr>
      </w:pPr>
      <w:r>
        <w:rPr>
          <w:rFonts w:ascii="Arial" w:cs="Arial" w:eastAsia="Arial" w:hAnsi="Arial"/>
          <w:sz w:val="17"/>
          <w:szCs w:val="17"/>
          <w:color w:val="auto"/>
        </w:rPr>
        <w:t>The Securities will be redeemable, at the option of the Company, at any time in whole, or from time to time in part, at a Redemption Price (the “Make-Whole Price”) equal to the greater of: (i) 100% of the principal amount of the Securities to be redeemed; or (ii) the sum of the present values of the remaining scheduled payments of principal and interest (at the rate in effect on the date of calculation of the Redemption Price) on the Securities (exclusive of interest accrued to the Redemption Date) discounted to the Redemption Date on a semi-annual basis (assuming a 360-day year consisting of twelve 30-day months) at the applicable Treasury Yield plus 40 basis points; plus, in either case, accrued interest to the Redemption Date.</w:t>
      </w:r>
    </w:p>
    <w:p>
      <w:pPr>
        <w:spacing w:after="0" w:line="64" w:lineRule="exact"/>
        <w:rPr>
          <w:sz w:val="20"/>
          <w:szCs w:val="20"/>
          <w:color w:val="auto"/>
        </w:rPr>
      </w:pPr>
    </w:p>
    <w:p>
      <w:pPr>
        <w:ind w:right="80" w:firstLine="225"/>
        <w:spacing w:after="0" w:line="312" w:lineRule="auto"/>
        <w:rPr>
          <w:sz w:val="20"/>
          <w:szCs w:val="20"/>
          <w:color w:val="auto"/>
        </w:rPr>
      </w:pPr>
      <w:r>
        <w:rPr>
          <w:rFonts w:ascii="Arial" w:cs="Arial" w:eastAsia="Arial" w:hAnsi="Arial"/>
          <w:sz w:val="16"/>
          <w:szCs w:val="16"/>
          <w:color w:val="auto"/>
        </w:rPr>
        <w:t>Securities called for redemption become due on the Redemption Date. Notices of redemption will be mailed at least 30 but not more than 60 days before the Redemption Date to each holder of record of the Securities to be redeemed at its registered address. The notice of redemption for the Securities will state, among other things, the amount of Securities to be redeemed, the Redemption Date, the manner of determining the Make-Whole Price and the</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49" w:name="page50"/>
    <w:bookmarkEnd w:id="49"/>
    <w:p>
      <w:pPr>
        <w:ind w:right="80"/>
        <w:spacing w:after="0" w:line="312" w:lineRule="auto"/>
        <w:rPr>
          <w:sz w:val="20"/>
          <w:szCs w:val="20"/>
          <w:color w:val="auto"/>
        </w:rPr>
      </w:pPr>
      <w:r>
        <w:rPr>
          <w:rFonts w:ascii="Arial" w:cs="Arial" w:eastAsia="Arial" w:hAnsi="Arial"/>
          <w:sz w:val="16"/>
          <w:szCs w:val="16"/>
          <w:color w:val="auto"/>
        </w:rPr>
        <w:t>place(s) that payment will be made upon presentation and surrender of Securities to be redeemed. Unless the Company defaults in payment of the Make-Whole Price, interest will cease to accrue on any Securities that have been called for redemption at the Redemption Date. If less than all the Securities are redeemed at any time, the Trustee will select the Securities to be redeemed on a pro rata basis or by any other method the Trustee deems fair and appropriate.</w:t>
      </w:r>
    </w:p>
    <w:p>
      <w:pPr>
        <w:spacing w:after="0" w:line="3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For purposes of determining the Make-Whole Price, the following definitions are applicable:</w:t>
      </w:r>
    </w:p>
    <w:p>
      <w:pPr>
        <w:spacing w:after="0" w:line="117" w:lineRule="exact"/>
        <w:rPr>
          <w:sz w:val="20"/>
          <w:szCs w:val="20"/>
          <w:color w:val="auto"/>
        </w:rPr>
      </w:pPr>
    </w:p>
    <w:p>
      <w:pPr>
        <w:ind w:right="40" w:firstLine="225"/>
        <w:spacing w:after="0" w:line="312" w:lineRule="auto"/>
        <w:rPr>
          <w:sz w:val="20"/>
          <w:szCs w:val="20"/>
          <w:color w:val="auto"/>
        </w:rPr>
      </w:pPr>
      <w:r>
        <w:rPr>
          <w:rFonts w:ascii="Arial" w:cs="Arial" w:eastAsia="Arial" w:hAnsi="Arial"/>
          <w:sz w:val="16"/>
          <w:szCs w:val="16"/>
          <w:color w:val="auto"/>
        </w:rPr>
        <w:t>“Treasury Yield” means, with respect to any Redemption Date applicable to the Securities, the rate per annum equal to the semi-annual equivalent yield to maturity (computed as of the third Business Day immediately preceding such Redemption Date) of the Comparable Treasury Issue, assuming a price for the Comparable Treasury Issue (expressed as a percentage of its principal amount) equal to the applicable Comparable Treasury Price for such Redemption Date.</w:t>
      </w:r>
    </w:p>
    <w:p>
      <w:pPr>
        <w:spacing w:after="0" w:line="39" w:lineRule="exact"/>
        <w:rPr>
          <w:sz w:val="20"/>
          <w:szCs w:val="20"/>
          <w:color w:val="auto"/>
        </w:rPr>
      </w:pPr>
    </w:p>
    <w:p>
      <w:pPr>
        <w:ind w:right="160" w:firstLine="225"/>
        <w:spacing w:after="0" w:line="264" w:lineRule="auto"/>
        <w:rPr>
          <w:sz w:val="20"/>
          <w:szCs w:val="20"/>
          <w:color w:val="auto"/>
        </w:rPr>
      </w:pPr>
      <w:r>
        <w:rPr>
          <w:rFonts w:ascii="Arial" w:cs="Arial" w:eastAsia="Arial" w:hAnsi="Arial"/>
          <w:sz w:val="18"/>
          <w:szCs w:val="18"/>
          <w:color w:val="auto"/>
        </w:rPr>
        <w:t>“Comparable Treasury Issue” means the United States Treasury security selected by an Independent Investment Banker as having a maturity comparable to the remaining term of the Securities that would be utilized, at the time of selection and in accordance with customary financial practice, in pricing new issues of corporate debt securities of comparable maturity to the remaining term of the Securities.</w:t>
      </w:r>
    </w:p>
    <w:p>
      <w:pPr>
        <w:spacing w:after="0" w:line="73" w:lineRule="exact"/>
        <w:rPr>
          <w:sz w:val="20"/>
          <w:szCs w:val="20"/>
          <w:color w:val="auto"/>
        </w:rPr>
      </w:pPr>
    </w:p>
    <w:p>
      <w:pPr>
        <w:ind w:right="200" w:firstLine="225"/>
        <w:spacing w:after="0" w:line="286" w:lineRule="auto"/>
        <w:rPr>
          <w:sz w:val="20"/>
          <w:szCs w:val="20"/>
          <w:color w:val="auto"/>
        </w:rPr>
      </w:pPr>
      <w:r>
        <w:rPr>
          <w:rFonts w:ascii="Arial" w:cs="Arial" w:eastAsia="Arial" w:hAnsi="Arial"/>
          <w:sz w:val="17"/>
          <w:szCs w:val="17"/>
          <w:color w:val="auto"/>
        </w:rPr>
        <w:t>“Independent Investment Banker” means any of Banc of America Securities LLC, J.P. Morgan Securities Inc. and Greenwich Capital Markets, Inc. (and their respective successors), or, if all of such firms are unwilling or unable to select the applicable Comparable Treasury Issue, an independent investment banking institution of national standing appointed by the Trustee and reasonably acceptable to the Company.</w:t>
      </w:r>
    </w:p>
    <w:p>
      <w:pPr>
        <w:spacing w:after="0" w:line="57" w:lineRule="exact"/>
        <w:rPr>
          <w:sz w:val="20"/>
          <w:szCs w:val="20"/>
          <w:color w:val="auto"/>
        </w:rPr>
      </w:pPr>
    </w:p>
    <w:p>
      <w:pPr>
        <w:ind w:firstLine="225"/>
        <w:spacing w:after="0" w:line="273" w:lineRule="auto"/>
        <w:rPr>
          <w:sz w:val="20"/>
          <w:szCs w:val="20"/>
          <w:color w:val="auto"/>
        </w:rPr>
      </w:pPr>
      <w:r>
        <w:rPr>
          <w:rFonts w:ascii="Arial" w:cs="Arial" w:eastAsia="Arial" w:hAnsi="Arial"/>
          <w:sz w:val="17"/>
          <w:szCs w:val="17"/>
          <w:color w:val="auto"/>
        </w:rPr>
        <w:t>“Comparable Treasury Price” means, with respect to any Redemption Date, (i) the bid price for the Comparable Treasury Issue (expressed as a percentage of its principal amount) at 4:00 p.m., New York City time, on the third Business Day preceding such Redemption Date, as set forth on “Telerate Page 500” (or such other page as may replace Telerate Page 500), or (ii) if such page (or any successor page) is not displayed or does not contain such bid prices at such time (a) the average of the Reference Treasury Dealer Quotations obtained by the Trustee for such Redemption Date, after excluding the highest and lowest of all Reference Treasury Dealer Quotations obtained, or (b) if the Trustee obtains fewer than four such Reference Treasury Dealer Quotations, the average of all Reference Treasury Dealer Quotations obtained by the Trustee.</w:t>
      </w:r>
    </w:p>
    <w:p>
      <w:pPr>
        <w:spacing w:after="0" w:line="70" w:lineRule="exact"/>
        <w:rPr>
          <w:sz w:val="20"/>
          <w:szCs w:val="20"/>
          <w:color w:val="auto"/>
        </w:rPr>
      </w:pPr>
    </w:p>
    <w:p>
      <w:pPr>
        <w:ind w:right="40" w:firstLine="225"/>
        <w:spacing w:after="0" w:line="312" w:lineRule="auto"/>
        <w:rPr>
          <w:sz w:val="20"/>
          <w:szCs w:val="20"/>
          <w:color w:val="auto"/>
        </w:rPr>
      </w:pPr>
      <w:r>
        <w:rPr>
          <w:rFonts w:ascii="Arial" w:cs="Arial" w:eastAsia="Arial" w:hAnsi="Arial"/>
          <w:sz w:val="16"/>
          <w:szCs w:val="16"/>
          <w:color w:val="auto"/>
        </w:rPr>
        <w:t>“Reference Treasury Dealer” means (i) each of Banc of America Securities LLC, J.P. Morgan Securities Inc. and Greenwich Capital Markets, Inc. (and their respective successors), unless any of them ceases to be a primary U.S. Government securities dealer in New York City (a “Primary Treasury Dealer”), in which case the Company will substitute therefor another Primary Treasury Dealer, and (ii) any other Primary Treasury Dealer selected by the Company.</w:t>
      </w:r>
    </w:p>
    <w:p>
      <w:pPr>
        <w:spacing w:after="0" w:line="39" w:lineRule="exact"/>
        <w:rPr>
          <w:sz w:val="20"/>
          <w:szCs w:val="20"/>
          <w:color w:val="auto"/>
        </w:rPr>
      </w:pPr>
    </w:p>
    <w:p>
      <w:pPr>
        <w:ind w:right="120" w:firstLine="225"/>
        <w:spacing w:after="0" w:line="277" w:lineRule="auto"/>
        <w:rPr>
          <w:sz w:val="20"/>
          <w:szCs w:val="20"/>
          <w:color w:val="auto"/>
        </w:rPr>
      </w:pPr>
      <w:r>
        <w:rPr>
          <w:rFonts w:ascii="Arial" w:cs="Arial" w:eastAsia="Arial" w:hAnsi="Arial"/>
          <w:sz w:val="18"/>
          <w:szCs w:val="18"/>
          <w:color w:val="auto"/>
        </w:rPr>
        <w:t>“Reference Treasury Dealer Quotations” means, with respect to each Reference Treasury Dealer and any Redemption Date for the Securities, an average, as determined by the Trustee, of</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50" w:name="page51"/>
    <w:bookmarkEnd w:id="50"/>
    <w:p>
      <w:pPr>
        <w:ind w:right="320"/>
        <w:spacing w:after="0" w:line="342" w:lineRule="auto"/>
        <w:rPr>
          <w:sz w:val="20"/>
          <w:szCs w:val="20"/>
          <w:color w:val="auto"/>
        </w:rPr>
      </w:pPr>
      <w:r>
        <w:rPr>
          <w:rFonts w:ascii="Arial" w:cs="Arial" w:eastAsia="Arial" w:hAnsi="Arial"/>
          <w:sz w:val="16"/>
          <w:szCs w:val="16"/>
          <w:color w:val="auto"/>
        </w:rPr>
        <w:t>the bid and asked prices for the Comparable Treasury Issue for the Securities (expressed in each case as a percentage of its principal amount) quoted in writing to the Trustee by such Reference Treasury Dealer at 5:00 p.m., New York City time, on the third Business Day preceding such Redemption Date.</w:t>
      </w:r>
    </w:p>
    <w:p>
      <w:pPr>
        <w:spacing w:after="0" w:line="16" w:lineRule="exact"/>
        <w:rPr>
          <w:sz w:val="20"/>
          <w:szCs w:val="20"/>
          <w:color w:val="auto"/>
        </w:rPr>
      </w:pPr>
    </w:p>
    <w:p>
      <w:pPr>
        <w:ind w:left="240"/>
        <w:spacing w:after="0"/>
        <w:rPr>
          <w:sz w:val="20"/>
          <w:szCs w:val="20"/>
          <w:color w:val="auto"/>
        </w:rPr>
      </w:pPr>
      <w:r>
        <w:rPr>
          <w:rFonts w:ascii="Arial" w:cs="Arial" w:eastAsia="Arial" w:hAnsi="Arial"/>
          <w:sz w:val="16"/>
          <w:szCs w:val="16"/>
          <w:color w:val="auto"/>
        </w:rPr>
        <w:t>Except as set forth above, the Securities will not be redeemable prior to their Stated Maturity and will not be entitled to the benefit of any sinking fund.</w:t>
      </w:r>
    </w:p>
    <w:p>
      <w:pPr>
        <w:spacing w:after="0" w:line="14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Securities may be redeemed in part in a minimum principal amount of $2,000, or any integral of $1,000 in excess thereof.</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Any such redemption will also comply with Article Eleven of the Indenture.</w:t>
      </w:r>
    </w:p>
    <w:p>
      <w:pPr>
        <w:spacing w:after="0" w:line="117" w:lineRule="exact"/>
        <w:rPr>
          <w:sz w:val="20"/>
          <w:szCs w:val="20"/>
          <w:color w:val="auto"/>
        </w:rPr>
      </w:pPr>
    </w:p>
    <w:p>
      <w:pPr>
        <w:ind w:left="420" w:hanging="187"/>
        <w:spacing w:after="0"/>
        <w:tabs>
          <w:tab w:leader="none" w:pos="420" w:val="left"/>
        </w:tabs>
        <w:numPr>
          <w:ilvl w:val="0"/>
          <w:numId w:val="48"/>
        </w:numPr>
        <w:rPr>
          <w:rFonts w:ascii="Arial" w:cs="Arial" w:eastAsia="Arial" w:hAnsi="Arial"/>
          <w:sz w:val="18"/>
          <w:szCs w:val="18"/>
          <w:color w:val="auto"/>
        </w:rPr>
      </w:pPr>
      <w:r>
        <w:rPr>
          <w:rFonts w:ascii="Arial" w:cs="Arial" w:eastAsia="Arial" w:hAnsi="Arial"/>
          <w:sz w:val="18"/>
          <w:szCs w:val="18"/>
          <w:i w:val="1"/>
          <w:iCs w:val="1"/>
          <w:color w:val="auto"/>
        </w:rPr>
        <w:t>Change of Control Offer</w:t>
      </w:r>
    </w:p>
    <w:p>
      <w:pPr>
        <w:spacing w:after="0" w:line="117"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color w:val="auto"/>
        </w:rPr>
        <w:t>If a Change of Control Triggering Event occurs, unless the Company has exercised its option to redeem the Securities as described in Section 5, the Company shall make an offer (a “Change of Control Offer”) to each Holder of the Securities to repurchase all or any part (equal to $2,000 or an integral multiple of $1,000 in excess thereof) of that Holder’s Securities on the terms set forth herein. In a Change of Control Offer, the Company shall offer payment in cash equal to 101% of the aggregate principal amount of Securities repurchased (a “Change of Control Payment”), plus accrued and unpaid interest, if any, on the Securities repurchased to the date of repurchase, subject to the right of holders of record on the applicable record date to receive interest due on the next Interest Payment Date.</w:t>
      </w:r>
    </w:p>
    <w:p>
      <w:pPr>
        <w:spacing w:after="0" w:line="85" w:lineRule="exact"/>
        <w:rPr>
          <w:sz w:val="20"/>
          <w:szCs w:val="20"/>
          <w:color w:val="auto"/>
        </w:rPr>
      </w:pPr>
    </w:p>
    <w:p>
      <w:pPr>
        <w:ind w:right="340" w:firstLine="222"/>
        <w:spacing w:after="0" w:line="293" w:lineRule="auto"/>
        <w:rPr>
          <w:sz w:val="20"/>
          <w:szCs w:val="20"/>
          <w:color w:val="auto"/>
        </w:rPr>
      </w:pPr>
      <w:r>
        <w:rPr>
          <w:rFonts w:ascii="Arial" w:cs="Arial" w:eastAsia="Arial" w:hAnsi="Arial"/>
          <w:sz w:val="16"/>
          <w:szCs w:val="16"/>
          <w:color w:val="auto"/>
        </w:rPr>
        <w:t>Within 30 days following any Change of Control Triggering Event or, at the Company’s option, prior to any Change of Control, but after public announcement of the transaction that constitutes or may constitute the Change of Control, the Company shall mail a notice to Holders of the Securities describing the transaction that constitutes or may constitute the Change of Control Triggering Event and offer to repurchase such Securities on the date specified in the applicable notice, which date shall be no earlier than 30 days and no later than 60 days from the date such notice is mailed (a “Change of Control Payment Date”). The notice may, if mailed prior to the date of consummation of the Change of Control, state that the Change of Control Offer is conditioned on the Change of Control Triggering Event occurring on or prior to the applicable Change of Control Payment Date.</w:t>
      </w:r>
    </w:p>
    <w:p>
      <w:pPr>
        <w:spacing w:after="0" w:line="5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Upon the Change of Control Payment Date, the Company shall, to the extent lawful:</w:t>
      </w:r>
    </w:p>
    <w:p>
      <w:pPr>
        <w:spacing w:after="0" w:line="117" w:lineRule="exact"/>
        <w:rPr>
          <w:sz w:val="20"/>
          <w:szCs w:val="20"/>
          <w:color w:val="auto"/>
        </w:rPr>
      </w:pPr>
    </w:p>
    <w:p>
      <w:pPr>
        <w:ind w:left="660" w:hanging="436"/>
        <w:spacing w:after="0"/>
        <w:tabs>
          <w:tab w:leader="none" w:pos="660" w:val="left"/>
        </w:tabs>
        <w:numPr>
          <w:ilvl w:val="0"/>
          <w:numId w:val="49"/>
        </w:numPr>
        <w:rPr>
          <w:rFonts w:ascii="Arial" w:cs="Arial" w:eastAsia="Arial" w:hAnsi="Arial"/>
          <w:sz w:val="17"/>
          <w:szCs w:val="17"/>
          <w:b w:val="1"/>
          <w:bCs w:val="1"/>
          <w:color w:val="auto"/>
        </w:rPr>
      </w:pPr>
      <w:r>
        <w:rPr>
          <w:rFonts w:ascii="Arial" w:cs="Arial" w:eastAsia="Arial" w:hAnsi="Arial"/>
          <w:sz w:val="17"/>
          <w:szCs w:val="17"/>
          <w:color w:val="auto"/>
        </w:rPr>
        <w:t>accept for payment all Securities or portions of Securities properly tendered and not withdrawn pursuant to the Change of Control Offer;</w:t>
      </w:r>
    </w:p>
    <w:p>
      <w:pPr>
        <w:spacing w:after="0" w:line="142" w:lineRule="exact"/>
        <w:rPr>
          <w:rFonts w:ascii="Arial" w:cs="Arial" w:eastAsia="Arial" w:hAnsi="Arial"/>
          <w:sz w:val="17"/>
          <w:szCs w:val="17"/>
          <w:b w:val="1"/>
          <w:bCs w:val="1"/>
          <w:color w:val="auto"/>
        </w:rPr>
      </w:pPr>
    </w:p>
    <w:p>
      <w:pPr>
        <w:ind w:left="660" w:right="400" w:hanging="436"/>
        <w:spacing w:after="0" w:line="277" w:lineRule="auto"/>
        <w:tabs>
          <w:tab w:leader="none" w:pos="660" w:val="left"/>
        </w:tabs>
        <w:numPr>
          <w:ilvl w:val="0"/>
          <w:numId w:val="49"/>
        </w:numPr>
        <w:rPr>
          <w:rFonts w:ascii="Arial" w:cs="Arial" w:eastAsia="Arial" w:hAnsi="Arial"/>
          <w:sz w:val="18"/>
          <w:szCs w:val="18"/>
          <w:b w:val="1"/>
          <w:bCs w:val="1"/>
          <w:color w:val="auto"/>
        </w:rPr>
      </w:pPr>
      <w:r>
        <w:rPr>
          <w:rFonts w:ascii="Arial" w:cs="Arial" w:eastAsia="Arial" w:hAnsi="Arial"/>
          <w:sz w:val="18"/>
          <w:szCs w:val="18"/>
          <w:color w:val="auto"/>
        </w:rPr>
        <w:t>deposit with the Paying Agent an amount equal to the Change of Control Payment in respect of all Securities or portions of Securities properly tendered; and</w:t>
      </w:r>
    </w:p>
    <w:p>
      <w:pPr>
        <w:spacing w:after="0" w:line="75" w:lineRule="exact"/>
        <w:rPr>
          <w:rFonts w:ascii="Arial" w:cs="Arial" w:eastAsia="Arial" w:hAnsi="Arial"/>
          <w:sz w:val="18"/>
          <w:szCs w:val="18"/>
          <w:b w:val="1"/>
          <w:bCs w:val="1"/>
          <w:color w:val="auto"/>
        </w:rPr>
      </w:pPr>
    </w:p>
    <w:p>
      <w:pPr>
        <w:ind w:left="660" w:right="100" w:hanging="436"/>
        <w:spacing w:after="0" w:line="277" w:lineRule="auto"/>
        <w:tabs>
          <w:tab w:leader="none" w:pos="660" w:val="left"/>
        </w:tabs>
        <w:numPr>
          <w:ilvl w:val="0"/>
          <w:numId w:val="49"/>
        </w:numPr>
        <w:rPr>
          <w:rFonts w:ascii="Arial" w:cs="Arial" w:eastAsia="Arial" w:hAnsi="Arial"/>
          <w:sz w:val="18"/>
          <w:szCs w:val="18"/>
          <w:b w:val="1"/>
          <w:bCs w:val="1"/>
          <w:color w:val="auto"/>
        </w:rPr>
      </w:pPr>
      <w:r>
        <w:rPr>
          <w:rFonts w:ascii="Arial" w:cs="Arial" w:eastAsia="Arial" w:hAnsi="Arial"/>
          <w:sz w:val="18"/>
          <w:szCs w:val="18"/>
          <w:color w:val="auto"/>
        </w:rPr>
        <w:t>deliver or cause to be delivered to the Trustee the Securities properly accepted together with an Officers’ Certificate stating the aggregate principal amount of Securities or portions of Securities being repurchased.</w:t>
      </w:r>
    </w:p>
    <w:p>
      <w:pPr>
        <w:spacing w:after="0" w:line="14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36" w:right="319" w:bottom="1440" w:gutter="0" w:footer="0" w:header="0"/>
        </w:sectPr>
      </w:pPr>
    </w:p>
    <w:bookmarkStart w:id="51" w:name="page52"/>
    <w:bookmarkEnd w:id="51"/>
    <w:p>
      <w:pPr>
        <w:ind w:firstLine="222"/>
        <w:spacing w:after="0" w:line="257" w:lineRule="auto"/>
        <w:rPr>
          <w:sz w:val="20"/>
          <w:szCs w:val="20"/>
          <w:color w:val="auto"/>
        </w:rPr>
      </w:pPr>
      <w:r>
        <w:rPr>
          <w:rFonts w:ascii="Arial" w:cs="Arial" w:eastAsia="Arial" w:hAnsi="Arial"/>
          <w:sz w:val="18"/>
          <w:szCs w:val="18"/>
          <w:color w:val="auto"/>
        </w:rPr>
        <w:t>The Company need not make a Change of Control Offer upon the occurrence of a Change of Control Triggering Event if a third party makes such an offer in the manner, at the times and otherwise in compliance with the requirements for an offer made by the Company and the third party repurchases all Securities properly tendered and not withdrawn under its offer. In addition, the Company shall not repurchase any Securities if there has occurred and is continuing on the Change of Control Payment Date an Event of Default under the Indenture, other than a default in the payment of the Change of Control Payment upon a Change of Control Triggering Event.</w:t>
      </w:r>
    </w:p>
    <w:p>
      <w:pPr>
        <w:spacing w:after="0" w:line="80" w:lineRule="exact"/>
        <w:rPr>
          <w:sz w:val="20"/>
          <w:szCs w:val="20"/>
          <w:color w:val="auto"/>
        </w:rPr>
      </w:pPr>
    </w:p>
    <w:p>
      <w:pPr>
        <w:ind w:right="40" w:firstLine="222"/>
        <w:spacing w:after="0" w:line="276" w:lineRule="auto"/>
        <w:rPr>
          <w:sz w:val="20"/>
          <w:szCs w:val="20"/>
          <w:color w:val="auto"/>
        </w:rPr>
      </w:pPr>
      <w:r>
        <w:rPr>
          <w:rFonts w:ascii="Arial" w:cs="Arial" w:eastAsia="Arial" w:hAnsi="Arial"/>
          <w:sz w:val="17"/>
          <w:szCs w:val="17"/>
          <w:color w:val="auto"/>
        </w:rPr>
        <w:t>The Company will comply with the applicable requirements of Rule 14e-1 under the Securities Exchange Act of 1934, as amended (the ‘‘Exchange Act’’), and any other securities laws and regulations thereunder to the extent those laws and regulations are applicable in connection with the repurchase of the Securities as a result of a Change of Control Triggering Event. To the extent that the provisions of any securities laws or regulations conflict with the Change of Control Offer provisions of this Security, the Company may comply with those securities laws and regulations and, if so, will not be deemed to have breached its obligations under the Change of Control Offer provisions of this Security by virtue of any such conflict.</w:t>
      </w:r>
    </w:p>
    <w:p>
      <w:pPr>
        <w:spacing w:after="0" w:line="6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For purposes of the Change of Control Offer provisions of the Securities, the following terms are applicable:</w:t>
      </w:r>
    </w:p>
    <w:p>
      <w:pPr>
        <w:spacing w:after="0" w:line="117" w:lineRule="exact"/>
        <w:rPr>
          <w:sz w:val="20"/>
          <w:szCs w:val="20"/>
          <w:color w:val="auto"/>
        </w:rPr>
      </w:pPr>
    </w:p>
    <w:p>
      <w:pPr>
        <w:ind w:right="80" w:firstLine="225"/>
        <w:spacing w:after="0" w:line="268" w:lineRule="auto"/>
        <w:rPr>
          <w:sz w:val="20"/>
          <w:szCs w:val="20"/>
          <w:color w:val="auto"/>
        </w:rPr>
      </w:pPr>
      <w:r>
        <w:rPr>
          <w:rFonts w:ascii="Arial" w:cs="Arial" w:eastAsia="Arial" w:hAnsi="Arial"/>
          <w:sz w:val="17"/>
          <w:szCs w:val="17"/>
          <w:color w:val="auto"/>
        </w:rPr>
        <w:t>“Change of Control” means the occurrence of any of the following: (1) the direct or indirect sale, lease, transfer, conveyance or other disposition (other than by way of merger or consolidation), in one or more series of related transactions, of all or substantially all of the Company’s assets and the assets of its Subsidiaries, taken as a whole, to any person, other than the Company or one of its Subsidiaries; (2) the consummation of any transaction (including, without limitation, any merger or consolidation) the result of which is that any person becomes the beneficial owner (as defined in Rules 13d-3 and 13d-5 under the Exchange Act), directly or indirectly, of more than 50% of the outstanding Voting Stock of the Company or other Voting Stock into which the Company’s Voting Stock is reclassified, consolidated, exchanged or changed, measured by voting power rather than number of shares; (3) the Company consolidates with, or merges with or into, any person, or any person consolidates with, or merges with or into, the Company, in any such event pursuant to a transaction in which any of the outstanding Voting Stock of the Company or the Voting Stock of such other person is converted into or exchanged for cash, securities or other property, other than any such transaction where the shares of the Voting Stock of the Company outstanding immediately prior to such transaction constitute, or are converted into or exchanged for, a majority of the Voting Stock of the surviving person or any direct or indirect parent company of the surviving person, measured by voting power rather than number of shares, immediately after giving effect to such transaction; (4) the first day on which a majority of the members of the Board of Directors of the Company are not Continuing Directors; or (5) the adoption of a plan relating to the liquidation or dissolution of the Company.</w:t>
      </w:r>
    </w:p>
    <w:p>
      <w:pPr>
        <w:spacing w:after="0" w:line="80" w:lineRule="exact"/>
        <w:rPr>
          <w:sz w:val="20"/>
          <w:szCs w:val="20"/>
          <w:color w:val="auto"/>
        </w:rPr>
      </w:pPr>
    </w:p>
    <w:p>
      <w:pPr>
        <w:ind w:right="380" w:firstLine="225"/>
        <w:spacing w:after="0" w:line="288" w:lineRule="auto"/>
        <w:rPr>
          <w:sz w:val="20"/>
          <w:szCs w:val="20"/>
          <w:color w:val="auto"/>
        </w:rPr>
      </w:pPr>
      <w:r>
        <w:rPr>
          <w:rFonts w:ascii="Arial" w:cs="Arial" w:eastAsia="Arial" w:hAnsi="Arial"/>
          <w:sz w:val="16"/>
          <w:szCs w:val="16"/>
          <w:color w:val="auto"/>
        </w:rPr>
        <w:t>Notwithstanding the preceding, a transaction will not be deemed to involve a Change of Control under clause (2) above if (i) the Company becomes a direct or indirect wholly-owned subsidiary of a holding company and (ii)(A) the direct or indirect holders of the Voting Stock of such holding company immediately following that transaction are substantially the same as the holders of Voting Stock of the Company immediately prior to that transaction or</w:t>
      </w:r>
    </w:p>
    <w:p>
      <w:pPr>
        <w:ind w:right="200" w:firstLine="8"/>
        <w:spacing w:after="0" w:line="255" w:lineRule="auto"/>
        <w:tabs>
          <w:tab w:leader="none" w:pos="285" w:val="left"/>
        </w:tabs>
        <w:numPr>
          <w:ilvl w:val="0"/>
          <w:numId w:val="50"/>
        </w:numPr>
        <w:rPr>
          <w:rFonts w:ascii="Arial" w:cs="Arial" w:eastAsia="Arial" w:hAnsi="Arial"/>
          <w:sz w:val="18"/>
          <w:szCs w:val="18"/>
          <w:color w:val="auto"/>
        </w:rPr>
      </w:pPr>
      <w:r>
        <w:rPr>
          <w:rFonts w:ascii="Arial" w:cs="Arial" w:eastAsia="Arial" w:hAnsi="Arial"/>
          <w:sz w:val="18"/>
          <w:szCs w:val="18"/>
          <w:color w:val="auto"/>
        </w:rPr>
        <w:t>immediately following that transaction no person (other than a holding company satisfying the requirements of this sentence) is the beneficial owner, directly or indirectly, of more than 50% of the Voting Stock of such holding company. The term ‘‘person,’’ as used in this definition, has the meaning given thereto in Section 13(d)(3) of the Exchange Act.</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52" w:name="page53"/>
    <w:bookmarkEnd w:id="52"/>
    <w:p>
      <w:pPr>
        <w:ind w:left="240"/>
        <w:spacing w:after="0"/>
        <w:rPr>
          <w:sz w:val="20"/>
          <w:szCs w:val="20"/>
          <w:color w:val="auto"/>
        </w:rPr>
      </w:pPr>
      <w:r>
        <w:rPr>
          <w:rFonts w:ascii="Arial" w:cs="Arial" w:eastAsia="Arial" w:hAnsi="Arial"/>
          <w:sz w:val="18"/>
          <w:szCs w:val="18"/>
          <w:color w:val="auto"/>
        </w:rPr>
        <w:t>“Change of Control Triggering Event” means the occurrence of both a Change of Control and a Rating Event.</w:t>
      </w:r>
    </w:p>
    <w:p>
      <w:pPr>
        <w:spacing w:after="0" w:line="117" w:lineRule="exact"/>
        <w:rPr>
          <w:sz w:val="20"/>
          <w:szCs w:val="20"/>
          <w:color w:val="auto"/>
        </w:rPr>
      </w:pPr>
    </w:p>
    <w:p>
      <w:pPr>
        <w:ind w:right="40" w:firstLine="225"/>
        <w:spacing w:after="0" w:line="257" w:lineRule="auto"/>
        <w:rPr>
          <w:sz w:val="20"/>
          <w:szCs w:val="20"/>
          <w:color w:val="auto"/>
        </w:rPr>
      </w:pPr>
      <w:r>
        <w:rPr>
          <w:rFonts w:ascii="Arial" w:cs="Arial" w:eastAsia="Arial" w:hAnsi="Arial"/>
          <w:sz w:val="18"/>
          <w:szCs w:val="18"/>
          <w:color w:val="auto"/>
        </w:rPr>
        <w:t>“Continuing Directors” means, as of any date of determination, any member of the Board of Directors of the Company who (1) was a member of such Board of Directors on the date the Securities were issued or (2) was nominated for election, elected or appointed to such Board of Directors with the approval of a majority of the Continuing Directors who were members of such Board of Directors at the time of such nomination, election or appointment (either by a specific vote or by approval of the Company’s proxy statement in which such member was named as a nominee for election as a director, without objection to such nomination).</w:t>
      </w:r>
    </w:p>
    <w:p>
      <w:pPr>
        <w:spacing w:after="0" w:line="8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“Fitch” means Fitch Inc. and its successors.</w:t>
      </w:r>
    </w:p>
    <w:p>
      <w:pPr>
        <w:spacing w:after="0" w:line="117" w:lineRule="exact"/>
        <w:rPr>
          <w:sz w:val="20"/>
          <w:szCs w:val="20"/>
          <w:color w:val="auto"/>
        </w:rPr>
      </w:pPr>
    </w:p>
    <w:p>
      <w:pPr>
        <w:ind w:right="60" w:firstLine="225"/>
        <w:spacing w:after="0" w:line="342" w:lineRule="auto"/>
        <w:rPr>
          <w:sz w:val="20"/>
          <w:szCs w:val="20"/>
          <w:color w:val="auto"/>
        </w:rPr>
      </w:pPr>
      <w:r>
        <w:rPr>
          <w:rFonts w:ascii="Arial" w:cs="Arial" w:eastAsia="Arial" w:hAnsi="Arial"/>
          <w:sz w:val="16"/>
          <w:szCs w:val="16"/>
          <w:color w:val="auto"/>
        </w:rPr>
        <w:t>“Investment Grade Rating” means a rating equal to or higher than BBB- (or the equivalent) by Fitch, Baa3 (or the equivalent) by Moody’s and BBB- (or the equivalent) by S&amp;P, and the equivalent investment grade credit rating from any replacement Rating Agency or Rating Agencies selected by the Company.</w:t>
      </w:r>
    </w:p>
    <w:p>
      <w:pPr>
        <w:spacing w:after="0" w:line="1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“Moody’s” means Moody’s Investors Service, Inc. and its successors.</w:t>
      </w:r>
    </w:p>
    <w:p>
      <w:pPr>
        <w:spacing w:after="0" w:line="117" w:lineRule="exact"/>
        <w:rPr>
          <w:sz w:val="20"/>
          <w:szCs w:val="20"/>
          <w:color w:val="auto"/>
        </w:rPr>
      </w:pPr>
    </w:p>
    <w:p>
      <w:pPr>
        <w:ind w:right="280" w:firstLine="225"/>
        <w:spacing w:after="0" w:line="259" w:lineRule="auto"/>
        <w:rPr>
          <w:sz w:val="20"/>
          <w:szCs w:val="20"/>
          <w:color w:val="auto"/>
        </w:rPr>
      </w:pPr>
      <w:r>
        <w:rPr>
          <w:rFonts w:ascii="Arial" w:cs="Arial" w:eastAsia="Arial" w:hAnsi="Arial"/>
          <w:sz w:val="18"/>
          <w:szCs w:val="18"/>
          <w:color w:val="auto"/>
        </w:rPr>
        <w:t>“Rating Agencies” means (1) each of Fitch, Moody’s and S&amp;P and (2) if any of Fitch, Moody’s or S&amp;P ceases to rate the Securities or fails to make a rating of the Securities publicly available for reasons outside of the Company’s control, a ‘‘nationally recognized statistical rating organization’’ within the meaning of Rule 15c3-1(c)(2)(vi)(F) under the Exchange Act selected by the Company (as certified by a resolution of our Board of Directors) as a replacement agency for Fitch, Moody’s or S&amp;P, or all of them, as the case may be.</w:t>
      </w:r>
    </w:p>
    <w:p>
      <w:pPr>
        <w:spacing w:after="0" w:line="79" w:lineRule="exact"/>
        <w:rPr>
          <w:sz w:val="20"/>
          <w:szCs w:val="20"/>
          <w:color w:val="auto"/>
        </w:rPr>
      </w:pPr>
    </w:p>
    <w:p>
      <w:pPr>
        <w:ind w:firstLine="225"/>
        <w:spacing w:after="0" w:line="257" w:lineRule="auto"/>
        <w:rPr>
          <w:sz w:val="20"/>
          <w:szCs w:val="20"/>
          <w:color w:val="auto"/>
        </w:rPr>
      </w:pPr>
      <w:r>
        <w:rPr>
          <w:rFonts w:ascii="Arial" w:cs="Arial" w:eastAsia="Arial" w:hAnsi="Arial"/>
          <w:sz w:val="18"/>
          <w:szCs w:val="18"/>
          <w:color w:val="auto"/>
        </w:rPr>
        <w:t>“Rating Event” means the rating on the Securities is lowered by at least two of the three Rating Agencies and the Securities are rated below an Investment Grade Rating by at least two of the three Rating Agencies, in any case on any day during the period (which period will be extended so long as the rating of the Securities is under publicly announced consideration for a possible downgrade by any of the rating agencies) commencing 60 days prior to the first public notice of the occurrence of a Change of Control or the Company’s intention to effect a Change of Control and ending 60 days following consummation of such Change of Control.</w:t>
      </w:r>
    </w:p>
    <w:p>
      <w:pPr>
        <w:spacing w:after="0" w:line="8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“S&amp;P” means Standard &amp; Poor’s Ratings Services, a division of The McGraw-Hill Companies, Inc., and its successors.</w:t>
      </w:r>
    </w:p>
    <w:p>
      <w:pPr>
        <w:spacing w:after="0" w:line="117" w:lineRule="exact"/>
        <w:rPr>
          <w:sz w:val="20"/>
          <w:szCs w:val="20"/>
          <w:color w:val="auto"/>
        </w:rPr>
      </w:pPr>
    </w:p>
    <w:p>
      <w:pPr>
        <w:ind w:right="360" w:firstLine="225"/>
        <w:spacing w:after="0" w:line="277" w:lineRule="auto"/>
        <w:rPr>
          <w:sz w:val="20"/>
          <w:szCs w:val="20"/>
          <w:color w:val="auto"/>
        </w:rPr>
      </w:pPr>
      <w:r>
        <w:rPr>
          <w:rFonts w:ascii="Arial" w:cs="Arial" w:eastAsia="Arial" w:hAnsi="Arial"/>
          <w:sz w:val="18"/>
          <w:szCs w:val="18"/>
          <w:color w:val="auto"/>
        </w:rPr>
        <w:t>“Voting Stock” means, with respect to any specified ‘‘person’’ (as that term is used in Section 13(d)(3) of the Exchange Act) as of any date, the capital stock of such person that is at the time entitled to vote generally in the election of the board of directors of such person.</w:t>
      </w:r>
    </w:p>
    <w:p>
      <w:pPr>
        <w:spacing w:after="0" w:line="62" w:lineRule="exact"/>
        <w:rPr>
          <w:sz w:val="20"/>
          <w:szCs w:val="20"/>
          <w:color w:val="auto"/>
        </w:rPr>
      </w:pPr>
    </w:p>
    <w:p>
      <w:pPr>
        <w:ind w:left="420" w:hanging="187"/>
        <w:spacing w:after="0"/>
        <w:tabs>
          <w:tab w:leader="none" w:pos="420" w:val="left"/>
        </w:tabs>
        <w:numPr>
          <w:ilvl w:val="0"/>
          <w:numId w:val="51"/>
        </w:numPr>
        <w:rPr>
          <w:rFonts w:ascii="Arial" w:cs="Arial" w:eastAsia="Arial" w:hAnsi="Arial"/>
          <w:sz w:val="18"/>
          <w:szCs w:val="18"/>
          <w:color w:val="auto"/>
        </w:rPr>
      </w:pPr>
      <w:r>
        <w:rPr>
          <w:rFonts w:ascii="Arial" w:cs="Arial" w:eastAsia="Arial" w:hAnsi="Arial"/>
          <w:sz w:val="18"/>
          <w:szCs w:val="18"/>
          <w:i w:val="1"/>
          <w:iCs w:val="1"/>
          <w:color w:val="auto"/>
        </w:rPr>
        <w:t>Denominations; Transfer; Exchange.</w:t>
      </w:r>
    </w:p>
    <w:p>
      <w:pPr>
        <w:spacing w:after="0" w:line="117" w:lineRule="exact"/>
        <w:rPr>
          <w:sz w:val="20"/>
          <w:szCs w:val="20"/>
          <w:color w:val="auto"/>
        </w:rPr>
      </w:pPr>
    </w:p>
    <w:p>
      <w:pPr>
        <w:ind w:right="80" w:firstLine="222"/>
        <w:spacing w:after="0" w:line="277" w:lineRule="auto"/>
        <w:rPr>
          <w:sz w:val="20"/>
          <w:szCs w:val="20"/>
          <w:color w:val="auto"/>
        </w:rPr>
      </w:pPr>
      <w:r>
        <w:rPr>
          <w:rFonts w:ascii="Arial" w:cs="Arial" w:eastAsia="Arial" w:hAnsi="Arial"/>
          <w:sz w:val="18"/>
          <w:szCs w:val="18"/>
          <w:color w:val="auto"/>
        </w:rPr>
        <w:t>The Securities are issued in registered form, without coupons, in a minimum denomination of $2,000 and integral multiples of $1,000 in excess thereof. A Holder may</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53" w:name="page54"/>
    <w:bookmarkEnd w:id="53"/>
    <w:p>
      <w:pPr>
        <w:ind w:right="520"/>
        <w:spacing w:after="0" w:line="342" w:lineRule="auto"/>
        <w:rPr>
          <w:sz w:val="20"/>
          <w:szCs w:val="20"/>
          <w:color w:val="auto"/>
        </w:rPr>
      </w:pPr>
      <w:r>
        <w:rPr>
          <w:rFonts w:ascii="Arial" w:cs="Arial" w:eastAsia="Arial" w:hAnsi="Arial"/>
          <w:sz w:val="16"/>
          <w:szCs w:val="16"/>
          <w:color w:val="auto"/>
        </w:rPr>
        <w:t>register the transfer of, or exchange, Securities in accordance with the Indenture. The Securities Registrar may require a Holder, among other things, to furnish appropriate endorsements and transfer documents and to pay any taxes and fees required by law or permitted by the Indenture.</w:t>
      </w:r>
    </w:p>
    <w:p>
      <w:pPr>
        <w:spacing w:after="0" w:line="16" w:lineRule="exact"/>
        <w:rPr>
          <w:sz w:val="20"/>
          <w:szCs w:val="20"/>
          <w:color w:val="auto"/>
        </w:rPr>
      </w:pPr>
    </w:p>
    <w:p>
      <w:pPr>
        <w:ind w:left="420" w:hanging="187"/>
        <w:spacing w:after="0"/>
        <w:tabs>
          <w:tab w:leader="none" w:pos="420" w:val="left"/>
        </w:tabs>
        <w:numPr>
          <w:ilvl w:val="0"/>
          <w:numId w:val="52"/>
        </w:numPr>
        <w:rPr>
          <w:rFonts w:ascii="Arial" w:cs="Arial" w:eastAsia="Arial" w:hAnsi="Arial"/>
          <w:sz w:val="18"/>
          <w:szCs w:val="18"/>
          <w:color w:val="auto"/>
        </w:rPr>
      </w:pPr>
      <w:r>
        <w:rPr>
          <w:rFonts w:ascii="Arial" w:cs="Arial" w:eastAsia="Arial" w:hAnsi="Arial"/>
          <w:sz w:val="18"/>
          <w:szCs w:val="18"/>
          <w:i w:val="1"/>
          <w:iCs w:val="1"/>
          <w:color w:val="auto"/>
        </w:rPr>
        <w:t>Person Deemed Owners.</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registered Holder of a Security may be treated as the owner of it for all purposes.</w:t>
      </w:r>
    </w:p>
    <w:p>
      <w:pPr>
        <w:spacing w:after="0" w:line="117" w:lineRule="exact"/>
        <w:rPr>
          <w:sz w:val="20"/>
          <w:szCs w:val="20"/>
          <w:color w:val="auto"/>
        </w:rPr>
      </w:pPr>
    </w:p>
    <w:p>
      <w:pPr>
        <w:ind w:left="420" w:hanging="187"/>
        <w:spacing w:after="0"/>
        <w:tabs>
          <w:tab w:leader="none" w:pos="420" w:val="left"/>
        </w:tabs>
        <w:numPr>
          <w:ilvl w:val="0"/>
          <w:numId w:val="53"/>
        </w:numPr>
        <w:rPr>
          <w:rFonts w:ascii="Arial" w:cs="Arial" w:eastAsia="Arial" w:hAnsi="Arial"/>
          <w:sz w:val="18"/>
          <w:szCs w:val="18"/>
          <w:color w:val="auto"/>
        </w:rPr>
      </w:pPr>
      <w:r>
        <w:rPr>
          <w:rFonts w:ascii="Arial" w:cs="Arial" w:eastAsia="Arial" w:hAnsi="Arial"/>
          <w:sz w:val="18"/>
          <w:szCs w:val="18"/>
          <w:i w:val="1"/>
          <w:iCs w:val="1"/>
          <w:color w:val="auto"/>
        </w:rPr>
        <w:t>Amendment; Supplement; Waiver.</w:t>
      </w:r>
    </w:p>
    <w:p>
      <w:pPr>
        <w:spacing w:after="0" w:line="117"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color w:val="auto"/>
        </w:rPr>
        <w:t>Subject to certain exceptions, the Indenture may be amended or supplemented, and any existing Event of Default or compliance with any provision may be waived, with the consent of the Holders of a majority in principal amount of the Outstanding Securities of each series affected. Without consent of any Holder, the parties thereto may amend or supplement the Indenture or the Securities to, among other things, cure any ambiguity, defect or inconsistency, or make any other change that does not adversely affect the interests of any Holder of a Security. Any such consent or waiver by the Holder of this Security (unless revoked as provided in the Indenture) shall be conclusive and binding upon such Holder and upon all future Holders and owners of this Security and any Securities which may be issued in exchange or substitution herefor, irrespective of whether or not any notation thereof is made upon this Security or such other Securities.</w:t>
      </w:r>
    </w:p>
    <w:p>
      <w:pPr>
        <w:spacing w:after="0" w:line="81" w:lineRule="exact"/>
        <w:rPr>
          <w:sz w:val="20"/>
          <w:szCs w:val="20"/>
          <w:color w:val="auto"/>
        </w:rPr>
      </w:pPr>
    </w:p>
    <w:p>
      <w:pPr>
        <w:ind w:left="500" w:hanging="267"/>
        <w:spacing w:after="0"/>
        <w:tabs>
          <w:tab w:leader="none" w:pos="500" w:val="left"/>
        </w:tabs>
        <w:numPr>
          <w:ilvl w:val="0"/>
          <w:numId w:val="54"/>
        </w:numPr>
        <w:rPr>
          <w:rFonts w:ascii="Arial" w:cs="Arial" w:eastAsia="Arial" w:hAnsi="Arial"/>
          <w:sz w:val="18"/>
          <w:szCs w:val="18"/>
          <w:color w:val="auto"/>
        </w:rPr>
      </w:pPr>
      <w:r>
        <w:rPr>
          <w:rFonts w:ascii="Arial" w:cs="Arial" w:eastAsia="Arial" w:hAnsi="Arial"/>
          <w:sz w:val="18"/>
          <w:szCs w:val="18"/>
          <w:i w:val="1"/>
          <w:iCs w:val="1"/>
          <w:color w:val="auto"/>
        </w:rPr>
        <w:t>Defaults and Remedies.</w:t>
      </w:r>
    </w:p>
    <w:p>
      <w:pPr>
        <w:spacing w:after="0" w:line="117" w:lineRule="exact"/>
        <w:rPr>
          <w:sz w:val="20"/>
          <w:szCs w:val="20"/>
          <w:color w:val="auto"/>
        </w:rPr>
      </w:pPr>
    </w:p>
    <w:p>
      <w:pPr>
        <w:ind w:right="100" w:firstLine="225"/>
        <w:spacing w:after="0" w:line="284" w:lineRule="auto"/>
        <w:rPr>
          <w:sz w:val="20"/>
          <w:szCs w:val="20"/>
          <w:color w:val="auto"/>
        </w:rPr>
      </w:pPr>
      <w:r>
        <w:rPr>
          <w:rFonts w:ascii="Arial" w:cs="Arial" w:eastAsia="Arial" w:hAnsi="Arial"/>
          <w:sz w:val="16"/>
          <w:szCs w:val="16"/>
          <w:color w:val="auto"/>
        </w:rPr>
        <w:t>If an Event of Default with respect to the Securities occurs and is continuing, then in every such case the Trustee or the Holders of not less than 25% in principal amount of the Securities then Outstanding may declare the principal amount of all the Securities to be due and payable immediately in the manner and with the effect provided in the Indenture. Notwithstanding the preceding sentence, however, if at any time after such a declaration of acceleration has been made and before judgment or decree for payment of the money due has been obtained by the Trustee as provided in the Indenture, the Holders of a majority in principal amount of the Outstanding Securities, by written notice to the Company and to the Trustee, may rescind and annul such declaration and its consequences if (1) the Company has paid or deposited with the Trustee a sum sufficient to pay (A) all overdue interest on all Securities, (B) the principal of (and premium, if any, on) any Securities which has become due otherwise than by such declaration of acceleration and any interest thereon at the rate prescribed therefor herein, (C) to the extent that payment of such interest is lawful, interest upon overdue interest at the rate prescribed therefor herein, and</w:t>
      </w:r>
    </w:p>
    <w:p>
      <w:pPr>
        <w:spacing w:after="0" w:line="1" w:lineRule="exact"/>
        <w:rPr>
          <w:sz w:val="20"/>
          <w:szCs w:val="20"/>
          <w:color w:val="auto"/>
        </w:rPr>
      </w:pPr>
    </w:p>
    <w:p>
      <w:pPr>
        <w:ind w:right="60" w:firstLine="8"/>
        <w:spacing w:after="0" w:line="290" w:lineRule="auto"/>
        <w:tabs>
          <w:tab w:leader="none" w:pos="295" w:val="left"/>
        </w:tabs>
        <w:numPr>
          <w:ilvl w:val="0"/>
          <w:numId w:val="55"/>
        </w:numPr>
        <w:rPr>
          <w:rFonts w:ascii="Arial" w:cs="Arial" w:eastAsia="Arial" w:hAnsi="Arial"/>
          <w:sz w:val="16"/>
          <w:szCs w:val="16"/>
          <w:color w:val="auto"/>
        </w:rPr>
      </w:pPr>
      <w:r>
        <w:rPr>
          <w:rFonts w:ascii="Arial" w:cs="Arial" w:eastAsia="Arial" w:hAnsi="Arial"/>
          <w:sz w:val="16"/>
          <w:szCs w:val="16"/>
          <w:color w:val="auto"/>
        </w:rPr>
        <w:t>all sums paid or advanced by the Trustee and the reasonable compensation, expenses, disbursements and advances of the Trustee, its agents and counsel and (2) all Events of Default under the Indenture with respect to the Securities, other than the nonpayment of the principal of Securities which has become due solely by such declaration acceleration, shall have been cured or shall have been waived. No such rescission shall affect any subsequent Event of Default or shall impair any right consequent thereon. Holders of Securities may not enforce the Indenture or the Securities except as provided in the Indenture. The Trustee may require indemnity satisfactory to it before it enforces the Indenture or the Securities. Subject to certain limitations, Holders of a majority in aggregate principal amount of the Securities then outstanding may direct the Trustee in its exercise of any trust or power.</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54" w:name="page55"/>
    <w:bookmarkEnd w:id="54"/>
    <w:p>
      <w:pPr>
        <w:ind w:left="500" w:hanging="267"/>
        <w:spacing w:after="0"/>
        <w:tabs>
          <w:tab w:leader="none" w:pos="500" w:val="left"/>
        </w:tabs>
        <w:numPr>
          <w:ilvl w:val="0"/>
          <w:numId w:val="56"/>
        </w:numPr>
        <w:rPr>
          <w:rFonts w:ascii="Arial" w:cs="Arial" w:eastAsia="Arial" w:hAnsi="Arial"/>
          <w:sz w:val="18"/>
          <w:szCs w:val="18"/>
          <w:color w:val="auto"/>
        </w:rPr>
      </w:pPr>
      <w:r>
        <w:rPr>
          <w:rFonts w:ascii="Arial" w:cs="Arial" w:eastAsia="Arial" w:hAnsi="Arial"/>
          <w:sz w:val="18"/>
          <w:szCs w:val="18"/>
          <w:i w:val="1"/>
          <w:iCs w:val="1"/>
          <w:color w:val="auto"/>
        </w:rPr>
        <w:t>Trustee Dealings with Company.</w:t>
      </w:r>
    </w:p>
    <w:p>
      <w:pPr>
        <w:spacing w:after="0" w:line="117" w:lineRule="exact"/>
        <w:rPr>
          <w:sz w:val="20"/>
          <w:szCs w:val="20"/>
          <w:color w:val="auto"/>
        </w:rPr>
      </w:pPr>
    </w:p>
    <w:p>
      <w:pPr>
        <w:ind w:right="220" w:firstLine="222"/>
        <w:spacing w:after="0" w:line="342" w:lineRule="auto"/>
        <w:rPr>
          <w:sz w:val="20"/>
          <w:szCs w:val="20"/>
          <w:color w:val="auto"/>
        </w:rPr>
      </w:pPr>
      <w:r>
        <w:rPr>
          <w:rFonts w:ascii="Arial" w:cs="Arial" w:eastAsia="Arial" w:hAnsi="Arial"/>
          <w:sz w:val="16"/>
          <w:szCs w:val="16"/>
          <w:color w:val="auto"/>
        </w:rPr>
        <w:t>The Trustee under the Indenture, in its individual or any other capacity, may make loans to, accept deposits from, and perform services for the Company and its Affiliates and any subsidiary of the Company’s Affiliates, and may otherwise deal with the Company and its Affiliates as if it were not the Trustee.</w:t>
      </w:r>
    </w:p>
    <w:p>
      <w:pPr>
        <w:spacing w:after="0" w:line="16" w:lineRule="exact"/>
        <w:rPr>
          <w:sz w:val="20"/>
          <w:szCs w:val="20"/>
          <w:color w:val="auto"/>
        </w:rPr>
      </w:pPr>
    </w:p>
    <w:p>
      <w:pPr>
        <w:ind w:left="500" w:hanging="267"/>
        <w:spacing w:after="0"/>
        <w:tabs>
          <w:tab w:leader="none" w:pos="500"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Authentication.</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This Security shall not be valid until the Trustee or authenticating agent signs the certificate of authentication on the other side of this Security.</w:t>
      </w:r>
    </w:p>
    <w:p>
      <w:pPr>
        <w:spacing w:after="0" w:line="129" w:lineRule="exact"/>
        <w:rPr>
          <w:sz w:val="20"/>
          <w:szCs w:val="20"/>
          <w:color w:val="auto"/>
        </w:rPr>
      </w:pPr>
    </w:p>
    <w:p>
      <w:pPr>
        <w:ind w:left="500" w:hanging="267"/>
        <w:spacing w:after="0"/>
        <w:tabs>
          <w:tab w:leader="none" w:pos="500" w:val="left"/>
        </w:tabs>
        <w:numPr>
          <w:ilvl w:val="0"/>
          <w:numId w:val="58"/>
        </w:numPr>
        <w:rPr>
          <w:rFonts w:ascii="Arial" w:cs="Arial" w:eastAsia="Arial" w:hAnsi="Arial"/>
          <w:sz w:val="18"/>
          <w:szCs w:val="18"/>
          <w:color w:val="auto"/>
        </w:rPr>
      </w:pPr>
      <w:r>
        <w:rPr>
          <w:rFonts w:ascii="Arial" w:cs="Arial" w:eastAsia="Arial" w:hAnsi="Arial"/>
          <w:sz w:val="18"/>
          <w:szCs w:val="18"/>
          <w:i w:val="1"/>
          <w:iCs w:val="1"/>
          <w:color w:val="auto"/>
        </w:rPr>
        <w:t>Abbreviations and Defined Terms.</w:t>
      </w:r>
    </w:p>
    <w:p>
      <w:pPr>
        <w:spacing w:after="0" w:line="117" w:lineRule="exact"/>
        <w:rPr>
          <w:sz w:val="20"/>
          <w:szCs w:val="20"/>
          <w:color w:val="auto"/>
        </w:rPr>
      </w:pPr>
    </w:p>
    <w:p>
      <w:pPr>
        <w:ind w:firstLine="225"/>
        <w:spacing w:after="0" w:line="264" w:lineRule="auto"/>
        <w:rPr>
          <w:sz w:val="20"/>
          <w:szCs w:val="20"/>
          <w:color w:val="auto"/>
        </w:rPr>
      </w:pPr>
      <w:r>
        <w:rPr>
          <w:rFonts w:ascii="Arial" w:cs="Arial" w:eastAsia="Arial" w:hAnsi="Arial"/>
          <w:sz w:val="18"/>
          <w:szCs w:val="18"/>
          <w:color w:val="auto"/>
        </w:rPr>
        <w:t>Customary abbreviations may be used in the name of a Holder of a Security or an assignee, such as: TEN COM (tenant in common), TEN ENT (tenants by the entireties), JT TEN (joint tenants with right of survivorship and not as tenants in common), CUST (Custodian), and U/G/M/A (Uniform Gifts to Minors Act).</w:t>
      </w:r>
    </w:p>
    <w:p>
      <w:pPr>
        <w:spacing w:after="0" w:line="73" w:lineRule="exact"/>
        <w:rPr>
          <w:sz w:val="20"/>
          <w:szCs w:val="20"/>
          <w:color w:val="auto"/>
        </w:rPr>
      </w:pPr>
    </w:p>
    <w:p>
      <w:pPr>
        <w:ind w:left="500" w:hanging="267"/>
        <w:spacing w:after="0"/>
        <w:tabs>
          <w:tab w:leader="none" w:pos="500" w:val="left"/>
        </w:tabs>
        <w:numPr>
          <w:ilvl w:val="0"/>
          <w:numId w:val="59"/>
        </w:numPr>
        <w:rPr>
          <w:rFonts w:ascii="Arial" w:cs="Arial" w:eastAsia="Arial" w:hAnsi="Arial"/>
          <w:sz w:val="18"/>
          <w:szCs w:val="18"/>
          <w:color w:val="auto"/>
        </w:rPr>
      </w:pPr>
      <w:r>
        <w:rPr>
          <w:rFonts w:ascii="Arial" w:cs="Arial" w:eastAsia="Arial" w:hAnsi="Arial"/>
          <w:sz w:val="18"/>
          <w:szCs w:val="18"/>
          <w:i w:val="1"/>
          <w:iCs w:val="1"/>
          <w:color w:val="auto"/>
        </w:rPr>
        <w:t>CUSIP Numbers.</w:t>
      </w:r>
    </w:p>
    <w:p>
      <w:pPr>
        <w:spacing w:after="0" w:line="117" w:lineRule="exact"/>
        <w:rPr>
          <w:sz w:val="20"/>
          <w:szCs w:val="20"/>
          <w:color w:val="auto"/>
        </w:rPr>
      </w:pPr>
    </w:p>
    <w:p>
      <w:pPr>
        <w:ind w:right="60" w:firstLine="225"/>
        <w:spacing w:after="0" w:line="264" w:lineRule="auto"/>
        <w:rPr>
          <w:sz w:val="20"/>
          <w:szCs w:val="20"/>
          <w:color w:val="auto"/>
        </w:rPr>
      </w:pPr>
      <w:r>
        <w:rPr>
          <w:rFonts w:ascii="Arial" w:cs="Arial" w:eastAsia="Arial" w:hAnsi="Arial"/>
          <w:sz w:val="18"/>
          <w:szCs w:val="18"/>
          <w:color w:val="auto"/>
        </w:rPr>
        <w:t>Pursuant to a recommendation promulgated by the Committee on Uniform Note Identification Procedures, the Company has caused CUSIP numbers to be printed on the Securities as a convenience to the Holders of the Securities. No representation is made as to the accuracy of such number as printed on the Securities and reliance may be placed only on the other identification numbers printed hereon.</w:t>
      </w:r>
    </w:p>
    <w:p>
      <w:pPr>
        <w:spacing w:after="0" w:line="73" w:lineRule="exact"/>
        <w:rPr>
          <w:sz w:val="20"/>
          <w:szCs w:val="20"/>
          <w:color w:val="auto"/>
        </w:rPr>
      </w:pPr>
    </w:p>
    <w:p>
      <w:pPr>
        <w:ind w:left="500" w:hanging="267"/>
        <w:spacing w:after="0"/>
        <w:tabs>
          <w:tab w:leader="none" w:pos="500" w:val="left"/>
        </w:tabs>
        <w:numPr>
          <w:ilvl w:val="0"/>
          <w:numId w:val="60"/>
        </w:numPr>
        <w:rPr>
          <w:rFonts w:ascii="Arial" w:cs="Arial" w:eastAsia="Arial" w:hAnsi="Arial"/>
          <w:sz w:val="18"/>
          <w:szCs w:val="18"/>
          <w:color w:val="auto"/>
        </w:rPr>
      </w:pPr>
      <w:r>
        <w:rPr>
          <w:rFonts w:ascii="Arial" w:cs="Arial" w:eastAsia="Arial" w:hAnsi="Arial"/>
          <w:sz w:val="18"/>
          <w:szCs w:val="18"/>
          <w:i w:val="1"/>
          <w:iCs w:val="1"/>
          <w:color w:val="auto"/>
        </w:rPr>
        <w:t>Absolute Obligation.</w:t>
      </w:r>
    </w:p>
    <w:p>
      <w:pPr>
        <w:spacing w:after="0" w:line="117" w:lineRule="exact"/>
        <w:rPr>
          <w:sz w:val="20"/>
          <w:szCs w:val="20"/>
          <w:color w:val="auto"/>
        </w:rPr>
      </w:pPr>
    </w:p>
    <w:p>
      <w:pPr>
        <w:ind w:right="180" w:firstLine="225"/>
        <w:spacing w:after="0" w:line="264" w:lineRule="auto"/>
        <w:rPr>
          <w:sz w:val="20"/>
          <w:szCs w:val="20"/>
          <w:color w:val="auto"/>
        </w:rPr>
      </w:pPr>
      <w:r>
        <w:rPr>
          <w:rFonts w:ascii="Arial" w:cs="Arial" w:eastAsia="Arial" w:hAnsi="Arial"/>
          <w:sz w:val="18"/>
          <w:szCs w:val="18"/>
          <w:color w:val="auto"/>
        </w:rPr>
        <w:t>No reference herein to the Indenture and no provision of this Security or the Indenture shall alter or impair the obligation of the Company, which is absolute and unconditional, to pay the principal of, premium, if any, and interest on this Security in the manner, at the respective times, at the rate and in the coin or currency herein prescribed.</w:t>
      </w:r>
    </w:p>
    <w:p>
      <w:pPr>
        <w:spacing w:after="0" w:line="73" w:lineRule="exact"/>
        <w:rPr>
          <w:sz w:val="20"/>
          <w:szCs w:val="20"/>
          <w:color w:val="auto"/>
        </w:rPr>
      </w:pPr>
    </w:p>
    <w:p>
      <w:pPr>
        <w:ind w:left="500" w:hanging="267"/>
        <w:spacing w:after="0"/>
        <w:tabs>
          <w:tab w:leader="none" w:pos="500" w:val="left"/>
        </w:tabs>
        <w:numPr>
          <w:ilvl w:val="0"/>
          <w:numId w:val="61"/>
        </w:numPr>
        <w:rPr>
          <w:rFonts w:ascii="Arial" w:cs="Arial" w:eastAsia="Arial" w:hAnsi="Arial"/>
          <w:sz w:val="18"/>
          <w:szCs w:val="18"/>
          <w:color w:val="auto"/>
        </w:rPr>
      </w:pPr>
      <w:r>
        <w:rPr>
          <w:rFonts w:ascii="Arial" w:cs="Arial" w:eastAsia="Arial" w:hAnsi="Arial"/>
          <w:sz w:val="18"/>
          <w:szCs w:val="18"/>
          <w:i w:val="1"/>
          <w:iCs w:val="1"/>
          <w:color w:val="auto"/>
        </w:rPr>
        <w:t>No Recourse.</w:t>
      </w:r>
    </w:p>
    <w:p>
      <w:pPr>
        <w:spacing w:after="0" w:line="117" w:lineRule="exact"/>
        <w:rPr>
          <w:sz w:val="20"/>
          <w:szCs w:val="20"/>
          <w:color w:val="auto"/>
        </w:rPr>
      </w:pPr>
    </w:p>
    <w:p>
      <w:pPr>
        <w:ind w:right="40" w:firstLine="225"/>
        <w:spacing w:after="0" w:line="276" w:lineRule="auto"/>
        <w:rPr>
          <w:sz w:val="20"/>
          <w:szCs w:val="20"/>
          <w:color w:val="auto"/>
        </w:rPr>
      </w:pPr>
      <w:r>
        <w:rPr>
          <w:rFonts w:ascii="Arial" w:cs="Arial" w:eastAsia="Arial" w:hAnsi="Arial"/>
          <w:sz w:val="17"/>
          <w:szCs w:val="17"/>
          <w:color w:val="auto"/>
        </w:rPr>
        <w:t>No recourse under or upon any obligation, covenant or agreement contained in the Indenture or in any Security, or because of any indebtedness evidenced thereby, shall be had against any incorporator, past, present or future stockholder, officer or director, as such of the Company or of any successor, either directly or through the Company or of any successor, either directly or through the Company or any successor, under any rule of law, statute or constitutional provision or by the enforcement of any assessment or by any legal or equitable proceeding or otherwise, all such liability being expressly waived and released by the acceptance of the Security by the Holder and as part of the consideration for the issue of the Security.</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55" w:name="page56"/>
    <w:bookmarkEnd w:id="55"/>
    <w:p>
      <w:pPr>
        <w:ind w:left="500" w:hanging="267"/>
        <w:spacing w:after="0"/>
        <w:tabs>
          <w:tab w:leader="none" w:pos="500" w:val="left"/>
        </w:tabs>
        <w:numPr>
          <w:ilvl w:val="0"/>
          <w:numId w:val="62"/>
        </w:numPr>
        <w:rPr>
          <w:rFonts w:ascii="Arial" w:cs="Arial" w:eastAsia="Arial" w:hAnsi="Arial"/>
          <w:sz w:val="18"/>
          <w:szCs w:val="18"/>
          <w:color w:val="auto"/>
        </w:rPr>
      </w:pPr>
      <w:r>
        <w:rPr>
          <w:rFonts w:ascii="Arial" w:cs="Arial" w:eastAsia="Arial" w:hAnsi="Arial"/>
          <w:sz w:val="18"/>
          <w:szCs w:val="18"/>
          <w:i w:val="1"/>
          <w:iCs w:val="1"/>
          <w:color w:val="auto"/>
        </w:rPr>
        <w:t>Governing Law.</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This Security shall be construed in accordance with and governed by the laws of the State of New York.</w:t>
      </w:r>
    </w:p>
    <w:p>
      <w:pPr>
        <w:spacing w:after="0" w:line="117" w:lineRule="exact"/>
        <w:rPr>
          <w:sz w:val="20"/>
          <w:szCs w:val="20"/>
          <w:color w:val="auto"/>
        </w:rPr>
      </w:pPr>
    </w:p>
    <w:p>
      <w:pPr>
        <w:ind w:left="500" w:hanging="267"/>
        <w:spacing w:after="0"/>
        <w:tabs>
          <w:tab w:leader="none" w:pos="500" w:val="left"/>
        </w:tabs>
        <w:numPr>
          <w:ilvl w:val="0"/>
          <w:numId w:val="63"/>
        </w:numPr>
        <w:rPr>
          <w:rFonts w:ascii="Arial" w:cs="Arial" w:eastAsia="Arial" w:hAnsi="Arial"/>
          <w:sz w:val="18"/>
          <w:szCs w:val="18"/>
          <w:color w:val="auto"/>
        </w:rPr>
      </w:pPr>
      <w:r>
        <w:rPr>
          <w:rFonts w:ascii="Arial" w:cs="Arial" w:eastAsia="Arial" w:hAnsi="Arial"/>
          <w:sz w:val="18"/>
          <w:szCs w:val="18"/>
          <w:i w:val="1"/>
          <w:iCs w:val="1"/>
          <w:color w:val="auto"/>
        </w:rPr>
        <w:t>Guarantee.</w:t>
      </w:r>
    </w:p>
    <w:p>
      <w:pPr>
        <w:spacing w:after="0" w:line="117" w:lineRule="exact"/>
        <w:rPr>
          <w:sz w:val="20"/>
          <w:szCs w:val="20"/>
          <w:color w:val="auto"/>
        </w:rPr>
      </w:pPr>
    </w:p>
    <w:p>
      <w:pPr>
        <w:ind w:firstLine="222"/>
        <w:spacing w:after="0" w:line="302" w:lineRule="auto"/>
        <w:rPr>
          <w:sz w:val="20"/>
          <w:szCs w:val="20"/>
          <w:color w:val="auto"/>
        </w:rPr>
      </w:pPr>
      <w:r>
        <w:rPr>
          <w:rFonts w:ascii="Arial" w:cs="Arial" w:eastAsia="Arial" w:hAnsi="Arial"/>
          <w:sz w:val="16"/>
          <w:szCs w:val="16"/>
          <w:color w:val="auto"/>
        </w:rPr>
        <w:t>The Securities will be fully and unconditionally guaranteed on a senior basis by the Company’s wholly-owned subsidiary, Waste Management Holdings, Inc., pursuant to the terms and conditions of a Guarantee Agreement dated March 6, 2008 (the “Guarantee”). The amount of the Guarantee will be limited to the extent required under applicable fraudulent conveyance laws to cause the Guarantee to be enforceable. The terms and conditions of the Guarantee shall continue in full force and effect for the benefit of holders of the Securities until release thereof as set forth in Section 6 of the Guarantee.</w:t>
      </w:r>
    </w:p>
    <w:p>
      <w:pPr>
        <w:spacing w:after="0" w:line="1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935" w:right="379" w:bottom="1440" w:gutter="0" w:footer="0" w:header="0"/>
        </w:sectPr>
      </w:pPr>
    </w:p>
    <w:bookmarkStart w:id="56" w:name="page57"/>
    <w:bookmarkEnd w:id="56"/>
    <w:p>
      <w:pPr>
        <w:ind w:left="220" w:right="3360" w:firstLine="3187"/>
        <w:spacing w:after="0" w:line="440" w:lineRule="auto"/>
        <w:rPr>
          <w:sz w:val="20"/>
          <w:szCs w:val="20"/>
          <w:color w:val="auto"/>
        </w:rPr>
      </w:pPr>
      <w:r>
        <w:rPr>
          <w:rFonts w:ascii="Arial" w:cs="Arial" w:eastAsia="Arial" w:hAnsi="Arial"/>
          <w:sz w:val="17"/>
          <w:szCs w:val="17"/>
          <w:color w:val="auto"/>
        </w:rPr>
        <w:t>SCHEDULE OF EXCHANGES OF DEFINITIVE SECURITY The following exchanges of a part of this Book-Entry Security for definitive Securities have been made:</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Amount of</w:t>
            </w:r>
          </w:p>
        </w:tc>
        <w:tc>
          <w:tcPr>
            <w:tcW w:w="170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1"/>
              </w:rPr>
              <w:t>Amount of increase</w:t>
            </w:r>
          </w:p>
        </w:tc>
        <w:tc>
          <w:tcPr>
            <w:tcW w:w="240" w:type="dxa"/>
            <w:vAlign w:val="bottom"/>
          </w:tcPr>
          <w:p>
            <w:pPr>
              <w:spacing w:after="0"/>
              <w:rPr>
                <w:sz w:val="14"/>
                <w:szCs w:val="14"/>
                <w:color w:val="auto"/>
              </w:rPr>
            </w:pPr>
          </w:p>
        </w:tc>
        <w:tc>
          <w:tcPr>
            <w:tcW w:w="16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4"/>
              </w:rPr>
              <w:t>Principal Amount</w:t>
            </w:r>
          </w:p>
        </w:tc>
        <w:tc>
          <w:tcPr>
            <w:tcW w:w="11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Signature of</w:t>
            </w:r>
          </w:p>
        </w:tc>
        <w:tc>
          <w:tcPr>
            <w:tcW w:w="0" w:type="dxa"/>
            <w:vAlign w:val="bottom"/>
          </w:tcPr>
          <w:p>
            <w:pPr>
              <w:spacing w:after="0"/>
              <w:rPr>
                <w:sz w:val="1"/>
                <w:szCs w:val="1"/>
                <w:color w:val="auto"/>
              </w:rPr>
            </w:pPr>
          </w:p>
        </w:tc>
      </w:tr>
      <w:tr>
        <w:trPr>
          <w:trHeight w:val="149"/>
        </w:trPr>
        <w:tc>
          <w:tcPr>
            <w:tcW w:w="4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3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decrease in</w:t>
            </w:r>
          </w:p>
        </w:tc>
        <w:tc>
          <w:tcPr>
            <w:tcW w:w="240" w:type="dxa"/>
            <w:vAlign w:val="bottom"/>
          </w:tcPr>
          <w:p>
            <w:pPr>
              <w:spacing w:after="0"/>
              <w:rPr>
                <w:sz w:val="12"/>
                <w:szCs w:val="12"/>
                <w:color w:val="auto"/>
              </w:rPr>
            </w:pPr>
          </w:p>
        </w:tc>
        <w:tc>
          <w:tcPr>
            <w:tcW w:w="14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in Principal</w:t>
            </w:r>
          </w:p>
        </w:tc>
        <w:tc>
          <w:tcPr>
            <w:tcW w:w="188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of this Book-Entry</w:t>
            </w: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3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Principal Amount</w:t>
            </w:r>
          </w:p>
        </w:tc>
        <w:tc>
          <w:tcPr>
            <w:tcW w:w="240" w:type="dxa"/>
            <w:vAlign w:val="bottom"/>
          </w:tcPr>
          <w:p>
            <w:pPr>
              <w:spacing w:after="0"/>
              <w:rPr>
                <w:sz w:val="12"/>
                <w:szCs w:val="12"/>
                <w:color w:val="auto"/>
              </w:rPr>
            </w:pPr>
          </w:p>
        </w:tc>
        <w:tc>
          <w:tcPr>
            <w:tcW w:w="14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Amount of this</w:t>
            </w:r>
          </w:p>
        </w:tc>
        <w:tc>
          <w:tcPr>
            <w:tcW w:w="240" w:type="dxa"/>
            <w:vAlign w:val="bottom"/>
          </w:tcPr>
          <w:p>
            <w:pPr>
              <w:spacing w:after="0"/>
              <w:rPr>
                <w:sz w:val="12"/>
                <w:szCs w:val="12"/>
                <w:color w:val="auto"/>
              </w:rPr>
            </w:pPr>
          </w:p>
        </w:tc>
        <w:tc>
          <w:tcPr>
            <w:tcW w:w="164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2"/>
              </w:rPr>
              <w:t>Security following</w:t>
            </w: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authorized officer</w:t>
            </w:r>
          </w:p>
        </w:tc>
        <w:tc>
          <w:tcPr>
            <w:tcW w:w="0" w:type="dxa"/>
            <w:vAlign w:val="bottom"/>
          </w:tcPr>
          <w:p>
            <w:pPr>
              <w:spacing w:after="0"/>
              <w:rPr>
                <w:sz w:val="1"/>
                <w:szCs w:val="1"/>
                <w:color w:val="auto"/>
              </w:rPr>
            </w:pPr>
          </w:p>
        </w:tc>
      </w:tr>
      <w:tr>
        <w:trPr>
          <w:trHeight w:val="149"/>
        </w:trPr>
        <w:tc>
          <w:tcPr>
            <w:tcW w:w="4740" w:type="dxa"/>
            <w:vAlign w:val="bottom"/>
            <w:vMerge w:val="restart"/>
          </w:tcPr>
          <w:p>
            <w:pPr>
              <w:spacing w:after="0"/>
              <w:rPr>
                <w:sz w:val="20"/>
                <w:szCs w:val="20"/>
                <w:color w:val="auto"/>
              </w:rPr>
            </w:pPr>
            <w:r>
              <w:rPr>
                <w:rFonts w:ascii="Arial" w:cs="Arial" w:eastAsia="Arial" w:hAnsi="Arial"/>
                <w:sz w:val="14"/>
                <w:szCs w:val="14"/>
                <w:b w:val="1"/>
                <w:bCs w:val="1"/>
                <w:color w:val="auto"/>
              </w:rPr>
              <w:t>Date of Exchange</w:t>
            </w:r>
          </w:p>
        </w:tc>
        <w:tc>
          <w:tcPr>
            <w:tcW w:w="500" w:type="dxa"/>
            <w:vAlign w:val="bottom"/>
          </w:tcPr>
          <w:p>
            <w:pPr>
              <w:spacing w:after="0"/>
              <w:rPr>
                <w:sz w:val="12"/>
                <w:szCs w:val="12"/>
                <w:color w:val="auto"/>
              </w:rPr>
            </w:pPr>
          </w:p>
        </w:tc>
        <w:tc>
          <w:tcPr>
            <w:tcW w:w="13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of this Book-Entry</w:t>
            </w:r>
          </w:p>
        </w:tc>
        <w:tc>
          <w:tcPr>
            <w:tcW w:w="240" w:type="dxa"/>
            <w:vAlign w:val="bottom"/>
          </w:tcPr>
          <w:p>
            <w:pPr>
              <w:spacing w:after="0"/>
              <w:rPr>
                <w:sz w:val="12"/>
                <w:szCs w:val="12"/>
                <w:color w:val="auto"/>
              </w:rPr>
            </w:pPr>
          </w:p>
        </w:tc>
        <w:tc>
          <w:tcPr>
            <w:tcW w:w="14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Book-Entry</w:t>
            </w:r>
          </w:p>
        </w:tc>
        <w:tc>
          <w:tcPr>
            <w:tcW w:w="240" w:type="dxa"/>
            <w:vAlign w:val="bottom"/>
          </w:tcPr>
          <w:p>
            <w:pPr>
              <w:spacing w:after="0"/>
              <w:rPr>
                <w:sz w:val="12"/>
                <w:szCs w:val="12"/>
                <w:color w:val="auto"/>
              </w:rPr>
            </w:pPr>
          </w:p>
        </w:tc>
        <w:tc>
          <w:tcPr>
            <w:tcW w:w="164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8"/>
              </w:rPr>
              <w:t>such decrease (or</w:t>
            </w: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of Trustee or</w:t>
            </w:r>
          </w:p>
        </w:tc>
        <w:tc>
          <w:tcPr>
            <w:tcW w:w="0" w:type="dxa"/>
            <w:vAlign w:val="bottom"/>
          </w:tcPr>
          <w:p>
            <w:pPr>
              <w:spacing w:after="0"/>
              <w:rPr>
                <w:sz w:val="1"/>
                <w:szCs w:val="1"/>
                <w:color w:val="auto"/>
              </w:rPr>
            </w:pPr>
          </w:p>
        </w:tc>
      </w:tr>
      <w:tr>
        <w:trPr>
          <w:trHeight w:val="171"/>
        </w:trPr>
        <w:tc>
          <w:tcPr>
            <w:tcW w:w="4740" w:type="dxa"/>
            <w:vAlign w:val="bottom"/>
            <w:tcBorders>
              <w:bottom w:val="single" w:sz="8" w:color="auto"/>
            </w:tcBorders>
            <w:vMerge w:val="continue"/>
          </w:tcPr>
          <w:p>
            <w:pPr>
              <w:spacing w:after="0"/>
              <w:rPr>
                <w:sz w:val="14"/>
                <w:szCs w:val="14"/>
                <w:color w:val="auto"/>
              </w:rPr>
            </w:pPr>
          </w:p>
        </w:tc>
        <w:tc>
          <w:tcPr>
            <w:tcW w:w="500" w:type="dxa"/>
            <w:vAlign w:val="bottom"/>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Security</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Security</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increase)</w:t>
            </w:r>
          </w:p>
        </w:tc>
        <w:tc>
          <w:tcPr>
            <w:tcW w:w="500" w:type="dxa"/>
            <w:vAlign w:val="bottom"/>
          </w:tcPr>
          <w:p>
            <w:pPr>
              <w:spacing w:after="0"/>
              <w:rPr>
                <w:sz w:val="14"/>
                <w:szCs w:val="14"/>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Security Custodian</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63" w:right="279" w:bottom="1440" w:gutter="0" w:footer="0" w:header="0"/>
        </w:sectPr>
      </w:pPr>
    </w:p>
    <w:bookmarkStart w:id="57" w:name="page58"/>
    <w:bookmarkEnd w:id="57"/>
    <w:p>
      <w:pPr>
        <w:spacing w:after="0"/>
        <w:rPr>
          <w:sz w:val="20"/>
          <w:szCs w:val="20"/>
          <w:color w:val="auto"/>
        </w:rPr>
      </w:pPr>
      <w:r>
        <w:rPr>
          <w:rFonts w:ascii="Arial" w:cs="Arial" w:eastAsia="Arial" w:hAnsi="Arial"/>
          <w:sz w:val="18"/>
          <w:szCs w:val="18"/>
          <w:color w:val="auto"/>
        </w:rPr>
        <w:t>Annex B</w:t>
      </w:r>
    </w:p>
    <w:p>
      <w:pPr>
        <w:spacing w:after="0" w:line="329"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ind w:left="3920"/>
        <w:spacing w:after="0"/>
        <w:rPr>
          <w:sz w:val="20"/>
          <w:szCs w:val="20"/>
          <w:color w:val="auto"/>
        </w:rPr>
      </w:pPr>
      <w:r>
        <w:rPr>
          <w:rFonts w:ascii="Arial" w:cs="Arial" w:eastAsia="Arial" w:hAnsi="Arial"/>
          <w:sz w:val="18"/>
          <w:szCs w:val="18"/>
          <w:b w:val="1"/>
          <w:bCs w:val="1"/>
          <w:color w:val="auto"/>
        </w:rPr>
        <w:t>Resolutions Adopted by the Board of Directors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August 25, 2006</w:t>
      </w:r>
    </w:p>
    <w:p>
      <w:pPr>
        <w:spacing w:after="0" w:line="99" w:lineRule="exact"/>
        <w:rPr>
          <w:sz w:val="20"/>
          <w:szCs w:val="20"/>
          <w:color w:val="auto"/>
        </w:rPr>
      </w:pPr>
    </w:p>
    <w:p>
      <w:pPr>
        <w:ind w:right="40" w:firstLine="225"/>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in July 2005, the Securities and Exchange Commission (the “SEC”) issued final rules known as the “Securities Offering Reform,” such rules</w:t>
      </w:r>
      <w:r>
        <w:rPr>
          <w:rFonts w:ascii="Arial" w:cs="Arial" w:eastAsia="Arial" w:hAnsi="Arial"/>
          <w:sz w:val="18"/>
          <w:szCs w:val="18"/>
          <w:b w:val="1"/>
          <w:bCs w:val="1"/>
          <w:color w:val="auto"/>
        </w:rPr>
        <w:t xml:space="preserve"> </w:t>
      </w:r>
      <w:r>
        <w:rPr>
          <w:rFonts w:ascii="Arial" w:cs="Arial" w:eastAsia="Arial" w:hAnsi="Arial"/>
          <w:sz w:val="18"/>
          <w:szCs w:val="18"/>
          <w:color w:val="auto"/>
        </w:rPr>
        <w:t>to be effective as of December 1, 2005;</w:t>
      </w:r>
    </w:p>
    <w:p>
      <w:pPr>
        <w:spacing w:after="0" w:line="54" w:lineRule="exact"/>
        <w:rPr>
          <w:sz w:val="20"/>
          <w:szCs w:val="20"/>
          <w:color w:val="auto"/>
        </w:rPr>
      </w:pPr>
    </w:p>
    <w:p>
      <w:pPr>
        <w:ind w:right="20" w:firstLine="225"/>
        <w:spacing w:after="0" w:line="266"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Securities Offering Reform provides for a new form of registration statement known as an “automatic shelf registration statement” that,</w:t>
      </w:r>
      <w:r>
        <w:rPr>
          <w:rFonts w:ascii="Arial" w:cs="Arial" w:eastAsia="Arial" w:hAnsi="Arial"/>
          <w:sz w:val="18"/>
          <w:szCs w:val="18"/>
          <w:b w:val="1"/>
          <w:bCs w:val="1"/>
          <w:color w:val="auto"/>
        </w:rPr>
        <w:t xml:space="preserve"> </w:t>
      </w:r>
      <w:r>
        <w:rPr>
          <w:rFonts w:ascii="Arial" w:cs="Arial" w:eastAsia="Arial" w:hAnsi="Arial"/>
          <w:sz w:val="18"/>
          <w:szCs w:val="18"/>
          <w:color w:val="auto"/>
        </w:rPr>
        <w:t>among other things, facilitates offerings of securities by issuers eligible to use such form by providing for automatic effectiveness of the registration statement and any post-effective amendments thereto;</w:t>
      </w:r>
    </w:p>
    <w:p>
      <w:pPr>
        <w:spacing w:after="0" w:line="68" w:lineRule="exact"/>
        <w:rPr>
          <w:sz w:val="20"/>
          <w:szCs w:val="20"/>
          <w:color w:val="auto"/>
        </w:rPr>
      </w:pPr>
    </w:p>
    <w:p>
      <w:pPr>
        <w:ind w:right="160" w:firstLine="225"/>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Waste Management, Inc., a Delaware Corporation (the “Company”) has previously filed with the SEC a universal shelf registration</w:t>
      </w:r>
      <w:r>
        <w:rPr>
          <w:rFonts w:ascii="Arial" w:cs="Arial" w:eastAsia="Arial" w:hAnsi="Arial"/>
          <w:sz w:val="18"/>
          <w:szCs w:val="18"/>
          <w:b w:val="1"/>
          <w:bCs w:val="1"/>
          <w:color w:val="auto"/>
        </w:rPr>
        <w:t xml:space="preserve"> </w:t>
      </w:r>
      <w:r>
        <w:rPr>
          <w:rFonts w:ascii="Arial" w:cs="Arial" w:eastAsia="Arial" w:hAnsi="Arial"/>
          <w:sz w:val="18"/>
          <w:szCs w:val="18"/>
          <w:color w:val="auto"/>
        </w:rPr>
        <w:t>statement on Form S-3, which registered the offer and sale by the Company of up to an aggregate of $3 billion of senior and subordinated debt and common stock; and</w:t>
      </w:r>
    </w:p>
    <w:p>
      <w:pPr>
        <w:spacing w:after="0" w:line="68" w:lineRule="exact"/>
        <w:rPr>
          <w:sz w:val="20"/>
          <w:szCs w:val="20"/>
          <w:color w:val="auto"/>
        </w:rPr>
      </w:pPr>
    </w:p>
    <w:p>
      <w:pPr>
        <w:ind w:firstLine="225"/>
        <w:spacing w:after="0" w:line="261"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desires, and finds it in the best interests of the Company, to file a registration statement on Form S-3 that will be designated as</w:t>
      </w:r>
      <w:r>
        <w:rPr>
          <w:rFonts w:ascii="Arial" w:cs="Arial" w:eastAsia="Arial" w:hAnsi="Arial"/>
          <w:sz w:val="18"/>
          <w:szCs w:val="18"/>
          <w:b w:val="1"/>
          <w:bCs w:val="1"/>
          <w:color w:val="auto"/>
        </w:rPr>
        <w:t xml:space="preserve"> </w:t>
      </w:r>
      <w:r>
        <w:rPr>
          <w:rFonts w:ascii="Arial" w:cs="Arial" w:eastAsia="Arial" w:hAnsi="Arial"/>
          <w:sz w:val="18"/>
          <w:szCs w:val="18"/>
          <w:color w:val="auto"/>
        </w:rPr>
        <w:t>an “automatic shelf registration statement” in order to facilitate any future offerings of securities by the Company or any selling security holders and, pursuant to Rule 457(p) of the Securities Act of 1933, as amended (the “Securities Act”), apply the unused amount of filing fees paid in connection with the universal shelf registration statement to the registration of the automatic shelf.</w:t>
      </w:r>
    </w:p>
    <w:p>
      <w:pPr>
        <w:spacing w:after="0" w:line="72" w:lineRule="exact"/>
        <w:rPr>
          <w:sz w:val="20"/>
          <w:szCs w:val="20"/>
          <w:color w:val="auto"/>
        </w:rPr>
      </w:pPr>
    </w:p>
    <w:p>
      <w:pPr>
        <w:ind w:right="140" w:firstLine="225"/>
        <w:spacing w:after="0" w:line="270" w:lineRule="auto"/>
        <w:rPr>
          <w:sz w:val="20"/>
          <w:szCs w:val="20"/>
          <w:color w:val="auto"/>
        </w:rPr>
      </w:pPr>
      <w:r>
        <w:rPr>
          <w:rFonts w:ascii="Arial" w:cs="Arial" w:eastAsia="Arial" w:hAnsi="Arial"/>
          <w:sz w:val="17"/>
          <w:szCs w:val="17"/>
          <w:b w:val="1"/>
          <w:bCs w:val="1"/>
          <w:color w:val="auto"/>
        </w:rPr>
        <w:t xml:space="preserve">NOW, THEREFORE, BE IT RESOLVED, </w:t>
      </w:r>
      <w:r>
        <w:rPr>
          <w:rFonts w:ascii="Arial" w:cs="Arial" w:eastAsia="Arial" w:hAnsi="Arial"/>
          <w:sz w:val="17"/>
          <w:szCs w:val="17"/>
          <w:color w:val="auto"/>
        </w:rPr>
        <w:t>that the Company is hereby authorized to prepare and file with the SEC an automatic shelf registration</w:t>
      </w:r>
      <w:r>
        <w:rPr>
          <w:rFonts w:ascii="Arial" w:cs="Arial" w:eastAsia="Arial" w:hAnsi="Arial"/>
          <w:sz w:val="17"/>
          <w:szCs w:val="17"/>
          <w:b w:val="1"/>
          <w:bCs w:val="1"/>
          <w:color w:val="auto"/>
        </w:rPr>
        <w:t xml:space="preserve"> </w:t>
      </w:r>
      <w:r>
        <w:rPr>
          <w:rFonts w:ascii="Arial" w:cs="Arial" w:eastAsia="Arial" w:hAnsi="Arial"/>
          <w:sz w:val="17"/>
          <w:szCs w:val="17"/>
          <w:color w:val="auto"/>
        </w:rPr>
        <w:t>statement on Form S-3 (the “Automatic Shelf”), pursuant to the Securities Act and the rules and regulations promulgated thereunder, which Automatic Shelf may cover, among other things, unsecured senior or subordinated debentures, notes or other evidences of indebtedness of the Company (collectively “Debt Securities”); shares of common stock, par value $0.01 per share, of the Company (the “Common Stock”); warrants to purchase shares of Common Stock; shares of preferred stock in such series with such designations, powers, preferences and relative and other special rights and qualifications, limitations and restrictions as the Board of Directors may from time to time authorize; guarantees of securities by Waste Management Holdings, Inc., a wholly-owned subsidiary of the Company; and any units consisting of one or more of the foregoing (the Debt Securities, Common Stock, warrants, preferred stock, guarantees and units collectively referred to herein as the “Securities”), to be issued from time to time at the discretion of any of the proper officers (as established pursuant to these resolutions), to be offered from time to time by the Company, the initial offering prices of which Securities may not, without approval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379730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58" w:name="page59"/>
    <w:bookmarkEnd w:id="58"/>
    <w:p>
      <w:pPr>
        <w:ind w:right="640"/>
        <w:spacing w:after="0" w:line="277" w:lineRule="auto"/>
        <w:rPr>
          <w:sz w:val="20"/>
          <w:szCs w:val="20"/>
          <w:color w:val="auto"/>
        </w:rPr>
      </w:pPr>
      <w:r>
        <w:rPr>
          <w:rFonts w:ascii="Arial" w:cs="Arial" w:eastAsia="Arial" w:hAnsi="Arial"/>
          <w:sz w:val="18"/>
          <w:szCs w:val="18"/>
          <w:color w:val="auto"/>
        </w:rPr>
        <w:t>exceed the amount of Debt Securities and Common Stock remaining available for issuance under the Company’s Registration Statement on Form S-3 Registration No. 333-97697 on the date of the filing of the Automatic Shelf with the SEC;</w:t>
      </w:r>
    </w:p>
    <w:p>
      <w:pPr>
        <w:spacing w:after="0" w:line="58" w:lineRule="exact"/>
        <w:rPr>
          <w:sz w:val="20"/>
          <w:szCs w:val="20"/>
          <w:color w:val="auto"/>
        </w:rPr>
      </w:pPr>
    </w:p>
    <w:p>
      <w:pPr>
        <w:ind w:right="40" w:firstLine="225"/>
        <w:spacing w:after="0" w:line="256" w:lineRule="auto"/>
        <w:rPr>
          <w:sz w:val="20"/>
          <w:szCs w:val="20"/>
          <w:color w:val="auto"/>
        </w:rPr>
      </w:pPr>
      <w:r>
        <w:rPr>
          <w:rFonts w:ascii="Arial" w:cs="Arial" w:eastAsia="Arial" w:hAnsi="Arial"/>
          <w:sz w:val="18"/>
          <w:szCs w:val="18"/>
          <w:b w:val="1"/>
          <w:bCs w:val="1"/>
          <w:color w:val="auto"/>
        </w:rPr>
        <w:t>RESOLVED FURTHER</w:t>
      </w:r>
      <w:r>
        <w:rPr>
          <w:rFonts w:ascii="Arial" w:cs="Arial" w:eastAsia="Arial" w:hAnsi="Arial"/>
          <w:sz w:val="18"/>
          <w:szCs w:val="18"/>
          <w:color w:val="auto"/>
        </w:rPr>
        <w:t>, that the proper officers and the authorized employees (as established pursuant to these resolutions) be, and each of them hereby</w:t>
      </w:r>
      <w:r>
        <w:rPr>
          <w:rFonts w:ascii="Arial" w:cs="Arial" w:eastAsia="Arial" w:hAnsi="Arial"/>
          <w:sz w:val="18"/>
          <w:szCs w:val="18"/>
          <w:b w:val="1"/>
          <w:bCs w:val="1"/>
          <w:color w:val="auto"/>
        </w:rPr>
        <w:t xml:space="preserve"> </w:t>
      </w:r>
      <w:r>
        <w:rPr>
          <w:rFonts w:ascii="Arial" w:cs="Arial" w:eastAsia="Arial" w:hAnsi="Arial"/>
          <w:sz w:val="18"/>
          <w:szCs w:val="18"/>
          <w:color w:val="auto"/>
        </w:rPr>
        <w:t>is, authorized, in the name and on behalf of the Company, to execute and cause to be filed with the SEC any and all amendments (including, without limitation, post-effective amendments) or supplements to the Automatic Shelf and any prospectus included therein and any additional documents which such officer or employee may deem necessary or desirable with respect to the registration and offering of the Securities, and such amendments, supplements, registration statements and documents to be in such form as the officer or employee executing the same may approve, as conclusively evidenced by his execution thereof;</w:t>
      </w:r>
    </w:p>
    <w:p>
      <w:pPr>
        <w:spacing w:after="0" w:line="80" w:lineRule="exact"/>
        <w:rPr>
          <w:sz w:val="20"/>
          <w:szCs w:val="20"/>
          <w:color w:val="auto"/>
        </w:rPr>
      </w:pPr>
    </w:p>
    <w:p>
      <w:pPr>
        <w:ind w:right="40" w:firstLine="225"/>
        <w:spacing w:after="0" w:line="266" w:lineRule="auto"/>
        <w:rPr>
          <w:sz w:val="20"/>
          <w:szCs w:val="20"/>
          <w:color w:val="auto"/>
        </w:rPr>
      </w:pPr>
      <w:r>
        <w:rPr>
          <w:rFonts w:ascii="Arial" w:cs="Arial" w:eastAsia="Arial" w:hAnsi="Arial"/>
          <w:sz w:val="18"/>
          <w:szCs w:val="18"/>
          <w:b w:val="1"/>
          <w:bCs w:val="1"/>
          <w:color w:val="auto"/>
        </w:rPr>
        <w:t>RESOLVED FURTHER</w:t>
      </w:r>
      <w:r>
        <w:rPr>
          <w:rFonts w:ascii="Arial" w:cs="Arial" w:eastAsia="Arial" w:hAnsi="Arial"/>
          <w:sz w:val="18"/>
          <w:szCs w:val="18"/>
          <w:color w:val="auto"/>
        </w:rPr>
        <w:t>, that the General Counsel of the Company be, and he hereby is, designated and appointed the agent for service of process on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under the Securities Act in connection with the Automatic Shelf and any and all amendments and supplements thereto, with all powers incident to such appointment;</w:t>
      </w:r>
    </w:p>
    <w:p>
      <w:pPr>
        <w:spacing w:after="0" w:line="68"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b w:val="1"/>
          <w:bCs w:val="1"/>
          <w:color w:val="auto"/>
        </w:rPr>
        <w:t>RESOLVED FURTHER</w:t>
      </w:r>
      <w:r>
        <w:rPr>
          <w:rFonts w:ascii="Arial" w:cs="Arial" w:eastAsia="Arial" w:hAnsi="Arial"/>
          <w:sz w:val="18"/>
          <w:szCs w:val="18"/>
          <w:color w:val="auto"/>
        </w:rPr>
        <w:t>, that the proper officers and authorized employees be and hereby are authorized and directed in the name and on behalf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to take any and all action which they may deem necessary or advisable in order to effect the registration or qualification of all or part of the Securities to be registered under the Securities Act, for offer and sale under the securities or Blue Sky laws of the states of the United States of America, and in connection therewith, to execute, acknowledge, verify, deliver, file and publish all such applications, reports, issuer’s covenants, resolutions, consents to service of process, or appointments of governmental officials for the purpose of receiving and accepting service of process on the laws, and to take any and all further action which they may deem necessary or advisable in order to maintain any such registration or qualification for as long as they deem the same to be in the best interest of the Company;</w:t>
      </w:r>
    </w:p>
    <w:p>
      <w:pPr>
        <w:spacing w:after="0" w:line="81" w:lineRule="exact"/>
        <w:rPr>
          <w:sz w:val="20"/>
          <w:szCs w:val="20"/>
          <w:color w:val="auto"/>
        </w:rPr>
      </w:pPr>
    </w:p>
    <w:p>
      <w:pPr>
        <w:ind w:firstLine="225"/>
        <w:spacing w:after="0" w:line="258" w:lineRule="auto"/>
        <w:rPr>
          <w:sz w:val="20"/>
          <w:szCs w:val="20"/>
          <w:color w:val="auto"/>
        </w:rPr>
      </w:pPr>
      <w:r>
        <w:rPr>
          <w:rFonts w:ascii="Arial" w:cs="Arial" w:eastAsia="Arial" w:hAnsi="Arial"/>
          <w:sz w:val="18"/>
          <w:szCs w:val="18"/>
          <w:b w:val="1"/>
          <w:bCs w:val="1"/>
          <w:color w:val="auto"/>
        </w:rPr>
        <w:t>RESOLVED FURTHER</w:t>
      </w:r>
      <w:r>
        <w:rPr>
          <w:rFonts w:ascii="Arial" w:cs="Arial" w:eastAsia="Arial" w:hAnsi="Arial"/>
          <w:sz w:val="18"/>
          <w:szCs w:val="18"/>
          <w:color w:val="auto"/>
        </w:rPr>
        <w:t>, that the form of any additional resolutions required in connection with the appropriate qualification or registration of the</w:t>
      </w:r>
      <w:r>
        <w:rPr>
          <w:rFonts w:ascii="Arial" w:cs="Arial" w:eastAsia="Arial" w:hAnsi="Arial"/>
          <w:sz w:val="18"/>
          <w:szCs w:val="18"/>
          <w:b w:val="1"/>
          <w:bCs w:val="1"/>
          <w:color w:val="auto"/>
        </w:rPr>
        <w:t xml:space="preserve"> </w:t>
      </w:r>
      <w:r>
        <w:rPr>
          <w:rFonts w:ascii="Arial" w:cs="Arial" w:eastAsia="Arial" w:hAnsi="Arial"/>
          <w:sz w:val="18"/>
          <w:szCs w:val="18"/>
          <w:color w:val="auto"/>
        </w:rPr>
        <w:t>Securities for offer and sale under such securities or Blue Sky laws, be and hereby is approved and adopted, provided the appropriate officers of the Company, on the advice of counsel, consider the adoption thereof necessary or advisable, in which case the Secretary or any Assistant Secretary of the Company is hereby directed to insert as an appendix hereto a copy of such resolutions, which shall thereupon be deemed to have been adopted by this Board with the same force and effect as if set out verbatim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383540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59" w:name="page60"/>
    <w:bookmarkEnd w:id="59"/>
    <w:p>
      <w:pPr>
        <w:ind w:right="100" w:firstLine="225"/>
        <w:spacing w:after="0" w:line="272" w:lineRule="auto"/>
        <w:rPr>
          <w:sz w:val="20"/>
          <w:szCs w:val="20"/>
          <w:color w:val="auto"/>
        </w:rPr>
      </w:pPr>
      <w:r>
        <w:rPr>
          <w:rFonts w:ascii="Arial" w:cs="Arial" w:eastAsia="Arial" w:hAnsi="Arial"/>
          <w:sz w:val="17"/>
          <w:szCs w:val="17"/>
          <w:b w:val="1"/>
          <w:bCs w:val="1"/>
          <w:color w:val="auto"/>
        </w:rPr>
        <w:t>RESOLVED FURTHER</w:t>
      </w:r>
      <w:r>
        <w:rPr>
          <w:rFonts w:ascii="Arial" w:cs="Arial" w:eastAsia="Arial" w:hAnsi="Arial"/>
          <w:sz w:val="17"/>
          <w:szCs w:val="17"/>
          <w:color w:val="auto"/>
        </w:rPr>
        <w:t>, that any of the proper officers or authorized employees be, and each of them hereby is, authorized to approve at any time and</w:t>
      </w:r>
      <w:r>
        <w:rPr>
          <w:rFonts w:ascii="Arial" w:cs="Arial" w:eastAsia="Arial" w:hAnsi="Arial"/>
          <w:sz w:val="17"/>
          <w:szCs w:val="17"/>
          <w:b w:val="1"/>
          <w:bCs w:val="1"/>
          <w:color w:val="auto"/>
        </w:rPr>
        <w:t xml:space="preserve"> </w:t>
      </w:r>
      <w:r>
        <w:rPr>
          <w:rFonts w:ascii="Arial" w:cs="Arial" w:eastAsia="Arial" w:hAnsi="Arial"/>
          <w:sz w:val="17"/>
          <w:szCs w:val="17"/>
          <w:color w:val="auto"/>
        </w:rPr>
        <w:t>from time to time, one or more forms of underwriting agreements (and related terms agreement) and agency agreement (and related purchase agreement) and any other agreement or agreements any of such persons may deem necessary or appropriate in connection with the arrangements for the purchase of any of the Securities, and that such persons be, and each of them hereby is, authorized to execute and deliver, in the name and on behalf of the Company, any such agreement or agreements in substantially the form approved by any of them, with such changes therein as the person executing the same may approve, as conclusively evidenced by the execution and delivery thereof, it being understood that, in the case of any terms agreement or purchase agreement referred to above, it shall not be necessary for any of the proper officers to approve any individual agreement pursuant to which Securities are to be sold if the form thereof has previously been approved as provided in this resolution;</w:t>
      </w:r>
    </w:p>
    <w:p>
      <w:pPr>
        <w:spacing w:after="0" w:line="64" w:lineRule="exact"/>
        <w:rPr>
          <w:sz w:val="20"/>
          <w:szCs w:val="20"/>
          <w:color w:val="auto"/>
        </w:rPr>
      </w:pPr>
    </w:p>
    <w:p>
      <w:pPr>
        <w:ind w:right="20" w:firstLine="225"/>
        <w:spacing w:after="0" w:line="255" w:lineRule="auto"/>
        <w:rPr>
          <w:sz w:val="20"/>
          <w:szCs w:val="20"/>
          <w:color w:val="auto"/>
        </w:rPr>
      </w:pPr>
      <w:r>
        <w:rPr>
          <w:rFonts w:ascii="Arial" w:cs="Arial" w:eastAsia="Arial" w:hAnsi="Arial"/>
          <w:sz w:val="18"/>
          <w:szCs w:val="18"/>
          <w:b w:val="1"/>
          <w:bCs w:val="1"/>
          <w:color w:val="auto"/>
        </w:rPr>
        <w:t>RESOLVED FURTHER</w:t>
      </w:r>
      <w:r>
        <w:rPr>
          <w:rFonts w:ascii="Arial" w:cs="Arial" w:eastAsia="Arial" w:hAnsi="Arial"/>
          <w:sz w:val="18"/>
          <w:szCs w:val="18"/>
          <w:color w:val="auto"/>
        </w:rPr>
        <w:t>, that any of the proper officers be, and each of them hereby is, authorized, at any time and from time to time, on behalf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(i) to determine, within any limits that may be set by the Board of Directors, the number of shares of Common Stock, preferred stock or other equity securities to be offered and sold by the Company pursuant to the Automatic Shelf, including any shares underlying warrants or convertible Debt Securities, (ii) to authorize the reserve and issuance of such shares and (iii) to take any and all action and to do or cause to be done any and all things which may appear to any of the proper officers to be necessary or advisable in order to authorize, offer, issue, and sell such shares of Common Stock, pursuant to the Automatic Shelf and the applicable purchase agreement, which action could be taken or which things could be done by the Board of Directors of the Company;</w:t>
      </w:r>
    </w:p>
    <w:p>
      <w:pPr>
        <w:spacing w:after="0" w:line="81" w:lineRule="exact"/>
        <w:rPr>
          <w:sz w:val="20"/>
          <w:szCs w:val="20"/>
          <w:color w:val="auto"/>
        </w:rPr>
      </w:pPr>
    </w:p>
    <w:p>
      <w:pPr>
        <w:ind w:firstLine="225"/>
        <w:spacing w:after="0" w:line="258" w:lineRule="auto"/>
        <w:rPr>
          <w:sz w:val="20"/>
          <w:szCs w:val="20"/>
          <w:color w:val="auto"/>
        </w:rPr>
      </w:pPr>
      <w:r>
        <w:rPr>
          <w:rFonts w:ascii="Arial" w:cs="Arial" w:eastAsia="Arial" w:hAnsi="Arial"/>
          <w:sz w:val="18"/>
          <w:szCs w:val="18"/>
          <w:b w:val="1"/>
          <w:bCs w:val="1"/>
          <w:color w:val="auto"/>
        </w:rPr>
        <w:t>RESOLVED FURTHER</w:t>
      </w:r>
      <w:r>
        <w:rPr>
          <w:rFonts w:ascii="Arial" w:cs="Arial" w:eastAsia="Arial" w:hAnsi="Arial"/>
          <w:sz w:val="18"/>
          <w:szCs w:val="18"/>
          <w:color w:val="auto"/>
        </w:rPr>
        <w:t>, that any of the proper officers may, at any time and from time to time, on behalf of the Company, authorize the issuance of one</w:t>
      </w:r>
      <w:r>
        <w:rPr>
          <w:rFonts w:ascii="Arial" w:cs="Arial" w:eastAsia="Arial" w:hAnsi="Arial"/>
          <w:sz w:val="18"/>
          <w:szCs w:val="18"/>
          <w:b w:val="1"/>
          <w:bCs w:val="1"/>
          <w:color w:val="auto"/>
        </w:rPr>
        <w:t xml:space="preserve"> </w:t>
      </w:r>
      <w:r>
        <w:rPr>
          <w:rFonts w:ascii="Arial" w:cs="Arial" w:eastAsia="Arial" w:hAnsi="Arial"/>
          <w:sz w:val="18"/>
          <w:szCs w:val="18"/>
          <w:color w:val="auto"/>
        </w:rPr>
        <w:t>or more series of Securities under the Company’s indentures, within any limits that may be set by the Board of Directors, and in connection therewith establish, or, if all of the Securities of such series may not be originally issued at one time, to the extent deemed appropriate, prescribe the manner of determining, within any limitations established by any of the proper officers and subject in either case to the limitations set forth in these resolutions, all of the terms of such Securities;</w:t>
      </w:r>
    </w:p>
    <w:p>
      <w:pPr>
        <w:spacing w:after="0" w:line="76" w:lineRule="exact"/>
        <w:rPr>
          <w:sz w:val="20"/>
          <w:szCs w:val="20"/>
          <w:color w:val="auto"/>
        </w:rPr>
      </w:pPr>
    </w:p>
    <w:p>
      <w:pPr>
        <w:ind w:right="160" w:firstLine="225"/>
        <w:spacing w:after="0" w:line="258" w:lineRule="auto"/>
        <w:rPr>
          <w:sz w:val="20"/>
          <w:szCs w:val="20"/>
          <w:color w:val="auto"/>
        </w:rPr>
      </w:pPr>
      <w:r>
        <w:rPr>
          <w:rFonts w:ascii="Arial" w:cs="Arial" w:eastAsia="Arial" w:hAnsi="Arial"/>
          <w:sz w:val="18"/>
          <w:szCs w:val="18"/>
          <w:b w:val="1"/>
          <w:bCs w:val="1"/>
          <w:color w:val="auto"/>
        </w:rPr>
        <w:t xml:space="preserve">RESOLVED FURTHER, </w:t>
      </w:r>
      <w:r>
        <w:rPr>
          <w:rFonts w:ascii="Arial" w:cs="Arial" w:eastAsia="Arial" w:hAnsi="Arial"/>
          <w:sz w:val="18"/>
          <w:szCs w:val="18"/>
          <w:color w:val="auto"/>
        </w:rPr>
        <w:t>that, in connection with any such series of Securities (but without limiting the authority hereinafter in these resolutions</w:t>
      </w:r>
      <w:r>
        <w:rPr>
          <w:rFonts w:ascii="Arial" w:cs="Arial" w:eastAsia="Arial" w:hAnsi="Arial"/>
          <w:sz w:val="18"/>
          <w:szCs w:val="18"/>
          <w:b w:val="1"/>
          <w:bCs w:val="1"/>
          <w:color w:val="auto"/>
        </w:rPr>
        <w:t xml:space="preserve"> </w:t>
      </w:r>
      <w:r>
        <w:rPr>
          <w:rFonts w:ascii="Arial" w:cs="Arial" w:eastAsia="Arial" w:hAnsi="Arial"/>
          <w:sz w:val="18"/>
          <w:szCs w:val="18"/>
          <w:color w:val="auto"/>
        </w:rPr>
        <w:t>conferred with respect to the issuance of Securities of a series which may not all be originally issued at one time), any of the proper officers is authorized at any time or from time to time to determine the price or prices to be received by the Company in any offering or sale of Securities of such series, any public offering price or prices thereof, any discounts to be allowed or commissions to be paid to any agent, dealer or underwriter and any other terms of offering or sale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383540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60" w:name="page61"/>
    <w:bookmarkEnd w:id="60"/>
    <w:p>
      <w:pPr>
        <w:spacing w:after="0"/>
        <w:rPr>
          <w:sz w:val="20"/>
          <w:szCs w:val="20"/>
          <w:color w:val="auto"/>
        </w:rPr>
      </w:pPr>
      <w:r>
        <w:rPr>
          <w:rFonts w:ascii="Arial" w:cs="Arial" w:eastAsia="Arial" w:hAnsi="Arial"/>
          <w:sz w:val="18"/>
          <w:szCs w:val="18"/>
          <w:color w:val="auto"/>
        </w:rPr>
        <w:t>Securities of such series and to sell Securities of such series in accordance with any applicable purchase agreement or other agreement(s);</w:t>
      </w:r>
    </w:p>
    <w:p>
      <w:pPr>
        <w:spacing w:after="0" w:line="113" w:lineRule="exact"/>
        <w:rPr>
          <w:sz w:val="20"/>
          <w:szCs w:val="20"/>
          <w:color w:val="auto"/>
        </w:rPr>
      </w:pPr>
    </w:p>
    <w:p>
      <w:pPr>
        <w:jc w:val="both"/>
        <w:ind w:right="100" w:firstLine="225"/>
        <w:spacing w:after="0" w:line="314" w:lineRule="auto"/>
        <w:rPr>
          <w:sz w:val="20"/>
          <w:szCs w:val="20"/>
          <w:color w:val="auto"/>
        </w:rPr>
      </w:pPr>
      <w:r>
        <w:rPr>
          <w:rFonts w:ascii="Arial" w:cs="Arial" w:eastAsia="Arial" w:hAnsi="Arial"/>
          <w:sz w:val="16"/>
          <w:szCs w:val="16"/>
          <w:b w:val="1"/>
          <w:bCs w:val="1"/>
          <w:color w:val="auto"/>
        </w:rPr>
        <w:t xml:space="preserve">RESOLVED FURTHER, </w:t>
      </w:r>
      <w:r>
        <w:rPr>
          <w:rFonts w:ascii="Arial" w:cs="Arial" w:eastAsia="Arial" w:hAnsi="Arial"/>
          <w:sz w:val="16"/>
          <w:szCs w:val="16"/>
          <w:color w:val="auto"/>
        </w:rPr>
        <w:t>that, in connection with the issuance of Securities of any series which may not be originally issued at one time (except as may</w:t>
      </w:r>
      <w:r>
        <w:rPr>
          <w:rFonts w:ascii="Arial" w:cs="Arial" w:eastAsia="Arial" w:hAnsi="Arial"/>
          <w:sz w:val="16"/>
          <w:szCs w:val="16"/>
          <w:b w:val="1"/>
          <w:bCs w:val="1"/>
          <w:color w:val="auto"/>
        </w:rPr>
        <w:t xml:space="preserve"> </w:t>
      </w:r>
      <w:r>
        <w:rPr>
          <w:rFonts w:ascii="Arial" w:cs="Arial" w:eastAsia="Arial" w:hAnsi="Arial"/>
          <w:sz w:val="16"/>
          <w:szCs w:val="16"/>
          <w:color w:val="auto"/>
        </w:rPr>
        <w:t>be inconsistent with any action taken by any of the proper officers, as hereinabove provided, in connection with such series), any of the proper officers may delegate any of its authority pursuant to these resolutions to any officer of the Company, including authority to fix the terms of such Securities;</w:t>
      </w:r>
    </w:p>
    <w:p>
      <w:pPr>
        <w:spacing w:after="0" w:line="34" w:lineRule="exact"/>
        <w:rPr>
          <w:sz w:val="20"/>
          <w:szCs w:val="20"/>
          <w:color w:val="auto"/>
        </w:rPr>
      </w:pPr>
    </w:p>
    <w:p>
      <w:pPr>
        <w:ind w:right="100" w:firstLine="225"/>
        <w:spacing w:after="0" w:line="314" w:lineRule="auto"/>
        <w:rPr>
          <w:sz w:val="20"/>
          <w:szCs w:val="20"/>
          <w:color w:val="auto"/>
        </w:rPr>
      </w:pPr>
      <w:r>
        <w:rPr>
          <w:rFonts w:ascii="Arial" w:cs="Arial" w:eastAsia="Arial" w:hAnsi="Arial"/>
          <w:sz w:val="16"/>
          <w:szCs w:val="16"/>
          <w:b w:val="1"/>
          <w:bCs w:val="1"/>
          <w:color w:val="auto"/>
        </w:rPr>
        <w:t>RESOLVED FURTHER</w:t>
      </w:r>
      <w:r>
        <w:rPr>
          <w:rFonts w:ascii="Arial" w:cs="Arial" w:eastAsia="Arial" w:hAnsi="Arial"/>
          <w:sz w:val="16"/>
          <w:szCs w:val="16"/>
          <w:color w:val="auto"/>
        </w:rPr>
        <w:t>, that, in connection with any such series of Securities, any of the proper officers is authorized to approve any amendment,</w:t>
      </w:r>
      <w:r>
        <w:rPr>
          <w:rFonts w:ascii="Arial" w:cs="Arial" w:eastAsia="Arial" w:hAnsi="Arial"/>
          <w:sz w:val="16"/>
          <w:szCs w:val="16"/>
          <w:b w:val="1"/>
          <w:bCs w:val="1"/>
          <w:color w:val="auto"/>
        </w:rPr>
        <w:t xml:space="preserve"> </w:t>
      </w:r>
      <w:r>
        <w:rPr>
          <w:rFonts w:ascii="Arial" w:cs="Arial" w:eastAsia="Arial" w:hAnsi="Arial"/>
          <w:sz w:val="16"/>
          <w:szCs w:val="16"/>
          <w:color w:val="auto"/>
        </w:rPr>
        <w:t>modification or supplement to the Company’s indentures and that any proper officer be, and each of them hereby is, authorized to execute and deliver, in the name and on behalf of the Company, any such amendment, modification or supplement, substantially in the form approved by any proper officer;</w:t>
      </w:r>
    </w:p>
    <w:p>
      <w:pPr>
        <w:spacing w:after="0" w:line="34" w:lineRule="exact"/>
        <w:rPr>
          <w:sz w:val="20"/>
          <w:szCs w:val="20"/>
          <w:color w:val="auto"/>
        </w:rPr>
      </w:pPr>
    </w:p>
    <w:p>
      <w:pPr>
        <w:ind w:right="100" w:firstLine="225"/>
        <w:spacing w:after="0" w:line="303" w:lineRule="auto"/>
        <w:rPr>
          <w:sz w:val="20"/>
          <w:szCs w:val="20"/>
          <w:color w:val="auto"/>
        </w:rPr>
      </w:pPr>
      <w:r>
        <w:rPr>
          <w:rFonts w:ascii="Arial" w:cs="Arial" w:eastAsia="Arial" w:hAnsi="Arial"/>
          <w:sz w:val="16"/>
          <w:szCs w:val="16"/>
          <w:b w:val="1"/>
          <w:bCs w:val="1"/>
          <w:color w:val="auto"/>
        </w:rPr>
        <w:t>RESOLVED FURTHER</w:t>
      </w:r>
      <w:r>
        <w:rPr>
          <w:rFonts w:ascii="Arial" w:cs="Arial" w:eastAsia="Arial" w:hAnsi="Arial"/>
          <w:sz w:val="16"/>
          <w:szCs w:val="16"/>
          <w:color w:val="auto"/>
        </w:rPr>
        <w:t>, that the proper officers and authorized employees be, and each of them hereby is, authorized, in the name and on behalf of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to execute and deliver such other agreements (including indemnity agreements), documents, certificates, orders, requests and instruments as may be contemplated by the Company’s indentures or required by the trustee thereunder, the security registrar or any other agent of the Company under such indentures in connection therewith or as may be necessary or appropriate in connection with the issuance and sale of Securities thereunder;</w:t>
      </w:r>
    </w:p>
    <w:p>
      <w:pPr>
        <w:spacing w:after="0" w:line="43" w:lineRule="exact"/>
        <w:rPr>
          <w:sz w:val="20"/>
          <w:szCs w:val="20"/>
          <w:color w:val="auto"/>
        </w:rPr>
      </w:pPr>
    </w:p>
    <w:p>
      <w:pPr>
        <w:ind w:right="20" w:firstLine="225"/>
        <w:spacing w:after="0" w:line="274" w:lineRule="auto"/>
        <w:rPr>
          <w:sz w:val="20"/>
          <w:szCs w:val="20"/>
          <w:color w:val="auto"/>
        </w:rPr>
      </w:pPr>
      <w:r>
        <w:rPr>
          <w:rFonts w:ascii="Arial" w:cs="Arial" w:eastAsia="Arial" w:hAnsi="Arial"/>
          <w:sz w:val="17"/>
          <w:szCs w:val="17"/>
          <w:b w:val="1"/>
          <w:bCs w:val="1"/>
          <w:color w:val="auto"/>
        </w:rPr>
        <w:t>RESOLVED FURTHER</w:t>
      </w:r>
      <w:r>
        <w:rPr>
          <w:rFonts w:ascii="Arial" w:cs="Arial" w:eastAsia="Arial" w:hAnsi="Arial"/>
          <w:sz w:val="17"/>
          <w:szCs w:val="17"/>
          <w:color w:val="auto"/>
        </w:rPr>
        <w:t>, that the proper officers be, and each of them hereby is, authorized, subject to and in accordance with the Company’s indentures</w:t>
      </w:r>
      <w:r>
        <w:rPr>
          <w:rFonts w:ascii="Arial" w:cs="Arial" w:eastAsia="Arial" w:hAnsi="Arial"/>
          <w:sz w:val="17"/>
          <w:szCs w:val="17"/>
          <w:b w:val="1"/>
          <w:bCs w:val="1"/>
          <w:color w:val="auto"/>
        </w:rPr>
        <w:t xml:space="preserve"> </w:t>
      </w:r>
      <w:r>
        <w:rPr>
          <w:rFonts w:ascii="Arial" w:cs="Arial" w:eastAsia="Arial" w:hAnsi="Arial"/>
          <w:sz w:val="17"/>
          <w:szCs w:val="17"/>
          <w:color w:val="auto"/>
        </w:rPr>
        <w:t>and any action taken by any of the proper officers in connection therewith, from time to time to appoint or designate on behalf of the Company one or more security registrars, paying agents and transfer agents for each series of Securities, to rescind on behalf of the Company any such appointment or designation and to approve on behalf of the Company any change in the location of any office through which any such security registrar, paying agent or transfer agent acts, and in connection therewith to take such action and to make, execute and deliver, or cause to be made, executed and delivered, such agreements, instruments and other documents as any such officer may deem necessary or appropriate;</w:t>
      </w:r>
    </w:p>
    <w:p>
      <w:pPr>
        <w:spacing w:after="0" w:line="66" w:lineRule="exact"/>
        <w:rPr>
          <w:sz w:val="20"/>
          <w:szCs w:val="20"/>
          <w:color w:val="auto"/>
        </w:rPr>
      </w:pPr>
    </w:p>
    <w:p>
      <w:pPr>
        <w:ind w:firstLine="225"/>
        <w:spacing w:after="0" w:line="303" w:lineRule="auto"/>
        <w:rPr>
          <w:sz w:val="20"/>
          <w:szCs w:val="20"/>
          <w:color w:val="auto"/>
        </w:rPr>
      </w:pPr>
      <w:r>
        <w:rPr>
          <w:rFonts w:ascii="Arial" w:cs="Arial" w:eastAsia="Arial" w:hAnsi="Arial"/>
          <w:sz w:val="16"/>
          <w:szCs w:val="16"/>
          <w:b w:val="1"/>
          <w:bCs w:val="1"/>
          <w:color w:val="auto"/>
        </w:rPr>
        <w:t>RESOLVED FURTHER</w:t>
      </w:r>
      <w:r>
        <w:rPr>
          <w:rFonts w:ascii="Arial" w:cs="Arial" w:eastAsia="Arial" w:hAnsi="Arial"/>
          <w:sz w:val="16"/>
          <w:szCs w:val="16"/>
          <w:color w:val="auto"/>
        </w:rPr>
        <w:t>, that the proper officers and authorized employees be, and each of them hereby is, authorized, in the name and on behalf of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to make application to such securities exchange or exchanges as the persons acting shall deem necessary or appropriate for the listing thereof of any of the Securities (including any Common Stock or preferred stock underlying any convertible Securities) and in connection therewith to appoint one or more listing agents and to prepare, or cause to be prepared, execute and file, or cause to be filed, an application or applications for such listing and any and 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363220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6" w:right="279" w:bottom="1440" w:gutter="0" w:footer="0" w:header="0"/>
        </w:sectPr>
      </w:pPr>
    </w:p>
    <w:bookmarkStart w:id="61" w:name="page62"/>
    <w:bookmarkEnd w:id="61"/>
    <w:p>
      <w:pPr>
        <w:ind w:right="40"/>
        <w:spacing w:after="0" w:line="255" w:lineRule="auto"/>
        <w:rPr>
          <w:sz w:val="20"/>
          <w:szCs w:val="20"/>
          <w:color w:val="auto"/>
        </w:rPr>
      </w:pPr>
      <w:r>
        <w:rPr>
          <w:rFonts w:ascii="Arial" w:cs="Arial" w:eastAsia="Arial" w:hAnsi="Arial"/>
          <w:sz w:val="18"/>
          <w:szCs w:val="18"/>
          <w:color w:val="auto"/>
        </w:rPr>
        <w:t>amendments thereto and any additional certificates, documents, letters and other instruments which any such officer may deem necessary or desirable; that such officers, or such other person as any such officer may designate in writing, be, and each of them hereby is, authorized to appear before any official or officials or before any body of any such exchange, with authority to make such changes in such application, amendments, certificates, documents, letters and other instruments and to execute and deliver such agreements relative thereto, including, without limitation, listing agreements, fee agreements and indemnity agreements relating to the use of facsimile signatures as they, or any one of them, may deem necessary or appropriate in order to comply with the requirements of any such exchange or to effect such listing;</w:t>
      </w:r>
    </w:p>
    <w:p>
      <w:pPr>
        <w:spacing w:after="0" w:line="81" w:lineRule="exact"/>
        <w:rPr>
          <w:sz w:val="20"/>
          <w:szCs w:val="20"/>
          <w:color w:val="auto"/>
        </w:rPr>
      </w:pPr>
    </w:p>
    <w:p>
      <w:pPr>
        <w:ind w:right="60" w:firstLine="225"/>
        <w:spacing w:after="0" w:line="277" w:lineRule="auto"/>
        <w:rPr>
          <w:sz w:val="20"/>
          <w:szCs w:val="20"/>
          <w:color w:val="auto"/>
        </w:rPr>
      </w:pPr>
      <w:r>
        <w:rPr>
          <w:rFonts w:ascii="Arial" w:cs="Arial" w:eastAsia="Arial" w:hAnsi="Arial"/>
          <w:sz w:val="17"/>
          <w:szCs w:val="17"/>
          <w:b w:val="1"/>
          <w:bCs w:val="1"/>
          <w:color w:val="auto"/>
        </w:rPr>
        <w:t>RESOLVED FURTHER</w:t>
      </w:r>
      <w:r>
        <w:rPr>
          <w:rFonts w:ascii="Arial" w:cs="Arial" w:eastAsia="Arial" w:hAnsi="Arial"/>
          <w:sz w:val="17"/>
          <w:szCs w:val="17"/>
          <w:color w:val="auto"/>
        </w:rPr>
        <w:t>, that the proper officers be, and each of them hereby is, authorized, in the name and on behalf of the Company, to make</w:t>
      </w:r>
      <w:r>
        <w:rPr>
          <w:rFonts w:ascii="Arial" w:cs="Arial" w:eastAsia="Arial" w:hAnsi="Arial"/>
          <w:sz w:val="17"/>
          <w:szCs w:val="17"/>
          <w:b w:val="1"/>
          <w:bCs w:val="1"/>
          <w:color w:val="auto"/>
        </w:rPr>
        <w:t xml:space="preserve"> </w:t>
      </w:r>
      <w:r>
        <w:rPr>
          <w:rFonts w:ascii="Arial" w:cs="Arial" w:eastAsia="Arial" w:hAnsi="Arial"/>
          <w:sz w:val="17"/>
          <w:szCs w:val="17"/>
          <w:color w:val="auto"/>
        </w:rPr>
        <w:t>application to the SEC for registration of any series of the Securities under Section 12 or other applicable section of the Securities Exchange Act of 1934, and the proper officers and authorized employees are hereby authorized to prepare or cause to be prepared, and to execute and file, or cause to be filed, with the SEC and any securities exchange an application or applications for such registration and any and all amendments thereto and any additional certificates, documents, letters and other instruments which any such officer may deem necessary or desirable;</w:t>
      </w:r>
    </w:p>
    <w:p>
      <w:pPr>
        <w:spacing w:after="0" w:line="60" w:lineRule="exact"/>
        <w:rPr>
          <w:sz w:val="20"/>
          <w:szCs w:val="20"/>
          <w:color w:val="auto"/>
        </w:rPr>
      </w:pPr>
    </w:p>
    <w:p>
      <w:pPr>
        <w:ind w:firstLine="225"/>
        <w:spacing w:after="0" w:line="256" w:lineRule="auto"/>
        <w:rPr>
          <w:sz w:val="20"/>
          <w:szCs w:val="20"/>
          <w:color w:val="auto"/>
        </w:rPr>
      </w:pPr>
      <w:r>
        <w:rPr>
          <w:rFonts w:ascii="Arial" w:cs="Arial" w:eastAsia="Arial" w:hAnsi="Arial"/>
          <w:sz w:val="18"/>
          <w:szCs w:val="18"/>
          <w:b w:val="1"/>
          <w:bCs w:val="1"/>
          <w:color w:val="auto"/>
        </w:rPr>
        <w:t>RESOLVED FURTHER</w:t>
      </w:r>
      <w:r>
        <w:rPr>
          <w:rFonts w:ascii="Arial" w:cs="Arial" w:eastAsia="Arial" w:hAnsi="Arial"/>
          <w:sz w:val="18"/>
          <w:szCs w:val="18"/>
          <w:color w:val="auto"/>
        </w:rPr>
        <w:t>, that the officers and authorized employees of the Company be, and each of them hereby is, authorized to take, or cause to be</w:t>
      </w:r>
      <w:r>
        <w:rPr>
          <w:rFonts w:ascii="Arial" w:cs="Arial" w:eastAsia="Arial" w:hAnsi="Arial"/>
          <w:sz w:val="18"/>
          <w:szCs w:val="18"/>
          <w:b w:val="1"/>
          <w:bCs w:val="1"/>
          <w:color w:val="auto"/>
        </w:rPr>
        <w:t xml:space="preserve"> </w:t>
      </w:r>
      <w:r>
        <w:rPr>
          <w:rFonts w:ascii="Arial" w:cs="Arial" w:eastAsia="Arial" w:hAnsi="Arial"/>
          <w:sz w:val="18"/>
          <w:szCs w:val="18"/>
          <w:color w:val="auto"/>
        </w:rPr>
        <w:t>taken, any and all action which any such officer may deem necessary or desirable in order to carry out the purpose and intent of the foregoing resolutions or in order to perform, or cause to be performed, the obligations of the Company under the Securities and any Shelf Indenture, purchase agreement, shelf registration statement, Automatic Shelf or other agreement referred to herein, and, in connection therewith, to make, execute and deliver, or cause to be made, executed and delivered, all agreements, undertakings, documents, certificates, orders, requests or instruments in the name and on behalf of the Company as each such officer may deem necessary or appropriate;</w:t>
      </w:r>
    </w:p>
    <w:p>
      <w:pPr>
        <w:spacing w:after="0" w:line="80" w:lineRule="exact"/>
        <w:rPr>
          <w:sz w:val="20"/>
          <w:szCs w:val="20"/>
          <w:color w:val="auto"/>
        </w:rPr>
      </w:pPr>
    </w:p>
    <w:p>
      <w:pPr>
        <w:jc w:val="both"/>
        <w:ind w:right="140" w:firstLine="225"/>
        <w:spacing w:after="0" w:line="314" w:lineRule="auto"/>
        <w:rPr>
          <w:sz w:val="20"/>
          <w:szCs w:val="20"/>
          <w:color w:val="auto"/>
        </w:rPr>
      </w:pPr>
      <w:r>
        <w:rPr>
          <w:rFonts w:ascii="Arial" w:cs="Arial" w:eastAsia="Arial" w:hAnsi="Arial"/>
          <w:sz w:val="16"/>
          <w:szCs w:val="16"/>
          <w:b w:val="1"/>
          <w:bCs w:val="1"/>
          <w:color w:val="auto"/>
        </w:rPr>
        <w:t>RESOLVED FURTHER</w:t>
      </w:r>
      <w:r>
        <w:rPr>
          <w:rFonts w:ascii="Arial" w:cs="Arial" w:eastAsia="Arial" w:hAnsi="Arial"/>
          <w:sz w:val="16"/>
          <w:szCs w:val="16"/>
          <w:color w:val="auto"/>
        </w:rPr>
        <w:t>, that for purposes of these resolutions, the term “proper officer” shall mean any or all of the Chief Executive Officer, the Chief</w:t>
      </w:r>
      <w:r>
        <w:rPr>
          <w:rFonts w:ascii="Arial" w:cs="Arial" w:eastAsia="Arial" w:hAnsi="Arial"/>
          <w:sz w:val="16"/>
          <w:szCs w:val="16"/>
          <w:b w:val="1"/>
          <w:bCs w:val="1"/>
          <w:color w:val="auto"/>
        </w:rPr>
        <w:t xml:space="preserve"> </w:t>
      </w:r>
      <w:r>
        <w:rPr>
          <w:rFonts w:ascii="Arial" w:cs="Arial" w:eastAsia="Arial" w:hAnsi="Arial"/>
          <w:sz w:val="16"/>
          <w:szCs w:val="16"/>
          <w:color w:val="auto"/>
        </w:rPr>
        <w:t>Financial Officer, the General Counsel, the Secretary, the Chief Accounting Officer and the Treasurer of the Company and the term “authorized employees” shall mean either or both of the Vice President and Assistant General Counsel – Corporate and Securities and the Corporate Counsel of the Company;</w:t>
      </w:r>
    </w:p>
    <w:p>
      <w:pPr>
        <w:spacing w:after="0" w:line="34" w:lineRule="exact"/>
        <w:rPr>
          <w:sz w:val="20"/>
          <w:szCs w:val="20"/>
          <w:color w:val="auto"/>
        </w:rPr>
      </w:pPr>
    </w:p>
    <w:p>
      <w:pPr>
        <w:ind w:right="60" w:firstLine="225"/>
        <w:spacing w:after="0" w:line="347" w:lineRule="auto"/>
        <w:rPr>
          <w:sz w:val="20"/>
          <w:szCs w:val="20"/>
          <w:color w:val="auto"/>
        </w:rPr>
      </w:pPr>
      <w:r>
        <w:rPr>
          <w:rFonts w:ascii="Arial" w:cs="Arial" w:eastAsia="Arial" w:hAnsi="Arial"/>
          <w:sz w:val="16"/>
          <w:szCs w:val="16"/>
          <w:b w:val="1"/>
          <w:bCs w:val="1"/>
          <w:color w:val="auto"/>
        </w:rPr>
        <w:t>RESOLVED FURTHER</w:t>
      </w:r>
      <w:r>
        <w:rPr>
          <w:rFonts w:ascii="Arial" w:cs="Arial" w:eastAsia="Arial" w:hAnsi="Arial"/>
          <w:sz w:val="16"/>
          <w:szCs w:val="16"/>
          <w:color w:val="auto"/>
        </w:rPr>
        <w:t>, that the form of any additional resolutions required in connection with the foregoing resolutions be and hereby is approved and</w:t>
      </w:r>
      <w:r>
        <w:rPr>
          <w:rFonts w:ascii="Arial" w:cs="Arial" w:eastAsia="Arial" w:hAnsi="Arial"/>
          <w:sz w:val="16"/>
          <w:szCs w:val="16"/>
          <w:b w:val="1"/>
          <w:bCs w:val="1"/>
          <w:color w:val="auto"/>
        </w:rPr>
        <w:t xml:space="preserve"> </w:t>
      </w:r>
      <w:r>
        <w:rPr>
          <w:rFonts w:ascii="Arial" w:cs="Arial" w:eastAsia="Arial" w:hAnsi="Arial"/>
          <w:sz w:val="16"/>
          <w:szCs w:val="16"/>
          <w:color w:val="auto"/>
        </w:rPr>
        <w:t>adopted, provided the proper officers of the Company, on the advice of counsel, consider the adoption thereof necessary or advisable, in which case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340360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62" w:name="page63"/>
    <w:bookmarkEnd w:id="62"/>
    <w:p>
      <w:pPr>
        <w:ind w:right="540"/>
        <w:spacing w:after="0" w:line="308" w:lineRule="auto"/>
        <w:rPr>
          <w:sz w:val="20"/>
          <w:szCs w:val="20"/>
          <w:color w:val="auto"/>
        </w:rPr>
      </w:pPr>
      <w:r>
        <w:rPr>
          <w:rFonts w:ascii="Arial" w:cs="Arial" w:eastAsia="Arial" w:hAnsi="Arial"/>
          <w:sz w:val="17"/>
          <w:szCs w:val="17"/>
          <w:color w:val="auto"/>
        </w:rPr>
        <w:t>Secretary or any Assistant Secretary of the Company is hereby directed to insert as an appendix hereto a copy of such resolutions, which shall, upon execution, be deemed to have been adopted by this Board with the same force and effect as if set out verbatim herein; and</w:t>
      </w:r>
    </w:p>
    <w:p>
      <w:pPr>
        <w:spacing w:after="0" w:line="34" w:lineRule="exact"/>
        <w:rPr>
          <w:sz w:val="20"/>
          <w:szCs w:val="20"/>
          <w:color w:val="auto"/>
        </w:rPr>
      </w:pPr>
    </w:p>
    <w:p>
      <w:pPr>
        <w:ind w:firstLine="225"/>
        <w:spacing w:after="0" w:line="261" w:lineRule="auto"/>
        <w:rPr>
          <w:sz w:val="20"/>
          <w:szCs w:val="20"/>
          <w:color w:val="auto"/>
        </w:rPr>
      </w:pPr>
      <w:r>
        <w:rPr>
          <w:rFonts w:ascii="Arial" w:cs="Arial" w:eastAsia="Arial" w:hAnsi="Arial"/>
          <w:sz w:val="18"/>
          <w:szCs w:val="18"/>
          <w:b w:val="1"/>
          <w:bCs w:val="1"/>
          <w:color w:val="auto"/>
        </w:rPr>
        <w:t>RESOLVED FURTHER</w:t>
      </w:r>
      <w:r>
        <w:rPr>
          <w:rFonts w:ascii="Arial" w:cs="Arial" w:eastAsia="Arial" w:hAnsi="Arial"/>
          <w:sz w:val="18"/>
          <w:szCs w:val="18"/>
          <w:color w:val="auto"/>
        </w:rPr>
        <w:t>, that any officer of the Company is hereby authorized and directed to make, provide, execute, and deliver any and all</w:t>
      </w:r>
      <w:r>
        <w:rPr>
          <w:rFonts w:ascii="Arial" w:cs="Arial" w:eastAsia="Arial" w:hAnsi="Arial"/>
          <w:sz w:val="18"/>
          <w:szCs w:val="18"/>
          <w:b w:val="1"/>
          <w:bCs w:val="1"/>
          <w:color w:val="auto"/>
        </w:rPr>
        <w:t xml:space="preserve"> </w:t>
      </w:r>
      <w:r>
        <w:rPr>
          <w:rFonts w:ascii="Arial" w:cs="Arial" w:eastAsia="Arial" w:hAnsi="Arial"/>
          <w:sz w:val="18"/>
          <w:szCs w:val="18"/>
          <w:color w:val="auto"/>
        </w:rPr>
        <w:t>statements, applications, certificates, representations, payments, notices, receipts, and other instruments and documents and take any and all other actions which in the opinion of such officer is or may be necessary or appropriate in connection with or to consummate any of the matters covered by the foregoing resolutions.</w:t>
      </w:r>
    </w:p>
    <w:p>
      <w:pPr>
        <w:sectPr>
          <w:pgSz w:w="11900" w:h="16838" w:orient="portrait"/>
          <w:cols w:equalWidth="0" w:num="1">
            <w:col w:w="11220"/>
          </w:cols>
          <w:pgMar w:left="240" w:top="935" w:right="43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4.4</w:t>
      </w:r>
    </w:p>
    <w:p>
      <w:pPr>
        <w:spacing w:after="0" w:line="337"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GUARANTEE</w:t>
      </w:r>
    </w:p>
    <w:p>
      <w:pPr>
        <w:spacing w:after="0" w:line="117" w:lineRule="exact"/>
        <w:rPr>
          <w:sz w:val="20"/>
          <w:szCs w:val="20"/>
          <w:color w:val="auto"/>
        </w:rPr>
      </w:pPr>
    </w:p>
    <w:p>
      <w:pPr>
        <w:ind w:left="2680"/>
        <w:spacing w:after="0"/>
        <w:rPr>
          <w:sz w:val="20"/>
          <w:szCs w:val="20"/>
          <w:color w:val="auto"/>
        </w:rPr>
      </w:pPr>
      <w:r>
        <w:rPr>
          <w:rFonts w:ascii="Arial" w:cs="Arial" w:eastAsia="Arial" w:hAnsi="Arial"/>
          <w:sz w:val="18"/>
          <w:szCs w:val="18"/>
          <w:color w:val="auto"/>
        </w:rPr>
        <w:t>BY WASTE MANAGEMENT HOLDINGS, INC.</w:t>
      </w:r>
    </w:p>
    <w:p>
      <w:pPr>
        <w:spacing w:after="0" w:line="117"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(formerly known as Waste Management, Inc.)</w:t>
      </w:r>
    </w:p>
    <w:p>
      <w:pPr>
        <w:spacing w:after="0" w:line="117" w:lineRule="exact"/>
        <w:rPr>
          <w:sz w:val="20"/>
          <w:szCs w:val="20"/>
          <w:color w:val="auto"/>
        </w:rPr>
      </w:pPr>
    </w:p>
    <w:p>
      <w:pPr>
        <w:ind w:left="2060"/>
        <w:spacing w:after="0"/>
        <w:rPr>
          <w:sz w:val="20"/>
          <w:szCs w:val="20"/>
          <w:color w:val="auto"/>
        </w:rPr>
      </w:pPr>
      <w:r>
        <w:rPr>
          <w:rFonts w:ascii="Arial" w:cs="Arial" w:eastAsia="Arial" w:hAnsi="Arial"/>
          <w:sz w:val="18"/>
          <w:szCs w:val="18"/>
          <w:color w:val="auto"/>
        </w:rPr>
        <w:t>in Favor of The Bank of New York, N.A., as Trustee for the Holders</w:t>
      </w:r>
    </w:p>
    <w:p>
      <w:pPr>
        <w:spacing w:after="0" w:line="23" w:lineRule="exact"/>
        <w:rPr>
          <w:sz w:val="20"/>
          <w:szCs w:val="20"/>
          <w:color w:val="auto"/>
        </w:rPr>
      </w:pPr>
    </w:p>
    <w:p>
      <w:pPr>
        <w:ind w:left="3480"/>
        <w:spacing w:after="0"/>
        <w:rPr>
          <w:sz w:val="20"/>
          <w:szCs w:val="20"/>
          <w:color w:val="auto"/>
        </w:rPr>
      </w:pPr>
      <w:r>
        <w:rPr>
          <w:rFonts w:ascii="Arial" w:cs="Arial" w:eastAsia="Arial" w:hAnsi="Arial"/>
          <w:sz w:val="18"/>
          <w:szCs w:val="18"/>
          <w:color w:val="auto"/>
        </w:rPr>
        <w:t>of Certain Debt Securities of</w:t>
      </w:r>
    </w:p>
    <w:p>
      <w:pPr>
        <w:spacing w:after="0" w:line="103"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WASTE MANAGEMENT, INC.</w:t>
      </w:r>
    </w:p>
    <w:p>
      <w:pPr>
        <w:spacing w:after="0" w:line="117"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$600,000,000</w:t>
      </w:r>
    </w:p>
    <w:p>
      <w:pPr>
        <w:spacing w:after="0" w:line="23"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6.10% Senior Notes due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398145</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932" w:right="239" w:bottom="1440" w:gutter="0" w:footer="0" w:header="0"/>
        </w:sectPr>
      </w:pPr>
    </w:p>
    <w:bookmarkStart w:id="64" w:name="page65"/>
    <w:bookmarkEnd w:id="64"/>
    <w:p>
      <w:pPr>
        <w:ind w:firstLine="225"/>
        <w:spacing w:after="0" w:line="259" w:lineRule="auto"/>
        <w:rPr>
          <w:sz w:val="20"/>
          <w:szCs w:val="20"/>
          <w:color w:val="auto"/>
        </w:rPr>
      </w:pPr>
      <w:r>
        <w:rPr>
          <w:rFonts w:ascii="Arial" w:cs="Arial" w:eastAsia="Arial" w:hAnsi="Arial"/>
          <w:sz w:val="18"/>
          <w:szCs w:val="18"/>
          <w:color w:val="auto"/>
        </w:rPr>
        <w:t>GUARANTEE, dated as of March , 2008 (as amended from time to time, this “</w:t>
      </w:r>
      <w:r>
        <w:rPr>
          <w:rFonts w:ascii="Arial" w:cs="Arial" w:eastAsia="Arial" w:hAnsi="Arial"/>
          <w:sz w:val="18"/>
          <w:szCs w:val="18"/>
          <w:u w:val="single" w:color="auto"/>
          <w:color w:val="auto"/>
        </w:rPr>
        <w:t>Guarantee</w:t>
      </w:r>
      <w:r>
        <w:rPr>
          <w:rFonts w:ascii="Arial" w:cs="Arial" w:eastAsia="Arial" w:hAnsi="Arial"/>
          <w:sz w:val="18"/>
          <w:szCs w:val="18"/>
          <w:color w:val="auto"/>
        </w:rPr>
        <w:t>”), made by Waste Management Holdings, Inc. (formerly known as Waste Management, Inc.), a Delaware corporation (the “</w:t>
      </w:r>
      <w:r>
        <w:rPr>
          <w:rFonts w:ascii="Arial" w:cs="Arial" w:eastAsia="Arial" w:hAnsi="Arial"/>
          <w:sz w:val="18"/>
          <w:szCs w:val="18"/>
          <w:u w:val="single" w:color="auto"/>
          <w:color w:val="auto"/>
        </w:rPr>
        <w:t>Guarantor</w:t>
      </w:r>
      <w:r>
        <w:rPr>
          <w:rFonts w:ascii="Arial" w:cs="Arial" w:eastAsia="Arial" w:hAnsi="Arial"/>
          <w:sz w:val="18"/>
          <w:szCs w:val="18"/>
          <w:color w:val="auto"/>
        </w:rPr>
        <w:t>”), in favor of The Bank of New York Trust Company, N.A., as trustee for the holders of the $600 million 6.10% Senior Notes due 2018 (the “</w:t>
      </w:r>
      <w:r>
        <w:rPr>
          <w:rFonts w:ascii="Arial" w:cs="Arial" w:eastAsia="Arial" w:hAnsi="Arial"/>
          <w:sz w:val="18"/>
          <w:szCs w:val="18"/>
          <w:u w:val="single" w:color="auto"/>
          <w:color w:val="auto"/>
        </w:rPr>
        <w:t>Debt Securities</w:t>
      </w:r>
      <w:r>
        <w:rPr>
          <w:rFonts w:ascii="Arial" w:cs="Arial" w:eastAsia="Arial" w:hAnsi="Arial"/>
          <w:sz w:val="18"/>
          <w:szCs w:val="18"/>
          <w:color w:val="auto"/>
        </w:rPr>
        <w:t>”) of Waste Management, Inc. (formerly known as USA Waste Services, Inc.), a Delaware corporation (the “</w:t>
      </w:r>
      <w:r>
        <w:rPr>
          <w:rFonts w:ascii="Arial" w:cs="Arial" w:eastAsia="Arial" w:hAnsi="Arial"/>
          <w:sz w:val="18"/>
          <w:szCs w:val="18"/>
          <w:u w:val="single" w:color="auto"/>
          <w:color w:val="auto"/>
        </w:rPr>
        <w:t>Issuer</w:t>
      </w:r>
      <w:r>
        <w:rPr>
          <w:rFonts w:ascii="Arial" w:cs="Arial" w:eastAsia="Arial" w:hAnsi="Arial"/>
          <w:sz w:val="18"/>
          <w:szCs w:val="18"/>
          <w:color w:val="auto"/>
        </w:rPr>
        <w:t>”).</w:t>
      </w:r>
    </w:p>
    <w:p>
      <w:pPr>
        <w:spacing w:after="0" w:line="29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WITNESSETH:</w:t>
      </w:r>
    </w:p>
    <w:p>
      <w:pPr>
        <w:spacing w:after="0" w:line="117" w:lineRule="exact"/>
        <w:rPr>
          <w:sz w:val="20"/>
          <w:szCs w:val="20"/>
          <w:color w:val="auto"/>
        </w:rPr>
      </w:pPr>
    </w:p>
    <w:p>
      <w:pPr>
        <w:ind w:right="20" w:firstLine="225"/>
        <w:spacing w:after="0" w:line="257"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Guarantee</w:t>
      </w:r>
      <w:r>
        <w:rPr>
          <w:rFonts w:ascii="Arial" w:cs="Arial" w:eastAsia="Arial" w:hAnsi="Arial"/>
          <w:sz w:val="18"/>
          <w:szCs w:val="18"/>
          <w:color w:val="auto"/>
        </w:rPr>
        <w:t>. (a) The Guarantor hereby unconditionally guarantees the punctual payment when due, whether at stated maturity, by acceleration or otherwise, of the principal of, premium, if any, and interest on the Debt Securities (the “</w:t>
      </w:r>
      <w:r>
        <w:rPr>
          <w:rFonts w:ascii="Arial" w:cs="Arial" w:eastAsia="Arial" w:hAnsi="Arial"/>
          <w:sz w:val="18"/>
          <w:szCs w:val="18"/>
          <w:u w:val="single" w:color="auto"/>
          <w:color w:val="auto"/>
        </w:rPr>
        <w:t>Obligations</w:t>
      </w:r>
      <w:r>
        <w:rPr>
          <w:rFonts w:ascii="Arial" w:cs="Arial" w:eastAsia="Arial" w:hAnsi="Arial"/>
          <w:sz w:val="18"/>
          <w:szCs w:val="18"/>
          <w:color w:val="auto"/>
        </w:rPr>
        <w:t>”), according to the terms of the Debt Securities and as more fully described in the Indenture (as amended, modified or otherwise supplemented from time to time, the “</w:t>
      </w:r>
      <w:r>
        <w:rPr>
          <w:rFonts w:ascii="Arial" w:cs="Arial" w:eastAsia="Arial" w:hAnsi="Arial"/>
          <w:sz w:val="18"/>
          <w:szCs w:val="18"/>
          <w:u w:val="single" w:color="auto"/>
          <w:color w:val="auto"/>
        </w:rPr>
        <w:t>Indenture</w:t>
      </w:r>
      <w:r>
        <w:rPr>
          <w:rFonts w:ascii="Arial" w:cs="Arial" w:eastAsia="Arial" w:hAnsi="Arial"/>
          <w:sz w:val="18"/>
          <w:szCs w:val="18"/>
          <w:color w:val="auto"/>
        </w:rPr>
        <w:t>”), dated as of September 10, 1997, between the Issuer, as successor to USA Waste Services, Inc., and The Bank of New York Trust Company, N.A. (the current successor to Texas Commerce Bank National Association), as trustee (the “</w:t>
      </w:r>
      <w:r>
        <w:rPr>
          <w:rFonts w:ascii="Arial" w:cs="Arial" w:eastAsia="Arial" w:hAnsi="Arial"/>
          <w:sz w:val="18"/>
          <w:szCs w:val="18"/>
          <w:u w:val="single" w:color="auto"/>
          <w:color w:val="auto"/>
        </w:rPr>
        <w:t>Trustee</w:t>
      </w:r>
      <w:r>
        <w:rPr>
          <w:rFonts w:ascii="Arial" w:cs="Arial" w:eastAsia="Arial" w:hAnsi="Arial"/>
          <w:sz w:val="18"/>
          <w:szCs w:val="18"/>
          <w:color w:val="auto"/>
        </w:rPr>
        <w:t>”).</w:t>
      </w:r>
    </w:p>
    <w:p>
      <w:pPr>
        <w:spacing w:after="0" w:line="80" w:lineRule="exact"/>
        <w:rPr>
          <w:sz w:val="20"/>
          <w:szCs w:val="20"/>
          <w:color w:val="auto"/>
        </w:rPr>
      </w:pPr>
    </w:p>
    <w:p>
      <w:pPr>
        <w:ind w:firstLine="368"/>
        <w:spacing w:after="0" w:line="293" w:lineRule="auto"/>
        <w:tabs>
          <w:tab w:leader="none" w:pos="615" w:val="left"/>
        </w:tabs>
        <w:numPr>
          <w:ilvl w:val="0"/>
          <w:numId w:val="64"/>
        </w:numPr>
        <w:rPr>
          <w:rFonts w:ascii="Arial" w:cs="Arial" w:eastAsia="Arial" w:hAnsi="Arial"/>
          <w:sz w:val="16"/>
          <w:szCs w:val="16"/>
          <w:color w:val="auto"/>
        </w:rPr>
      </w:pPr>
      <w:r>
        <w:rPr>
          <w:rFonts w:ascii="Arial" w:cs="Arial" w:eastAsia="Arial" w:hAnsi="Arial"/>
          <w:sz w:val="16"/>
          <w:szCs w:val="16"/>
          <w:color w:val="auto"/>
        </w:rPr>
        <w:t>It is the intention of the Guarantor that this Guarantee not constitute a fraudulent transfer or conveyance for purposes of Bankruptcy Law, the Uniform Fraudulent Conveyance Act, the Uniform Fraudulent Transfer Act or any similar federal or state law to the extent applicable to this Guarantee. To effectuate the foregoing intention, the amount guaranteed by the Guarantor under this Guarantee shall be limited to the maximum amount as will, after giving effect to such maximum amount and all other contingent and fixed liabilities of the Guarantor (other than guarantees of the Guarantor in respect of subordinated debt) that are relevant under such laws, result in the Obligations of the Guarantor under this Guarantee not constituting a fraudulent transfer or conveyance. For purposes hereof, “</w:t>
      </w:r>
      <w:r>
        <w:rPr>
          <w:rFonts w:ascii="Arial" w:cs="Arial" w:eastAsia="Arial" w:hAnsi="Arial"/>
          <w:sz w:val="16"/>
          <w:szCs w:val="16"/>
          <w:u w:val="single" w:color="auto"/>
          <w:color w:val="auto"/>
        </w:rPr>
        <w:t>Bankruptcy Law</w:t>
      </w:r>
      <w:r>
        <w:rPr>
          <w:rFonts w:ascii="Arial" w:cs="Arial" w:eastAsia="Arial" w:hAnsi="Arial"/>
          <w:sz w:val="16"/>
          <w:szCs w:val="16"/>
          <w:color w:val="auto"/>
        </w:rPr>
        <w:t>” means Title 11, U.S. Code, or any similar Federal or state law for the relief of debtors.</w:t>
      </w:r>
    </w:p>
    <w:p>
      <w:pPr>
        <w:spacing w:after="0" w:line="57" w:lineRule="exact"/>
        <w:rPr>
          <w:sz w:val="20"/>
          <w:szCs w:val="20"/>
          <w:color w:val="auto"/>
        </w:rPr>
      </w:pPr>
    </w:p>
    <w:p>
      <w:pPr>
        <w:ind w:right="500" w:firstLine="225"/>
        <w:spacing w:after="0" w:line="312" w:lineRule="auto"/>
        <w:rPr>
          <w:sz w:val="20"/>
          <w:szCs w:val="20"/>
          <w:color w:val="auto"/>
        </w:rPr>
      </w:pPr>
      <w:r>
        <w:rPr>
          <w:rFonts w:ascii="Arial" w:cs="Arial" w:eastAsia="Arial" w:hAnsi="Arial"/>
          <w:sz w:val="16"/>
          <w:szCs w:val="16"/>
          <w:color w:val="auto"/>
        </w:rPr>
        <w:t xml:space="preserve">SECTION 2. </w:t>
      </w:r>
      <w:r>
        <w:rPr>
          <w:rFonts w:ascii="Arial" w:cs="Arial" w:eastAsia="Arial" w:hAnsi="Arial"/>
          <w:sz w:val="16"/>
          <w:szCs w:val="16"/>
          <w:u w:val="single" w:color="auto"/>
          <w:color w:val="auto"/>
        </w:rPr>
        <w:t>Guarantee Absolute</w:t>
      </w:r>
      <w:r>
        <w:rPr>
          <w:rFonts w:ascii="Arial" w:cs="Arial" w:eastAsia="Arial" w:hAnsi="Arial"/>
          <w:sz w:val="16"/>
          <w:szCs w:val="16"/>
          <w:color w:val="auto"/>
        </w:rPr>
        <w:t>. The Guarantor guarantees that the Obligations will be paid strictly in accordance with the terms of the Indenture, regardless of any law, regulation or order now or hereafter in effect in any jurisdiction affecting any of such terms or the rights of holders of the Debt Securities with respect thereto. The liability of the Guarantor under this Guarantee shall be absolute and unconditional irrespective of:</w:t>
      </w:r>
    </w:p>
    <w:p>
      <w:pPr>
        <w:spacing w:after="0" w:line="39" w:lineRule="exact"/>
        <w:rPr>
          <w:sz w:val="20"/>
          <w:szCs w:val="20"/>
          <w:color w:val="auto"/>
        </w:rPr>
      </w:pPr>
    </w:p>
    <w:p>
      <w:pPr>
        <w:ind w:left="560" w:hanging="213"/>
        <w:spacing w:after="0"/>
        <w:tabs>
          <w:tab w:leader="none" w:pos="5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any lack of validity or enforceability of the Indenture, the Debt Securities or any other agreement or instrument relating thereto;</w:t>
      </w:r>
    </w:p>
    <w:p>
      <w:pPr>
        <w:spacing w:after="0" w:line="117" w:lineRule="exact"/>
        <w:rPr>
          <w:rFonts w:ascii="Arial" w:cs="Arial" w:eastAsia="Arial" w:hAnsi="Arial"/>
          <w:sz w:val="18"/>
          <w:szCs w:val="18"/>
          <w:color w:val="auto"/>
        </w:rPr>
      </w:pPr>
    </w:p>
    <w:p>
      <w:pPr>
        <w:ind w:left="120" w:right="20" w:firstLine="227"/>
        <w:spacing w:after="0" w:line="277" w:lineRule="auto"/>
        <w:tabs>
          <w:tab w:leader="none" w:pos="61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any change in the time, manner or place of payment of, or in any other term of, all or any of the Obligations, or any other amendment or waiver of or any consent to departure from the Indenture;</w:t>
      </w:r>
    </w:p>
    <w:p>
      <w:pPr>
        <w:spacing w:after="0" w:line="62" w:lineRule="exact"/>
        <w:rPr>
          <w:rFonts w:ascii="Arial" w:cs="Arial" w:eastAsia="Arial" w:hAnsi="Arial"/>
          <w:sz w:val="18"/>
          <w:szCs w:val="18"/>
          <w:color w:val="auto"/>
        </w:rPr>
      </w:pPr>
    </w:p>
    <w:p>
      <w:pPr>
        <w:ind w:left="120" w:firstLine="227"/>
        <w:spacing w:after="0" w:line="277" w:lineRule="auto"/>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any exchange, release or non-perfection of any collateral, or any release or amendment or waiver of or consent to departure from any other guaranty, for all or any of the Obligations; or</w:t>
      </w:r>
    </w:p>
    <w:p>
      <w:pPr>
        <w:spacing w:after="0" w:line="62" w:lineRule="exact"/>
        <w:rPr>
          <w:rFonts w:ascii="Arial" w:cs="Arial" w:eastAsia="Arial" w:hAnsi="Arial"/>
          <w:sz w:val="18"/>
          <w:szCs w:val="18"/>
          <w:color w:val="auto"/>
        </w:rPr>
      </w:pPr>
    </w:p>
    <w:p>
      <w:pPr>
        <w:ind w:left="660" w:hanging="313"/>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any other circumstance which might otherwise constitute a defense available to, or a discharge of, the Issuer or a guarantor.</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6" w:right="299" w:bottom="1440" w:gutter="0" w:footer="0" w:header="0"/>
        </w:sectPr>
      </w:pPr>
    </w:p>
    <w:bookmarkStart w:id="65" w:name="page66"/>
    <w:bookmarkEnd w:id="65"/>
    <w:p>
      <w:pPr>
        <w:ind w:right="520" w:firstLine="225"/>
        <w:spacing w:after="0" w:line="264"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Subordination</w:t>
      </w:r>
      <w:r>
        <w:rPr>
          <w:rFonts w:ascii="Arial" w:cs="Arial" w:eastAsia="Arial" w:hAnsi="Arial"/>
          <w:sz w:val="18"/>
          <w:szCs w:val="18"/>
          <w:color w:val="auto"/>
        </w:rPr>
        <w:t xml:space="preserve">. The Guarantor covenants and agrees that its obligation to make payments of the Obligations hereunder constitutes an unsecured obligation of the Guarantor ranking (a)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all existing and future senior indebtedness of the Guarantor and (b) senior in right of payment to all existing and future subordinated indebtedness of the Guarantor.</w:t>
      </w:r>
    </w:p>
    <w:p>
      <w:pPr>
        <w:spacing w:after="0" w:line="73" w:lineRule="exact"/>
        <w:rPr>
          <w:sz w:val="20"/>
          <w:szCs w:val="20"/>
          <w:color w:val="auto"/>
        </w:rPr>
      </w:pPr>
    </w:p>
    <w:p>
      <w:pPr>
        <w:jc w:val="both"/>
        <w:ind w:right="80" w:firstLine="225"/>
        <w:spacing w:after="0" w:line="264" w:lineRule="auto"/>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Waiver; Subrogation</w:t>
      </w:r>
      <w:r>
        <w:rPr>
          <w:rFonts w:ascii="Arial" w:cs="Arial" w:eastAsia="Arial" w:hAnsi="Arial"/>
          <w:sz w:val="18"/>
          <w:szCs w:val="18"/>
          <w:color w:val="auto"/>
        </w:rPr>
        <w:t>. (a) The Guarantor hereby waives notice of acceptance of this Guarantee, diligence, presentment, demand of payment, filing of claims with a court in the event of merger or bankruptcy of the Issuer, any right to require a proceeding filed first against the Issuer, protest or notice with respect to the Debt Securities or the indebtedness evidenced thereby and all demands whatsoever.</w:t>
      </w:r>
    </w:p>
    <w:p>
      <w:pPr>
        <w:spacing w:after="0" w:line="73" w:lineRule="exact"/>
        <w:rPr>
          <w:sz w:val="20"/>
          <w:szCs w:val="20"/>
          <w:color w:val="auto"/>
        </w:rPr>
      </w:pPr>
    </w:p>
    <w:p>
      <w:pPr>
        <w:ind w:right="160" w:firstLine="368"/>
        <w:spacing w:after="0" w:line="312" w:lineRule="auto"/>
        <w:tabs>
          <w:tab w:leader="none" w:pos="612"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The Guarantor shall be subrogated to all rights of the Trustee or the holders of any Debt Securities against the Issuer in respect of any amounts paid to the Trustee or such holder by the Guarantor pursuant to the provisions of this Guarantee; provided, however, that the Guarantor shall not be entitled to enforce, or to receive any payments arising out of, or based upon, such right of subrogation until all Obligations shall have been paid in full.</w:t>
      </w:r>
    </w:p>
    <w:p>
      <w:pPr>
        <w:spacing w:after="0" w:line="39" w:lineRule="exact"/>
        <w:rPr>
          <w:sz w:val="20"/>
          <w:szCs w:val="20"/>
          <w:color w:val="auto"/>
        </w:rPr>
      </w:pPr>
    </w:p>
    <w:p>
      <w:pPr>
        <w:jc w:val="both"/>
        <w:ind w:right="140" w:firstLine="225"/>
        <w:spacing w:after="0" w:line="312" w:lineRule="auto"/>
        <w:rPr>
          <w:sz w:val="20"/>
          <w:szCs w:val="20"/>
          <w:color w:val="auto"/>
        </w:rPr>
      </w:pPr>
      <w:r>
        <w:rPr>
          <w:rFonts w:ascii="Arial" w:cs="Arial" w:eastAsia="Arial" w:hAnsi="Arial"/>
          <w:sz w:val="16"/>
          <w:szCs w:val="16"/>
          <w:color w:val="auto"/>
        </w:rPr>
        <w:t xml:space="preserve">SECTION 5. </w:t>
      </w:r>
      <w:r>
        <w:rPr>
          <w:rFonts w:ascii="Arial" w:cs="Arial" w:eastAsia="Arial" w:hAnsi="Arial"/>
          <w:sz w:val="16"/>
          <w:szCs w:val="16"/>
          <w:u w:val="single" w:color="auto"/>
          <w:color w:val="auto"/>
        </w:rPr>
        <w:t>No Waiver, Remedies</w:t>
      </w:r>
      <w:r>
        <w:rPr>
          <w:rFonts w:ascii="Arial" w:cs="Arial" w:eastAsia="Arial" w:hAnsi="Arial"/>
          <w:sz w:val="16"/>
          <w:szCs w:val="16"/>
          <w:color w:val="auto"/>
        </w:rPr>
        <w:t>. No failure on the part of the Trustee or any holder of the Debt Securities to exercise, and no delay in exercising, any right hereunder shall operate as a waiver thereof; nor shall any single or partial exercise of any right hereunder preclude any other or further exercise thereof or the exercise of any other right. The remedies herein provided are cumulative and not exclusive of any remedies provided by law.</w:t>
      </w:r>
    </w:p>
    <w:p>
      <w:pPr>
        <w:spacing w:after="0" w:line="39" w:lineRule="exact"/>
        <w:rPr>
          <w:sz w:val="20"/>
          <w:szCs w:val="20"/>
          <w:color w:val="auto"/>
        </w:rPr>
      </w:pPr>
    </w:p>
    <w:p>
      <w:pPr>
        <w:ind w:firstLine="225"/>
        <w:spacing w:after="0" w:line="291" w:lineRule="auto"/>
        <w:rPr>
          <w:sz w:val="20"/>
          <w:szCs w:val="20"/>
          <w:color w:val="auto"/>
        </w:rPr>
      </w:pPr>
      <w:r>
        <w:rPr>
          <w:rFonts w:ascii="Arial" w:cs="Arial" w:eastAsia="Arial" w:hAnsi="Arial"/>
          <w:sz w:val="16"/>
          <w:szCs w:val="16"/>
          <w:color w:val="auto"/>
        </w:rPr>
        <w:t xml:space="preserve">SECTION 6. </w:t>
      </w:r>
      <w:r>
        <w:rPr>
          <w:rFonts w:ascii="Arial" w:cs="Arial" w:eastAsia="Arial" w:hAnsi="Arial"/>
          <w:sz w:val="16"/>
          <w:szCs w:val="16"/>
          <w:u w:val="single" w:color="auto"/>
          <w:color w:val="auto"/>
        </w:rPr>
        <w:t>Continuing Guarantee; Transfer of Interest</w:t>
      </w:r>
      <w:r>
        <w:rPr>
          <w:rFonts w:ascii="Arial" w:cs="Arial" w:eastAsia="Arial" w:hAnsi="Arial"/>
          <w:sz w:val="16"/>
          <w:szCs w:val="16"/>
          <w:color w:val="auto"/>
        </w:rPr>
        <w:t>. This Guarantee is a continuing guaranty and shall (i) remain in full force and effect until the earliest to occur of (A) the date, if any, on which the Guarantor shall consolidate with or merge into the Issuer or any successor thereto, (B) the date, if any, on which the Issuer or any successor thereto shall consolidate with or merge into the Guarantor, (C) payment in full of the Obligations and (D) the release by the lenders under the Revolving Credit Agreement dated August 17, 2006, by and among the Issuer, the Guarantor (as guarantor), Citibank, N.A., as administrative agent, J.P. Morgan Securities Inc. and Banc of America Securities LLC, as lead arrangers and joint book runners (or under any replacement or new principal credit facility of the Issuer) of the guarantee of the Guarantor thereunder, (ii) be binding upon the Guarantor, its successors and assigns, and (iii) inure to the benefit of and be enforceable by any holder of Debt Securities, the Trustee, and by their respective successors, transferees, and assigns.</w:t>
      </w:r>
    </w:p>
    <w:p>
      <w:pPr>
        <w:spacing w:after="0" w:line="59" w:lineRule="exact"/>
        <w:rPr>
          <w:sz w:val="20"/>
          <w:szCs w:val="20"/>
          <w:color w:val="auto"/>
        </w:rPr>
      </w:pPr>
    </w:p>
    <w:p>
      <w:pPr>
        <w:ind w:right="120" w:firstLine="225"/>
        <w:spacing w:after="0" w:line="264" w:lineRule="auto"/>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Reinstatement</w:t>
      </w:r>
      <w:r>
        <w:rPr>
          <w:rFonts w:ascii="Arial" w:cs="Arial" w:eastAsia="Arial" w:hAnsi="Arial"/>
          <w:sz w:val="18"/>
          <w:szCs w:val="18"/>
          <w:color w:val="auto"/>
        </w:rPr>
        <w:t>. This Guarantee shall continue to be effective or be reinstated, as the case may be, if at any time any payment of any of the Obligations is rescinded or must otherwise be returned by any holder of the Debt Securities or the Trustee upon the insolvency, bankruptcy or reorganization of the Issuer or otherwise, all as though such payment had not been made.</w:t>
      </w:r>
    </w:p>
    <w:p>
      <w:pPr>
        <w:spacing w:after="0" w:line="73" w:lineRule="exact"/>
        <w:rPr>
          <w:sz w:val="20"/>
          <w:szCs w:val="20"/>
          <w:color w:val="auto"/>
        </w:rPr>
      </w:pPr>
    </w:p>
    <w:p>
      <w:pPr>
        <w:jc w:val="both"/>
        <w:ind w:right="180" w:firstLine="225"/>
        <w:spacing w:after="0" w:line="264" w:lineRule="auto"/>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Amendment</w:t>
      </w:r>
      <w:r>
        <w:rPr>
          <w:rFonts w:ascii="Arial" w:cs="Arial" w:eastAsia="Arial" w:hAnsi="Arial"/>
          <w:sz w:val="18"/>
          <w:szCs w:val="18"/>
          <w:color w:val="auto"/>
        </w:rPr>
        <w:t>. The Guarantor may amend this Guarantee at any time for any purpose without the consent of the Trustee or any holder of the Debt Securities; provided, however, that if such amendment adversely affects the rights of the Trustee or any holder of the Debt Securities, the prior written consent of the Trustee shall be required.</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66" w:name="page67"/>
    <w:bookmarkEnd w:id="66"/>
    <w:p>
      <w:pPr>
        <w:ind w:right="80" w:firstLine="225"/>
        <w:spacing w:after="0" w:line="277" w:lineRule="auto"/>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u w:val="single" w:color="auto"/>
          <w:color w:val="auto"/>
        </w:rPr>
        <w:t>Governing Law</w:t>
      </w:r>
      <w:r>
        <w:rPr>
          <w:rFonts w:ascii="Arial" w:cs="Arial" w:eastAsia="Arial" w:hAnsi="Arial"/>
          <w:sz w:val="18"/>
          <w:szCs w:val="18"/>
          <w:color w:val="auto"/>
        </w:rPr>
        <w:t>. THIS GUARANTEE SHALL BE GOVERNED BY, AND CONSTRUED IN ACCORDANCE WITH THE LAWS OF THE STATE OF NEW YORK, WITHOUT REGARD TO THE PROVISIONS THEREOF RELATING TO CONFLICT OF LAWS.</w:t>
      </w:r>
    </w:p>
    <w:p>
      <w:pPr>
        <w:spacing w:after="0" w:line="62"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IN WITNESS WHEREOF, the Guarantor has caused this Guarantee to be duly executed and delivered by its officer thereunto duly authorized as of the date first above written.</w:t>
      </w:r>
    </w:p>
    <w:p>
      <w:pPr>
        <w:spacing w:after="0" w:line="170"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WASTE MANAGEMENT HOLDINGS, INC.,</w:t>
      </w:r>
    </w:p>
    <w:p>
      <w:pPr>
        <w:spacing w:after="0" w:line="225"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Cherie C. 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-130810</wp:posOffset>
            </wp:positionV>
            <wp:extent cx="256413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Vice President and Treasurer</w:t>
      </w:r>
    </w:p>
    <w:p>
      <w:pPr>
        <w:spacing w:after="0" w:line="200" w:lineRule="exact"/>
        <w:rPr>
          <w:sz w:val="20"/>
          <w:szCs w:val="20"/>
          <w:color w:val="auto"/>
        </w:rPr>
      </w:pPr>
    </w:p>
    <w:p>
      <w:pPr>
        <w:spacing w:after="0" w:line="227"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David P. LaPaul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-130810</wp:posOffset>
            </wp:positionV>
            <wp:extent cx="256413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Assistant Treasurer</w:t>
      </w:r>
    </w:p>
    <w:p>
      <w:pPr>
        <w:spacing w:after="0" w:line="400"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20"/>
          </w:cols>
          <w:pgMar w:left="240" w:top="935" w:right="539" w:bottom="1440" w:gutter="0" w:footer="0" w:header="0"/>
        </w:sectPr>
      </w:pPr>
    </w:p>
    <w:bookmarkStart w:id="67" w:name="page68"/>
    <w:bookmarkEnd w:id="67"/>
    <w:p>
      <w:pPr>
        <w:ind w:left="10580"/>
        <w:spacing w:after="0"/>
        <w:rPr>
          <w:sz w:val="20"/>
          <w:szCs w:val="20"/>
          <w:color w:val="auto"/>
        </w:rPr>
      </w:pPr>
      <w:r>
        <w:rPr>
          <w:rFonts w:ascii="Arial" w:cs="Arial" w:eastAsia="Arial" w:hAnsi="Arial"/>
          <w:sz w:val="16"/>
          <w:szCs w:val="16"/>
          <w:b w:val="1"/>
          <w:bCs w:val="1"/>
          <w:color w:val="auto"/>
        </w:rPr>
        <w:t>Exhibit 5.1</w:t>
      </w:r>
    </w:p>
    <w:p>
      <w:pPr>
        <w:sectPr>
          <w:pgSz w:w="11900" w:h="16838" w:orient="portrait"/>
          <w:cols w:equalWidth="0" w:num="1">
            <w:col w:w="11420"/>
          </w:cols>
          <w:pgMar w:left="240" w:top="932" w:right="239" w:bottom="1440" w:gutter="0" w:footer="0" w:header="0"/>
        </w:sectPr>
      </w:pPr>
    </w:p>
    <w:p>
      <w:pPr>
        <w:spacing w:after="0" w:line="252" w:lineRule="exact"/>
        <w:rPr>
          <w:sz w:val="20"/>
          <w:szCs w:val="20"/>
          <w:color w:val="auto"/>
        </w:rPr>
      </w:pPr>
    </w:p>
    <w:p>
      <w:pPr>
        <w:ind w:left="7220"/>
        <w:spacing w:after="0"/>
        <w:rPr>
          <w:sz w:val="20"/>
          <w:szCs w:val="20"/>
          <w:color w:val="auto"/>
        </w:rPr>
      </w:pPr>
      <w:r>
        <w:rPr>
          <w:rFonts w:ascii="Arial" w:cs="Arial" w:eastAsia="Arial" w:hAnsi="Arial"/>
          <w:sz w:val="17"/>
          <w:szCs w:val="17"/>
          <w:color w:val="auto"/>
        </w:rPr>
        <w:t>ONE SHELL PLAZA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1766570" cy="23177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766570" cy="231775"/>
                    </a:xfrm>
                    <a:prstGeom prst="rect">
                      <a:avLst/>
                    </a:prstGeom>
                    <a:noFill/>
                  </pic:spPr>
                </pic:pic>
              </a:graphicData>
            </a:graphic>
          </wp:anchor>
        </w:drawing>
      </w:r>
    </w:p>
    <w:p>
      <w:pPr>
        <w:spacing w:after="0" w:line="15"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910 LOUISIANA</w:t>
      </w:r>
    </w:p>
    <w:p>
      <w:pPr>
        <w:spacing w:after="0" w:line="9"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HOUSTON, TEXAS</w:t>
      </w:r>
    </w:p>
    <w:p>
      <w:pPr>
        <w:spacing w:after="0" w:line="9"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77002-4995</w:t>
      </w:r>
    </w:p>
    <w:p>
      <w:pPr>
        <w:spacing w:after="0" w:line="211"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TEL +1</w:t>
      </w:r>
    </w:p>
    <w:p>
      <w:pPr>
        <w:spacing w:after="0" w:line="23"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713.229.1234</w:t>
      </w:r>
    </w:p>
    <w:p>
      <w:pPr>
        <w:spacing w:after="0" w:line="9"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FAX +1</w:t>
      </w:r>
    </w:p>
    <w:p>
      <w:pPr>
        <w:spacing w:after="0" w:line="9"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713.229.1522</w:t>
      </w:r>
    </w:p>
    <w:p>
      <w:pPr>
        <w:spacing w:after="0" w:line="9" w:lineRule="exact"/>
        <w:rPr>
          <w:sz w:val="20"/>
          <w:szCs w:val="20"/>
          <w:color w:val="auto"/>
        </w:rPr>
      </w:pPr>
    </w:p>
    <w:p>
      <w:pPr>
        <w:ind w:left="7220"/>
        <w:spacing w:after="0"/>
        <w:rPr>
          <w:sz w:val="20"/>
          <w:szCs w:val="20"/>
          <w:color w:val="auto"/>
        </w:rPr>
      </w:pPr>
      <w:r>
        <w:rPr>
          <w:rFonts w:ascii="Arial" w:cs="Arial" w:eastAsia="Arial" w:hAnsi="Arial"/>
          <w:sz w:val="17"/>
          <w:szCs w:val="17"/>
          <w:color w:val="auto"/>
        </w:rPr>
        <w:t>www.bakerbotts.com</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AUSTIN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BEIJING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DALLAS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DUBAI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HONG KONG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LONDON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MOSCOW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RIYADH</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WASHINGTON</w:t>
      </w:r>
    </w:p>
    <w:p>
      <w:pPr>
        <w:spacing w:after="0" w:line="200" w:lineRule="exact"/>
        <w:rPr>
          <w:sz w:val="20"/>
          <w:szCs w:val="20"/>
          <w:color w:val="auto"/>
        </w:rPr>
      </w:pPr>
    </w:p>
    <w:p>
      <w:pPr>
        <w:sectPr>
          <w:pgSz w:w="11900" w:h="16838" w:orient="portrait"/>
          <w:cols w:equalWidth="0" w:num="2">
            <w:col w:w="8820" w:space="660"/>
            <w:col w:w="1940"/>
          </w:cols>
          <w:pgMar w:left="240" w:top="932" w:right="239" w:bottom="1440" w:gutter="0" w:footer="0" w:header="0"/>
          <w:type w:val="continuous"/>
        </w:sectPr>
      </w:pP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March 5, 2008</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Waste Management,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Waste Management Holdings,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1001 Fannin Street, Suite 4000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Texas 77002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right="40" w:firstLine="447"/>
        <w:spacing w:after="0" w:line="273" w:lineRule="auto"/>
        <w:rPr>
          <w:sz w:val="20"/>
          <w:szCs w:val="20"/>
          <w:color w:val="auto"/>
        </w:rPr>
      </w:pPr>
      <w:r>
        <w:rPr>
          <w:rFonts w:ascii="Arial" w:cs="Arial" w:eastAsia="Arial" w:hAnsi="Arial"/>
          <w:sz w:val="17"/>
          <w:szCs w:val="17"/>
          <w:color w:val="auto"/>
        </w:rPr>
        <w:t>Waste Management, Inc., a Delaware corporation (the “Company”), and Waste Management Holdings, Inc., a Delaware corporation (“Holdings”), have engaged us to render the opinions expressed below in connection with the Company’s proposed issuance of $600,000,000 principal amount of 6.10% Senior Notes due 2018 (the “Notes”) and the issuance of the related guarantees of the Notes by Holdings (the “Guarantees”), as contemplated by the Registration Statement on Form S-3 (Registration No. 333-137526), as amended by Post-Effective Amendment No. 1 (the “Registration Statement”), filed with the Securities and Exchange Commission (the “Commission”) under the Securities Act of 1933, as amended (the “Act”), relating to the offering of securities of the Company and of Holdings from time to time pursuant to Rule 415 under the Act.</w:t>
      </w:r>
    </w:p>
    <w:p>
      <w:pPr>
        <w:spacing w:after="0" w:line="70" w:lineRule="exact"/>
        <w:rPr>
          <w:sz w:val="20"/>
          <w:szCs w:val="20"/>
          <w:color w:val="auto"/>
        </w:rPr>
      </w:pPr>
    </w:p>
    <w:p>
      <w:pPr>
        <w:ind w:right="140" w:firstLine="447"/>
        <w:spacing w:after="0" w:line="264" w:lineRule="auto"/>
        <w:rPr>
          <w:sz w:val="20"/>
          <w:szCs w:val="20"/>
          <w:color w:val="auto"/>
        </w:rPr>
      </w:pPr>
      <w:r>
        <w:rPr>
          <w:rFonts w:ascii="Arial" w:cs="Arial" w:eastAsia="Arial" w:hAnsi="Arial"/>
          <w:sz w:val="18"/>
          <w:szCs w:val="18"/>
          <w:color w:val="auto"/>
        </w:rPr>
        <w:t>The Registration Statement has been filed with the Commission and became effective upon filing. The Company’s prospectus dated September 22, 2006 and prospectus supplement dated March 3, 2008 relating to the Notes (collectively, the “Prospectus”) have been filed with the Commission pursuant to Rule 424(b) under the Act.</w:t>
      </w:r>
    </w:p>
    <w:p>
      <w:pPr>
        <w:spacing w:after="0" w:line="73" w:lineRule="exact"/>
        <w:rPr>
          <w:sz w:val="20"/>
          <w:szCs w:val="20"/>
          <w:color w:val="auto"/>
        </w:rPr>
      </w:pPr>
    </w:p>
    <w:p>
      <w:pPr>
        <w:ind w:right="60" w:firstLine="447"/>
        <w:spacing w:after="0" w:line="276" w:lineRule="auto"/>
        <w:rPr>
          <w:sz w:val="20"/>
          <w:szCs w:val="20"/>
          <w:color w:val="auto"/>
        </w:rPr>
      </w:pPr>
      <w:r>
        <w:rPr>
          <w:rFonts w:ascii="Arial" w:cs="Arial" w:eastAsia="Arial" w:hAnsi="Arial"/>
          <w:sz w:val="17"/>
          <w:szCs w:val="17"/>
          <w:color w:val="auto"/>
        </w:rPr>
        <w:t>The Company and Holdings entered into an Underwriting Agreement (the “Underwriting Agreement”), dated March 3, 2008, with Banc of America Securities LLC, Greenwich Capital Markets, Inc. and J.P. Morgan Securities Inc., as representatives of the underwriters named therein (the “Underwriters”), relating to the issuance and sale by the Company to the Underwriters of $600,000,000 aggregate principal amount of the Notes to be issued pursuant to an Indenture (the “Indenture”) dated as of September 10, 1997 between the Company, formerly known as USA Waste Services, Inc., and The Bank of New York Trust Company, N. A., as successor to Texas Commerce Bank National Association, as trustee (the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374015</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2" w:right="239" w:bottom="1440" w:gutter="0" w:footer="0" w:header="0"/>
          <w:type w:val="continuous"/>
        </w:sectPr>
      </w:pPr>
    </w:p>
    <w:bookmarkStart w:id="68" w:name="page69"/>
    <w:bookmarkEnd w:id="68"/>
    <w:p>
      <w:pPr>
        <w:spacing w:after="0"/>
        <w:tabs>
          <w:tab w:leader="none" w:pos="5560" w:val="left"/>
          <w:tab w:leader="none" w:pos="103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603250</wp:posOffset>
            </wp:positionV>
            <wp:extent cx="1123315" cy="11176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clrChange>
                        <a:clrFrom>
                          <a:srgbClr val="FFFFFF"/>
                        </a:clrFrom>
                        <a:clrTo>
                          <a:srgbClr val="FFFFFF">
                            <a:alpha val="0"/>
                          </a:srgbClr>
                        </a:clrTo>
                      </a:clrChange>
                      <a:extLst>
                        <a:ext uri="{28A0092B-C50C-407E-A947-70E740481C1C}"/>
                      </a:extLst>
                    </a:blip>
                    <a:srcRect/>
                    <a:stretch>
                      <a:fillRect/>
                    </a:stretch>
                  </pic:blipFill>
                  <pic:spPr bwMode="auto">
                    <a:xfrm>
                      <a:off x="0" y="0"/>
                      <a:ext cx="1123315" cy="111760"/>
                    </a:xfrm>
                    <a:prstGeom prst="rect">
                      <a:avLst/>
                    </a:prstGeom>
                    <a:noFill/>
                  </pic:spPr>
                </pic:pic>
              </a:graphicData>
            </a:graphic>
          </wp:anchor>
        </w:drawing>
        <w:t>Waste Management, Inc.</w:t>
      </w:r>
      <w:r>
        <w:rPr>
          <w:sz w:val="20"/>
          <w:szCs w:val="20"/>
          <w:color w:val="auto"/>
        </w:rPr>
        <w:tab/>
      </w:r>
      <w:r>
        <w:rPr>
          <w:rFonts w:ascii="Arial" w:cs="Arial" w:eastAsia="Arial" w:hAnsi="Arial"/>
          <w:sz w:val="18"/>
          <w:szCs w:val="18"/>
          <w:color w:val="auto"/>
        </w:rPr>
        <w:t>- 2 -</w:t>
      </w:r>
      <w:r>
        <w:rPr>
          <w:sz w:val="20"/>
          <w:szCs w:val="20"/>
          <w:color w:val="auto"/>
        </w:rPr>
        <w:tab/>
      </w:r>
      <w:r>
        <w:rPr>
          <w:rFonts w:ascii="Arial" w:cs="Arial" w:eastAsia="Arial" w:hAnsi="Arial"/>
          <w:sz w:val="16"/>
          <w:szCs w:val="16"/>
          <w:color w:val="auto"/>
        </w:rPr>
        <w:t>March 5, 2008</w:t>
      </w:r>
    </w:p>
    <w:p>
      <w:pPr>
        <w:spacing w:after="0" w:line="117" w:lineRule="exact"/>
        <w:rPr>
          <w:sz w:val="20"/>
          <w:szCs w:val="20"/>
          <w:color w:val="auto"/>
        </w:rPr>
      </w:pPr>
    </w:p>
    <w:p>
      <w:pPr>
        <w:ind w:right="20" w:firstLine="450"/>
        <w:spacing w:after="0" w:line="253" w:lineRule="auto"/>
        <w:rPr>
          <w:sz w:val="20"/>
          <w:szCs w:val="20"/>
          <w:color w:val="auto"/>
        </w:rPr>
      </w:pPr>
      <w:r>
        <w:rPr>
          <w:rFonts w:ascii="Arial" w:cs="Arial" w:eastAsia="Arial" w:hAnsi="Arial"/>
          <w:sz w:val="18"/>
          <w:szCs w:val="18"/>
          <w:color w:val="auto"/>
        </w:rPr>
        <w:t>In our capacity as counsel to the Company and Holdings in connection with the matters referred to above, we have examined the following: (i) the Second Amended and Restated Certificate of Incorporation and the Bylaws of the Company, each as amended to date; (ii) the Certificate of Incorporation and Bylaws of Holdings, each as amended to date; (iii) the Indenture; (iv) the Guarantee to be entered into by Holdings in favor of the holders of the Notes concurrently with the issuance of the Notes under the Indenture (the “Guarantee Agreement”); (v) the Underwriting Agreement; (vi) the Registration Statement and the Prospectus; and (vii) originals, or copies certified or otherwise identified, of corporate records of the Company and Holdings, certificates of public officials and of representatives of the Company and Holdings, statutes and other instruments and documents as a basis for the opinions hereinafter expressed. We have relied upon certificates of officers of the Company and Holdings and of public officials with respect to the accuracy of the material factual matters contained in such certificates. In making our examination, we have assumed that all signatures on documents examined by us are genuine, all documents submitted to us as originals are authentic and all documents submitted to us as certified or photostatic copies conformed with the originals of such documents.</w:t>
      </w:r>
    </w:p>
    <w:p>
      <w:pPr>
        <w:spacing w:after="0" w:line="87" w:lineRule="exact"/>
        <w:rPr>
          <w:sz w:val="20"/>
          <w:szCs w:val="20"/>
          <w:color w:val="auto"/>
        </w:rPr>
      </w:pPr>
    </w:p>
    <w:p>
      <w:pPr>
        <w:ind w:right="100" w:firstLine="450"/>
        <w:spacing w:after="0" w:line="277" w:lineRule="auto"/>
        <w:rPr>
          <w:sz w:val="20"/>
          <w:szCs w:val="20"/>
          <w:color w:val="auto"/>
        </w:rPr>
      </w:pPr>
      <w:r>
        <w:rPr>
          <w:rFonts w:ascii="Arial" w:cs="Arial" w:eastAsia="Arial" w:hAnsi="Arial"/>
          <w:sz w:val="18"/>
          <w:szCs w:val="18"/>
          <w:color w:val="auto"/>
        </w:rPr>
        <w:t>In connection with this opinion, we have assumed that the Notes will be issued and sold in compliance with applicable federal and state securities laws and in the manner stated in the Registration Statement and the Prospectus.</w:t>
      </w:r>
    </w:p>
    <w:p>
      <w:pPr>
        <w:spacing w:after="0" w:line="62" w:lineRule="exact"/>
        <w:rPr>
          <w:sz w:val="20"/>
          <w:szCs w:val="20"/>
          <w:color w:val="auto"/>
        </w:rPr>
      </w:pPr>
    </w:p>
    <w:p>
      <w:pPr>
        <w:ind w:firstLine="450"/>
        <w:spacing w:after="0" w:line="269" w:lineRule="auto"/>
        <w:rPr>
          <w:sz w:val="20"/>
          <w:szCs w:val="20"/>
          <w:color w:val="auto"/>
        </w:rPr>
      </w:pPr>
      <w:r>
        <w:rPr>
          <w:rFonts w:ascii="Arial" w:cs="Arial" w:eastAsia="Arial" w:hAnsi="Arial"/>
          <w:sz w:val="17"/>
          <w:szCs w:val="17"/>
          <w:color w:val="auto"/>
        </w:rPr>
        <w:t>On the basis of the foregoing, and subject to the assumptions, limitations and qualifications set forth herein, we are of the opinion that (i) the Notes will, when they have been duly authorized, executed, authenticated, issued and delivered in accordance with the provisions of the Indenture and duly purchased and paid for in accordance with the terms of the Underwriting Agreement, constitute legal, valid and binding obligations of the Company enforceable against it in accordance with their terms, except to the extent that the enforceability thereof may be limited by bankruptcy, fraudulent conveyance, insolvency, reorganization, moratorium or other laws relating to or affecting creditors’ rights generally and by general principles of equity (regardless of whether such enforcement is considered in a proceeding in equity or at law) and (ii) the Guarantees will, when Holdings has duly authorized, executed and delivered the Guarantee Agreement and the Notes have been duly authorized, executed, authenticated, issued and delivered in accordance with the provisions of the Indenture and duly purchased and paid for in accordance with the terms of the Underwriting Agreement, constitute legal, valid and binding obligations of Holdings enforceable against it in accordance with their terms, except to the extent that the enforceability thereof may be limited by bankruptcy, fraudulent conveyance, insolvency, reorganization, moratorium or other laws relating to or affecting creditors’ rights generally and by general principles of equity (regardless of whether such enforcement is considered in a proceeding in equity or at law).</w:t>
      </w:r>
    </w:p>
    <w:p>
      <w:pPr>
        <w:spacing w:after="0" w:line="75" w:lineRule="exact"/>
        <w:rPr>
          <w:sz w:val="20"/>
          <w:szCs w:val="20"/>
          <w:color w:val="auto"/>
        </w:rPr>
      </w:pPr>
    </w:p>
    <w:p>
      <w:pPr>
        <w:ind w:right="40" w:firstLine="447"/>
        <w:spacing w:after="0" w:line="277" w:lineRule="auto"/>
        <w:rPr>
          <w:sz w:val="20"/>
          <w:szCs w:val="20"/>
          <w:color w:val="auto"/>
        </w:rPr>
      </w:pPr>
      <w:r>
        <w:rPr>
          <w:rFonts w:ascii="Arial" w:cs="Arial" w:eastAsia="Arial" w:hAnsi="Arial"/>
          <w:sz w:val="18"/>
          <w:szCs w:val="18"/>
          <w:color w:val="auto"/>
        </w:rPr>
        <w:t>The opinions set forth above are limited in all respects to matters of the General Corporation Law of the State of Delaware, the contract law of the State of New York, and applicable federal laws of the United States, each as currently in effect.</w:t>
      </w:r>
    </w:p>
    <w:p>
      <w:pPr>
        <w:spacing w:after="0" w:line="62" w:lineRule="exact"/>
        <w:rPr>
          <w:sz w:val="20"/>
          <w:szCs w:val="20"/>
          <w:color w:val="auto"/>
        </w:rPr>
      </w:pPr>
    </w:p>
    <w:p>
      <w:pPr>
        <w:ind w:right="180" w:firstLine="447"/>
        <w:spacing w:after="0" w:line="342" w:lineRule="auto"/>
        <w:rPr>
          <w:sz w:val="20"/>
          <w:szCs w:val="20"/>
          <w:color w:val="auto"/>
        </w:rPr>
      </w:pPr>
      <w:r>
        <w:rPr>
          <w:rFonts w:ascii="Arial" w:cs="Arial" w:eastAsia="Arial" w:hAnsi="Arial"/>
          <w:sz w:val="16"/>
          <w:szCs w:val="16"/>
          <w:color w:val="auto"/>
        </w:rPr>
        <w:t>We hereby consent to the filing of this opinion of counsel as Exhibit 5.1 to the Current Report on Form 8-K dated March 3, 2008 and to the incorporation by reference of this opinion of counsel into the Registration Statement. We also consent to the reference to our Firm under the heading “Legal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342900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11" w:right="239" w:bottom="1440" w:gutter="0" w:footer="0" w:header="0"/>
        </w:sectPr>
      </w:pPr>
    </w:p>
    <w:bookmarkStart w:id="69" w:name="page70"/>
    <w:bookmarkEnd w:id="69"/>
    <w:p>
      <w:pPr>
        <w:spacing w:after="0"/>
        <w:tabs>
          <w:tab w:leader="none" w:pos="5560" w:val="left"/>
          <w:tab w:leader="none" w:pos="103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603250</wp:posOffset>
            </wp:positionV>
            <wp:extent cx="1123315" cy="11176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clrChange>
                        <a:clrFrom>
                          <a:srgbClr val="FFFFFF"/>
                        </a:clrFrom>
                        <a:clrTo>
                          <a:srgbClr val="FFFFFF">
                            <a:alpha val="0"/>
                          </a:srgbClr>
                        </a:clrTo>
                      </a:clrChange>
                      <a:extLst>
                        <a:ext uri="{28A0092B-C50C-407E-A947-70E740481C1C}"/>
                      </a:extLst>
                    </a:blip>
                    <a:srcRect/>
                    <a:stretch>
                      <a:fillRect/>
                    </a:stretch>
                  </pic:blipFill>
                  <pic:spPr bwMode="auto">
                    <a:xfrm>
                      <a:off x="0" y="0"/>
                      <a:ext cx="1123315" cy="111760"/>
                    </a:xfrm>
                    <a:prstGeom prst="rect">
                      <a:avLst/>
                    </a:prstGeom>
                    <a:noFill/>
                  </pic:spPr>
                </pic:pic>
              </a:graphicData>
            </a:graphic>
          </wp:anchor>
        </w:drawing>
        <w:t>Waste Management, Inc.</w:t>
      </w:r>
      <w:r>
        <w:rPr>
          <w:sz w:val="20"/>
          <w:szCs w:val="20"/>
          <w:color w:val="auto"/>
        </w:rPr>
        <w:tab/>
      </w:r>
      <w:r>
        <w:rPr>
          <w:rFonts w:ascii="Arial" w:cs="Arial" w:eastAsia="Arial" w:hAnsi="Arial"/>
          <w:sz w:val="18"/>
          <w:szCs w:val="18"/>
          <w:color w:val="auto"/>
        </w:rPr>
        <w:t>- 3 -</w:t>
      </w:r>
      <w:r>
        <w:rPr>
          <w:sz w:val="20"/>
          <w:szCs w:val="20"/>
          <w:color w:val="auto"/>
        </w:rPr>
        <w:tab/>
      </w:r>
      <w:r>
        <w:rPr>
          <w:rFonts w:ascii="Arial" w:cs="Arial" w:eastAsia="Arial" w:hAnsi="Arial"/>
          <w:sz w:val="16"/>
          <w:szCs w:val="16"/>
          <w:color w:val="auto"/>
        </w:rPr>
        <w:t>March 5, 2008</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Matters” in the Prospectus. In giving this consent, we do not thereby admit that we are in the category of persons whose consent is required under Section 7 of the Act and the rules and regulations of the Commission thereunder.</w:t>
      </w:r>
    </w:p>
    <w:p>
      <w:pPr>
        <w:spacing w:after="0" w:line="170"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Baker Botts L.L.P.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JDK/ERH/JAA</w:t>
      </w:r>
    </w:p>
    <w:sectPr>
      <w:pgSz w:w="11900" w:h="16838" w:orient="portrait"/>
      <w:cols w:equalWidth="0" w:num="1">
        <w:col w:w="11420"/>
      </w:cols>
      <w:pgMar w:left="240" w:top="111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006C83E"/>
    <w:multiLevelType w:val="hybridMultilevel"/>
    <w:lvl w:ilvl="0">
      <w:lvlJc w:val="left"/>
      <w:lvlText w:val="o"/>
      <w:numFmt w:val="bullet"/>
      <w:start w:val="1"/>
    </w:lvl>
  </w:abstractNum>
  <w:abstractNum w:abstractNumId="1">
    <w:nsid w:val="614FD4A1"/>
    <w:multiLevelType w:val="hybridMultilevel"/>
    <w:lvl w:ilvl="0">
      <w:lvlJc w:val="left"/>
      <w:lvlText w:val="%1."/>
      <w:numFmt w:val="decimal"/>
      <w:start w:val="1"/>
    </w:lvl>
    <w:lvl w:ilvl="1">
      <w:lvlJc w:val="left"/>
      <w:lvlText w:val="(%2)"/>
      <w:numFmt w:val="lowerLetter"/>
      <w:start w:val="1"/>
    </w:lvl>
  </w:abstractNum>
  <w:abstractNum w:abstractNumId="2">
    <w:nsid w:val="419AC241"/>
    <w:multiLevelType w:val="hybridMultilevel"/>
    <w:lvl w:ilvl="0">
      <w:lvlJc w:val="left"/>
      <w:lvlText w:val="(%1)"/>
      <w:numFmt w:val="lowerLetter"/>
      <w:start w:val="4"/>
    </w:lvl>
  </w:abstractNum>
  <w:abstractNum w:abstractNumId="3">
    <w:nsid w:val="5577F8E1"/>
    <w:multiLevelType w:val="hybridMultilevel"/>
    <w:lvl w:ilvl="0">
      <w:lvlJc w:val="left"/>
      <w:lvlText w:val="(%1)"/>
      <w:numFmt w:val="lowerLetter"/>
      <w:start w:val="6"/>
    </w:lvl>
  </w:abstractNum>
  <w:abstractNum w:abstractNumId="4">
    <w:nsid w:val="440BADFC"/>
    <w:multiLevelType w:val="hybridMultilevel"/>
    <w:lvl w:ilvl="0">
      <w:lvlJc w:val="left"/>
      <w:lvlText w:val="(%1)"/>
      <w:numFmt w:val="lowerLetter"/>
      <w:start w:val="10"/>
    </w:lvl>
  </w:abstractNum>
  <w:abstractNum w:abstractNumId="5">
    <w:nsid w:val="5072367"/>
    <w:multiLevelType w:val="hybridMultilevel"/>
    <w:lvl w:ilvl="0">
      <w:lvlJc w:val="left"/>
      <w:lvlText w:val="(%1)"/>
      <w:numFmt w:val="lowerLetter"/>
      <w:start w:val="15"/>
    </w:lvl>
  </w:abstractNum>
  <w:abstractNum w:abstractNumId="6">
    <w:nsid w:val="3804823E"/>
    <w:multiLevelType w:val="hybridMultilevel"/>
    <w:lvl w:ilvl="0">
      <w:lvlJc w:val="left"/>
      <w:lvlText w:val="(%1)"/>
      <w:numFmt w:val="lowerLetter"/>
      <w:start w:val="19"/>
    </w:lvl>
  </w:abstractNum>
  <w:abstractNum w:abstractNumId="7">
    <w:nsid w:val="77465F01"/>
    <w:multiLevelType w:val="hybridMultilevel"/>
    <w:lvl w:ilvl="0">
      <w:lvlJc w:val="left"/>
      <w:lvlText w:val="(%1)"/>
      <w:numFmt w:val="lowerLetter"/>
      <w:start w:val="24"/>
    </w:lvl>
  </w:abstractNum>
  <w:abstractNum w:abstractNumId="8">
    <w:nsid w:val="7724C67E"/>
    <w:multiLevelType w:val="hybridMultilevel"/>
    <w:lvl w:ilvl="0">
      <w:lvlJc w:val="left"/>
      <w:lvlText w:val="(%1)"/>
      <w:numFmt w:val="lowerLetter"/>
      <w:start w:val="27"/>
    </w:lvl>
  </w:abstractNum>
  <w:abstractNum w:abstractNumId="9">
    <w:nsid w:val="5C482A97"/>
    <w:multiLevelType w:val="hybridMultilevel"/>
    <w:lvl w:ilvl="0">
      <w:lvlJc w:val="left"/>
      <w:lvlText w:val="%1"/>
      <w:numFmt w:val="lowerLetter"/>
      <w:start w:val="1"/>
    </w:lvl>
    <w:lvl w:ilvl="1">
      <w:lvlJc w:val="left"/>
      <w:lvlText w:val="(%2)"/>
      <w:numFmt w:val="lowerLetter"/>
      <w:start w:val="28"/>
    </w:lvl>
  </w:abstractNum>
  <w:abstractNum w:abstractNumId="10">
    <w:nsid w:val="2463B9EA"/>
    <w:multiLevelType w:val="hybridMultilevel"/>
    <w:lvl w:ilvl="0">
      <w:lvlJc w:val="left"/>
      <w:lvlText w:val="(%1)"/>
      <w:numFmt w:val="lowerLetter"/>
      <w:start w:val="9"/>
    </w:lvl>
    <w:lvl w:ilvl="1">
      <w:lvlJc w:val="left"/>
      <w:lvlText w:val="(%2)"/>
      <w:numFmt w:val="lowerLetter"/>
      <w:start w:val="31"/>
    </w:lvl>
  </w:abstractNum>
  <w:abstractNum w:abstractNumId="11">
    <w:nsid w:val="5E884ADC"/>
    <w:multiLevelType w:val="hybridMultilevel"/>
    <w:lvl w:ilvl="0">
      <w:lvlJc w:val="left"/>
      <w:lvlText w:val="(%1)"/>
      <w:numFmt w:val="lowerLetter"/>
      <w:start w:val="33"/>
    </w:lvl>
  </w:abstractNum>
  <w:abstractNum w:abstractNumId="12">
    <w:nsid w:val="51EAD36B"/>
    <w:multiLevelType w:val="hybridMultilevel"/>
    <w:lvl w:ilvl="0">
      <w:lvlJc w:val="left"/>
      <w:lvlText w:val="%1"/>
      <w:numFmt w:val="lowerLetter"/>
      <w:start w:val="1"/>
    </w:lvl>
    <w:lvl w:ilvl="1">
      <w:lvlJc w:val="left"/>
      <w:lvlText w:val="(%2)"/>
      <w:numFmt w:val="lowerLetter"/>
      <w:start w:val="37"/>
    </w:lvl>
  </w:abstractNum>
  <w:abstractNum w:abstractNumId="13">
    <w:nsid w:val="2D517796"/>
    <w:multiLevelType w:val="hybridMultilevel"/>
    <w:lvl w:ilvl="0">
      <w:lvlJc w:val="left"/>
      <w:lvlText w:val="(%1)"/>
      <w:numFmt w:val="lowerLetter"/>
      <w:start w:val="61"/>
    </w:lvl>
    <w:lvl w:ilvl="1">
      <w:lvlJc w:val="left"/>
      <w:lvlText w:val="(%2)"/>
      <w:numFmt w:val="lowerLetter"/>
      <w:start w:val="38"/>
    </w:lvl>
  </w:abstractNum>
  <w:abstractNum w:abstractNumId="14">
    <w:nsid w:val="580BD78F"/>
    <w:multiLevelType w:val="hybridMultilevel"/>
    <w:lvl w:ilvl="0">
      <w:lvlJc w:val="left"/>
      <w:lvlText w:val="(%1)"/>
      <w:numFmt w:val="lowerLetter"/>
      <w:start w:val="43"/>
    </w:lvl>
  </w:abstractNum>
  <w:abstractNum w:abstractNumId="15">
    <w:nsid w:val="153EA438"/>
    <w:multiLevelType w:val="hybridMultilevel"/>
    <w:lvl w:ilvl="0">
      <w:lvlJc w:val="left"/>
      <w:lvlText w:val="%1."/>
      <w:numFmt w:val="decimal"/>
      <w:start w:val="2"/>
    </w:lvl>
  </w:abstractNum>
  <w:abstractNum w:abstractNumId="16">
    <w:nsid w:val="3855585C"/>
    <w:multiLevelType w:val="hybridMultilevel"/>
    <w:lvl w:ilvl="0">
      <w:lvlJc w:val="left"/>
      <w:lvlText w:val="%1."/>
      <w:numFmt w:val="decimal"/>
      <w:start w:val="3"/>
    </w:lvl>
  </w:abstractNum>
  <w:abstractNum w:abstractNumId="17">
    <w:nsid w:val="70A64E2A"/>
    <w:multiLevelType w:val="hybridMultilevel"/>
    <w:lvl w:ilvl="0">
      <w:lvlJc w:val="left"/>
      <w:lvlText w:val="%1."/>
      <w:numFmt w:val="decimal"/>
      <w:start w:val="4"/>
    </w:lvl>
    <w:lvl w:ilvl="1">
      <w:lvlJc w:val="left"/>
      <w:lvlText w:val="(%2)"/>
      <w:numFmt w:val="lowerLetter"/>
      <w:start w:val="1"/>
    </w:lvl>
  </w:abstractNum>
  <w:abstractNum w:abstractNumId="18">
    <w:nsid w:val="6A2342EC"/>
    <w:multiLevelType w:val="hybridMultilevel"/>
    <w:lvl w:ilvl="0">
      <w:lvlJc w:val="left"/>
      <w:lvlText w:val="(%1)"/>
      <w:numFmt w:val="lowerLetter"/>
      <w:start w:val="4"/>
    </w:lvl>
  </w:abstractNum>
  <w:abstractNum w:abstractNumId="19">
    <w:nsid w:val="2A487CB0"/>
    <w:multiLevelType w:val="hybridMultilevel"/>
    <w:lvl w:ilvl="0">
      <w:lvlJc w:val="left"/>
      <w:lvlText w:val="(%1)"/>
      <w:numFmt w:val="lowerLetter"/>
      <w:start w:val="6"/>
    </w:lvl>
  </w:abstractNum>
  <w:abstractNum w:abstractNumId="20">
    <w:nsid w:val="1D4ED43B"/>
    <w:multiLevelType w:val="hybridMultilevel"/>
    <w:lvl w:ilvl="0">
      <w:lvlJc w:val="left"/>
      <w:lvlText w:val="%1."/>
      <w:numFmt w:val="decimal"/>
      <w:start w:val="6"/>
    </w:lvl>
    <w:lvl w:ilvl="1">
      <w:lvlJc w:val="left"/>
      <w:lvlText w:val="(%2)"/>
      <w:numFmt w:val="lowerLetter"/>
      <w:start w:val="1"/>
    </w:lvl>
    <w:lvl w:ilvl="2">
      <w:lvlJc w:val="left"/>
      <w:lvlText w:val="(%3)"/>
      <w:numFmt w:val="lowerLetter"/>
      <w:start w:val="1"/>
    </w:lvl>
  </w:abstractNum>
  <w:abstractNum w:abstractNumId="21">
    <w:nsid w:val="725A06FB"/>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22">
    <w:nsid w:val="2CD89A32"/>
    <w:multiLevelType w:val="hybridMultilevel"/>
    <w:lvl w:ilvl="0">
      <w:lvlJc w:val="left"/>
      <w:lvlText w:val="(%1)"/>
      <w:numFmt w:val="lowerRoman"/>
      <w:start w:val="2"/>
    </w:lvl>
  </w:abstractNum>
  <w:abstractNum w:abstractNumId="23">
    <w:nsid w:val="57E4CCAF"/>
    <w:multiLevelType w:val="hybridMultilevel"/>
    <w:lvl w:ilvl="0">
      <w:lvlJc w:val="left"/>
      <w:lvlText w:val="(%1)"/>
      <w:numFmt w:val="lowerRoman"/>
      <w:start w:val="8"/>
    </w:lvl>
  </w:abstractNum>
  <w:abstractNum w:abstractNumId="24">
    <w:nsid w:val="7A6D8D3C"/>
    <w:multiLevelType w:val="hybridMultilevel"/>
    <w:lvl w:ilvl="0">
      <w:lvlJc w:val="left"/>
      <w:lvlText w:val="(%1)"/>
      <w:numFmt w:val="lowerLetter"/>
      <w:start w:val="2"/>
    </w:lvl>
    <w:lvl w:ilvl="1">
      <w:lvlJc w:val="left"/>
      <w:lvlText w:val="(%2)"/>
      <w:numFmt w:val="lowerLetter"/>
      <w:start w:val="3"/>
    </w:lvl>
    <w:lvl w:ilvl="2">
      <w:lvlJc w:val="left"/>
      <w:lvlText w:val="(%3)"/>
      <w:numFmt w:val="lowerRoman"/>
      <w:start w:val="1"/>
    </w:lvl>
  </w:abstractNum>
  <w:abstractNum w:abstractNumId="25">
    <w:nsid w:val="4B588F54"/>
    <w:multiLevelType w:val="hybridMultilevel"/>
    <w:lvl w:ilvl="0">
      <w:lvlJc w:val="left"/>
      <w:lvlText w:val="%1"/>
      <w:numFmt w:val="lowerLetter"/>
      <w:start w:val="1"/>
    </w:lvl>
    <w:lvl w:ilvl="1">
      <w:lvlJc w:val="left"/>
      <w:lvlText w:val="(%2)"/>
      <w:numFmt w:val="lowerRoman"/>
      <w:start w:val="3"/>
    </w:lvl>
  </w:abstractNum>
  <w:abstractNum w:abstractNumId="26">
    <w:nsid w:val="542289EC"/>
    <w:multiLevelType w:val="hybridMultilevel"/>
    <w:lvl w:ilvl="0">
      <w:lvlJc w:val="left"/>
      <w:lvlText w:val="(%1)"/>
      <w:numFmt w:val="lowerLetter"/>
      <w:start w:val="4"/>
    </w:lvl>
    <w:lvl w:ilvl="1">
      <w:lvlJc w:val="left"/>
      <w:lvlText w:val="%2"/>
      <w:numFmt w:val="lowerRoman"/>
      <w:start w:val="1"/>
    </w:lvl>
  </w:abstractNum>
  <w:abstractNum w:abstractNumId="27">
    <w:nsid w:val="6DE91B18"/>
    <w:multiLevelType w:val="hybridMultilevel"/>
    <w:lvl w:ilvl="0">
      <w:lvlJc w:val="left"/>
      <w:lvlText w:val="(%1)"/>
      <w:numFmt w:val="lowerLetter"/>
      <w:start w:val="5"/>
    </w:lvl>
    <w:lvl w:ilvl="1">
      <w:lvlJc w:val="left"/>
      <w:lvlText w:val="(%2)"/>
      <w:numFmt w:val="lowerRoman"/>
      <w:start w:val="1"/>
    </w:lvl>
  </w:abstractNum>
  <w:abstractNum w:abstractNumId="28">
    <w:nsid w:val="38437FDB"/>
    <w:multiLevelType w:val="hybridMultilevel"/>
    <w:lvl w:ilvl="0">
      <w:lvlJc w:val="left"/>
      <w:lvlText w:val="(%1)"/>
      <w:numFmt w:val="lowerRoman"/>
      <w:start w:val="1"/>
    </w:lvl>
  </w:abstractNum>
  <w:abstractNum w:abstractNumId="29">
    <w:nsid w:val="7644A45C"/>
    <w:multiLevelType w:val="hybridMultilevel"/>
    <w:lvl w:ilvl="0">
      <w:lvlJc w:val="left"/>
      <w:lvlText w:val="(%1)"/>
      <w:numFmt w:val="lowerLetter"/>
      <w:start w:val="7"/>
    </w:lvl>
  </w:abstractNum>
  <w:abstractNum w:abstractNumId="30">
    <w:nsid w:val="32FFF902"/>
    <w:multiLevelType w:val="hybridMultilevel"/>
    <w:lvl w:ilvl="0">
      <w:lvlJc w:val="left"/>
      <w:lvlText w:val="(%1)"/>
      <w:numFmt w:val="lowerLetter"/>
      <w:start w:val="8"/>
    </w:lvl>
  </w:abstractNum>
  <w:abstractNum w:abstractNumId="31">
    <w:nsid w:val="684A481A"/>
    <w:multiLevelType w:val="hybridMultilevel"/>
    <w:lvl w:ilvl="0">
      <w:lvlJc w:val="left"/>
      <w:lvlText w:val="%1."/>
      <w:numFmt w:val="decimal"/>
      <w:start w:val="8"/>
    </w:lvl>
  </w:abstractNum>
  <w:abstractNum w:abstractNumId="32">
    <w:nsid w:val="579478FE"/>
    <w:multiLevelType w:val="hybridMultilevel"/>
    <w:lvl w:ilvl="0">
      <w:lvlJc w:val="left"/>
      <w:lvlText w:val="%1"/>
      <w:numFmt w:val="lowerLetter"/>
      <w:start w:val="1"/>
    </w:lvl>
    <w:lvl w:ilvl="1">
      <w:lvlJc w:val="left"/>
      <w:lvlText w:val="(%2)"/>
      <w:numFmt w:val="lowerLetter"/>
      <w:start w:val="2"/>
    </w:lvl>
  </w:abstractNum>
  <w:abstractNum w:abstractNumId="33">
    <w:nsid w:val="749ABB43"/>
    <w:multiLevelType w:val="hybridMultilevel"/>
    <w:lvl w:ilvl="0">
      <w:lvlJc w:val="left"/>
      <w:lvlText w:val="(%1)"/>
      <w:numFmt w:val="lowerLetter"/>
      <w:start w:val="2"/>
    </w:lvl>
    <w:lvl w:ilvl="1">
      <w:lvlJc w:val="left"/>
      <w:lvlText w:val="%2"/>
      <w:numFmt w:val="lowerLetter"/>
      <w:start w:val="1"/>
    </w:lvl>
  </w:abstractNum>
  <w:abstractNum w:abstractNumId="34">
    <w:nsid w:val="3DC240FB"/>
    <w:multiLevelType w:val="hybridMultilevel"/>
    <w:lvl w:ilvl="0">
      <w:lvlJc w:val="left"/>
      <w:lvlText w:val="(%1)"/>
      <w:numFmt w:val="lowerLetter"/>
      <w:start w:val="4"/>
    </w:lvl>
  </w:abstractNum>
  <w:abstractNum w:abstractNumId="35">
    <w:nsid w:val="1BA026FA"/>
    <w:multiLevelType w:val="hybridMultilevel"/>
    <w:lvl w:ilvl="0">
      <w:lvlJc w:val="left"/>
      <w:lvlText w:val="%1."/>
      <w:numFmt w:val="decimal"/>
      <w:start w:val="10"/>
    </w:lvl>
  </w:abstractNum>
  <w:abstractNum w:abstractNumId="36">
    <w:nsid w:val="79A1DEAA"/>
    <w:multiLevelType w:val="hybridMultilevel"/>
    <w:lvl w:ilvl="0">
      <w:lvlJc w:val="left"/>
      <w:lvlText w:val="%1."/>
      <w:numFmt w:val="decimal"/>
      <w:start w:val="12"/>
    </w:lvl>
  </w:abstractNum>
  <w:abstractNum w:abstractNumId="37">
    <w:nsid w:val="75C6C33A"/>
    <w:multiLevelType w:val="hybridMultilevel"/>
    <w:lvl w:ilvl="0">
      <w:lvlJc w:val="left"/>
      <w:lvlText w:val="%1."/>
      <w:numFmt w:val="decimal"/>
      <w:start w:val="19"/>
    </w:lvl>
  </w:abstractNum>
  <w:abstractNum w:abstractNumId="38">
    <w:nsid w:val="12E685FB"/>
    <w:multiLevelType w:val="hybridMultilevel"/>
    <w:lvl w:ilvl="0">
      <w:lvlJc w:val="left"/>
      <w:lvlText w:val="%1."/>
      <w:numFmt w:val="decimal"/>
      <w:start w:val="1"/>
    </w:lvl>
  </w:abstractNum>
  <w:abstractNum w:abstractNumId="39">
    <w:nsid w:val="70C6A529"/>
    <w:multiLevelType w:val="hybridMultilevel"/>
    <w:lvl w:ilvl="0">
      <w:lvlJc w:val="left"/>
      <w:lvlText w:val="%1."/>
      <w:numFmt w:val="decimal"/>
      <w:start w:val="2"/>
    </w:lvl>
  </w:abstractNum>
  <w:abstractNum w:abstractNumId="40">
    <w:nsid w:val="520EEDD1"/>
    <w:multiLevelType w:val="hybridMultilevel"/>
    <w:lvl w:ilvl="0">
      <w:lvlJc w:val="left"/>
      <w:lvlText w:val="(%1)"/>
      <w:numFmt w:val="decimal"/>
      <w:start w:val="1"/>
    </w:lvl>
  </w:abstractNum>
  <w:abstractNum w:abstractNumId="41">
    <w:nsid w:val="374A3FE6"/>
    <w:multiLevelType w:val="hybridMultilevel"/>
    <w:lvl w:ilvl="0">
      <w:lvlJc w:val="left"/>
      <w:lvlText w:val="(%1)"/>
      <w:numFmt w:val="decimal"/>
      <w:start w:val="8"/>
    </w:lvl>
  </w:abstractNum>
  <w:abstractNum w:abstractNumId="42">
    <w:nsid w:val="4F4EF005"/>
    <w:multiLevelType w:val="hybridMultilevel"/>
    <w:lvl w:ilvl="0">
      <w:lvlJc w:val="left"/>
      <w:lvlText w:val="%1."/>
      <w:numFmt w:val="decimal"/>
      <w:start w:val="1"/>
    </w:lvl>
  </w:abstractNum>
  <w:abstractNum w:abstractNumId="43">
    <w:nsid w:val="23F9C13C"/>
    <w:multiLevelType w:val="hybridMultilevel"/>
    <w:lvl w:ilvl="0">
      <w:lvlJc w:val="left"/>
      <w:lvlText w:val="%1."/>
      <w:numFmt w:val="decimal"/>
      <w:start w:val="2"/>
    </w:lvl>
  </w:abstractNum>
  <w:abstractNum w:abstractNumId="44">
    <w:nsid w:val="649BB77C"/>
    <w:multiLevelType w:val="hybridMultilevel"/>
    <w:lvl w:ilvl="0">
      <w:lvlJc w:val="left"/>
      <w:lvlText w:val="%1."/>
      <w:numFmt w:val="decimal"/>
      <w:start w:val="3"/>
    </w:lvl>
  </w:abstractNum>
  <w:abstractNum w:abstractNumId="45">
    <w:nsid w:val="275AC794"/>
    <w:multiLevelType w:val="hybridMultilevel"/>
    <w:lvl w:ilvl="0">
      <w:lvlJc w:val="left"/>
      <w:lvlText w:val="%1."/>
      <w:numFmt w:val="decimal"/>
      <w:start w:val="4"/>
    </w:lvl>
  </w:abstractNum>
  <w:abstractNum w:abstractNumId="46">
    <w:nsid w:val="39386575"/>
    <w:multiLevelType w:val="hybridMultilevel"/>
    <w:lvl w:ilvl="0">
      <w:lvlJc w:val="left"/>
      <w:lvlText w:val="%1."/>
      <w:numFmt w:val="decimal"/>
      <w:start w:val="5"/>
    </w:lvl>
  </w:abstractNum>
  <w:abstractNum w:abstractNumId="47">
    <w:nsid w:val="1CF10FD8"/>
    <w:multiLevelType w:val="hybridMultilevel"/>
    <w:lvl w:ilvl="0">
      <w:lvlJc w:val="left"/>
      <w:lvlText w:val="%1."/>
      <w:numFmt w:val="decimal"/>
      <w:start w:val="6"/>
    </w:lvl>
  </w:abstractNum>
  <w:abstractNum w:abstractNumId="48">
    <w:nsid w:val="180115BE"/>
    <w:multiLevelType w:val="hybridMultilevel"/>
    <w:lvl w:ilvl="0">
      <w:lvlJc w:val="left"/>
      <w:lvlText w:val="•"/>
      <w:numFmt w:val="bullet"/>
      <w:start w:val="1"/>
    </w:lvl>
  </w:abstractNum>
  <w:abstractNum w:abstractNumId="49">
    <w:nsid w:val="235BA861"/>
    <w:multiLevelType w:val="hybridMultilevel"/>
    <w:lvl w:ilvl="0">
      <w:lvlJc w:val="left"/>
      <w:lvlText w:val="(%1)"/>
      <w:numFmt w:val="upperLetter"/>
      <w:start w:val="2"/>
    </w:lvl>
  </w:abstractNum>
  <w:abstractNum w:abstractNumId="50">
    <w:nsid w:val="47398C89"/>
    <w:multiLevelType w:val="hybridMultilevel"/>
    <w:lvl w:ilvl="0">
      <w:lvlJc w:val="left"/>
      <w:lvlText w:val="%1."/>
      <w:numFmt w:val="decimal"/>
      <w:start w:val="7"/>
    </w:lvl>
  </w:abstractNum>
  <w:abstractNum w:abstractNumId="51">
    <w:nsid w:val="354FE9F9"/>
    <w:multiLevelType w:val="hybridMultilevel"/>
    <w:lvl w:ilvl="0">
      <w:lvlJc w:val="left"/>
      <w:lvlText w:val="%1."/>
      <w:numFmt w:val="decimal"/>
      <w:start w:val="8"/>
    </w:lvl>
  </w:abstractNum>
  <w:abstractNum w:abstractNumId="52">
    <w:nsid w:val="15B5AF5C"/>
    <w:multiLevelType w:val="hybridMultilevel"/>
    <w:lvl w:ilvl="0">
      <w:lvlJc w:val="left"/>
      <w:lvlText w:val="%1."/>
      <w:numFmt w:val="decimal"/>
      <w:start w:val="9"/>
    </w:lvl>
  </w:abstractNum>
  <w:abstractNum w:abstractNumId="53">
    <w:nsid w:val="741226BB"/>
    <w:multiLevelType w:val="hybridMultilevel"/>
    <w:lvl w:ilvl="0">
      <w:lvlJc w:val="left"/>
      <w:lvlText w:val="%1."/>
      <w:numFmt w:val="decimal"/>
      <w:start w:val="10"/>
    </w:lvl>
  </w:abstractNum>
  <w:abstractNum w:abstractNumId="54">
    <w:nsid w:val="D34B6A8"/>
    <w:multiLevelType w:val="hybridMultilevel"/>
    <w:lvl w:ilvl="0">
      <w:lvlJc w:val="left"/>
      <w:lvlText w:val="(%1)"/>
      <w:numFmt w:val="upperLetter"/>
      <w:start w:val="4"/>
    </w:lvl>
  </w:abstractNum>
  <w:abstractNum w:abstractNumId="55">
    <w:nsid w:val="10233C99"/>
    <w:multiLevelType w:val="hybridMultilevel"/>
    <w:lvl w:ilvl="0">
      <w:lvlJc w:val="left"/>
      <w:lvlText w:val="%1."/>
      <w:numFmt w:val="decimal"/>
      <w:start w:val="11"/>
    </w:lvl>
  </w:abstractNum>
  <w:abstractNum w:abstractNumId="56">
    <w:nsid w:val="3F6AB60F"/>
    <w:multiLevelType w:val="hybridMultilevel"/>
    <w:lvl w:ilvl="0">
      <w:lvlJc w:val="left"/>
      <w:lvlText w:val="%1."/>
      <w:numFmt w:val="decimal"/>
      <w:start w:val="12"/>
    </w:lvl>
  </w:abstractNum>
  <w:abstractNum w:abstractNumId="57">
    <w:nsid w:val="61574095"/>
    <w:multiLevelType w:val="hybridMultilevel"/>
    <w:lvl w:ilvl="0">
      <w:lvlJc w:val="left"/>
      <w:lvlText w:val="%1."/>
      <w:numFmt w:val="decimal"/>
      <w:start w:val="13"/>
    </w:lvl>
  </w:abstractNum>
  <w:abstractNum w:abstractNumId="58">
    <w:nsid w:val="7E0C57B1"/>
    <w:multiLevelType w:val="hybridMultilevel"/>
    <w:lvl w:ilvl="0">
      <w:lvlJc w:val="left"/>
      <w:lvlText w:val="%1."/>
      <w:numFmt w:val="decimal"/>
      <w:start w:val="14"/>
    </w:lvl>
  </w:abstractNum>
  <w:abstractNum w:abstractNumId="59">
    <w:nsid w:val="77AE35EB"/>
    <w:multiLevelType w:val="hybridMultilevel"/>
    <w:lvl w:ilvl="0">
      <w:lvlJc w:val="left"/>
      <w:lvlText w:val="%1."/>
      <w:numFmt w:val="decimal"/>
      <w:start w:val="15"/>
    </w:lvl>
  </w:abstractNum>
  <w:abstractNum w:abstractNumId="60">
    <w:nsid w:val="579BE4F1"/>
    <w:multiLevelType w:val="hybridMultilevel"/>
    <w:lvl w:ilvl="0">
      <w:lvlJc w:val="left"/>
      <w:lvlText w:val="%1."/>
      <w:numFmt w:val="decimal"/>
      <w:start w:val="16"/>
    </w:lvl>
  </w:abstractNum>
  <w:abstractNum w:abstractNumId="61">
    <w:nsid w:val="310C50B3"/>
    <w:multiLevelType w:val="hybridMultilevel"/>
    <w:lvl w:ilvl="0">
      <w:lvlJc w:val="left"/>
      <w:lvlText w:val="%1."/>
      <w:numFmt w:val="decimal"/>
      <w:start w:val="17"/>
    </w:lvl>
  </w:abstractNum>
  <w:abstractNum w:abstractNumId="62">
    <w:nsid w:val="5FF87E05"/>
    <w:multiLevelType w:val="hybridMultilevel"/>
    <w:lvl w:ilvl="0">
      <w:lvlJc w:val="left"/>
      <w:lvlText w:val="%1."/>
      <w:numFmt w:val="decimal"/>
      <w:start w:val="18"/>
    </w:lvl>
  </w:abstractNum>
  <w:abstractNum w:abstractNumId="63">
    <w:nsid w:val="2F305DEF"/>
    <w:multiLevelType w:val="hybridMultilevel"/>
    <w:lvl w:ilvl="0">
      <w:lvlJc w:val="left"/>
      <w:lvlText w:val="(%1)"/>
      <w:numFmt w:val="lowerLetter"/>
      <w:start w:val="2"/>
    </w:lvl>
  </w:abstractNum>
  <w:abstractNum w:abstractNumId="64">
    <w:nsid w:val="25A70BF7"/>
    <w:multiLevelType w:val="hybridMultilevel"/>
    <w:lvl w:ilvl="0">
      <w:lvlJc w:val="left"/>
      <w:lvlText w:val="(%1)"/>
      <w:numFmt w:val="lowerRoman"/>
      <w:start w:val="1"/>
    </w:lvl>
  </w:abstractNum>
  <w:abstractNum w:abstractNumId="65">
    <w:nsid w:val="1DBABF00"/>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2019-12-20T03:55:36Z</dcterms:created>
  <dcterms:modified xsi:type="dcterms:W3CDTF">2019-12-20T03:55:36Z</dcterms:modified>
</cp:coreProperties>
</file>