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6" w:lineRule="exact"/>
        <w:rPr>
          <w:sz w:val="24"/>
          <w:szCs w:val="24"/>
          <w:color w:val="auto"/>
        </w:rPr>
      </w:pPr>
    </w:p>
    <w:p>
      <w:pPr>
        <w:jc w:val="center"/>
        <w:ind w:right="-39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Securities Exchange Act of 1934</w:t>
      </w:r>
    </w:p>
    <w:p>
      <w:pPr>
        <w:spacing w:after="0" w:line="128"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Date of Report (Date of earliest event reported): November 6,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114300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1"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Waste Management, Inc.</w:t>
      </w:r>
    </w:p>
    <w:p>
      <w:pPr>
        <w:spacing w:after="0" w:line="54" w:lineRule="exact"/>
        <w:rPr>
          <w:sz w:val="24"/>
          <w:szCs w:val="24"/>
          <w:color w:val="auto"/>
        </w:rPr>
      </w:pPr>
    </w:p>
    <w:p>
      <w:pPr>
        <w:ind w:left="3800"/>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6" w:lineRule="exact"/>
        <w:rPr>
          <w:sz w:val="24"/>
          <w:szCs w:val="24"/>
          <w:color w:val="auto"/>
        </w:rPr>
      </w:pPr>
    </w:p>
    <w:tbl>
      <w:tblPr>
        <w:tblLayout w:type="fixed"/>
        <w:tblInd w:w="1140" w:type="dxa"/>
        <w:tblCellMar>
          <w:top w:w="0" w:type="dxa"/>
          <w:left w:w="0" w:type="dxa"/>
          <w:bottom w:w="0" w:type="dxa"/>
          <w:right w:w="0" w:type="dxa"/>
        </w:tblCellMar>
      </w:tblPr>
      <w:tr>
        <w:trPr>
          <w:trHeight w:val="218"/>
        </w:trPr>
        <w:tc>
          <w:tcPr>
            <w:tcW w:w="4260" w:type="dxa"/>
            <w:vAlign w:val="bottom"/>
          </w:tcPr>
          <w:p>
            <w:pPr>
              <w:jc w:val="center"/>
              <w:ind w:right="2564"/>
              <w:spacing w:after="0"/>
              <w:rPr>
                <w:sz w:val="20"/>
                <w:szCs w:val="20"/>
                <w:color w:val="auto"/>
              </w:rPr>
            </w:pPr>
            <w:r>
              <w:rPr>
                <w:rFonts w:ascii="Arial" w:cs="Arial" w:eastAsia="Arial" w:hAnsi="Arial"/>
                <w:sz w:val="18"/>
                <w:szCs w:val="18"/>
                <w:b w:val="1"/>
                <w:bCs w:val="1"/>
                <w:color w:val="auto"/>
                <w:w w:val="88"/>
              </w:rPr>
              <w:t>Delaware</w:t>
            </w:r>
          </w:p>
        </w:tc>
        <w:tc>
          <w:tcPr>
            <w:tcW w:w="2240" w:type="dxa"/>
            <w:vAlign w:val="bottom"/>
          </w:tcPr>
          <w:p>
            <w:pPr>
              <w:jc w:val="center"/>
              <w:ind w:right="1286"/>
              <w:spacing w:after="0"/>
              <w:rPr>
                <w:sz w:val="20"/>
                <w:szCs w:val="20"/>
                <w:color w:val="auto"/>
              </w:rPr>
            </w:pPr>
            <w:r>
              <w:rPr>
                <w:rFonts w:ascii="Arial" w:cs="Arial" w:eastAsia="Arial" w:hAnsi="Arial"/>
                <w:sz w:val="18"/>
                <w:szCs w:val="18"/>
                <w:b w:val="1"/>
                <w:bCs w:val="1"/>
                <w:color w:val="auto"/>
                <w:w w:val="90"/>
              </w:rPr>
              <w:t>1-12154</w:t>
            </w:r>
          </w:p>
        </w:tc>
        <w:tc>
          <w:tcPr>
            <w:tcW w:w="2480" w:type="dxa"/>
            <w:vAlign w:val="bottom"/>
          </w:tcPr>
          <w:p>
            <w:pPr>
              <w:jc w:val="right"/>
              <w:ind w:right="24"/>
              <w:spacing w:after="0"/>
              <w:rPr>
                <w:sz w:val="20"/>
                <w:szCs w:val="20"/>
                <w:color w:val="auto"/>
              </w:rPr>
            </w:pPr>
            <w:r>
              <w:rPr>
                <w:rFonts w:ascii="Arial" w:cs="Arial" w:eastAsia="Arial" w:hAnsi="Arial"/>
                <w:sz w:val="18"/>
                <w:szCs w:val="18"/>
                <w:b w:val="1"/>
                <w:bCs w:val="1"/>
                <w:color w:val="auto"/>
              </w:rPr>
              <w:t>73-1309529</w:t>
            </w:r>
          </w:p>
        </w:tc>
      </w:tr>
      <w:tr>
        <w:trPr>
          <w:trHeight w:val="149"/>
        </w:trPr>
        <w:tc>
          <w:tcPr>
            <w:tcW w:w="4260" w:type="dxa"/>
            <w:vAlign w:val="bottom"/>
          </w:tcPr>
          <w:p>
            <w:pPr>
              <w:jc w:val="center"/>
              <w:ind w:right="2584"/>
              <w:spacing w:after="0" w:line="149" w:lineRule="exact"/>
              <w:rPr>
                <w:sz w:val="20"/>
                <w:szCs w:val="20"/>
                <w:color w:val="auto"/>
              </w:rPr>
            </w:pPr>
            <w:r>
              <w:rPr>
                <w:rFonts w:ascii="Arial" w:cs="Arial" w:eastAsia="Arial" w:hAnsi="Arial"/>
                <w:sz w:val="14"/>
                <w:szCs w:val="14"/>
                <w:b w:val="1"/>
                <w:bCs w:val="1"/>
                <w:color w:val="auto"/>
                <w:w w:val="88"/>
              </w:rPr>
              <w:t>(State or Other Jurisdiction</w:t>
            </w:r>
          </w:p>
        </w:tc>
        <w:tc>
          <w:tcPr>
            <w:tcW w:w="2240" w:type="dxa"/>
            <w:vAlign w:val="bottom"/>
          </w:tcPr>
          <w:p>
            <w:pPr>
              <w:jc w:val="center"/>
              <w:ind w:right="1286"/>
              <w:spacing w:after="0" w:line="149" w:lineRule="exact"/>
              <w:rPr>
                <w:sz w:val="20"/>
                <w:szCs w:val="20"/>
                <w:color w:val="auto"/>
              </w:rPr>
            </w:pPr>
            <w:r>
              <w:rPr>
                <w:rFonts w:ascii="Arial" w:cs="Arial" w:eastAsia="Arial" w:hAnsi="Arial"/>
                <w:sz w:val="14"/>
                <w:szCs w:val="14"/>
                <w:b w:val="1"/>
                <w:bCs w:val="1"/>
                <w:color w:val="auto"/>
                <w:w w:val="85"/>
              </w:rPr>
              <w:t>(Commission</w:t>
            </w:r>
          </w:p>
        </w:tc>
        <w:tc>
          <w:tcPr>
            <w:tcW w:w="2480" w:type="dxa"/>
            <w:vAlign w:val="bottom"/>
          </w:tcPr>
          <w:p>
            <w:pPr>
              <w:jc w:val="center"/>
              <w:ind w:left="136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4260" w:type="dxa"/>
            <w:vAlign w:val="bottom"/>
          </w:tcPr>
          <w:p>
            <w:pPr>
              <w:jc w:val="center"/>
              <w:ind w:right="2584"/>
              <w:spacing w:after="0"/>
              <w:rPr>
                <w:sz w:val="20"/>
                <w:szCs w:val="20"/>
                <w:color w:val="auto"/>
              </w:rPr>
            </w:pPr>
            <w:r>
              <w:rPr>
                <w:rFonts w:ascii="Arial" w:cs="Arial" w:eastAsia="Arial" w:hAnsi="Arial"/>
                <w:sz w:val="14"/>
                <w:szCs w:val="14"/>
                <w:b w:val="1"/>
                <w:bCs w:val="1"/>
                <w:color w:val="auto"/>
                <w:w w:val="89"/>
              </w:rPr>
              <w:t>of Incorporation)</w:t>
            </w:r>
          </w:p>
        </w:tc>
        <w:tc>
          <w:tcPr>
            <w:tcW w:w="2240" w:type="dxa"/>
            <w:vAlign w:val="bottom"/>
          </w:tcPr>
          <w:p>
            <w:pPr>
              <w:jc w:val="center"/>
              <w:ind w:right="1266"/>
              <w:spacing w:after="0"/>
              <w:rPr>
                <w:sz w:val="20"/>
                <w:szCs w:val="20"/>
                <w:color w:val="auto"/>
              </w:rPr>
            </w:pPr>
            <w:r>
              <w:rPr>
                <w:rFonts w:ascii="Arial" w:cs="Arial" w:eastAsia="Arial" w:hAnsi="Arial"/>
                <w:sz w:val="14"/>
                <w:szCs w:val="14"/>
                <w:b w:val="1"/>
                <w:bCs w:val="1"/>
                <w:color w:val="auto"/>
                <w:w w:val="91"/>
              </w:rPr>
              <w:t>File Number)</w:t>
            </w:r>
          </w:p>
        </w:tc>
        <w:tc>
          <w:tcPr>
            <w:tcW w:w="2480" w:type="dxa"/>
            <w:vAlign w:val="bottom"/>
          </w:tcPr>
          <w:p>
            <w:pPr>
              <w:jc w:val="center"/>
              <w:ind w:left="1344"/>
              <w:spacing w:after="0"/>
              <w:rPr>
                <w:sz w:val="20"/>
                <w:szCs w:val="20"/>
                <w:color w:val="auto"/>
              </w:rPr>
            </w:pPr>
            <w:r>
              <w:rPr>
                <w:rFonts w:ascii="Arial" w:cs="Arial" w:eastAsia="Arial" w:hAnsi="Arial"/>
                <w:sz w:val="14"/>
                <w:szCs w:val="14"/>
                <w:b w:val="1"/>
                <w:bCs w:val="1"/>
                <w:color w:val="auto"/>
                <w:w w:val="89"/>
              </w:rPr>
              <w:t>Identification No.)</w:t>
            </w:r>
          </w:p>
        </w:tc>
      </w:tr>
      <w:tr>
        <w:trPr>
          <w:trHeight w:val="420"/>
        </w:trPr>
        <w:tc>
          <w:tcPr>
            <w:tcW w:w="4260" w:type="dxa"/>
            <w:vAlign w:val="bottom"/>
          </w:tcPr>
          <w:p>
            <w:pPr>
              <w:jc w:val="center"/>
              <w:ind w:left="1044"/>
              <w:spacing w:after="0"/>
              <w:rPr>
                <w:sz w:val="20"/>
                <w:szCs w:val="20"/>
                <w:color w:val="auto"/>
              </w:rPr>
            </w:pPr>
            <w:r>
              <w:rPr>
                <w:rFonts w:ascii="Arial" w:cs="Arial" w:eastAsia="Arial" w:hAnsi="Arial"/>
                <w:sz w:val="18"/>
                <w:szCs w:val="18"/>
                <w:b w:val="1"/>
                <w:bCs w:val="1"/>
                <w:color w:val="auto"/>
                <w:w w:val="87"/>
              </w:rPr>
              <w:t>1001 Fannin, Suite 4000 Houston, Texas</w:t>
            </w:r>
          </w:p>
        </w:tc>
        <w:tc>
          <w:tcPr>
            <w:tcW w:w="2240" w:type="dxa"/>
            <w:vAlign w:val="bottom"/>
          </w:tcPr>
          <w:p>
            <w:pPr>
              <w:spacing w:after="0"/>
              <w:rPr>
                <w:sz w:val="24"/>
                <w:szCs w:val="24"/>
                <w:color w:val="auto"/>
              </w:rPr>
            </w:pPr>
          </w:p>
        </w:tc>
        <w:tc>
          <w:tcPr>
            <w:tcW w:w="2480" w:type="dxa"/>
            <w:vAlign w:val="bottom"/>
          </w:tcPr>
          <w:p>
            <w:pPr>
              <w:jc w:val="right"/>
              <w:ind w:right="224"/>
              <w:spacing w:after="0"/>
              <w:rPr>
                <w:sz w:val="20"/>
                <w:szCs w:val="20"/>
                <w:color w:val="auto"/>
              </w:rPr>
            </w:pPr>
            <w:r>
              <w:rPr>
                <w:rFonts w:ascii="Arial" w:cs="Arial" w:eastAsia="Arial" w:hAnsi="Arial"/>
                <w:sz w:val="18"/>
                <w:szCs w:val="18"/>
                <w:b w:val="1"/>
                <w:bCs w:val="1"/>
                <w:color w:val="auto"/>
              </w:rPr>
              <w:t>77002</w:t>
            </w:r>
          </w:p>
        </w:tc>
      </w:tr>
      <w:tr>
        <w:trPr>
          <w:trHeight w:val="174"/>
        </w:trPr>
        <w:tc>
          <w:tcPr>
            <w:tcW w:w="4260" w:type="dxa"/>
            <w:vAlign w:val="bottom"/>
          </w:tcPr>
          <w:p>
            <w:pPr>
              <w:jc w:val="center"/>
              <w:ind w:left="1064"/>
              <w:spacing w:after="0"/>
              <w:rPr>
                <w:sz w:val="20"/>
                <w:szCs w:val="20"/>
                <w:color w:val="auto"/>
              </w:rPr>
            </w:pPr>
            <w:r>
              <w:rPr>
                <w:rFonts w:ascii="Arial" w:cs="Arial" w:eastAsia="Arial" w:hAnsi="Arial"/>
                <w:sz w:val="14"/>
                <w:szCs w:val="14"/>
                <w:b w:val="1"/>
                <w:bCs w:val="1"/>
                <w:color w:val="auto"/>
                <w:w w:val="87"/>
              </w:rPr>
              <w:t>(Address of Principal Executive Offices)</w:t>
            </w:r>
          </w:p>
        </w:tc>
        <w:tc>
          <w:tcPr>
            <w:tcW w:w="2240" w:type="dxa"/>
            <w:vAlign w:val="bottom"/>
          </w:tcPr>
          <w:p>
            <w:pPr>
              <w:spacing w:after="0"/>
              <w:rPr>
                <w:sz w:val="15"/>
                <w:szCs w:val="15"/>
                <w:color w:val="auto"/>
              </w:rPr>
            </w:pPr>
          </w:p>
        </w:tc>
        <w:tc>
          <w:tcPr>
            <w:tcW w:w="2480" w:type="dxa"/>
            <w:vAlign w:val="bottom"/>
          </w:tcPr>
          <w:p>
            <w:pPr>
              <w:jc w:val="center"/>
              <w:ind w:left="1344"/>
              <w:spacing w:after="0"/>
              <w:rPr>
                <w:sz w:val="20"/>
                <w:szCs w:val="20"/>
                <w:color w:val="auto"/>
              </w:rPr>
            </w:pPr>
            <w:r>
              <w:rPr>
                <w:rFonts w:ascii="Arial" w:cs="Arial" w:eastAsia="Arial" w:hAnsi="Arial"/>
                <w:sz w:val="14"/>
                <w:szCs w:val="14"/>
                <w:b w:val="1"/>
                <w:bCs w:val="1"/>
                <w:color w:val="auto"/>
                <w:w w:val="89"/>
              </w:rPr>
              <w:t>(Zip Code)</w:t>
            </w:r>
          </w:p>
        </w:tc>
      </w:tr>
    </w:tbl>
    <w:p>
      <w:pPr>
        <w:spacing w:after="0" w:line="135"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Registrant’s Telephone number, including area code: (713) 512-6200</w:t>
      </w:r>
    </w:p>
    <w:p>
      <w:pPr>
        <w:spacing w:after="0" w:line="173" w:lineRule="exact"/>
        <w:rPr>
          <w:sz w:val="24"/>
          <w:szCs w:val="24"/>
          <w:color w:val="auto"/>
        </w:rPr>
      </w:pPr>
    </w:p>
    <w:p>
      <w:pPr>
        <w:ind w:left="380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102870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29"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sectPr>
      </w:pPr>
    </w:p>
    <w:bookmarkStart w:id="1" w:name="page2"/>
    <w:bookmarkEnd w:id="1"/>
    <w:p>
      <w:pPr>
        <w:ind w:right="280" w:firstLine="456"/>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5.02 Departure of Directors or Certain Officers; Election of Directors; Appointment of Certain Officers; Compensatory Arrangements of Certain Officers.</w:t>
      </w:r>
    </w:p>
    <w:p>
      <w:pPr>
        <w:spacing w:after="0" w:line="45"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Waste Management, Inc. (the “Company”) filed a Form 8-K on July 26, 2012 to disclose, among other things, that (i) Mr. Don P. Carpenter was appointed Vice President and Chief Accounting Officer and (ii) Mr. Jeff M. Harris, a named executive officer in the Company’s most recent proxy statement, was appointed Senior Vice President – Field Operations.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Pursuant to Instruction 2 to Item 5.02 of Form 8-K, this amended Form 8-K is being filed to disclose the following modifications to the compensation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Messrs. Carpenter and Harris in connection with their respective promotions:</w:t>
      </w:r>
    </w:p>
    <w:p>
      <w:pPr>
        <w:spacing w:after="0" w:line="165" w:lineRule="exact"/>
        <w:rPr>
          <w:sz w:val="20"/>
          <w:szCs w:val="20"/>
          <w:color w:val="auto"/>
        </w:rPr>
      </w:pPr>
    </w:p>
    <w:p>
      <w:pPr>
        <w:ind w:left="680" w:hanging="216"/>
        <w:spacing w:after="0"/>
        <w:tabs>
          <w:tab w:leader="none" w:pos="6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annualized base salary of Mr. Carpenter was increased from $287,210 to $305,000, to be effective as of August 24, 2012.</w:t>
      </w:r>
    </w:p>
    <w:p>
      <w:pPr>
        <w:spacing w:after="0" w:line="171" w:lineRule="exact"/>
        <w:rPr>
          <w:rFonts w:ascii="Arial" w:cs="Arial" w:eastAsia="Arial" w:hAnsi="Arial"/>
          <w:sz w:val="18"/>
          <w:szCs w:val="18"/>
          <w:color w:val="auto"/>
        </w:rPr>
      </w:pPr>
    </w:p>
    <w:p>
      <w:pPr>
        <w:ind w:firstLine="464"/>
        <w:spacing w:after="0" w:line="268" w:lineRule="auto"/>
        <w:tabs>
          <w:tab w:leader="none" w:pos="715" w:val="left"/>
        </w:tabs>
        <w:numPr>
          <w:ilvl w:val="0"/>
          <w:numId w:val="2"/>
        </w:numPr>
        <w:rPr>
          <w:rFonts w:ascii="Arial" w:cs="Arial" w:eastAsia="Arial" w:hAnsi="Arial"/>
          <w:sz w:val="18"/>
          <w:szCs w:val="18"/>
          <w:color w:val="auto"/>
        </w:rPr>
      </w:pPr>
      <w:r>
        <w:rPr>
          <w:rFonts w:ascii="Arial" w:cs="Arial" w:eastAsia="Arial" w:hAnsi="Arial"/>
          <w:sz w:val="18"/>
          <w:szCs w:val="18"/>
          <w:color w:val="auto"/>
        </w:rPr>
        <w:t>On November 6, 2012, the Company granted Mr. Harris an award of restricted stock units (RSUs) under the Company’s 2009 Stock Incentive Plan with a target dollar value of $200,000. The material terms of the RSUs are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40" w:type="dxa"/>
            <w:vAlign w:val="bottom"/>
            <w:gridSpan w:val="2"/>
          </w:tcPr>
          <w:p>
            <w:pPr>
              <w:spacing w:after="0"/>
              <w:rPr>
                <w:sz w:val="20"/>
                <w:szCs w:val="20"/>
                <w:color w:val="auto"/>
              </w:rPr>
            </w:pPr>
            <w:r>
              <w:rPr>
                <w:rFonts w:ascii="Arial" w:cs="Arial" w:eastAsia="Arial" w:hAnsi="Arial"/>
                <w:sz w:val="18"/>
                <w:szCs w:val="18"/>
                <w:b w:val="1"/>
                <w:bCs w:val="1"/>
                <w:color w:val="auto"/>
              </w:rPr>
              <w:t>RSUs</w:t>
            </w:r>
          </w:p>
        </w:tc>
        <w:tc>
          <w:tcPr>
            <w:tcW w:w="5400" w:type="dxa"/>
            <w:vAlign w:val="bottom"/>
          </w:tcPr>
          <w:p>
            <w:pPr>
              <w:spacing w:after="0"/>
              <w:rPr>
                <w:sz w:val="17"/>
                <w:szCs w:val="17"/>
                <w:color w:val="auto"/>
              </w:rPr>
            </w:pPr>
          </w:p>
        </w:tc>
      </w:tr>
      <w:tr>
        <w:trPr>
          <w:trHeight w:val="20"/>
        </w:trPr>
        <w:tc>
          <w:tcPr>
            <w:tcW w:w="420" w:type="dxa"/>
            <w:vAlign w:val="bottom"/>
            <w:shd w:val="clear" w:color="auto" w:fill="000000"/>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r>
      <w:tr>
        <w:trPr>
          <w:trHeight w:val="336"/>
        </w:trPr>
        <w:tc>
          <w:tcPr>
            <w:tcW w:w="5640" w:type="dxa"/>
            <w:vAlign w:val="bottom"/>
            <w:gridSpan w:val="2"/>
          </w:tcPr>
          <w:p>
            <w:pPr>
              <w:spacing w:after="0"/>
              <w:rPr>
                <w:sz w:val="20"/>
                <w:szCs w:val="20"/>
                <w:color w:val="auto"/>
              </w:rPr>
            </w:pPr>
            <w:r>
              <w:rPr>
                <w:rFonts w:ascii="Arial" w:cs="Arial" w:eastAsia="Arial" w:hAnsi="Arial"/>
                <w:sz w:val="18"/>
                <w:szCs w:val="18"/>
                <w:color w:val="auto"/>
              </w:rPr>
              <w:t>Vesting Schedule</w:t>
            </w:r>
          </w:p>
        </w:tc>
        <w:tc>
          <w:tcPr>
            <w:tcW w:w="5400" w:type="dxa"/>
            <w:vAlign w:val="bottom"/>
          </w:tcPr>
          <w:p>
            <w:pPr>
              <w:ind w:left="240"/>
              <w:spacing w:after="0"/>
              <w:rPr>
                <w:sz w:val="20"/>
                <w:szCs w:val="20"/>
                <w:color w:val="auto"/>
              </w:rPr>
            </w:pPr>
            <w:r>
              <w:rPr>
                <w:rFonts w:ascii="Arial" w:cs="Arial" w:eastAsia="Arial" w:hAnsi="Arial"/>
                <w:sz w:val="18"/>
                <w:szCs w:val="18"/>
                <w:color w:val="auto"/>
                <w:w w:val="88"/>
              </w:rPr>
              <w:t>100% on third anniversary. Each RSU will be converted into one share of</w:t>
            </w:r>
          </w:p>
        </w:tc>
      </w:tr>
      <w:tr>
        <w:trPr>
          <w:trHeight w:val="222"/>
        </w:trPr>
        <w:tc>
          <w:tcPr>
            <w:tcW w:w="420" w:type="dxa"/>
            <w:vAlign w:val="bottom"/>
          </w:tcPr>
          <w:p>
            <w:pPr>
              <w:spacing w:after="0"/>
              <w:rPr>
                <w:sz w:val="19"/>
                <w:szCs w:val="19"/>
                <w:color w:val="auto"/>
              </w:rPr>
            </w:pPr>
          </w:p>
        </w:tc>
        <w:tc>
          <w:tcPr>
            <w:tcW w:w="5220" w:type="dxa"/>
            <w:vAlign w:val="bottom"/>
          </w:tcPr>
          <w:p>
            <w:pPr>
              <w:spacing w:after="0"/>
              <w:rPr>
                <w:sz w:val="19"/>
                <w:szCs w:val="19"/>
                <w:color w:val="auto"/>
              </w:rPr>
            </w:pPr>
          </w:p>
        </w:tc>
        <w:tc>
          <w:tcPr>
            <w:tcW w:w="5400" w:type="dxa"/>
            <w:vAlign w:val="bottom"/>
          </w:tcPr>
          <w:p>
            <w:pPr>
              <w:ind w:left="240"/>
              <w:spacing w:after="0"/>
              <w:rPr>
                <w:sz w:val="20"/>
                <w:szCs w:val="20"/>
                <w:color w:val="auto"/>
              </w:rPr>
            </w:pPr>
            <w:r>
              <w:rPr>
                <w:rFonts w:ascii="Arial" w:cs="Arial" w:eastAsia="Arial" w:hAnsi="Arial"/>
                <w:sz w:val="18"/>
                <w:szCs w:val="18"/>
                <w:color w:val="auto"/>
              </w:rPr>
              <w:t>Company common stock.</w:t>
            </w:r>
          </w:p>
        </w:tc>
      </w:tr>
      <w:tr>
        <w:trPr>
          <w:trHeight w:val="318"/>
        </w:trPr>
        <w:tc>
          <w:tcPr>
            <w:tcW w:w="5640" w:type="dxa"/>
            <w:vAlign w:val="bottom"/>
            <w:gridSpan w:val="2"/>
          </w:tcPr>
          <w:p>
            <w:pPr>
              <w:spacing w:after="0"/>
              <w:rPr>
                <w:sz w:val="20"/>
                <w:szCs w:val="20"/>
                <w:color w:val="auto"/>
              </w:rPr>
            </w:pPr>
            <w:r>
              <w:rPr>
                <w:rFonts w:ascii="Arial" w:cs="Arial" w:eastAsia="Arial" w:hAnsi="Arial"/>
                <w:sz w:val="18"/>
                <w:szCs w:val="18"/>
                <w:color w:val="auto"/>
              </w:rPr>
              <w:t>Dividend Equivalents</w:t>
            </w:r>
          </w:p>
        </w:tc>
        <w:tc>
          <w:tcPr>
            <w:tcW w:w="5400" w:type="dxa"/>
            <w:vAlign w:val="bottom"/>
          </w:tcPr>
          <w:p>
            <w:pPr>
              <w:ind w:left="240"/>
              <w:spacing w:after="0"/>
              <w:rPr>
                <w:sz w:val="20"/>
                <w:szCs w:val="20"/>
                <w:color w:val="auto"/>
              </w:rPr>
            </w:pPr>
            <w:r>
              <w:rPr>
                <w:rFonts w:ascii="Arial" w:cs="Arial" w:eastAsia="Arial" w:hAnsi="Arial"/>
                <w:sz w:val="18"/>
                <w:szCs w:val="18"/>
                <w:color w:val="auto"/>
                <w:w w:val="87"/>
              </w:rPr>
              <w:t>Paid in cash on unvested RSUs at such time as dividends are paid on the</w:t>
            </w:r>
          </w:p>
        </w:tc>
      </w:tr>
      <w:tr>
        <w:trPr>
          <w:trHeight w:val="222"/>
        </w:trPr>
        <w:tc>
          <w:tcPr>
            <w:tcW w:w="420" w:type="dxa"/>
            <w:vAlign w:val="bottom"/>
          </w:tcPr>
          <w:p>
            <w:pPr>
              <w:spacing w:after="0"/>
              <w:rPr>
                <w:sz w:val="19"/>
                <w:szCs w:val="19"/>
                <w:color w:val="auto"/>
              </w:rPr>
            </w:pPr>
          </w:p>
        </w:tc>
        <w:tc>
          <w:tcPr>
            <w:tcW w:w="5220" w:type="dxa"/>
            <w:vAlign w:val="bottom"/>
          </w:tcPr>
          <w:p>
            <w:pPr>
              <w:spacing w:after="0"/>
              <w:rPr>
                <w:sz w:val="19"/>
                <w:szCs w:val="19"/>
                <w:color w:val="auto"/>
              </w:rPr>
            </w:pPr>
          </w:p>
        </w:tc>
        <w:tc>
          <w:tcPr>
            <w:tcW w:w="5400" w:type="dxa"/>
            <w:vAlign w:val="bottom"/>
          </w:tcPr>
          <w:p>
            <w:pPr>
              <w:ind w:left="240"/>
              <w:spacing w:after="0"/>
              <w:rPr>
                <w:sz w:val="20"/>
                <w:szCs w:val="20"/>
                <w:color w:val="auto"/>
              </w:rPr>
            </w:pPr>
            <w:r>
              <w:rPr>
                <w:rFonts w:ascii="Arial" w:cs="Arial" w:eastAsia="Arial" w:hAnsi="Arial"/>
                <w:sz w:val="18"/>
                <w:szCs w:val="18"/>
                <w:color w:val="auto"/>
              </w:rPr>
              <w:t>Company’s common stock.</w:t>
            </w:r>
          </w:p>
        </w:tc>
      </w:tr>
      <w:tr>
        <w:trPr>
          <w:trHeight w:val="324"/>
        </w:trPr>
        <w:tc>
          <w:tcPr>
            <w:tcW w:w="5640" w:type="dxa"/>
            <w:vAlign w:val="bottom"/>
            <w:gridSpan w:val="2"/>
          </w:tcPr>
          <w:p>
            <w:pPr>
              <w:spacing w:after="0"/>
              <w:rPr>
                <w:sz w:val="20"/>
                <w:szCs w:val="20"/>
                <w:color w:val="auto"/>
              </w:rPr>
            </w:pPr>
            <w:r>
              <w:rPr>
                <w:rFonts w:ascii="Arial" w:cs="Arial" w:eastAsia="Arial" w:hAnsi="Arial"/>
                <w:sz w:val="18"/>
                <w:szCs w:val="18"/>
                <w:color w:val="auto"/>
              </w:rPr>
              <w:t>Termination of Employment</w:t>
            </w:r>
          </w:p>
        </w:tc>
        <w:tc>
          <w:tcPr>
            <w:tcW w:w="5400" w:type="dxa"/>
            <w:vAlign w:val="bottom"/>
          </w:tcPr>
          <w:p>
            <w:pPr>
              <w:spacing w:after="0"/>
              <w:rPr>
                <w:sz w:val="24"/>
                <w:szCs w:val="24"/>
                <w:color w:val="auto"/>
              </w:rPr>
            </w:pPr>
          </w:p>
        </w:tc>
      </w:tr>
      <w:tr>
        <w:trPr>
          <w:trHeight w:val="324"/>
        </w:trPr>
        <w:tc>
          <w:tcPr>
            <w:tcW w:w="420" w:type="dxa"/>
            <w:vAlign w:val="bottom"/>
          </w:tcPr>
          <w:p>
            <w:pPr>
              <w:spacing w:after="0"/>
              <w:rPr>
                <w:sz w:val="24"/>
                <w:szCs w:val="24"/>
                <w:color w:val="auto"/>
              </w:rPr>
            </w:pPr>
          </w:p>
        </w:tc>
        <w:tc>
          <w:tcPr>
            <w:tcW w:w="5220" w:type="dxa"/>
            <w:vAlign w:val="bottom"/>
          </w:tcPr>
          <w:p>
            <w:pPr>
              <w:ind w:left="20"/>
              <w:spacing w:after="0"/>
              <w:rPr>
                <w:sz w:val="20"/>
                <w:szCs w:val="20"/>
                <w:color w:val="auto"/>
              </w:rPr>
            </w:pPr>
            <w:r>
              <w:rPr>
                <w:rFonts w:ascii="Arial" w:cs="Arial" w:eastAsia="Arial" w:hAnsi="Arial"/>
                <w:sz w:val="18"/>
                <w:szCs w:val="18"/>
                <w:color w:val="auto"/>
              </w:rPr>
              <w:t>Death or Disability</w:t>
            </w:r>
          </w:p>
        </w:tc>
        <w:tc>
          <w:tcPr>
            <w:tcW w:w="5400" w:type="dxa"/>
            <w:vAlign w:val="bottom"/>
          </w:tcPr>
          <w:p>
            <w:pPr>
              <w:ind w:left="240"/>
              <w:spacing w:after="0"/>
              <w:rPr>
                <w:sz w:val="20"/>
                <w:szCs w:val="20"/>
                <w:color w:val="auto"/>
              </w:rPr>
            </w:pPr>
            <w:r>
              <w:rPr>
                <w:rFonts w:ascii="Arial" w:cs="Arial" w:eastAsia="Arial" w:hAnsi="Arial"/>
                <w:sz w:val="18"/>
                <w:szCs w:val="18"/>
                <w:color w:val="auto"/>
              </w:rPr>
              <w:t>All RSUs immediately vest.</w:t>
            </w:r>
          </w:p>
        </w:tc>
      </w:tr>
      <w:tr>
        <w:trPr>
          <w:trHeight w:val="324"/>
        </w:trPr>
        <w:tc>
          <w:tcPr>
            <w:tcW w:w="420" w:type="dxa"/>
            <w:vAlign w:val="bottom"/>
          </w:tcPr>
          <w:p>
            <w:pPr>
              <w:spacing w:after="0"/>
              <w:rPr>
                <w:sz w:val="24"/>
                <w:szCs w:val="24"/>
                <w:color w:val="auto"/>
              </w:rPr>
            </w:pPr>
          </w:p>
        </w:tc>
        <w:tc>
          <w:tcPr>
            <w:tcW w:w="5220" w:type="dxa"/>
            <w:vAlign w:val="bottom"/>
          </w:tcPr>
          <w:p>
            <w:pPr>
              <w:ind w:left="20"/>
              <w:spacing w:after="0"/>
              <w:rPr>
                <w:sz w:val="20"/>
                <w:szCs w:val="20"/>
                <w:color w:val="auto"/>
              </w:rPr>
            </w:pPr>
            <w:r>
              <w:rPr>
                <w:rFonts w:ascii="Arial" w:cs="Arial" w:eastAsia="Arial" w:hAnsi="Arial"/>
                <w:sz w:val="18"/>
                <w:szCs w:val="18"/>
                <w:color w:val="auto"/>
              </w:rPr>
              <w:t>Qualifying Retirement or Involuntary Termination without Cause</w:t>
            </w:r>
          </w:p>
        </w:tc>
        <w:tc>
          <w:tcPr>
            <w:tcW w:w="5400" w:type="dxa"/>
            <w:vAlign w:val="bottom"/>
          </w:tcPr>
          <w:p>
            <w:pPr>
              <w:ind w:left="240"/>
              <w:spacing w:after="0"/>
              <w:rPr>
                <w:sz w:val="20"/>
                <w:szCs w:val="20"/>
                <w:color w:val="auto"/>
              </w:rPr>
            </w:pPr>
            <w:r>
              <w:rPr>
                <w:rFonts w:ascii="Arial" w:cs="Arial" w:eastAsia="Arial" w:hAnsi="Arial"/>
                <w:sz w:val="18"/>
                <w:szCs w:val="18"/>
                <w:color w:val="auto"/>
              </w:rPr>
              <w:t>RSUs vest on a pro rata basis.</w:t>
            </w:r>
          </w:p>
        </w:tc>
      </w:tr>
      <w:tr>
        <w:trPr>
          <w:trHeight w:val="324"/>
        </w:trPr>
        <w:tc>
          <w:tcPr>
            <w:tcW w:w="420" w:type="dxa"/>
            <w:vAlign w:val="bottom"/>
          </w:tcPr>
          <w:p>
            <w:pPr>
              <w:spacing w:after="0"/>
              <w:rPr>
                <w:sz w:val="24"/>
                <w:szCs w:val="24"/>
                <w:color w:val="auto"/>
              </w:rPr>
            </w:pPr>
          </w:p>
        </w:tc>
        <w:tc>
          <w:tcPr>
            <w:tcW w:w="5220" w:type="dxa"/>
            <w:vAlign w:val="bottom"/>
          </w:tcPr>
          <w:p>
            <w:pPr>
              <w:ind w:left="20"/>
              <w:spacing w:after="0"/>
              <w:rPr>
                <w:sz w:val="20"/>
                <w:szCs w:val="20"/>
                <w:color w:val="auto"/>
              </w:rPr>
            </w:pPr>
            <w:r>
              <w:rPr>
                <w:rFonts w:ascii="Arial" w:cs="Arial" w:eastAsia="Arial" w:hAnsi="Arial"/>
                <w:sz w:val="18"/>
                <w:szCs w:val="18"/>
                <w:color w:val="auto"/>
              </w:rPr>
              <w:t>Involuntary Termination for Cause</w:t>
            </w:r>
          </w:p>
        </w:tc>
        <w:tc>
          <w:tcPr>
            <w:tcW w:w="5400" w:type="dxa"/>
            <w:vAlign w:val="bottom"/>
          </w:tcPr>
          <w:p>
            <w:pPr>
              <w:ind w:left="240"/>
              <w:spacing w:after="0"/>
              <w:rPr>
                <w:sz w:val="20"/>
                <w:szCs w:val="20"/>
                <w:color w:val="auto"/>
              </w:rPr>
            </w:pPr>
            <w:r>
              <w:rPr>
                <w:rFonts w:ascii="Arial" w:cs="Arial" w:eastAsia="Arial" w:hAnsi="Arial"/>
                <w:sz w:val="18"/>
                <w:szCs w:val="18"/>
                <w:color w:val="auto"/>
              </w:rPr>
              <w:t>All unvested RSUs are forfeited.</w:t>
            </w:r>
          </w:p>
        </w:tc>
      </w:tr>
      <w:tr>
        <w:trPr>
          <w:trHeight w:val="324"/>
        </w:trPr>
        <w:tc>
          <w:tcPr>
            <w:tcW w:w="420" w:type="dxa"/>
            <w:vAlign w:val="bottom"/>
          </w:tcPr>
          <w:p>
            <w:pPr>
              <w:spacing w:after="0"/>
              <w:rPr>
                <w:sz w:val="24"/>
                <w:szCs w:val="24"/>
                <w:color w:val="auto"/>
              </w:rPr>
            </w:pPr>
          </w:p>
        </w:tc>
        <w:tc>
          <w:tcPr>
            <w:tcW w:w="5220" w:type="dxa"/>
            <w:vAlign w:val="bottom"/>
          </w:tcPr>
          <w:p>
            <w:pPr>
              <w:ind w:left="20"/>
              <w:spacing w:after="0"/>
              <w:rPr>
                <w:sz w:val="20"/>
                <w:szCs w:val="20"/>
                <w:color w:val="auto"/>
              </w:rPr>
            </w:pPr>
            <w:r>
              <w:rPr>
                <w:rFonts w:ascii="Arial" w:cs="Arial" w:eastAsia="Arial" w:hAnsi="Arial"/>
                <w:sz w:val="18"/>
                <w:szCs w:val="18"/>
                <w:color w:val="auto"/>
                <w:w w:val="94"/>
              </w:rPr>
              <w:t>Involuntary Termination without Cause following a Change in Control</w:t>
            </w:r>
          </w:p>
        </w:tc>
        <w:tc>
          <w:tcPr>
            <w:tcW w:w="5400" w:type="dxa"/>
            <w:vAlign w:val="bottom"/>
          </w:tcPr>
          <w:p>
            <w:pPr>
              <w:ind w:left="240"/>
              <w:spacing w:after="0"/>
              <w:rPr>
                <w:sz w:val="20"/>
                <w:szCs w:val="20"/>
                <w:color w:val="auto"/>
              </w:rPr>
            </w:pPr>
            <w:r>
              <w:rPr>
                <w:rFonts w:ascii="Arial" w:cs="Arial" w:eastAsia="Arial" w:hAnsi="Arial"/>
                <w:sz w:val="18"/>
                <w:szCs w:val="18"/>
                <w:color w:val="auto"/>
              </w:rPr>
              <w:t>All RSUs immediately vest.</w:t>
            </w:r>
          </w:p>
        </w:tc>
      </w:tr>
    </w:tbl>
    <w:p>
      <w:pPr>
        <w:spacing w:after="0" w:line="15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form of award agreement for Mr. Harris’s RSUs will be the same as the Form of 2012 RSU Award Agreement filed by the Company as Exhibit10.2 to its Form 8-K filed July 5, 2012 (the “RSU Award Agreement”). The descriptions of the material terms of the RSU Award Agreement are qualified in their entirety by the full text of such agreement, which is incorporated herein by reference.</w:t>
      </w:r>
    </w:p>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9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(d) Exhibits.</w:t>
      </w:r>
    </w:p>
    <w:p>
      <w:pPr>
        <w:sectPr>
          <w:pgSz w:w="11900" w:h="16838" w:orient="portrait"/>
          <w:cols w:equalWidth="0" w:num="1">
            <w:col w:w="11400"/>
          </w:cols>
          <w:pgMar w:left="240" w:top="274" w:right="259" w:bottom="1440" w:gutter="0" w:footer="0" w:header="0"/>
        </w:sectPr>
      </w:pPr>
    </w:p>
    <w:p>
      <w:pPr>
        <w:spacing w:after="0" w:line="20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Exhibit No.</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Description of Exhibit</w:t>
      </w:r>
    </w:p>
    <w:p>
      <w:pPr>
        <w:spacing w:after="0" w:line="123" w:lineRule="exact"/>
        <w:rPr>
          <w:sz w:val="20"/>
          <w:szCs w:val="20"/>
          <w:color w:val="auto"/>
        </w:rPr>
      </w:pPr>
    </w:p>
    <w:p>
      <w:pPr>
        <w:sectPr>
          <w:pgSz w:w="11900" w:h="16838" w:orient="portrait"/>
          <w:cols w:equalWidth="0" w:num="2">
            <w:col w:w="720" w:space="720"/>
            <w:col w:w="9960"/>
          </w:cols>
          <w:pgMar w:left="240" w:top="274" w:right="259" w:bottom="1440" w:gutter="0" w:footer="0" w:header="0"/>
          <w:type w:val="continuous"/>
        </w:sectPr>
      </w:pPr>
    </w:p>
    <w:p>
      <w:pPr>
        <w:spacing w:after="0"/>
        <w:rPr>
          <w:sz w:val="20"/>
          <w:szCs w:val="20"/>
          <w:color w:val="auto"/>
        </w:rPr>
      </w:pPr>
      <w:r>
        <w:rPr>
          <w:rFonts w:ascii="Arial" w:cs="Arial" w:eastAsia="Arial" w:hAnsi="Arial"/>
          <w:sz w:val="16"/>
          <w:szCs w:val="16"/>
          <w:color w:val="auto"/>
        </w:rPr>
        <w:t>10.1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Form of 2012 RSU Award Agreement. (incorporated by reference to Exhibit 10.2 to Current Report on Form 8-K filed July 5, 2012).</w:t>
      </w:r>
    </w:p>
    <w:p>
      <w:pPr>
        <w:spacing w:after="0" w:line="181" w:lineRule="exact"/>
        <w:rPr>
          <w:sz w:val="20"/>
          <w:szCs w:val="20"/>
          <w:color w:val="auto"/>
        </w:rPr>
      </w:pPr>
    </w:p>
    <w:p>
      <w:pPr>
        <w:sectPr>
          <w:pgSz w:w="11900" w:h="16838" w:orient="portrait"/>
          <w:cols w:equalWidth="0" w:num="2">
            <w:col w:w="720" w:space="720"/>
            <w:col w:w="9960"/>
          </w:cols>
          <w:pgMar w:left="240" w:top="274" w:right="259" w:bottom="1440" w:gutter="0" w:footer="0" w:header="0"/>
          <w:type w:val="continuous"/>
        </w:sectPr>
      </w:pPr>
    </w:p>
    <w:p>
      <w:pPr>
        <w:jc w:val="center"/>
        <w:ind w:right="-39"/>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400"/>
          </w:cols>
          <w:pgMar w:left="240" w:top="274" w:right="259" w:bottom="1440" w:gutter="0" w:footer="0" w:header="0"/>
          <w:type w:val="continuous"/>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7"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caused this report to be signed on its behalf by the undersigned, hereunto duly authorized.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700" w:type="dxa"/>
            <w:vAlign w:val="bottom"/>
          </w:tcPr>
          <w:p>
            <w:pPr>
              <w:spacing w:after="0"/>
              <w:rPr>
                <w:sz w:val="19"/>
                <w:szCs w:val="19"/>
                <w:color w:val="auto"/>
              </w:rPr>
            </w:pPr>
          </w:p>
        </w:tc>
        <w:tc>
          <w:tcPr>
            <w:tcW w:w="7720" w:type="dxa"/>
            <w:vAlign w:val="bottom"/>
            <w:gridSpan w:val="2"/>
          </w:tcPr>
          <w:p>
            <w:pPr>
              <w:ind w:left="2220"/>
              <w:spacing w:after="0"/>
              <w:rPr>
                <w:sz w:val="20"/>
                <w:szCs w:val="20"/>
                <w:color w:val="auto"/>
              </w:rPr>
            </w:pPr>
            <w:r>
              <w:rPr>
                <w:rFonts w:ascii="Arial" w:cs="Arial" w:eastAsia="Arial" w:hAnsi="Arial"/>
                <w:sz w:val="18"/>
                <w:szCs w:val="18"/>
                <w:color w:val="auto"/>
              </w:rPr>
              <w:t>WASTE MANAGEMENT, INC.</w:t>
            </w:r>
          </w:p>
        </w:tc>
      </w:tr>
      <w:tr>
        <w:trPr>
          <w:trHeight w:val="433"/>
        </w:trPr>
        <w:tc>
          <w:tcPr>
            <w:tcW w:w="3700" w:type="dxa"/>
            <w:vAlign w:val="bottom"/>
          </w:tcPr>
          <w:p>
            <w:pPr>
              <w:spacing w:after="0"/>
              <w:rPr>
                <w:sz w:val="20"/>
                <w:szCs w:val="20"/>
                <w:color w:val="auto"/>
              </w:rPr>
            </w:pPr>
            <w:r>
              <w:rPr>
                <w:rFonts w:ascii="Arial" w:cs="Arial" w:eastAsia="Arial" w:hAnsi="Arial"/>
                <w:sz w:val="18"/>
                <w:szCs w:val="18"/>
                <w:color w:val="auto"/>
              </w:rPr>
              <w:t>Date: November 9, 2012</w:t>
            </w:r>
          </w:p>
        </w:tc>
        <w:tc>
          <w:tcPr>
            <w:tcW w:w="7720" w:type="dxa"/>
            <w:vAlign w:val="bottom"/>
            <w:gridSpan w:val="2"/>
          </w:tcPr>
          <w:p>
            <w:pPr>
              <w:ind w:left="2220"/>
              <w:spacing w:after="0"/>
              <w:rPr>
                <w:sz w:val="20"/>
                <w:szCs w:val="20"/>
                <w:color w:val="auto"/>
              </w:rPr>
            </w:pPr>
            <w:r>
              <w:rPr>
                <w:rFonts w:ascii="Arial" w:cs="Arial" w:eastAsia="Arial" w:hAnsi="Arial"/>
                <w:sz w:val="18"/>
                <w:szCs w:val="18"/>
                <w:color w:val="auto"/>
              </w:rPr>
              <w:t>By: /s/ Rick L Wittenbraker</w:t>
            </w:r>
          </w:p>
        </w:tc>
      </w:tr>
      <w:tr>
        <w:trPr>
          <w:trHeight w:val="202"/>
        </w:trPr>
        <w:tc>
          <w:tcPr>
            <w:tcW w:w="370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5240" w:type="dxa"/>
            <w:vAlign w:val="bottom"/>
            <w:tcBorders>
              <w:top w:val="single" w:sz="8" w:color="auto"/>
            </w:tcBorders>
          </w:tcPr>
          <w:p>
            <w:pPr>
              <w:ind w:left="100"/>
              <w:spacing w:after="0" w:line="202" w:lineRule="exact"/>
              <w:rPr>
                <w:sz w:val="20"/>
                <w:szCs w:val="20"/>
                <w:color w:val="auto"/>
              </w:rPr>
            </w:pPr>
            <w:r>
              <w:rPr>
                <w:rFonts w:ascii="Arial" w:cs="Arial" w:eastAsia="Arial" w:hAnsi="Arial"/>
                <w:sz w:val="18"/>
                <w:szCs w:val="18"/>
                <w:color w:val="auto"/>
              </w:rPr>
              <w:t>Rick L Wittenbraker</w:t>
            </w:r>
          </w:p>
        </w:tc>
      </w:tr>
      <w:tr>
        <w:trPr>
          <w:trHeight w:val="222"/>
        </w:trPr>
        <w:tc>
          <w:tcPr>
            <w:tcW w:w="370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5240" w:type="dxa"/>
            <w:vAlign w:val="bottom"/>
          </w:tcPr>
          <w:p>
            <w:pPr>
              <w:ind w:left="100"/>
              <w:spacing w:after="0"/>
              <w:rPr>
                <w:sz w:val="20"/>
                <w:szCs w:val="20"/>
                <w:color w:val="auto"/>
              </w:rPr>
            </w:pPr>
            <w:r>
              <w:rPr>
                <w:rFonts w:ascii="Arial" w:cs="Arial" w:eastAsia="Arial" w:hAnsi="Arial"/>
                <w:sz w:val="18"/>
                <w:szCs w:val="18"/>
                <w:color w:val="auto"/>
              </w:rPr>
              <w:t>Senior Vice President, General Counsel</w:t>
            </w:r>
          </w:p>
        </w:tc>
      </w:tr>
      <w:tr>
        <w:trPr>
          <w:trHeight w:val="365"/>
        </w:trPr>
        <w:tc>
          <w:tcPr>
            <w:tcW w:w="3700" w:type="dxa"/>
            <w:vAlign w:val="bottom"/>
          </w:tcPr>
          <w:p>
            <w:pPr>
              <w:spacing w:after="0"/>
              <w:rPr>
                <w:sz w:val="24"/>
                <w:szCs w:val="24"/>
                <w:color w:val="auto"/>
              </w:rPr>
            </w:pPr>
          </w:p>
        </w:tc>
        <w:tc>
          <w:tcPr>
            <w:tcW w:w="2480" w:type="dxa"/>
            <w:vAlign w:val="bottom"/>
          </w:tcPr>
          <w:p>
            <w:pPr>
              <w:jc w:val="right"/>
              <w:ind w:right="332"/>
              <w:spacing w:after="0"/>
              <w:rPr>
                <w:sz w:val="20"/>
                <w:szCs w:val="20"/>
                <w:color w:val="auto"/>
              </w:rPr>
            </w:pPr>
            <w:r>
              <w:rPr>
                <w:rFonts w:ascii="Arial" w:cs="Arial" w:eastAsia="Arial" w:hAnsi="Arial"/>
                <w:sz w:val="18"/>
                <w:szCs w:val="18"/>
                <w:color w:val="auto"/>
              </w:rPr>
              <w:t>3</w:t>
            </w:r>
          </w:p>
        </w:tc>
        <w:tc>
          <w:tcPr>
            <w:tcW w:w="524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Roman"/>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2019-12-09T09:27:15Z</dcterms:created>
  <dcterms:modified xsi:type="dcterms:W3CDTF">2019-12-09T09:27:15Z</dcterms:modified>
</cp:coreProperties>
</file>