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3"/>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4"/>
          <w:szCs w:val="24"/>
          <w:color w:val="auto"/>
        </w:rPr>
      </w:pPr>
    </w:p>
    <w:p>
      <w:pPr>
        <w:ind w:left="5683"/>
        <w:spacing w:after="0"/>
        <w:rPr>
          <w:sz w:val="20"/>
          <w:szCs w:val="20"/>
          <w:color w:val="auto"/>
        </w:rPr>
      </w:pPr>
      <w:r>
        <w:rPr>
          <w:rFonts w:ascii="Courier New" w:cs="Courier New" w:eastAsia="Courier New" w:hAnsi="Courier New"/>
          <w:sz w:val="15"/>
          <w:szCs w:val="15"/>
          <w:color w:val="auto"/>
        </w:rPr>
        <w:t>REGISTRATION NO. 33-</w:t>
      </w:r>
    </w:p>
    <w:p>
      <w:pPr>
        <w:spacing w:after="0" w:line="12"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2183"/>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WASHINGTON, D.C. 20549</w:t>
      </w:r>
    </w:p>
    <w:p>
      <w:pPr>
        <w:spacing w:after="0" w:line="1" w:lineRule="exact"/>
        <w:rPr>
          <w:sz w:val="24"/>
          <w:szCs w:val="24"/>
          <w:color w:val="auto"/>
        </w:rPr>
      </w:pPr>
    </w:p>
    <w:p>
      <w:pPr>
        <w:ind w:left="2563"/>
        <w:spacing w:after="0"/>
        <w:rPr>
          <w:sz w:val="20"/>
          <w:szCs w:val="20"/>
          <w:color w:val="auto"/>
        </w:rPr>
      </w:pPr>
      <w:r>
        <w:rPr>
          <w:rFonts w:ascii="Courier New" w:cs="Courier New" w:eastAsia="Courier New" w:hAnsi="Courier New"/>
          <w:sz w:val="16"/>
          <w:szCs w:val="16"/>
          <w:color w:val="auto"/>
        </w:rPr>
        <w:t>_________________________</w:t>
      </w:r>
    </w:p>
    <w:p>
      <w:pPr>
        <w:spacing w:after="0" w:line="183" w:lineRule="exact"/>
        <w:rPr>
          <w:sz w:val="24"/>
          <w:szCs w:val="24"/>
          <w:color w:val="auto"/>
        </w:rPr>
      </w:pPr>
    </w:p>
    <w:p>
      <w:pPr>
        <w:jc w:val="center"/>
        <w:ind w:right="3397"/>
        <w:spacing w:after="0"/>
        <w:rPr>
          <w:sz w:val="20"/>
          <w:szCs w:val="20"/>
          <w:color w:val="auto"/>
        </w:rPr>
      </w:pPr>
      <w:r>
        <w:rPr>
          <w:rFonts w:ascii="Courier New" w:cs="Courier New" w:eastAsia="Courier New" w:hAnsi="Courier New"/>
          <w:sz w:val="16"/>
          <w:szCs w:val="16"/>
          <w:color w:val="auto"/>
        </w:rPr>
        <w:t>FORM S-4</w:t>
      </w:r>
    </w:p>
    <w:p>
      <w:pPr>
        <w:spacing w:after="0" w:line="183"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REGISTRATION STATEMENT</w:t>
      </w:r>
    </w:p>
    <w:p>
      <w:pPr>
        <w:spacing w:after="0" w:line="1"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UNDER THE</w:t>
      </w:r>
    </w:p>
    <w:p>
      <w:pPr>
        <w:spacing w:after="0" w:line="1"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SECURITIES ACT OF 1933</w:t>
      </w:r>
    </w:p>
    <w:p>
      <w:pPr>
        <w:spacing w:after="0" w:line="1" w:lineRule="exact"/>
        <w:rPr>
          <w:sz w:val="24"/>
          <w:szCs w:val="24"/>
          <w:color w:val="auto"/>
        </w:rPr>
      </w:pPr>
    </w:p>
    <w:p>
      <w:pPr>
        <w:ind w:left="2563"/>
        <w:spacing w:after="0"/>
        <w:rPr>
          <w:sz w:val="20"/>
          <w:szCs w:val="20"/>
          <w:color w:val="auto"/>
        </w:rPr>
      </w:pPr>
      <w:r>
        <w:rPr>
          <w:rFonts w:ascii="Courier New" w:cs="Courier New" w:eastAsia="Courier New" w:hAnsi="Courier New"/>
          <w:sz w:val="16"/>
          <w:szCs w:val="16"/>
          <w:color w:val="auto"/>
        </w:rPr>
        <w:t>_________________________</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4"/>
          <w:szCs w:val="24"/>
          <w:color w:val="auto"/>
        </w:rPr>
      </w:pPr>
    </w:p>
    <w:p>
      <w:pPr>
        <w:ind w:left="1223"/>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963"/>
          </w:cols>
          <w:pgMar w:left="237" w:top="235" w:right="699" w:bottom="944" w:gutter="0" w:footer="0" w:header="0"/>
        </w:sectPr>
      </w:pPr>
    </w:p>
    <w:p>
      <w:pPr>
        <w:spacing w:after="0" w:line="200" w:lineRule="exact"/>
        <w:rPr>
          <w:sz w:val="24"/>
          <w:szCs w:val="24"/>
          <w:color w:val="auto"/>
        </w:rPr>
      </w:pPr>
    </w:p>
    <w:p>
      <w:pPr>
        <w:spacing w:after="0" w:line="346" w:lineRule="exact"/>
        <w:rPr>
          <w:sz w:val="24"/>
          <w:szCs w:val="24"/>
          <w:color w:val="auto"/>
        </w:rPr>
      </w:pPr>
    </w:p>
    <w:p>
      <w:pPr>
        <w:ind w:left="463"/>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6"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4953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(Primary Standard Industrial</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6"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73-1309529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7" w:lineRule="exact"/>
        <w:rPr>
          <w:sz w:val="24"/>
          <w:szCs w:val="24"/>
          <w:color w:val="auto"/>
        </w:rPr>
      </w:pPr>
    </w:p>
    <w:p>
      <w:pPr>
        <w:sectPr>
          <w:pgSz w:w="11900" w:h="16838" w:orient="portrait"/>
          <w:cols w:equalWidth="0" w:num="3">
            <w:col w:w="3723" w:space="720"/>
            <w:col w:w="4020" w:space="720"/>
            <w:col w:w="1780"/>
          </w:cols>
          <w:pgMar w:left="237" w:top="235" w:right="699" w:bottom="944" w:gutter="0" w:footer="0" w:header="0"/>
          <w:type w:val="continuous"/>
        </w:sectPr>
      </w:pPr>
    </w:p>
    <w:p>
      <w:pPr>
        <w:spacing w:after="0" w:line="164"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5400 LBJ Freeway</w:t>
      </w:r>
    </w:p>
    <w:p>
      <w:pPr>
        <w:spacing w:after="0" w:line="1"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Suite 300 - Tower One</w:t>
      </w:r>
    </w:p>
    <w:p>
      <w:pPr>
        <w:spacing w:after="0" w:line="1"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Dallas, Texas 75240</w:t>
      </w:r>
    </w:p>
    <w:p>
      <w:pPr>
        <w:spacing w:after="0" w:line="1"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(214) 383-7900</w:t>
      </w:r>
    </w:p>
    <w:p>
      <w:pPr>
        <w:spacing w:after="0" w:line="1" w:lineRule="exact"/>
        <w:rPr>
          <w:sz w:val="24"/>
          <w:szCs w:val="24"/>
          <w:color w:val="auto"/>
        </w:rPr>
      </w:pPr>
    </w:p>
    <w:p>
      <w:pPr>
        <w:jc w:val="center"/>
        <w:ind w:right="3497"/>
        <w:spacing w:after="0"/>
        <w:rPr>
          <w:sz w:val="20"/>
          <w:szCs w:val="20"/>
          <w:color w:val="auto"/>
        </w:rPr>
      </w:pPr>
      <w:r>
        <w:rPr>
          <w:rFonts w:ascii="Courier New" w:cs="Courier New" w:eastAsia="Courier New" w:hAnsi="Courier New"/>
          <w:sz w:val="16"/>
          <w:szCs w:val="16"/>
          <w:color w:val="auto"/>
        </w:rPr>
        <w:t>(Address, including zip code, and telephone number,</w:t>
      </w:r>
    </w:p>
    <w:p>
      <w:pPr>
        <w:spacing w:after="0" w:line="1" w:lineRule="exact"/>
        <w:rPr>
          <w:sz w:val="24"/>
          <w:szCs w:val="24"/>
          <w:color w:val="auto"/>
        </w:rPr>
      </w:pPr>
    </w:p>
    <w:p>
      <w:pPr>
        <w:jc w:val="center"/>
        <w:ind w:right="3497"/>
        <w:spacing w:after="0"/>
        <w:rPr>
          <w:sz w:val="20"/>
          <w:szCs w:val="20"/>
          <w:color w:val="auto"/>
        </w:rPr>
      </w:pPr>
      <w:r>
        <w:rPr>
          <w:rFonts w:ascii="Courier New" w:cs="Courier New" w:eastAsia="Courier New" w:hAnsi="Courier New"/>
          <w:sz w:val="16"/>
          <w:szCs w:val="16"/>
          <w:color w:val="auto"/>
        </w:rPr>
        <w:t>including area code, of registrant's principal executive offices)</w:t>
      </w:r>
    </w:p>
    <w:p>
      <w:pPr>
        <w:spacing w:after="0" w:line="183"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Gregory T. Sangalis</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5400 LBJ Freeway</w:t>
      </w:r>
    </w:p>
    <w:p>
      <w:pPr>
        <w:spacing w:after="0" w:line="1"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Suite 300 - Tower One</w:t>
      </w:r>
    </w:p>
    <w:p>
      <w:pPr>
        <w:spacing w:after="0" w:line="1"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Dallas, Texas 75240</w:t>
      </w:r>
    </w:p>
    <w:p>
      <w:pPr>
        <w:spacing w:after="0" w:line="1"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(214) 383-7900</w:t>
      </w:r>
    </w:p>
    <w:p>
      <w:pPr>
        <w:spacing w:after="0" w:line="1" w:lineRule="exact"/>
        <w:rPr>
          <w:sz w:val="24"/>
          <w:szCs w:val="24"/>
          <w:color w:val="auto"/>
        </w:rPr>
      </w:pPr>
    </w:p>
    <w:p>
      <w:pPr>
        <w:ind w:left="1423"/>
        <w:spacing w:after="0"/>
        <w:rPr>
          <w:sz w:val="20"/>
          <w:szCs w:val="20"/>
          <w:color w:val="auto"/>
        </w:rPr>
      </w:pPr>
      <w:r>
        <w:rPr>
          <w:rFonts w:ascii="Courier New" w:cs="Courier New" w:eastAsia="Courier New" w:hAnsi="Courier New"/>
          <w:sz w:val="16"/>
          <w:szCs w:val="16"/>
          <w:color w:val="auto"/>
        </w:rPr>
        <w:t>(Name, address, including zip code, and telephone</w:t>
      </w:r>
    </w:p>
    <w:p>
      <w:pPr>
        <w:spacing w:after="0" w:line="1" w:lineRule="exact"/>
        <w:rPr>
          <w:sz w:val="24"/>
          <w:szCs w:val="24"/>
          <w:color w:val="auto"/>
        </w:rPr>
      </w:pPr>
    </w:p>
    <w:p>
      <w:pPr>
        <w:ind w:left="1423"/>
        <w:spacing w:after="0"/>
        <w:rPr>
          <w:sz w:val="20"/>
          <w:szCs w:val="20"/>
          <w:color w:val="auto"/>
        </w:rPr>
      </w:pPr>
      <w:r>
        <w:rPr>
          <w:rFonts w:ascii="Courier New" w:cs="Courier New" w:eastAsia="Courier New" w:hAnsi="Courier New"/>
          <w:sz w:val="16"/>
          <w:szCs w:val="16"/>
          <w:color w:val="auto"/>
        </w:rPr>
        <w:t>number, including area code, of agent for service)</w:t>
      </w:r>
    </w:p>
    <w:p>
      <w:pPr>
        <w:spacing w:after="0" w:line="183"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Copies to:</w:t>
      </w:r>
    </w:p>
    <w:p>
      <w:pPr>
        <w:spacing w:after="0" w:line="183"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John T. Unger</w:t>
      </w:r>
    </w:p>
    <w:p>
      <w:pPr>
        <w:spacing w:after="0" w:line="1"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Snell &amp; Smith, P.C.</w:t>
      </w:r>
    </w:p>
    <w:p>
      <w:pPr>
        <w:spacing w:after="0" w:line="1" w:lineRule="exact"/>
        <w:rPr>
          <w:sz w:val="24"/>
          <w:szCs w:val="24"/>
          <w:color w:val="auto"/>
        </w:rPr>
      </w:pPr>
    </w:p>
    <w:p>
      <w:pPr>
        <w:ind w:left="2563"/>
        <w:spacing w:after="0"/>
        <w:rPr>
          <w:sz w:val="20"/>
          <w:szCs w:val="20"/>
          <w:color w:val="auto"/>
        </w:rPr>
      </w:pPr>
      <w:r>
        <w:rPr>
          <w:rFonts w:ascii="Courier New" w:cs="Courier New" w:eastAsia="Courier New" w:hAnsi="Courier New"/>
          <w:sz w:val="16"/>
          <w:szCs w:val="16"/>
          <w:color w:val="auto"/>
        </w:rPr>
        <w:t>1000 Louisiana, Suite 3650</w:t>
      </w:r>
    </w:p>
    <w:p>
      <w:pPr>
        <w:spacing w:after="0" w:line="1"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Houston, Texas 77002</w:t>
      </w:r>
    </w:p>
    <w:p>
      <w:pPr>
        <w:spacing w:after="0" w:line="186" w:lineRule="exact"/>
        <w:rPr>
          <w:sz w:val="24"/>
          <w:szCs w:val="24"/>
          <w:color w:val="auto"/>
        </w:rPr>
      </w:pPr>
    </w:p>
    <w:p>
      <w:pPr>
        <w:ind w:left="3" w:right="3580" w:firstLine="378"/>
        <w:spacing w:after="0" w:line="237"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this Registration Statement becomes effective.</w:t>
      </w:r>
    </w:p>
    <w:p>
      <w:pPr>
        <w:spacing w:after="0" w:line="188" w:lineRule="exact"/>
        <w:rPr>
          <w:sz w:val="24"/>
          <w:szCs w:val="24"/>
          <w:color w:val="auto"/>
        </w:rPr>
      </w:pPr>
    </w:p>
    <w:p>
      <w:pPr>
        <w:ind w:left="3" w:right="3500" w:firstLine="378"/>
        <w:spacing w:after="0" w:line="238" w:lineRule="auto"/>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w:t>
      </w:r>
    </w:p>
    <w:p>
      <w:pPr>
        <w:spacing w:after="0" w:line="200" w:lineRule="exact"/>
        <w:rPr>
          <w:sz w:val="24"/>
          <w:szCs w:val="24"/>
          <w:color w:val="auto"/>
        </w:rPr>
      </w:pPr>
    </w:p>
    <w:p>
      <w:pPr>
        <w:spacing w:after="0" w:line="348" w:lineRule="exact"/>
        <w:rPr>
          <w:sz w:val="24"/>
          <w:szCs w:val="24"/>
          <w:color w:val="auto"/>
        </w:rPr>
      </w:pPr>
    </w:p>
    <w:p>
      <w:pPr>
        <w:ind w:left="3603"/>
        <w:spacing w:after="0"/>
        <w:rPr>
          <w:sz w:val="20"/>
          <w:szCs w:val="20"/>
          <w:color w:val="auto"/>
        </w:rPr>
      </w:pPr>
      <w:r>
        <w:rPr>
          <w:rFonts w:ascii="Courier New" w:cs="Courier New" w:eastAsia="Courier New" w:hAnsi="Courier New"/>
          <w:sz w:val="16"/>
          <w:szCs w:val="16"/>
          <w:color w:val="auto"/>
        </w:rPr>
        <w:t>CALCULATION OF REGISTRATION FEE</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tbl>
      <w:tblPr>
        <w:tblLayout w:type="fixed"/>
        <w:tblInd w:w="283" w:type="dxa"/>
        <w:tblCellMar>
          <w:top w:w="0" w:type="dxa"/>
          <w:left w:w="0" w:type="dxa"/>
          <w:bottom w:w="0" w:type="dxa"/>
          <w:right w:w="0" w:type="dxa"/>
        </w:tblCellMar>
      </w:tblPr>
      <w:tr>
        <w:trPr>
          <w:trHeight w:val="181"/>
        </w:trPr>
        <w:tc>
          <w:tcPr>
            <w:tcW w:w="17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40" w:type="dxa"/>
            <w:vAlign w:val="bottom"/>
          </w:tcPr>
          <w:p>
            <w:pPr>
              <w:ind w:left="560"/>
              <w:spacing w:after="0"/>
              <w:rPr>
                <w:sz w:val="20"/>
                <w:szCs w:val="20"/>
                <w:color w:val="auto"/>
              </w:rPr>
            </w:pPr>
            <w:r>
              <w:rPr>
                <w:rFonts w:ascii="Courier New" w:cs="Courier New" w:eastAsia="Courier New" w:hAnsi="Courier New"/>
                <w:sz w:val="16"/>
                <w:szCs w:val="16"/>
                <w:color w:val="auto"/>
              </w:rPr>
              <w:t>Proposed</w:t>
            </w:r>
          </w:p>
        </w:tc>
        <w:tc>
          <w:tcPr>
            <w:tcW w:w="1980" w:type="dxa"/>
            <w:vAlign w:val="bottom"/>
          </w:tcPr>
          <w:p>
            <w:pPr>
              <w:ind w:left="700"/>
              <w:spacing w:after="0"/>
              <w:rPr>
                <w:sz w:val="20"/>
                <w:szCs w:val="20"/>
                <w:color w:val="auto"/>
              </w:rPr>
            </w:pPr>
            <w:r>
              <w:rPr>
                <w:rFonts w:ascii="Courier New" w:cs="Courier New" w:eastAsia="Courier New" w:hAnsi="Courier New"/>
                <w:sz w:val="16"/>
                <w:szCs w:val="16"/>
                <w:color w:val="auto"/>
              </w:rPr>
              <w:t>Proposed</w:t>
            </w: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2"/>
        </w:trPr>
        <w:tc>
          <w:tcPr>
            <w:tcW w:w="17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Title of</w:t>
            </w:r>
          </w:p>
        </w:tc>
        <w:tc>
          <w:tcPr>
            <w:tcW w:w="25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Courier New" w:cs="Courier New" w:eastAsia="Courier New" w:hAnsi="Courier New"/>
                <w:sz w:val="16"/>
                <w:szCs w:val="16"/>
                <w:color w:val="auto"/>
                <w:w w:val="98"/>
              </w:rPr>
              <w:t>maximum</w:t>
            </w:r>
          </w:p>
        </w:tc>
        <w:tc>
          <w:tcPr>
            <w:tcW w:w="1980" w:type="dxa"/>
            <w:vAlign w:val="bottom"/>
          </w:tcPr>
          <w:p>
            <w:pPr>
              <w:ind w:left="700"/>
              <w:spacing w:after="0"/>
              <w:rPr>
                <w:sz w:val="20"/>
                <w:szCs w:val="20"/>
                <w:color w:val="auto"/>
              </w:rPr>
            </w:pPr>
            <w:r>
              <w:rPr>
                <w:rFonts w:ascii="Courier New" w:cs="Courier New" w:eastAsia="Courier New" w:hAnsi="Courier New"/>
                <w:sz w:val="16"/>
                <w:szCs w:val="16"/>
                <w:color w:val="auto"/>
              </w:rPr>
              <w:t>maximum</w:t>
            </w: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2"/>
        </w:trPr>
        <w:tc>
          <w:tcPr>
            <w:tcW w:w="170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5"/>
              </w:rPr>
              <w:t>securities</w:t>
            </w:r>
          </w:p>
        </w:tc>
        <w:tc>
          <w:tcPr>
            <w:tcW w:w="25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Amount</w:t>
            </w:r>
          </w:p>
        </w:tc>
        <w:tc>
          <w:tcPr>
            <w:tcW w:w="2040" w:type="dxa"/>
            <w:vAlign w:val="bottom"/>
          </w:tcPr>
          <w:p>
            <w:pPr>
              <w:ind w:left="560"/>
              <w:spacing w:after="0"/>
              <w:rPr>
                <w:sz w:val="20"/>
                <w:szCs w:val="20"/>
                <w:color w:val="auto"/>
              </w:rPr>
            </w:pPr>
            <w:r>
              <w:rPr>
                <w:rFonts w:ascii="Courier New" w:cs="Courier New" w:eastAsia="Courier New" w:hAnsi="Courier New"/>
                <w:sz w:val="16"/>
                <w:szCs w:val="16"/>
                <w:color w:val="auto"/>
              </w:rPr>
              <w:t>offering</w:t>
            </w:r>
          </w:p>
        </w:tc>
        <w:tc>
          <w:tcPr>
            <w:tcW w:w="1980" w:type="dxa"/>
            <w:vAlign w:val="bottom"/>
          </w:tcPr>
          <w:p>
            <w:pPr>
              <w:jc w:val="center"/>
              <w:ind w:left="1"/>
              <w:spacing w:after="0"/>
              <w:rPr>
                <w:sz w:val="20"/>
                <w:szCs w:val="20"/>
                <w:color w:val="auto"/>
              </w:rPr>
            </w:pPr>
            <w:r>
              <w:rPr>
                <w:rFonts w:ascii="Courier New" w:cs="Courier New" w:eastAsia="Courier New" w:hAnsi="Courier New"/>
                <w:sz w:val="16"/>
                <w:szCs w:val="16"/>
                <w:color w:val="auto"/>
                <w:w w:val="99"/>
              </w:rPr>
              <w:t>aggregate</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Amount</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r>
      <w:tr>
        <w:trPr>
          <w:trHeight w:val="182"/>
        </w:trPr>
        <w:tc>
          <w:tcPr>
            <w:tcW w:w="17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to be</w:t>
            </w:r>
          </w:p>
        </w:tc>
        <w:tc>
          <w:tcPr>
            <w:tcW w:w="25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to be</w:t>
            </w:r>
          </w:p>
        </w:tc>
        <w:tc>
          <w:tcPr>
            <w:tcW w:w="2040" w:type="dxa"/>
            <w:vAlign w:val="bottom"/>
          </w:tcPr>
          <w:p>
            <w:pPr>
              <w:jc w:val="center"/>
              <w:spacing w:after="0"/>
              <w:rPr>
                <w:sz w:val="20"/>
                <w:szCs w:val="20"/>
                <w:color w:val="auto"/>
              </w:rPr>
            </w:pPr>
            <w:r>
              <w:rPr>
                <w:rFonts w:ascii="Courier New" w:cs="Courier New" w:eastAsia="Courier New" w:hAnsi="Courier New"/>
                <w:sz w:val="16"/>
                <w:szCs w:val="16"/>
                <w:color w:val="auto"/>
                <w:w w:val="95"/>
              </w:rPr>
              <w:t>price</w:t>
            </w:r>
          </w:p>
        </w:tc>
        <w:tc>
          <w:tcPr>
            <w:tcW w:w="1980" w:type="dxa"/>
            <w:vAlign w:val="bottom"/>
          </w:tcPr>
          <w:p>
            <w:pPr>
              <w:ind w:left="700"/>
              <w:spacing w:after="0"/>
              <w:rPr>
                <w:sz w:val="20"/>
                <w:szCs w:val="20"/>
                <w:color w:val="auto"/>
              </w:rPr>
            </w:pPr>
            <w:r>
              <w:rPr>
                <w:rFonts w:ascii="Courier New" w:cs="Courier New" w:eastAsia="Courier New" w:hAnsi="Courier New"/>
                <w:sz w:val="16"/>
                <w:szCs w:val="16"/>
                <w:color w:val="auto"/>
              </w:rPr>
              <w:t>offering</w:t>
            </w:r>
          </w:p>
        </w:tc>
        <w:tc>
          <w:tcPr>
            <w:tcW w:w="1660" w:type="dxa"/>
            <w:vAlign w:val="bottom"/>
            <w:gridSpan w:val="2"/>
          </w:tcPr>
          <w:p>
            <w:pPr>
              <w:ind w:left="520"/>
              <w:spacing w:after="0"/>
              <w:rPr>
                <w:sz w:val="20"/>
                <w:szCs w:val="20"/>
                <w:color w:val="auto"/>
              </w:rPr>
            </w:pPr>
            <w:r>
              <w:rPr>
                <w:rFonts w:ascii="Courier New" w:cs="Courier New" w:eastAsia="Courier New" w:hAnsi="Courier New"/>
                <w:sz w:val="16"/>
                <w:szCs w:val="16"/>
                <w:color w:val="auto"/>
                <w:w w:val="97"/>
              </w:rPr>
              <w:t>registration</w:t>
            </w:r>
          </w:p>
        </w:tc>
      </w:tr>
      <w:tr>
        <w:trPr>
          <w:trHeight w:val="182"/>
        </w:trPr>
        <w:tc>
          <w:tcPr>
            <w:tcW w:w="170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5"/>
              </w:rPr>
              <w:t>registered</w:t>
            </w:r>
          </w:p>
        </w:tc>
        <w:tc>
          <w:tcPr>
            <w:tcW w:w="25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registered(1)</w:t>
            </w:r>
          </w:p>
        </w:tc>
        <w:tc>
          <w:tcPr>
            <w:tcW w:w="2040" w:type="dxa"/>
            <w:vAlign w:val="bottom"/>
          </w:tcPr>
          <w:p>
            <w:pPr>
              <w:ind w:left="560"/>
              <w:spacing w:after="0"/>
              <w:rPr>
                <w:sz w:val="20"/>
                <w:szCs w:val="20"/>
                <w:color w:val="auto"/>
              </w:rPr>
            </w:pPr>
            <w:r>
              <w:rPr>
                <w:rFonts w:ascii="Courier New" w:cs="Courier New" w:eastAsia="Courier New" w:hAnsi="Courier New"/>
                <w:sz w:val="16"/>
                <w:szCs w:val="16"/>
                <w:color w:val="auto"/>
              </w:rPr>
              <w:t>per share</w:t>
            </w:r>
          </w:p>
        </w:tc>
        <w:tc>
          <w:tcPr>
            <w:tcW w:w="1980" w:type="dxa"/>
            <w:vAlign w:val="bottom"/>
          </w:tcPr>
          <w:p>
            <w:pPr>
              <w:jc w:val="center"/>
              <w:ind w:left="1"/>
              <w:spacing w:after="0"/>
              <w:rPr>
                <w:sz w:val="20"/>
                <w:szCs w:val="20"/>
                <w:color w:val="auto"/>
              </w:rPr>
            </w:pPr>
            <w:r>
              <w:rPr>
                <w:rFonts w:ascii="Courier New" w:cs="Courier New" w:eastAsia="Courier New" w:hAnsi="Courier New"/>
                <w:sz w:val="16"/>
                <w:szCs w:val="16"/>
                <w:color w:val="auto"/>
                <w:w w:val="95"/>
              </w:rPr>
              <w:t>price</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fee</w:t>
            </w:r>
          </w:p>
        </w:tc>
        <w:tc>
          <w:tcPr>
            <w:tcW w:w="440" w:type="dxa"/>
            <w:vAlign w:val="bottom"/>
          </w:tcPr>
          <w:p>
            <w:pPr>
              <w:spacing w:after="0"/>
              <w:rPr>
                <w:sz w:val="15"/>
                <w:szCs w:val="15"/>
                <w:color w:val="auto"/>
              </w:rPr>
            </w:pPr>
          </w:p>
        </w:tc>
      </w:tr>
    </w:tbl>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Common</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2600" w:type="dxa"/>
            <w:vAlign w:val="bottom"/>
          </w:tcPr>
          <w:p>
            <w:pPr>
              <w:ind w:left="580"/>
              <w:spacing w:after="0"/>
              <w:rPr>
                <w:sz w:val="20"/>
                <w:szCs w:val="20"/>
                <w:color w:val="auto"/>
              </w:rPr>
            </w:pPr>
            <w:r>
              <w:rPr>
                <w:rFonts w:ascii="Courier New" w:cs="Courier New" w:eastAsia="Courier New" w:hAnsi="Courier New"/>
                <w:sz w:val="16"/>
                <w:szCs w:val="16"/>
                <w:color w:val="auto"/>
              </w:rPr>
              <w:t>6,000,000 shares</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$21.00(1)</w:t>
            </w:r>
          </w:p>
        </w:tc>
        <w:tc>
          <w:tcPr>
            <w:tcW w:w="21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$126,000,000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$43,448.28</w:t>
            </w:r>
          </w:p>
        </w:tc>
      </w:tr>
      <w:tr>
        <w:trPr>
          <w:trHeight w:val="182"/>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$.01 par</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value</w:t>
            </w:r>
          </w:p>
        </w:tc>
        <w:tc>
          <w:tcPr>
            <w:tcW w:w="2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20" w:type="dxa"/>
            <w:vAlign w:val="bottom"/>
          </w:tcPr>
          <w:p>
            <w:pPr>
              <w:spacing w:after="0"/>
              <w:rPr>
                <w:sz w:val="15"/>
                <w:szCs w:val="15"/>
                <w:color w:val="auto"/>
              </w:rPr>
            </w:pPr>
          </w:p>
        </w:tc>
      </w:tr>
    </w:tbl>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4"/>
          <w:szCs w:val="24"/>
          <w:color w:val="auto"/>
        </w:rPr>
      </w:pPr>
    </w:p>
    <w:p>
      <w:pPr>
        <w:ind w:left="843" w:right="3580" w:hanging="843"/>
        <w:spacing w:after="0" w:line="238" w:lineRule="auto"/>
        <w:tabs>
          <w:tab w:leader="none" w:pos="84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in accordance with Rule 457(c) on the basis of the closing price for Common Stock on the New York Stock Exchange on October 31, 1995.</w:t>
      </w:r>
    </w:p>
    <w:p>
      <w:pPr>
        <w:spacing w:after="0" w:line="188" w:lineRule="exact"/>
        <w:rPr>
          <w:sz w:val="24"/>
          <w:szCs w:val="24"/>
          <w:color w:val="auto"/>
        </w:rPr>
      </w:pPr>
    </w:p>
    <w:p>
      <w:pPr>
        <w:ind w:left="3" w:right="3500"/>
        <w:spacing w:after="0" w:line="239"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SUCH SECTION 8(A), MAY DETERMINE.</w:t>
      </w:r>
    </w:p>
    <w:p>
      <w:pPr>
        <w:spacing w:after="0" w:line="188"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963"/>
          </w:cols>
          <w:pgMar w:left="237" w:top="235" w:right="699" w:bottom="944" w:gutter="0" w:footer="0" w:header="0"/>
          <w:type w:val="continuous"/>
        </w:sectPr>
      </w:pPr>
    </w:p>
    <w:bookmarkStart w:id="1" w:name="page2"/>
    <w:bookmarkEnd w:id="1"/>
    <w:p>
      <w:pPr>
        <w:ind w:left="283"/>
        <w:spacing w:after="0"/>
        <w:rPr>
          <w:sz w:val="20"/>
          <w:szCs w:val="20"/>
          <w:color w:val="auto"/>
        </w:rPr>
      </w:pPr>
      <w:r>
        <w:rPr>
          <w:rFonts w:ascii="Courier New" w:cs="Courier New" w:eastAsia="Courier New" w:hAnsi="Courier New"/>
          <w:sz w:val="16"/>
          <w:szCs w:val="16"/>
          <w:color w:val="auto"/>
        </w:rPr>
        <w:t>2</w:t>
      </w:r>
    </w:p>
    <w:p>
      <w:pPr>
        <w:spacing w:after="0" w:line="1" w:lineRule="exact"/>
        <w:rPr>
          <w:sz w:val="20"/>
          <w:szCs w:val="20"/>
          <w:color w:val="auto"/>
        </w:rPr>
      </w:pPr>
    </w:p>
    <w:p>
      <w:pPr>
        <w:jc w:val="center"/>
        <w:ind w:right="3677"/>
        <w:spacing w:after="0"/>
        <w:rPr>
          <w:sz w:val="20"/>
          <w:szCs w:val="20"/>
          <w:color w:val="auto"/>
        </w:rPr>
      </w:pPr>
      <w:r>
        <w:rPr>
          <w:rFonts w:ascii="Courier New" w:cs="Courier New" w:eastAsia="Courier New" w:hAnsi="Courier New"/>
          <w:sz w:val="16"/>
          <w:szCs w:val="16"/>
          <w:color w:val="auto"/>
        </w:rPr>
        <w:t>CROSS REFERENCE SHEET</w:t>
      </w:r>
    </w:p>
    <w:p>
      <w:pPr>
        <w:spacing w:after="0" w:line="183" w:lineRule="exact"/>
        <w:rPr>
          <w:sz w:val="20"/>
          <w:szCs w:val="20"/>
          <w:color w:val="auto"/>
        </w:rPr>
      </w:pPr>
    </w:p>
    <w:p>
      <w:pPr>
        <w:jc w:val="right"/>
        <w:ind w:right="5480"/>
        <w:spacing w:after="0"/>
        <w:rPr>
          <w:sz w:val="20"/>
          <w:szCs w:val="20"/>
          <w:color w:val="auto"/>
        </w:rPr>
      </w:pPr>
      <w:r>
        <w:rPr>
          <w:rFonts w:ascii="Courier New" w:cs="Courier New" w:eastAsia="Courier New" w:hAnsi="Courier New"/>
          <w:sz w:val="16"/>
          <w:szCs w:val="16"/>
          <w:color w:val="auto"/>
        </w:rPr>
        <w:t>Pursuant to Item 501(b) of Regulation S-K</w:t>
      </w:r>
    </w:p>
    <w:p>
      <w:pPr>
        <w:sectPr>
          <w:pgSz w:w="11900" w:h="16838" w:orient="portrait"/>
          <w:cols w:equalWidth="0" w:num="1">
            <w:col w:w="11163"/>
          </w:cols>
          <w:pgMar w:left="237" w:top="295" w:right="499" w:bottom="1440" w:gutter="0" w:footer="0" w:header="0"/>
        </w:sectPr>
      </w:pPr>
    </w:p>
    <w:p>
      <w:pPr>
        <w:spacing w:after="0" w:line="364" w:lineRule="exact"/>
        <w:rPr>
          <w:sz w:val="20"/>
          <w:szCs w:val="20"/>
          <w:color w:val="auto"/>
        </w:rPr>
      </w:pPr>
    </w:p>
    <w:p>
      <w:pPr>
        <w:ind w:left="103"/>
        <w:spacing w:after="0"/>
        <w:rPr>
          <w:sz w:val="20"/>
          <w:szCs w:val="20"/>
          <w:color w:val="auto"/>
        </w:rPr>
      </w:pPr>
      <w:r>
        <w:rPr>
          <w:rFonts w:ascii="Courier New" w:cs="Courier New" w:eastAsia="Courier New" w:hAnsi="Courier New"/>
          <w:sz w:val="16"/>
          <w:szCs w:val="16"/>
          <w:color w:val="auto"/>
        </w:rPr>
        <w:t>Item</w:t>
      </w:r>
    </w:p>
    <w:p>
      <w:pPr>
        <w:spacing w:after="0" w:line="1" w:lineRule="exact"/>
        <w:rPr>
          <w:sz w:val="20"/>
          <w:szCs w:val="20"/>
          <w:color w:val="auto"/>
        </w:rPr>
      </w:pPr>
    </w:p>
    <w:p>
      <w:pPr>
        <w:ind w:left="3"/>
        <w:spacing w:after="0"/>
        <w:tabs>
          <w:tab w:leader="none" w:pos="2443"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Form S-4 Caption</w:t>
      </w:r>
    </w:p>
    <w:p>
      <w:pPr>
        <w:spacing w:after="0" w:line="1" w:lineRule="exact"/>
        <w:rPr>
          <w:sz w:val="20"/>
          <w:szCs w:val="20"/>
          <w:color w:val="auto"/>
        </w:rPr>
      </w:pPr>
    </w:p>
    <w:p>
      <w:pPr>
        <w:ind w:left="3"/>
        <w:spacing w:after="0"/>
        <w:tabs>
          <w:tab w:leader="none" w:pos="262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jc w:val="both"/>
        <w:ind w:left="1223" w:right="940" w:hanging="1034"/>
        <w:spacing w:after="0" w:line="267" w:lineRule="auto"/>
        <w:tabs>
          <w:tab w:leader="none" w:pos="1223"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Forepart of Registration Statement and Outside Front Cover Page of Prospectus</w:t>
      </w:r>
    </w:p>
    <w:p>
      <w:pPr>
        <w:spacing w:after="0" w:line="167" w:lineRule="exact"/>
        <w:rPr>
          <w:rFonts w:ascii="Courier New" w:cs="Courier New" w:eastAsia="Courier New" w:hAnsi="Courier New"/>
          <w:sz w:val="15"/>
          <w:szCs w:val="15"/>
          <w:color w:val="auto"/>
        </w:rPr>
      </w:pPr>
    </w:p>
    <w:p>
      <w:pPr>
        <w:ind w:left="1223" w:right="660" w:hanging="1034"/>
        <w:spacing w:after="0" w:line="237" w:lineRule="auto"/>
        <w:tabs>
          <w:tab w:leader="none" w:pos="1223"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Inside Front and Outside Back Cover Pages of Prospectus</w:t>
      </w:r>
    </w:p>
    <w:p>
      <w:pPr>
        <w:spacing w:after="0" w:line="187" w:lineRule="exact"/>
        <w:rPr>
          <w:rFonts w:ascii="Courier New" w:cs="Courier New" w:eastAsia="Courier New" w:hAnsi="Courier New"/>
          <w:sz w:val="16"/>
          <w:szCs w:val="16"/>
          <w:color w:val="auto"/>
        </w:rPr>
      </w:pPr>
    </w:p>
    <w:p>
      <w:pPr>
        <w:ind w:left="1223" w:right="760" w:hanging="1034"/>
        <w:spacing w:after="0" w:line="237" w:lineRule="auto"/>
        <w:tabs>
          <w:tab w:leader="none" w:pos="1223"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 Factors, Ratio of Earnings to Fixed Charges and Other Information</w:t>
      </w:r>
    </w:p>
    <w:p>
      <w:pPr>
        <w:spacing w:after="0" w:line="365" w:lineRule="exact"/>
        <w:rPr>
          <w:rFonts w:ascii="Courier New" w:cs="Courier New" w:eastAsia="Courier New" w:hAnsi="Courier New"/>
          <w:sz w:val="16"/>
          <w:szCs w:val="16"/>
          <w:color w:val="auto"/>
        </w:rPr>
      </w:pPr>
    </w:p>
    <w:p>
      <w:pPr>
        <w:ind w:left="1223" w:hanging="1034"/>
        <w:spacing w:after="0"/>
        <w:tabs>
          <w:tab w:leader="none" w:pos="1223"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the Transaction</w:t>
      </w:r>
    </w:p>
    <w:p>
      <w:pPr>
        <w:spacing w:after="0" w:line="182" w:lineRule="exact"/>
        <w:rPr>
          <w:rFonts w:ascii="Courier New" w:cs="Courier New" w:eastAsia="Courier New" w:hAnsi="Courier New"/>
          <w:sz w:val="16"/>
          <w:szCs w:val="16"/>
          <w:color w:val="auto"/>
        </w:rPr>
      </w:pPr>
    </w:p>
    <w:p>
      <w:pPr>
        <w:ind w:left="1223" w:hanging="1034"/>
        <w:spacing w:after="0"/>
        <w:tabs>
          <w:tab w:leader="none" w:pos="1223"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w:t>
      </w:r>
    </w:p>
    <w:p>
      <w:pPr>
        <w:spacing w:after="0" w:line="186" w:lineRule="exact"/>
        <w:rPr>
          <w:rFonts w:ascii="Courier New" w:cs="Courier New" w:eastAsia="Courier New" w:hAnsi="Courier New"/>
          <w:sz w:val="16"/>
          <w:szCs w:val="16"/>
          <w:color w:val="auto"/>
        </w:rPr>
      </w:pPr>
    </w:p>
    <w:p>
      <w:pPr>
        <w:ind w:left="1223" w:right="1220" w:hanging="1034"/>
        <w:spacing w:after="0" w:line="237" w:lineRule="auto"/>
        <w:tabs>
          <w:tab w:leader="none" w:pos="1223"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Contracts with the Company Being Acquired</w:t>
      </w:r>
    </w:p>
    <w:p>
      <w:pPr>
        <w:spacing w:after="0" w:line="187" w:lineRule="exact"/>
        <w:rPr>
          <w:rFonts w:ascii="Courier New" w:cs="Courier New" w:eastAsia="Courier New" w:hAnsi="Courier New"/>
          <w:sz w:val="16"/>
          <w:szCs w:val="16"/>
          <w:color w:val="auto"/>
        </w:rPr>
      </w:pPr>
    </w:p>
    <w:p>
      <w:pPr>
        <w:ind w:left="1223" w:right="1220" w:hanging="1034"/>
        <w:spacing w:after="0" w:line="238" w:lineRule="auto"/>
        <w:tabs>
          <w:tab w:leader="none" w:pos="1223"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Information Required for Reoffering by Persons and Parties Deemed to be Underwriters</w:t>
      </w:r>
    </w:p>
    <w:p>
      <w:pPr>
        <w:spacing w:after="0" w:line="184" w:lineRule="exact"/>
        <w:rPr>
          <w:rFonts w:ascii="Courier New" w:cs="Courier New" w:eastAsia="Courier New" w:hAnsi="Courier New"/>
          <w:sz w:val="16"/>
          <w:szCs w:val="16"/>
          <w:color w:val="auto"/>
        </w:rPr>
      </w:pPr>
    </w:p>
    <w:p>
      <w:pPr>
        <w:ind w:left="1223" w:hanging="1034"/>
        <w:spacing w:after="0"/>
        <w:tabs>
          <w:tab w:leader="none" w:pos="1223"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Interests of Named Experts and Counsel</w:t>
      </w:r>
    </w:p>
    <w:p>
      <w:pPr>
        <w:spacing w:after="0" w:line="186" w:lineRule="exact"/>
        <w:rPr>
          <w:rFonts w:ascii="Courier New" w:cs="Courier New" w:eastAsia="Courier New" w:hAnsi="Courier New"/>
          <w:sz w:val="16"/>
          <w:szCs w:val="16"/>
          <w:color w:val="auto"/>
        </w:rPr>
      </w:pPr>
    </w:p>
    <w:p>
      <w:pPr>
        <w:ind w:left="1223" w:right="180" w:hanging="1034"/>
        <w:spacing w:after="0" w:line="267" w:lineRule="auto"/>
        <w:tabs>
          <w:tab w:leader="none" w:pos="1223"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of Commission Position on Indemnification for Securities Act Liabilities</w:t>
      </w:r>
    </w:p>
    <w:p>
      <w:pPr>
        <w:spacing w:after="0" w:line="163" w:lineRule="exact"/>
        <w:rPr>
          <w:rFonts w:ascii="Courier New" w:cs="Courier New" w:eastAsia="Courier New" w:hAnsi="Courier New"/>
          <w:sz w:val="15"/>
          <w:szCs w:val="15"/>
          <w:color w:val="auto"/>
        </w:rPr>
      </w:pPr>
    </w:p>
    <w:p>
      <w:pPr>
        <w:ind w:left="1223" w:hanging="1128"/>
        <w:spacing w:after="0"/>
        <w:tabs>
          <w:tab w:leader="none" w:pos="1223"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with Respect to S-3 Registrants</w:t>
      </w:r>
    </w:p>
    <w:p>
      <w:pPr>
        <w:spacing w:after="0" w:line="368" w:lineRule="exact"/>
        <w:rPr>
          <w:rFonts w:ascii="Courier New" w:cs="Courier New" w:eastAsia="Courier New" w:hAnsi="Courier New"/>
          <w:sz w:val="16"/>
          <w:szCs w:val="16"/>
          <w:color w:val="auto"/>
        </w:rPr>
      </w:pPr>
    </w:p>
    <w:p>
      <w:pPr>
        <w:ind w:left="1223" w:right="840" w:hanging="1128"/>
        <w:spacing w:after="0" w:line="237" w:lineRule="auto"/>
        <w:tabs>
          <w:tab w:leader="none" w:pos="1223"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Incorporation of Certain Information by Reference</w:t>
      </w:r>
    </w:p>
    <w:p>
      <w:pPr>
        <w:spacing w:after="0" w:line="183" w:lineRule="exact"/>
        <w:rPr>
          <w:rFonts w:ascii="Courier New" w:cs="Courier New" w:eastAsia="Courier New" w:hAnsi="Courier New"/>
          <w:sz w:val="16"/>
          <w:szCs w:val="16"/>
          <w:color w:val="auto"/>
        </w:rPr>
      </w:pPr>
    </w:p>
    <w:p>
      <w:pPr>
        <w:ind w:left="1223" w:hanging="1128"/>
        <w:spacing w:after="0"/>
        <w:tabs>
          <w:tab w:leader="none" w:pos="1223"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with Respect to S-2 or S-3</w:t>
      </w:r>
    </w:p>
    <w:p>
      <w:pPr>
        <w:spacing w:after="0" w:line="186" w:lineRule="exact"/>
        <w:rPr>
          <w:rFonts w:ascii="Courier New" w:cs="Courier New" w:eastAsia="Courier New" w:hAnsi="Courier New"/>
          <w:sz w:val="16"/>
          <w:szCs w:val="16"/>
          <w:color w:val="auto"/>
        </w:rPr>
      </w:pPr>
    </w:p>
    <w:p>
      <w:pPr>
        <w:ind w:left="1223" w:right="840" w:hanging="1128"/>
        <w:spacing w:after="0" w:line="237" w:lineRule="auto"/>
        <w:tabs>
          <w:tab w:leader="none" w:pos="1223"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Incorporation of Certain Information by Reference</w:t>
      </w:r>
    </w:p>
    <w:p>
      <w:pPr>
        <w:spacing w:after="0" w:line="187" w:lineRule="exact"/>
        <w:rPr>
          <w:rFonts w:ascii="Courier New" w:cs="Courier New" w:eastAsia="Courier New" w:hAnsi="Courier New"/>
          <w:sz w:val="16"/>
          <w:szCs w:val="16"/>
          <w:color w:val="auto"/>
        </w:rPr>
      </w:pPr>
    </w:p>
    <w:p>
      <w:pPr>
        <w:ind w:left="1223" w:right="840" w:hanging="1223"/>
        <w:spacing w:after="0" w:line="267" w:lineRule="auto"/>
        <w:tabs>
          <w:tab w:leader="none" w:pos="122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Registrants Other Than S-2 or S-3 Registrants</w:t>
      </w:r>
    </w:p>
    <w:p>
      <w:pPr>
        <w:spacing w:after="0" w:line="163" w:lineRule="exact"/>
        <w:rPr>
          <w:rFonts w:ascii="Courier New" w:cs="Courier New" w:eastAsia="Courier New" w:hAnsi="Courier New"/>
          <w:sz w:val="15"/>
          <w:szCs w:val="15"/>
          <w:color w:val="auto"/>
        </w:rPr>
      </w:pPr>
    </w:p>
    <w:p>
      <w:pPr>
        <w:ind w:left="1223" w:hanging="1223"/>
        <w:spacing w:after="0"/>
        <w:tabs>
          <w:tab w:leader="none" w:pos="122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with Respect to S-3 Companies</w:t>
      </w:r>
    </w:p>
    <w:p>
      <w:pPr>
        <w:spacing w:after="0" w:line="186" w:lineRule="exact"/>
        <w:rPr>
          <w:rFonts w:ascii="Courier New" w:cs="Courier New" w:eastAsia="Courier New" w:hAnsi="Courier New"/>
          <w:sz w:val="16"/>
          <w:szCs w:val="16"/>
          <w:color w:val="auto"/>
        </w:rPr>
      </w:pPr>
    </w:p>
    <w:p>
      <w:pPr>
        <w:ind w:left="1223" w:hanging="1223"/>
        <w:spacing w:after="0"/>
        <w:tabs>
          <w:tab w:leader="none" w:pos="122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S-2 or S-3 Companies</w:t>
      </w:r>
    </w:p>
    <w:p>
      <w:pPr>
        <w:spacing w:after="0" w:line="193" w:lineRule="exact"/>
        <w:rPr>
          <w:rFonts w:ascii="Courier New" w:cs="Courier New" w:eastAsia="Courier New" w:hAnsi="Courier New"/>
          <w:sz w:val="15"/>
          <w:szCs w:val="15"/>
          <w:color w:val="auto"/>
        </w:rPr>
      </w:pPr>
    </w:p>
    <w:p>
      <w:pPr>
        <w:ind w:left="1223" w:right="1040" w:hanging="1223"/>
        <w:spacing w:after="0" w:line="267" w:lineRule="auto"/>
        <w:tabs>
          <w:tab w:leader="none" w:pos="122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Companies Other Than S-2 or S-3 Companies</w:t>
      </w:r>
    </w:p>
    <w:p>
      <w:pPr>
        <w:spacing w:after="0" w:line="167" w:lineRule="exact"/>
        <w:rPr>
          <w:rFonts w:ascii="Courier New" w:cs="Courier New" w:eastAsia="Courier New" w:hAnsi="Courier New"/>
          <w:sz w:val="15"/>
          <w:szCs w:val="15"/>
          <w:color w:val="auto"/>
        </w:rPr>
      </w:pPr>
    </w:p>
    <w:p>
      <w:pPr>
        <w:ind w:left="1223" w:right="1220" w:hanging="1223"/>
        <w:spacing w:after="0" w:line="267" w:lineRule="auto"/>
        <w:tabs>
          <w:tab w:leader="none" w:pos="122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if Proxies, Consents or Authorizations are to be Solicited</w:t>
      </w:r>
    </w:p>
    <w:p>
      <w:pPr>
        <w:spacing w:after="0" w:line="167" w:lineRule="exact"/>
        <w:rPr>
          <w:rFonts w:ascii="Courier New" w:cs="Courier New" w:eastAsia="Courier New" w:hAnsi="Courier New"/>
          <w:sz w:val="15"/>
          <w:szCs w:val="15"/>
          <w:color w:val="auto"/>
        </w:rPr>
      </w:pPr>
    </w:p>
    <w:p>
      <w:pPr>
        <w:ind w:left="1223" w:right="940" w:hanging="1223"/>
        <w:spacing w:after="0" w:line="238" w:lineRule="auto"/>
        <w:tabs>
          <w:tab w:leader="none" w:pos="122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if Proxies, Consents or Authorizations are not to be Solicited in an Exchange Offer</w:t>
      </w:r>
    </w:p>
    <w:p>
      <w:pPr>
        <w:spacing w:after="0" w:line="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Prospectus Caption</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940"/>
        <w:spacing w:after="0" w:line="237" w:lineRule="auto"/>
        <w:rPr>
          <w:sz w:val="20"/>
          <w:szCs w:val="20"/>
          <w:color w:val="auto"/>
        </w:rPr>
      </w:pPr>
      <w:r>
        <w:rPr>
          <w:rFonts w:ascii="Courier New" w:cs="Courier New" w:eastAsia="Courier New" w:hAnsi="Courier New"/>
          <w:sz w:val="16"/>
          <w:szCs w:val="16"/>
          <w:color w:val="auto"/>
        </w:rPr>
        <w:t>Cover of Registration Statement, Outside Front Cover Page of Prospectus</w:t>
      </w:r>
    </w:p>
    <w:p>
      <w:pPr>
        <w:spacing w:after="0" w:line="188" w:lineRule="exact"/>
        <w:rPr>
          <w:sz w:val="20"/>
          <w:szCs w:val="20"/>
          <w:color w:val="auto"/>
        </w:rPr>
      </w:pPr>
    </w:p>
    <w:p>
      <w:pPr>
        <w:ind w:right="280"/>
        <w:spacing w:after="0" w:line="267" w:lineRule="auto"/>
        <w:rPr>
          <w:sz w:val="20"/>
          <w:szCs w:val="20"/>
          <w:color w:val="auto"/>
        </w:rPr>
      </w:pPr>
      <w:r>
        <w:rPr>
          <w:rFonts w:ascii="Courier New" w:cs="Courier New" w:eastAsia="Courier New" w:hAnsi="Courier New"/>
          <w:sz w:val="15"/>
          <w:szCs w:val="15"/>
          <w:color w:val="auto"/>
        </w:rPr>
        <w:t>Available Information; Incorporation of Certain Information by Reference; Table of Contents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Cover Page; The Company; Risk Factors;</w:t>
      </w:r>
    </w:p>
    <w:p>
      <w:pPr>
        <w:spacing w:after="0" w:line="5" w:lineRule="exact"/>
        <w:rPr>
          <w:sz w:val="20"/>
          <w:szCs w:val="20"/>
          <w:color w:val="auto"/>
        </w:rPr>
      </w:pPr>
    </w:p>
    <w:p>
      <w:pPr>
        <w:spacing w:after="0" w:line="267" w:lineRule="auto"/>
        <w:rPr>
          <w:sz w:val="20"/>
          <w:szCs w:val="20"/>
          <w:color w:val="auto"/>
        </w:rPr>
      </w:pPr>
      <w:r>
        <w:rPr>
          <w:rFonts w:ascii="Courier New" w:cs="Courier New" w:eastAsia="Courier New" w:hAnsi="Courier New"/>
          <w:sz w:val="15"/>
          <w:szCs w:val="15"/>
          <w:color w:val="auto"/>
        </w:rPr>
        <w:t>Summary Consolidated Financial Data; Incorporation of Certain Information by Reference*</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right="860"/>
        <w:spacing w:after="0" w:line="238" w:lineRule="auto"/>
        <w:rPr>
          <w:sz w:val="20"/>
          <w:szCs w:val="20"/>
          <w:color w:val="auto"/>
        </w:rPr>
      </w:pPr>
      <w:r>
        <w:rPr>
          <w:rFonts w:ascii="Courier New" w:cs="Courier New" w:eastAsia="Courier New" w:hAnsi="Courier New"/>
          <w:sz w:val="16"/>
          <w:szCs w:val="16"/>
          <w:color w:val="auto"/>
        </w:rPr>
        <w:t>Outstanding Securities Covered by this Prospectus; Manner of Offering by Selling Shareholders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Matters; Experts</w:t>
      </w:r>
    </w:p>
    <w:p>
      <w:pPr>
        <w:spacing w:after="0" w:line="18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right="1240"/>
        <w:spacing w:after="0" w:line="237" w:lineRule="auto"/>
        <w:rPr>
          <w:sz w:val="20"/>
          <w:szCs w:val="20"/>
          <w:color w:val="auto"/>
        </w:rPr>
      </w:pPr>
      <w:r>
        <w:rPr>
          <w:rFonts w:ascii="Courier New" w:cs="Courier New" w:eastAsia="Courier New" w:hAnsi="Courier New"/>
          <w:sz w:val="16"/>
          <w:szCs w:val="16"/>
          <w:color w:val="auto"/>
        </w:rPr>
        <w:t>The Company; Incorporation of Certain Information By Reference</w:t>
      </w:r>
    </w:p>
    <w:p>
      <w:pPr>
        <w:spacing w:after="0" w:line="188" w:lineRule="exact"/>
        <w:rPr>
          <w:sz w:val="20"/>
          <w:szCs w:val="20"/>
          <w:color w:val="auto"/>
        </w:rPr>
      </w:pPr>
    </w:p>
    <w:p>
      <w:pPr>
        <w:ind w:right="1040"/>
        <w:spacing w:after="0" w:line="237" w:lineRule="auto"/>
        <w:rPr>
          <w:sz w:val="20"/>
          <w:szCs w:val="20"/>
          <w:color w:val="auto"/>
        </w:rPr>
      </w:pPr>
      <w:r>
        <w:rPr>
          <w:rFonts w:ascii="Courier New" w:cs="Courier New" w:eastAsia="Courier New" w:hAnsi="Courier New"/>
          <w:sz w:val="16"/>
          <w:szCs w:val="16"/>
          <w:color w:val="auto"/>
        </w:rPr>
        <w:t>Incorporation of Certain Information by Reference</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731" w:lineRule="exact"/>
        <w:rPr>
          <w:sz w:val="20"/>
          <w:szCs w:val="20"/>
          <w:color w:val="auto"/>
        </w:rPr>
      </w:pPr>
    </w:p>
    <w:p>
      <w:pPr>
        <w:sectPr>
          <w:pgSz w:w="11900" w:h="16838" w:orient="portrait"/>
          <w:cols w:equalWidth="0" w:num="2">
            <w:col w:w="5763" w:space="660"/>
            <w:col w:w="4740"/>
          </w:cols>
          <w:pgMar w:left="237" w:top="295" w:right="499" w:bottom="1440" w:gutter="0" w:footer="0" w:header="0"/>
          <w:type w:val="continuous"/>
        </w:sectPr>
      </w:pPr>
    </w:p>
    <w:p>
      <w:pPr>
        <w:ind w:left="383" w:right="3980" w:hanging="383"/>
        <w:spacing w:after="0" w:line="238" w:lineRule="auto"/>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Inapplicable (or partially inapplicable as indicted) upon filing of this Registration Statement - may be included in subsequent post-effective amendments under certain circumstances.</w:t>
      </w:r>
    </w:p>
    <w:p>
      <w:pPr>
        <w:spacing w:after="0" w:line="184" w:lineRule="exact"/>
        <w:rPr>
          <w:sz w:val="20"/>
          <w:szCs w:val="20"/>
          <w:color w:val="auto"/>
        </w:rPr>
      </w:pPr>
    </w:p>
    <w:p>
      <w:pPr>
        <w:ind w:left="3"/>
        <w:spacing w:after="0"/>
        <w:tabs>
          <w:tab w:leader="none" w:pos="363" w:val="left"/>
        </w:tabs>
        <w:rPr>
          <w:sz w:val="20"/>
          <w:szCs w:val="20"/>
          <w:color w:val="auto"/>
        </w:rPr>
      </w:pPr>
      <w:r>
        <w:rPr>
          <w:rFonts w:ascii="Courier New" w:cs="Courier New" w:eastAsia="Courier New" w:hAnsi="Courier New"/>
          <w:sz w:val="16"/>
          <w:szCs w:val="16"/>
          <w:color w:val="auto"/>
        </w:rPr>
        <w:t>**</w:t>
        <w:tab/>
        <w:t>Not applicable or answer is negative.</w:t>
      </w:r>
    </w:p>
    <w:p>
      <w:pPr>
        <w:sectPr>
          <w:pgSz w:w="11900" w:h="16838" w:orient="portrait"/>
          <w:cols w:equalWidth="0" w:num="1">
            <w:col w:w="11163"/>
          </w:cols>
          <w:pgMar w:left="237" w:top="295" w:right="499"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900" w:type="dxa"/>
            <w:vAlign w:val="bottom"/>
            <w:gridSpan w:val="4"/>
          </w:tcPr>
          <w:p>
            <w:pPr>
              <w:spacing w:after="0"/>
              <w:rPr>
                <w:sz w:val="20"/>
                <w:szCs w:val="20"/>
                <w:color w:val="auto"/>
              </w:rPr>
            </w:pPr>
            <w:r>
              <w:rPr>
                <w:rFonts w:ascii="Courier New" w:cs="Courier New" w:eastAsia="Courier New" w:hAnsi="Courier New"/>
                <w:sz w:val="16"/>
                <w:szCs w:val="16"/>
                <w:color w:val="auto"/>
              </w:rPr>
              <w:t>*  Information contained herein is subject to completion or amendment.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00" w:type="dxa"/>
            <w:vAlign w:val="bottom"/>
            <w:gridSpan w:val="3"/>
          </w:tcPr>
          <w:p>
            <w:pPr>
              <w:spacing w:after="0"/>
              <w:rPr>
                <w:sz w:val="20"/>
                <w:szCs w:val="20"/>
                <w:color w:val="auto"/>
              </w:rPr>
            </w:pPr>
            <w:r>
              <w:rPr>
                <w:rFonts w:ascii="Courier New" w:cs="Courier New" w:eastAsia="Courier New" w:hAnsi="Courier New"/>
                <w:sz w:val="16"/>
                <w:szCs w:val="16"/>
                <w:color w:val="auto"/>
                <w:w w:val="99"/>
              </w:rPr>
              <w:t>*  A registration statement relating to these securities has been</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filed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0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with the Securities and Exchange Commission.  These securities</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may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900" w:type="dxa"/>
            <w:vAlign w:val="bottom"/>
            <w:gridSpan w:val="4"/>
          </w:tcPr>
          <w:p>
            <w:pPr>
              <w:spacing w:after="0"/>
              <w:rPr>
                <w:sz w:val="20"/>
                <w:szCs w:val="20"/>
                <w:color w:val="auto"/>
              </w:rPr>
            </w:pPr>
            <w:r>
              <w:rPr>
                <w:rFonts w:ascii="Courier New" w:cs="Courier New" w:eastAsia="Courier New" w:hAnsi="Courier New"/>
                <w:sz w:val="16"/>
                <w:szCs w:val="16"/>
                <w:color w:val="auto"/>
              </w:rPr>
              <w:t>*  not be sold nor may offers to buy be accepted prior to the time the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7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registration statement becomes effective.  This prospectus shall not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w w:val="99"/>
              </w:rPr>
              <w:t>*  constitute an offer to sell or the solicitation of</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an offer to</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buy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w w:val="99"/>
              </w:rPr>
              <w:t>*  nor shall there be any sale of these securities in</w:t>
            </w:r>
          </w:p>
        </w:tc>
        <w:tc>
          <w:tcPr>
            <w:tcW w:w="18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any State in which</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w w:val="99"/>
              </w:rPr>
              <w:t>*  such offer, solicitation or sale would be unlawful</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prior to</w:t>
            </w: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w w:val="99"/>
              </w:rPr>
              <w:t>*  registration or qualification under the securities</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laws of any</w:t>
            </w:r>
          </w:p>
        </w:tc>
        <w:tc>
          <w:tcPr>
            <w:tcW w:w="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State.  *</w:t>
            </w:r>
          </w:p>
        </w:tc>
      </w:tr>
      <w:tr>
        <w:trPr>
          <w:trHeight w:val="182"/>
        </w:trPr>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SUBJECT TO COMPLETION, NOVEMBER 3, 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6,000,000 SHARES</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This Prospectus covers 6,000,000 shares (the "Shares") of the Common Stock, $.01 par value ("Common Stock"), of USA Waste Services, Inc., a Delaware corporation (the "Company") that may be offered and issued by the Company from time to time in connection with the acquisition directly or indirectly by the Company of other businesses or properties or interests therein, and which may be reserved for issuance pursuant to, or offered and issued upon exercise or conversion of, warrants, options, convertible notes, or other similar instruments issued by the Company from time to time in connection with any such acquisitions.</w:t>
      </w:r>
    </w:p>
    <w:p>
      <w:pPr>
        <w:spacing w:after="0" w:line="188" w:lineRule="exact"/>
        <w:rPr>
          <w:sz w:val="20"/>
          <w:szCs w:val="20"/>
          <w:color w:val="auto"/>
        </w:rPr>
      </w:pPr>
    </w:p>
    <w:p>
      <w:pPr>
        <w:ind w:right="2839" w:firstLine="473"/>
        <w:spacing w:after="0" w:line="257" w:lineRule="auto"/>
        <w:rPr>
          <w:sz w:val="20"/>
          <w:szCs w:val="20"/>
          <w:color w:val="auto"/>
        </w:rPr>
      </w:pPr>
      <w:r>
        <w:rPr>
          <w:rFonts w:ascii="Courier New" w:cs="Courier New" w:eastAsia="Courier New" w:hAnsi="Courier New"/>
          <w:sz w:val="15"/>
          <w:szCs w:val="15"/>
          <w:color w:val="auto"/>
        </w:rPr>
        <w:t>It is expected that the specific terms of any acquisition involving the issuance of securities covered by this Prospectus will be determined by direct negotiations with the owners or controlling persons of the businesses or properties or interests therein to be acquired by the Company, and that the shares of Common Stock issued will be valued at prices reasonably related to market prices current either at the time the terms of the acquisition are agreed upon or at or about the time of delivery of shares. No underwriting discounts or commissions will be paid, although finder's fees may be paid from time to time with respect to specific acquisitions. Any person receiving any such fees may be deemed to be an underwriter within the meaning of the Securities Act of 1933, as amended (the "Securities Act").</w:t>
      </w:r>
    </w:p>
    <w:p>
      <w:pPr>
        <w:spacing w:after="0" w:line="181"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With the consent of the Company, this Prospectus may also be used by persons who have received or will receive shares of Common Stock covered by this Prospectus and who may wish to sell such shares under circumstances requiring or making desirable its use. See "Outstanding Securities Covered by this Prospectus" for information relating to resales pursuant to this Prospectus of shares of Common Stock issued under this Registration Statement.</w:t>
      </w:r>
    </w:p>
    <w:p>
      <w:pPr>
        <w:spacing w:after="0" w:line="17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At September 30, 1995, the Company had 53,848,249 shares of Common Stock outstanding. These shares are listed on the New York Stock Exchange, Inc. ("NYSE"). Application will be made to list the Shares offered hereby on the NYSE to the extent that they have not been previously listed. On November 2, 1995, the closing price of the Common Stock on the NYSE was $21.375 per share as published in The Wall Street Journal.</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All expenses of this offering will be paid by the Company. The Company is a Delaware corporation and all references herein to the "Company" or "USA Waste," refer to the Company and its subsidiaries, affiliates and predecessors, unless the context requires otherwise. The executive offices of the Company are located at 5400 LBJ Freeway, Suite 300 - Tower One, Dallas, Texas 75240. The telephone number is 214-383-7900.</w:t>
      </w:r>
    </w:p>
    <w:p>
      <w:pPr>
        <w:spacing w:after="0" w:line="190" w:lineRule="exact"/>
        <w:rPr>
          <w:sz w:val="20"/>
          <w:szCs w:val="20"/>
          <w:color w:val="auto"/>
        </w:rPr>
      </w:pPr>
    </w:p>
    <w:p>
      <w:pPr>
        <w:ind w:right="3219" w:firstLine="473"/>
        <w:spacing w:after="0" w:line="237" w:lineRule="auto"/>
        <w:rPr>
          <w:sz w:val="20"/>
          <w:szCs w:val="20"/>
          <w:color w:val="auto"/>
        </w:rPr>
      </w:pPr>
      <w:r>
        <w:rPr>
          <w:rFonts w:ascii="Courier New" w:cs="Courier New" w:eastAsia="Courier New" w:hAnsi="Courier New"/>
          <w:sz w:val="16"/>
          <w:szCs w:val="16"/>
          <w:color w:val="auto"/>
        </w:rPr>
        <w:t>SEE "RISK FACTORS" ON PAGE 5 FOR A DISCUSSION OF CERTAIN FACTORS THAT SHOULD BE CONSIDERED BY PROSPECTIVE PURCHASERS OF THE COMMON STOCK.</w:t>
      </w:r>
    </w:p>
    <w:p>
      <w:pPr>
        <w:spacing w:after="0" w:line="184"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THESE SECURITIES HAVE NOT BEEN APPROVED OR DISAPPROVED BY</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THE SECURITIES AND EXCHANGE COMMISSION OR ANY STATE</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SECURITIES COMMISSION NOR HAS THE COMMISSION OR</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ANY STATE SECURITIES COMMISSION PASSED UPON THE</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ACCURACY OR ADEQUACY OF THIS PROSPECTUS. ANY</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REPRESENTATION TO THE CONTRARY IS A</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CRIMINAL OFFENSE.</w:t>
      </w:r>
    </w:p>
    <w:p>
      <w:pPr>
        <w:spacing w:after="0" w:line="200" w:lineRule="exact"/>
        <w:rPr>
          <w:sz w:val="20"/>
          <w:szCs w:val="20"/>
          <w:color w:val="auto"/>
        </w:rPr>
      </w:pPr>
    </w:p>
    <w:p>
      <w:pPr>
        <w:spacing w:after="0" w:line="346" w:lineRule="exact"/>
        <w:rPr>
          <w:sz w:val="20"/>
          <w:szCs w:val="20"/>
          <w:color w:val="auto"/>
        </w:rPr>
      </w:pPr>
    </w:p>
    <w:tbl>
      <w:tblPr>
        <w:tblLayout w:type="fixed"/>
        <w:tblInd w:w="1320" w:type="dxa"/>
        <w:tblCellMar>
          <w:top w:w="0" w:type="dxa"/>
          <w:left w:w="0" w:type="dxa"/>
          <w:bottom w:w="0" w:type="dxa"/>
          <w:right w:w="0" w:type="dxa"/>
        </w:tblCellMar>
      </w:tblPr>
      <w:tr>
        <w:trPr>
          <w:trHeight w:val="181"/>
        </w:trPr>
        <w:tc>
          <w:tcPr>
            <w:tcW w:w="4020" w:type="dxa"/>
            <w:vAlign w:val="bottom"/>
          </w:tcPr>
          <w:p>
            <w:pPr>
              <w:spacing w:after="0"/>
              <w:rPr>
                <w:sz w:val="20"/>
                <w:szCs w:val="20"/>
                <w:color w:val="auto"/>
              </w:rPr>
            </w:pPr>
            <w:r>
              <w:rPr>
                <w:rFonts w:ascii="Courier New" w:cs="Courier New" w:eastAsia="Courier New" w:hAnsi="Courier New"/>
                <w:sz w:val="16"/>
                <w:szCs w:val="16"/>
                <w:color w:val="auto"/>
              </w:rPr>
              <w:t>The date of this Prospectus is November</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1995</w:t>
            </w:r>
          </w:p>
        </w:tc>
      </w:tr>
    </w:tbl>
    <w:p>
      <w:pPr>
        <w:sectPr>
          <w:pgSz w:w="11900" w:h="16838" w:orient="portrait"/>
          <w:cols w:equalWidth="0" w:num="1">
            <w:col w:w="10219"/>
          </w:cols>
          <w:pgMar w:left="240" w:top="295" w:right="1440" w:bottom="883"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939"/>
        <w:spacing w:after="0" w:line="258" w:lineRule="auto"/>
        <w:rPr>
          <w:sz w:val="20"/>
          <w:szCs w:val="20"/>
          <w:color w:val="auto"/>
        </w:rPr>
      </w:pPr>
      <w:r>
        <w:rPr>
          <w:rFonts w:ascii="Courier New" w:cs="Courier New" w:eastAsia="Courier New" w:hAnsi="Courier New"/>
          <w:sz w:val="15"/>
          <w:szCs w:val="15"/>
          <w:color w:val="auto"/>
        </w:rPr>
        <w:t>No dealer, salesman, or any other person has been authorized to give any information or to make any representations other than those contained in this Prospectus in connection with the offering contained herein, and, if given or made, such information or representations must not be relied upon as having been authorized by the Company or the Selling Shareholder. This Prospectus does not constitute an offer to sell or a solicitation of an offer to buy any of the securities offered hereby to any person to whom it is unlawful to make such offer or solicitation. Neither the delivery of this Prospectus nor any sale hereunder shall, under any circumstances, create any implication that there has been no change in the affairs of the Company since the date hereof.</w:t>
      </w:r>
    </w:p>
    <w:p>
      <w:pPr>
        <w:spacing w:after="0" w:line="352"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46" w:lineRule="exact"/>
        <w:rPr>
          <w:sz w:val="20"/>
          <w:szCs w:val="20"/>
          <w:color w:val="auto"/>
        </w:rPr>
      </w:pPr>
    </w:p>
    <w:p>
      <w:pPr>
        <w:spacing w:after="0"/>
        <w:tabs>
          <w:tab w:leader="none" w:pos="2240" w:val="left"/>
          <w:tab w:leader="none" w:pos="6980" w:val="left"/>
        </w:tabs>
        <w:rPr>
          <w:sz w:val="20"/>
          <w:szCs w:val="20"/>
          <w:color w:val="auto"/>
        </w:rPr>
      </w:pPr>
      <w:r>
        <w:rPr>
          <w:rFonts w:ascii="Courier New" w:cs="Courier New" w:eastAsia="Courier New" w:hAnsi="Courier New"/>
          <w:sz w:val="16"/>
          <w:szCs w:val="16"/>
          <w:color w:val="auto"/>
        </w:rPr>
        <w:t>Available Information</w:t>
        <w:tab/>
        <w:t>. . . . . . . . . . . . . . . . . . . . . . . .</w:t>
        <w:tab/>
        <w:t>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of Certain Information</w:t>
      </w:r>
    </w:p>
    <w:p>
      <w:pPr>
        <w:spacing w:after="0" w:line="1" w:lineRule="exact"/>
        <w:rPr>
          <w:sz w:val="20"/>
          <w:szCs w:val="20"/>
          <w:color w:val="auto"/>
        </w:rPr>
      </w:pPr>
    </w:p>
    <w:p>
      <w:pPr>
        <w:ind w:left="100"/>
        <w:spacing w:after="0"/>
        <w:tabs>
          <w:tab w:leader="none" w:pos="1500" w:val="left"/>
          <w:tab w:leader="none" w:pos="6980" w:val="left"/>
        </w:tabs>
        <w:rPr>
          <w:sz w:val="20"/>
          <w:szCs w:val="20"/>
          <w:color w:val="auto"/>
        </w:rPr>
      </w:pPr>
      <w:r>
        <w:rPr>
          <w:rFonts w:ascii="Courier New" w:cs="Courier New" w:eastAsia="Courier New" w:hAnsi="Courier New"/>
          <w:sz w:val="16"/>
          <w:szCs w:val="16"/>
          <w:color w:val="auto"/>
        </w:rPr>
        <w:t>by Reference</w:t>
      </w:r>
      <w:r>
        <w:rPr>
          <w:sz w:val="20"/>
          <w:szCs w:val="20"/>
          <w:color w:val="auto"/>
        </w:rPr>
        <w:tab/>
      </w:r>
      <w:r>
        <w:rPr>
          <w:rFonts w:ascii="Courier New" w:cs="Courier New" w:eastAsia="Courier New" w:hAnsi="Courier New"/>
          <w:sz w:val="16"/>
          <w:szCs w:val="16"/>
          <w:color w:val="auto"/>
        </w:rPr>
        <w:t>. . . . . . . . . . . . . . . . . . . . . . . . . . . .</w:t>
        <w:tab/>
        <w:t>3</w:t>
      </w:r>
    </w:p>
    <w:p>
      <w:pPr>
        <w:spacing w:after="0" w:line="1" w:lineRule="exact"/>
        <w:rPr>
          <w:sz w:val="20"/>
          <w:szCs w:val="20"/>
          <w:color w:val="auto"/>
        </w:rPr>
      </w:pPr>
    </w:p>
    <w:p>
      <w:pPr>
        <w:spacing w:after="0"/>
        <w:tabs>
          <w:tab w:leader="none" w:pos="6980" w:val="left"/>
        </w:tabs>
        <w:rPr>
          <w:sz w:val="20"/>
          <w:szCs w:val="20"/>
          <w:color w:val="auto"/>
        </w:rPr>
      </w:pPr>
      <w:r>
        <w:rPr>
          <w:rFonts w:ascii="Courier New" w:cs="Courier New" w:eastAsia="Courier New" w:hAnsi="Courier New"/>
          <w:sz w:val="16"/>
          <w:szCs w:val="16"/>
          <w:color w:val="auto"/>
        </w:rPr>
        <w:t>Outstanding Securities Covered by this Prospectus . . . . . . . . . . .</w:t>
        <w:tab/>
        <w:t>3</w:t>
      </w:r>
    </w:p>
    <w:p>
      <w:pPr>
        <w:spacing w:after="0" w:line="1" w:lineRule="exact"/>
        <w:rPr>
          <w:sz w:val="20"/>
          <w:szCs w:val="20"/>
          <w:color w:val="auto"/>
        </w:rPr>
      </w:pPr>
    </w:p>
    <w:p>
      <w:pPr>
        <w:spacing w:after="0"/>
        <w:tabs>
          <w:tab w:leader="none" w:pos="6980" w:val="left"/>
        </w:tabs>
        <w:rPr>
          <w:sz w:val="20"/>
          <w:szCs w:val="20"/>
          <w:color w:val="auto"/>
        </w:rPr>
      </w:pPr>
      <w:r>
        <w:rPr>
          <w:rFonts w:ascii="Courier New" w:cs="Courier New" w:eastAsia="Courier New" w:hAnsi="Courier New"/>
          <w:sz w:val="16"/>
          <w:szCs w:val="16"/>
          <w:color w:val="auto"/>
        </w:rPr>
        <w:t>The Company . . . . . . . . . . . . . . . . . . . . . . . . . . . . . .</w:t>
        <w:tab/>
        <w:t>4</w:t>
      </w:r>
    </w:p>
    <w:p>
      <w:pPr>
        <w:spacing w:after="0" w:line="1" w:lineRule="exact"/>
        <w:rPr>
          <w:sz w:val="20"/>
          <w:szCs w:val="20"/>
          <w:color w:val="auto"/>
        </w:rPr>
      </w:pPr>
    </w:p>
    <w:p>
      <w:pPr>
        <w:spacing w:after="0"/>
        <w:tabs>
          <w:tab w:leader="none" w:pos="6980" w:val="left"/>
        </w:tabs>
        <w:rPr>
          <w:sz w:val="20"/>
          <w:szCs w:val="20"/>
          <w:color w:val="auto"/>
        </w:rPr>
      </w:pPr>
      <w:r>
        <w:rPr>
          <w:rFonts w:ascii="Courier New" w:cs="Courier New" w:eastAsia="Courier New" w:hAnsi="Courier New"/>
          <w:sz w:val="16"/>
          <w:szCs w:val="16"/>
          <w:color w:val="auto"/>
        </w:rPr>
        <w:t>Recent Developments . . . . . . . . . . . . . . . . . . . . . . . . . .</w:t>
        <w:tab/>
        <w:t>4</w:t>
      </w:r>
    </w:p>
    <w:p>
      <w:pPr>
        <w:spacing w:after="0" w:line="1" w:lineRule="exact"/>
        <w:rPr>
          <w:sz w:val="20"/>
          <w:szCs w:val="20"/>
          <w:color w:val="auto"/>
        </w:rPr>
      </w:pPr>
    </w:p>
    <w:p>
      <w:pPr>
        <w:spacing w:after="0"/>
        <w:tabs>
          <w:tab w:leader="none" w:pos="1300" w:val="left"/>
          <w:tab w:leader="none" w:pos="6980" w:val="left"/>
        </w:tabs>
        <w:rPr>
          <w:sz w:val="20"/>
          <w:szCs w:val="20"/>
          <w:color w:val="auto"/>
        </w:rPr>
      </w:pPr>
      <w:r>
        <w:rPr>
          <w:rFonts w:ascii="Courier New" w:cs="Courier New" w:eastAsia="Courier New" w:hAnsi="Courier New"/>
          <w:sz w:val="16"/>
          <w:szCs w:val="16"/>
          <w:color w:val="auto"/>
        </w:rPr>
        <w:t>Risk Factors</w:t>
        <w:tab/>
        <w:t>. . . . . . . . . . . . . . . . . . . . . . . . . . . . .</w:t>
        <w:tab/>
        <w:t>5</w:t>
      </w:r>
    </w:p>
    <w:p>
      <w:pPr>
        <w:spacing w:after="0" w:line="1" w:lineRule="exact"/>
        <w:rPr>
          <w:sz w:val="20"/>
          <w:szCs w:val="20"/>
          <w:color w:val="auto"/>
        </w:rPr>
      </w:pPr>
    </w:p>
    <w:p>
      <w:pPr>
        <w:spacing w:after="0"/>
        <w:tabs>
          <w:tab w:leader="none" w:pos="6980" w:val="left"/>
        </w:tabs>
        <w:rPr>
          <w:sz w:val="20"/>
          <w:szCs w:val="20"/>
          <w:color w:val="auto"/>
        </w:rPr>
      </w:pPr>
      <w:r>
        <w:rPr>
          <w:rFonts w:ascii="Courier New" w:cs="Courier New" w:eastAsia="Courier New" w:hAnsi="Courier New"/>
          <w:sz w:val="16"/>
          <w:szCs w:val="16"/>
          <w:color w:val="auto"/>
        </w:rPr>
        <w:t>Use of Proceeds . . . . . . . . . . . . . . . . . . . . . . . . . . . .</w:t>
        <w:tab/>
        <w:t>6</w:t>
      </w:r>
    </w:p>
    <w:p>
      <w:pPr>
        <w:spacing w:after="0" w:line="1" w:lineRule="exact"/>
        <w:rPr>
          <w:sz w:val="20"/>
          <w:szCs w:val="20"/>
          <w:color w:val="auto"/>
        </w:rPr>
      </w:pPr>
    </w:p>
    <w:p>
      <w:pPr>
        <w:spacing w:after="0"/>
        <w:tabs>
          <w:tab w:leader="none" w:pos="4140" w:val="left"/>
          <w:tab w:leader="none" w:pos="6980" w:val="left"/>
        </w:tabs>
        <w:rPr>
          <w:sz w:val="20"/>
          <w:szCs w:val="20"/>
          <w:color w:val="auto"/>
        </w:rPr>
      </w:pPr>
      <w:r>
        <w:rPr>
          <w:rFonts w:ascii="Courier New" w:cs="Courier New" w:eastAsia="Courier New" w:hAnsi="Courier New"/>
          <w:sz w:val="16"/>
          <w:szCs w:val="16"/>
          <w:color w:val="auto"/>
        </w:rPr>
        <w:t>Summary Consolidated Financial Information</w:t>
        <w:tab/>
        <w:t>. . . . . . . . . . . . . .</w:t>
        <w:tab/>
        <w:t>7</w:t>
      </w:r>
    </w:p>
    <w:p>
      <w:pPr>
        <w:spacing w:after="0" w:line="1" w:lineRule="exact"/>
        <w:rPr>
          <w:sz w:val="20"/>
          <w:szCs w:val="20"/>
          <w:color w:val="auto"/>
        </w:rPr>
      </w:pPr>
    </w:p>
    <w:p>
      <w:pPr>
        <w:spacing w:after="0"/>
        <w:tabs>
          <w:tab w:leader="none" w:pos="2820" w:val="left"/>
          <w:tab w:leader="none" w:pos="6980" w:val="left"/>
        </w:tabs>
        <w:rPr>
          <w:sz w:val="20"/>
          <w:szCs w:val="20"/>
          <w:color w:val="auto"/>
        </w:rPr>
      </w:pPr>
      <w:r>
        <w:rPr>
          <w:rFonts w:ascii="Courier New" w:cs="Courier New" w:eastAsia="Courier New" w:hAnsi="Courier New"/>
          <w:sz w:val="16"/>
          <w:szCs w:val="16"/>
          <w:color w:val="auto"/>
        </w:rPr>
        <w:t>Description of Capital Stock</w:t>
        <w:tab/>
        <w:t>. . . . . . . . . . . . . . . . . . . . .</w:t>
        <w:tab/>
        <w:t>9</w:t>
      </w:r>
    </w:p>
    <w:p>
      <w:pPr>
        <w:spacing w:after="0" w:line="1" w:lineRule="exact"/>
        <w:rPr>
          <w:sz w:val="20"/>
          <w:szCs w:val="20"/>
          <w:color w:val="auto"/>
        </w:rPr>
      </w:pPr>
    </w:p>
    <w:p>
      <w:pPr>
        <w:spacing w:after="0"/>
        <w:tabs>
          <w:tab w:leader="none" w:pos="6880" w:val="left"/>
        </w:tabs>
        <w:rPr>
          <w:sz w:val="20"/>
          <w:szCs w:val="20"/>
          <w:color w:val="auto"/>
        </w:rPr>
      </w:pPr>
      <w:r>
        <w:rPr>
          <w:rFonts w:ascii="Courier New" w:cs="Courier New" w:eastAsia="Courier New" w:hAnsi="Courier New"/>
          <w:sz w:val="16"/>
          <w:szCs w:val="16"/>
          <w:color w:val="auto"/>
        </w:rPr>
        <w:t>Price Range of Common Stock and Dividends . . . . . . . . . . . . . . .</w:t>
        <w:tab/>
        <w:t>11</w:t>
      </w:r>
    </w:p>
    <w:p>
      <w:pPr>
        <w:spacing w:after="0" w:line="1" w:lineRule="exact"/>
        <w:rPr>
          <w:sz w:val="20"/>
          <w:szCs w:val="20"/>
          <w:color w:val="auto"/>
        </w:rPr>
      </w:pPr>
    </w:p>
    <w:p>
      <w:pPr>
        <w:spacing w:after="0"/>
        <w:tabs>
          <w:tab w:leader="none" w:pos="4140" w:val="left"/>
          <w:tab w:leader="none" w:pos="6880" w:val="left"/>
        </w:tabs>
        <w:rPr>
          <w:sz w:val="20"/>
          <w:szCs w:val="20"/>
          <w:color w:val="auto"/>
        </w:rPr>
      </w:pPr>
      <w:r>
        <w:rPr>
          <w:rFonts w:ascii="Courier New" w:cs="Courier New" w:eastAsia="Courier New" w:hAnsi="Courier New"/>
          <w:sz w:val="16"/>
          <w:szCs w:val="16"/>
          <w:color w:val="auto"/>
        </w:rPr>
        <w:t>Manner of Offering by Selling Shareholders</w:t>
        <w:tab/>
        <w:t>. . . . . . . . . . . . . .</w:t>
        <w:tab/>
        <w:t>11</w:t>
      </w:r>
    </w:p>
    <w:p>
      <w:pPr>
        <w:spacing w:after="0" w:line="1" w:lineRule="exact"/>
        <w:rPr>
          <w:sz w:val="20"/>
          <w:szCs w:val="20"/>
          <w:color w:val="auto"/>
        </w:rPr>
      </w:pPr>
    </w:p>
    <w:p>
      <w:pPr>
        <w:spacing w:after="0"/>
        <w:tabs>
          <w:tab w:leader="none" w:pos="1500" w:val="left"/>
          <w:tab w:leader="none" w:pos="688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6"/>
          <w:szCs w:val="16"/>
          <w:color w:val="auto"/>
        </w:rPr>
        <w:t>. . . . . . . . . . . . . . . . . . . . . . . . . . . .</w:t>
        <w:tab/>
        <w:t>13</w:t>
      </w:r>
    </w:p>
    <w:p>
      <w:pPr>
        <w:spacing w:after="0" w:line="1" w:lineRule="exact"/>
        <w:rPr>
          <w:sz w:val="20"/>
          <w:szCs w:val="20"/>
          <w:color w:val="auto"/>
        </w:rPr>
      </w:pPr>
    </w:p>
    <w:p>
      <w:pPr>
        <w:spacing w:after="0"/>
        <w:tabs>
          <w:tab w:leader="none" w:pos="920" w:val="left"/>
          <w:tab w:leader="none" w:pos="6880" w:val="left"/>
        </w:tabs>
        <w:rPr>
          <w:sz w:val="20"/>
          <w:szCs w:val="20"/>
          <w:color w:val="auto"/>
        </w:rPr>
      </w:pPr>
      <w:r>
        <w:rPr>
          <w:rFonts w:ascii="Courier New" w:cs="Courier New" w:eastAsia="Courier New" w:hAnsi="Courier New"/>
          <w:sz w:val="16"/>
          <w:szCs w:val="16"/>
          <w:color w:val="auto"/>
        </w:rPr>
        <w:t>Experts</w:t>
        <w:tab/>
        <w:t>. . . . . . . . . . . . . . . . . . . . . . . . . . . . . . .</w:t>
        <w:tab/>
        <w:t>13</w:t>
      </w:r>
    </w:p>
    <w:p>
      <w:pPr>
        <w:spacing w:after="0" w:line="36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AVAILABLE INFORMATION</w:t>
      </w:r>
    </w:p>
    <w:p>
      <w:pPr>
        <w:spacing w:after="0" w:line="186"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5"/>
          <w:szCs w:val="15"/>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Reports, proxy and information statements, and other information filed by the Company can be inspected and copied at the public reference facilities maintained by the Commission at Judiciary Plaza Building, 450 Fifth Street, N.W., Room 1024, Washington, D.C. 20549 and at the regional offices of the Commission located in New York, New York at 7 World Trade Center, Suite 1300, New York, New York</w:t>
      </w:r>
    </w:p>
    <w:p>
      <w:pPr>
        <w:spacing w:after="0" w:line="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10048 and Chicago, Illinois at 500 West Madison, Suite 1400, Chicago, Illinois 60661. Copies of such material can be obtained from the Public Reference Section of the Commission at 450 Fifth Street, N.W., Room 1024, Washington, D.C. 20549, at prescribed rates.</w:t>
      </w:r>
    </w:p>
    <w:p>
      <w:pPr>
        <w:spacing w:after="0" w:line="187"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The Company's Common Stock is traded on the NYSE and reports, proxy and information statements, and other information concerning the Company may be inspected at the offices of such Exchange at 20 Broad Street, New York, New York 10005.</w:t>
      </w:r>
    </w:p>
    <w:p>
      <w:pPr>
        <w:spacing w:after="0" w:line="187"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This Prospectus constitutes part of a Registration Statement on Form S-4 (together with all amendments and exhibits thereto, the "Registration Statement") filed by the Company with the Commission under the Securities Act. This Prospectus omits certain of the information contained in the Registration Statement, and reference is hereby made to the Registration Statement for further information with respect to the Company and the Common Stock offered hereby. Any statements contained herein concerning the provisions of any document filed as an exhibit to the Registration Statement or otherwise filed with the Commission are not necessarily complete, and in each instance reference is made to the copy of such document as filed. Each such statement is qualified in its entirety by such reference. The Registration Statement, including exhibits and schedules thereto, may be inspected without charge at the offices of the Commission, and copies of such materials may be obtained therefrom at prescribed rates.</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type w:val="continuous"/>
        </w:sectPr>
      </w:pPr>
    </w:p>
    <w:bookmarkStart w:id="4" w:name="page5"/>
    <w:bookmarkEnd w:id="4"/>
    <w:p>
      <w:pPr>
        <w:ind w:left="283"/>
        <w:spacing w:after="0"/>
        <w:rPr>
          <w:sz w:val="20"/>
          <w:szCs w:val="20"/>
          <w:color w:val="auto"/>
        </w:rPr>
      </w:pPr>
      <w:r>
        <w:rPr>
          <w:rFonts w:ascii="Courier New" w:cs="Courier New" w:eastAsia="Courier New" w:hAnsi="Courier New"/>
          <w:sz w:val="16"/>
          <w:szCs w:val="16"/>
          <w:color w:val="auto"/>
        </w:rPr>
        <w:t>5</w:t>
      </w:r>
    </w:p>
    <w:p>
      <w:pPr>
        <w:spacing w:after="0" w:line="1"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INCORPORATION OF CERTAIN INFORMATION BY REFERENCE</w:t>
      </w:r>
    </w:p>
    <w:p>
      <w:pPr>
        <w:spacing w:after="0" w:line="186" w:lineRule="exact"/>
        <w:rPr>
          <w:sz w:val="20"/>
          <w:szCs w:val="20"/>
          <w:color w:val="auto"/>
        </w:rPr>
      </w:pPr>
    </w:p>
    <w:p>
      <w:pPr>
        <w:ind w:left="3" w:right="2759" w:firstLine="473"/>
        <w:spacing w:after="0" w:line="256" w:lineRule="auto"/>
        <w:rPr>
          <w:sz w:val="20"/>
          <w:szCs w:val="20"/>
          <w:color w:val="auto"/>
        </w:rPr>
      </w:pPr>
      <w:r>
        <w:rPr>
          <w:rFonts w:ascii="Courier New" w:cs="Courier New" w:eastAsia="Courier New" w:hAnsi="Courier New"/>
          <w:sz w:val="15"/>
          <w:szCs w:val="15"/>
          <w:color w:val="auto"/>
        </w:rPr>
        <w:t>THIS PROSPECTUS INCORPORATES DOCUMENTS BY REFERENCE THAT ARE NOT PRESENTED HEREIN OR DELIVERED HEREWITH. THESE DOCUMENTS WILL BE AVAILABLE UPON REQUEST FROM CORPORATE SECRETARY, USA WASTE SERVICES, INC., 5400 LBJ FREEWAY, SUITE 300</w:t>
      </w:r>
    </w:p>
    <w:p>
      <w:pPr>
        <w:spacing w:after="0" w:line="2" w:lineRule="exact"/>
        <w:rPr>
          <w:sz w:val="20"/>
          <w:szCs w:val="20"/>
          <w:color w:val="auto"/>
        </w:rPr>
      </w:pPr>
    </w:p>
    <w:p>
      <w:pPr>
        <w:ind w:left="3" w:right="2839" w:hanging="3"/>
        <w:spacing w:after="0" w:line="239" w:lineRule="auto"/>
        <w:tabs>
          <w:tab w:leader="none" w:pos="19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TOWER ONE, DALLAS, TEXAS 75240, TELEPHONE NUMBER 214-383-7900. IN ORDER TO ENSURE TIMELY DELIVER OF THE DOCUMENTS, ANY REQUEST SHOULD BE MADE BY A DATE THAT IS AT LEAST FIVE DAYS PRIOR TO THE DATE ON WHICH THE FINAL INVESTMENT DECISION MUST BE MADE.</w:t>
      </w:r>
    </w:p>
    <w:p>
      <w:pPr>
        <w:spacing w:after="0" w:line="187"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The following documents filed by the Company with the Commission under the Exchange Act are incorporated by reference in this Prospectus: (1) Annual Report on Form 10-K for the fiscal year ended December 31, 1994, as amended by Form 10-K/A (Amendment No. 1) dated April 25, 1995, (2) Current Report on Form 8-K dated February 28, 1994, as filed by Envirofil, Inc., a Delaware corporation and wholly owned subsidiary of the Company ("Envirofil") and as amended by Form 8-K/A dated May 11, 1994, including the combined financial statements of the Acquired New Jersey Solid Waste Companies as of December 31, 1992 and 1993 and for each of the three years in the period ended December 31, 1993, (3) Quarterly Reports on Form 10-Q, as amended, for the quarters ended March 31, 1995 and June 30, 1995, (4) Joint Proxy Statement and Prospectus for its 1995 Annual Meeting of Shareholders dated May 19, 1995, (5) Current Report on Form 8-K dated June 30, 1995, and (6) the description of Common Stock of the Company contained in the Company's Registration Statement on Form 8-B dated July 13, 1995.</w:t>
      </w:r>
    </w:p>
    <w:p>
      <w:pPr>
        <w:spacing w:after="0" w:line="191" w:lineRule="exact"/>
        <w:rPr>
          <w:sz w:val="20"/>
          <w:szCs w:val="20"/>
          <w:color w:val="auto"/>
        </w:rPr>
      </w:pPr>
    </w:p>
    <w:p>
      <w:pPr>
        <w:ind w:left="3" w:right="2839" w:firstLine="473"/>
        <w:spacing w:after="0" w:line="259" w:lineRule="auto"/>
        <w:rPr>
          <w:sz w:val="20"/>
          <w:szCs w:val="20"/>
          <w:color w:val="auto"/>
        </w:rPr>
      </w:pPr>
      <w:r>
        <w:rPr>
          <w:rFonts w:ascii="Courier New" w:cs="Courier New" w:eastAsia="Courier New" w:hAnsi="Courier New"/>
          <w:sz w:val="15"/>
          <w:szCs w:val="15"/>
          <w:color w:val="auto"/>
        </w:rPr>
        <w:t>All documents filed by the Company pursuant to Sections 13(a), 13(c), 14, or 15(d) of the Exchange Act subsequent to the date of filing of the Company's Annual Report on Form 10-K referred to above and prior to the termination of the offering described herein shall be deemed to be incorporated by reference and to be a part of this Prospectus from the date of filing of such documents.</w:t>
      </w:r>
    </w:p>
    <w:p>
      <w:pPr>
        <w:spacing w:after="0" w:line="174" w:lineRule="exact"/>
        <w:rPr>
          <w:sz w:val="20"/>
          <w:szCs w:val="20"/>
          <w:color w:val="auto"/>
        </w:rPr>
      </w:pPr>
    </w:p>
    <w:p>
      <w:pPr>
        <w:ind w:left="3" w:right="3119" w:firstLine="473"/>
        <w:spacing w:after="0" w:line="239" w:lineRule="auto"/>
        <w:rPr>
          <w:sz w:val="20"/>
          <w:szCs w:val="20"/>
          <w:color w:val="auto"/>
        </w:rPr>
      </w:pPr>
      <w:r>
        <w:rPr>
          <w:rFonts w:ascii="Courier New" w:cs="Courier New" w:eastAsia="Courier New" w:hAnsi="Courier New"/>
          <w:sz w:val="16"/>
          <w:szCs w:val="16"/>
          <w:color w:val="auto"/>
        </w:rPr>
        <w:t>Any statement contained in a document incorporated by reference herein shall be deemed to be modified or superseded for all purposes to the extent that a statement contained in this Prospectus, or in any other subsequently filed document that is also incorporated by reference, modifies or replaces such statement. Any such statement so modified or superseded shall not be deemed, except as so modified or superseded, to constitute a part of this Prospectus.</w:t>
      </w:r>
    </w:p>
    <w:p>
      <w:pPr>
        <w:spacing w:after="0" w:line="192" w:lineRule="exact"/>
        <w:rPr>
          <w:sz w:val="20"/>
          <w:szCs w:val="20"/>
          <w:color w:val="auto"/>
        </w:rPr>
      </w:pPr>
    </w:p>
    <w:p>
      <w:pPr>
        <w:ind w:left="3" w:right="2759" w:firstLine="473"/>
        <w:spacing w:after="0" w:line="256" w:lineRule="auto"/>
        <w:rPr>
          <w:sz w:val="20"/>
          <w:szCs w:val="20"/>
          <w:color w:val="auto"/>
        </w:rPr>
      </w:pPr>
      <w:r>
        <w:rPr>
          <w:rFonts w:ascii="Courier New" w:cs="Courier New" w:eastAsia="Courier New" w:hAnsi="Courier New"/>
          <w:sz w:val="15"/>
          <w:szCs w:val="15"/>
          <w:color w:val="auto"/>
        </w:rPr>
        <w:t>The Company will provide without charge to each person to whom this Prospectus is delivered, on written or oral request of such person, a copy (without exhibits) of any and all information incorporated by reference in this Prospectus. Requests for such copies should be directed to Corporate Secretary, USA Waste Services, Inc., (i) if by telephone to (214) 383-7900 and</w:t>
      </w:r>
    </w:p>
    <w:p>
      <w:pPr>
        <w:spacing w:after="0" w:line="3" w:lineRule="exact"/>
        <w:rPr>
          <w:sz w:val="20"/>
          <w:szCs w:val="20"/>
          <w:color w:val="auto"/>
        </w:rPr>
      </w:pPr>
    </w:p>
    <w:p>
      <w:pPr>
        <w:ind w:left="3" w:right="3319" w:hanging="3"/>
        <w:spacing w:after="0" w:line="237" w:lineRule="auto"/>
        <w:tabs>
          <w:tab w:leader="none" w:pos="47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by mail to 5400 LBJ Freeway, Suite 300 - Tower One, Dallas, Texas 75240.</w:t>
      </w:r>
    </w:p>
    <w:p>
      <w:pPr>
        <w:spacing w:after="0" w:line="366"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OUTSTANDING SECURITIES COVERED BY THIS PROSPECTUS</w:t>
      </w:r>
    </w:p>
    <w:p>
      <w:pPr>
        <w:spacing w:after="0" w:line="186" w:lineRule="exact"/>
        <w:rPr>
          <w:sz w:val="20"/>
          <w:szCs w:val="20"/>
          <w:color w:val="auto"/>
        </w:rPr>
      </w:pPr>
    </w:p>
    <w:p>
      <w:pPr>
        <w:ind w:left="3" w:right="2759" w:firstLine="473"/>
        <w:spacing w:after="0" w:line="257" w:lineRule="auto"/>
        <w:rPr>
          <w:sz w:val="20"/>
          <w:szCs w:val="20"/>
          <w:color w:val="auto"/>
        </w:rPr>
      </w:pPr>
      <w:r>
        <w:rPr>
          <w:rFonts w:ascii="Courier New" w:cs="Courier New" w:eastAsia="Courier New" w:hAnsi="Courier New"/>
          <w:sz w:val="15"/>
          <w:szCs w:val="15"/>
          <w:color w:val="auto"/>
        </w:rPr>
        <w:t>This Prospectus, as appropriately amended or supplemented, may, with the prior consent of the Company, be used from time to time by persons who have received Shares covered by the Registration Statement in acquisitions of businesses or properties or interests therein by the Company, or their transferees, and who wish to offer and sell such Shares (such persons are herein referred to as the "Selling Shareholders" or a "Selling Shareholder") in transactions in which they and any broker dealer through whom such Shares are sold may be deemed to be underwriters within the meaning of the Securities Act, as more fully described herein. The Company may consent to the use of this Prospectus for a limited period of time by the Selling Shareholders, subject to limitations and conditions that may be varied by agreement between the Company and the Selling Shareholders. Resales of such shares may be made on the NYSE, in the over-the- counter market, in private transactions, or pursuant to underwriting agreements. See "Manner of Offering by Selling Shareholders."</w:t>
      </w:r>
    </w:p>
    <w:p>
      <w:pPr>
        <w:spacing w:after="0" w:line="181" w:lineRule="exact"/>
        <w:rPr>
          <w:sz w:val="20"/>
          <w:szCs w:val="20"/>
          <w:color w:val="auto"/>
        </w:rPr>
      </w:pPr>
    </w:p>
    <w:p>
      <w:pPr>
        <w:ind w:left="3" w:right="2939" w:firstLine="473"/>
        <w:spacing w:after="0" w:line="239" w:lineRule="auto"/>
        <w:rPr>
          <w:sz w:val="20"/>
          <w:szCs w:val="20"/>
          <w:color w:val="auto"/>
        </w:rPr>
      </w:pPr>
      <w:r>
        <w:rPr>
          <w:rFonts w:ascii="Courier New" w:cs="Courier New" w:eastAsia="Courier New" w:hAnsi="Courier New"/>
          <w:sz w:val="16"/>
          <w:szCs w:val="16"/>
          <w:color w:val="auto"/>
        </w:rPr>
        <w:t>The Company will receive none of the proceeds from any such sales. Any commissions paid or concessions allowed to any broker-dealer, and, if any broker-dealer purchases such Shares as principal, any profits received on the resale of such Shares, may be deemed to be underwriting discounts and commissions under the Securities Act.</w:t>
      </w:r>
    </w:p>
    <w:p>
      <w:pPr>
        <w:sectPr>
          <w:pgSz w:w="11900" w:h="16838" w:orient="portrait"/>
          <w:cols w:equalWidth="0" w:num="1">
            <w:col w:w="10222"/>
          </w:cols>
          <w:pgMar w:left="237"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0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2"/>
          </w:cols>
          <w:pgMar w:left="237" w:top="295"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Printing, certain legal, filing and other similar expenses of this offering will be paid by the Company. Selling Shareholders will bear all other expenses of this offering, including brokerage fees, any underwriting discounts or commissions.</w:t>
      </w:r>
    </w:p>
    <w:p>
      <w:pPr>
        <w:spacing w:after="0" w:line="187" w:lineRule="exact"/>
        <w:rPr>
          <w:sz w:val="20"/>
          <w:szCs w:val="20"/>
          <w:color w:val="auto"/>
        </w:rPr>
      </w:pPr>
    </w:p>
    <w:p>
      <w:pPr>
        <w:ind w:right="3419" w:firstLine="567"/>
        <w:spacing w:after="0" w:line="262" w:lineRule="auto"/>
        <w:rPr>
          <w:sz w:val="20"/>
          <w:szCs w:val="20"/>
          <w:color w:val="auto"/>
        </w:rPr>
      </w:pPr>
      <w:r>
        <w:rPr>
          <w:rFonts w:ascii="Courier New" w:cs="Courier New" w:eastAsia="Courier New" w:hAnsi="Courier New"/>
          <w:sz w:val="15"/>
          <w:szCs w:val="15"/>
          <w:color w:val="auto"/>
        </w:rPr>
        <w:t>There presently are no arrangements or understandings, formal or informal, pertaining to the distribution of any of the Shares by Selling Shareholders. See "Manner of Offering by Selling Shareholders."</w:t>
      </w:r>
    </w:p>
    <w:p>
      <w:pPr>
        <w:spacing w:after="0" w:line="349"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THE COMPANY</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USA Waste is the fourth largest integrated solid waste management company in North America and serves municipal, commercial, industrial and residential customers in 21 states. The Company's solid waste management services include collection, transfer and disposal operations and, to a lesser extent, recycling and certain other waste management services. USA Waste owns or operates 29 landfills, 21 transfer stations and 42 collection operations and serves more than 450,000 customers.</w:t>
      </w:r>
    </w:p>
    <w:p>
      <w:pPr>
        <w:spacing w:after="0" w:line="192"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Approximately 54% of the Company's revenues for the six months ended June 30, 1995 was attributable to collection operations, approximately 30% was attributable to landfill operations and approximately 9% was from transfer operations. Of the collection revenues, approximately 44%, 24% and 32% were from commercial, residential and industrial customers, respectively. The Company focuses primarily on residential, commercial and permanent roll-off customers because such customers tend to provide more predictable waste stream volumes. The Company's average landfill volume for the three months ended June 30, 1995 was approximately 23,500 tons per day.</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Company intends to capitalize on the consolidation in the solid waste management industry. Key elements of the Company's strategy include (i) increasing productivity and operating efficiencies in existing and acquired operations, (ii) increasing revenues and enhancing profitability through tuck-in acquisitions and (iii) expanding into new markets through acquisitions. The Company seeks to become the low 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pursues acquisitions in new markets where the Company believes it can strengthen its overall competitive position as a national provider of integrated solid waste management services.</w:t>
      </w:r>
    </w:p>
    <w:p>
      <w:pPr>
        <w:spacing w:after="0" w:line="37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RECENT DEVELOPMENTS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Company materially expanded its operations and markets with its acquisition of Chambers Development Company, Inc. ("Chambers") on June 30, 1995 (the "Chambers Merger"). With the addition of the Chambers operations, which include significant landfill capacity as well as collection and transfer station operations, the Company established its presence in the Mid-Atlantic and southeastern regions of the United States. Since the Chambers Merger, the Company has continued to expand its operations and revenue base through a series of smaller acquisitions that complemented and expanded the Company's operations. The Company has completed nine acquisitions since the Chambers Merger resulting in the addition of four landfills, eight collection operations and eight transfer stations. The Company issued an aggregate of 2,453,000 shares of its Common Stock and paid an aggregate of $11.4 million in cash in connection with these transactions. The acquired operations are based in Arkansas, Georgia, Missouri, Pennsylvania, Texas and Virginia.</w:t>
      </w:r>
    </w:p>
    <w:p>
      <w:pPr>
        <w:spacing w:after="0" w:line="373"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In August 1995, the Company entered into an agreement with the Town of North Hempstead Solid Waste Management Authority in North Hempstead, New York for the management of its solid waste disposal, transfer, transport and recycling operations. The contract has a 15-year term unless terminated earlier in accordance with the agreement (such as in the case of an event of default) and is expected to provide the Company annual revenues</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5"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approximately $9 million.</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On October 6, 1995, the Company completed a pubic offering (the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of 6,345,625 shares of Common Stock at a price of $19.625 per share.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realized proceeds of $118,398,183 before deducting expenses payable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the Company, estimated at $550,000. The Company applied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$29,462,500 of the net proceeds to repayment of the term loan under its bank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facility. The balance of the net proceeds was used to reduce amounts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under the revolving credit portion of the Company's credit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facility. Such amounts may be redrawn by the Company as its needs dictate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in the expansion of its business, including acquisitions and for general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purposes.</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Company currently has outstanding approximately $42 million in principal amount of 8-1/2% Convertible Subordinated Debentures due October 15, 2002 (the "Convertible Debentures") which are convertible into Common Stock at $13.25 per share. On November 1, 1995, the Company called the Convertible Debentures for redemption on December 11, 1995. Convertible Debentures may be converted into Common Stock until December 1, 1995.</w:t>
      </w:r>
    </w:p>
    <w:p>
      <w:pPr>
        <w:spacing w:after="0" w:line="18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RISK FACTORS</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In addition to the other information set forth in this Prospectus, the following factors should be considered by prospective investors when evaluating an investment in the Common Stock of the Company.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ABILITY TO MANAGE AND MAINTAIN GROWTH</w:t>
      </w:r>
    </w:p>
    <w:p>
      <w:pPr>
        <w:spacing w:after="0" w:line="186" w:lineRule="exact"/>
        <w:rPr>
          <w:sz w:val="20"/>
          <w:szCs w:val="20"/>
          <w:color w:val="auto"/>
        </w:rPr>
      </w:pPr>
    </w:p>
    <w:p>
      <w:pPr>
        <w:ind w:right="2839" w:firstLine="473"/>
        <w:spacing w:after="0" w:line="257" w:lineRule="auto"/>
        <w:rPr>
          <w:sz w:val="20"/>
          <w:szCs w:val="20"/>
          <w:color w:val="auto"/>
        </w:rPr>
      </w:pPr>
      <w:r>
        <w:rPr>
          <w:rFonts w:ascii="Courier New" w:cs="Courier New" w:eastAsia="Courier New" w:hAnsi="Courier New"/>
          <w:sz w:val="15"/>
          <w:szCs w:val="15"/>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there can be no assurance that the Company will able to successfully integrate the operations of Chambers, the Company's largest acquisition to date. Moreover, the ability of the Company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The Company is continually seeking acquisition opportunities and believes that there exists a substantial number of potentially attractive consolidation opportunities in the solid waste management industry. The Company may pursue significant acquisitions if they can be achieved on acceptable terms. There can be no assurance that the Company will be able to continue to expand and successfully integrate operations.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 DEGREE OF LEVERAGE; NEED FOR CAPITAL</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long-term debt of the Company, including current maturities, as of October 31, 1995, was approximately $400 million. Although the conversion of all of the Convertible Debentures will eliminate a portion of such indebtedness, the Company will continue to maintain significant amounts of debt and expects to require additional capital from time to time to pursue its acquisition strategy and to fund internal growth. A portion of the Company's future capital requirements may be provided through future debt incurrences or issuances of equity securities. Future events or conditions that could adversely affect the Company's operations or financial condition may prevent the Company from fulfilling its obligations under its debt agreements or may limit the Company's ability to incur additional indebtedness or issue equity securities.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PROFITABILITY MAY BE AFFECTED BY COMPETITION</w:t>
      </w:r>
    </w:p>
    <w:p>
      <w:pPr>
        <w:spacing w:after="0" w:line="186"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largest national waste management companies have significantly greater financial resources than the Company. Competition may also be affected by the increasing national emphasis on recycling, composting, incineration, and other waste reduction programs that could reduce the volume of solid waste collected or deposited in landfills.</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5"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ADVERSE EFFECT OF GOVERNMENT REGULATIONS</w:t>
      </w:r>
    </w:p>
    <w:p>
      <w:pPr>
        <w:spacing w:after="0" w:line="186"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The Company's operations are subject to, and substantially affected by, extensive federal, state and local laws, regulations, orders and permits, which govern environmental protection, health and safety, zoning and other matters. These regulations may impose restrictions on the Company's operations that could adversely affect the Company's results, such as limitations on the expansion of disposal facilities, limitations on or banning disposal of out-of-state waste or certain categories of waste, or mandates regarding the disposal of solid waste. Because of heightened public concern, companies in the waste management business, including the Company, may become subject to judicial and administrative proceedings involving federal, state or local agencies. These governmental agencies may seek to impose fines on the Company or to revoke or deny renewal of the Company's operating permits or licenses for violations of environmental laws or regulations or to require the Company to remediate environmental problems at its sites or nearby properties, or resulting from its or its predecessors' transportation and collection operations, all of which could have a material adverse effect on the Company. The Company may also be subject to actions brought by individuals or community groups in connection with the permitting or licensing of its operations, any alleged violations of such permits and licenses, or other matters.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ENVIRONMENTAL LIABILITY</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Company is subject to liability for environmental damage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by the Company. The Company may also be subject to liability for any off-site environmental contamination caused by pollutants or hazardous substances the transportation, treatment or disposal of which was arranged for by the Company or the predecessor owner of operations or assets acquired by the Company. Any substantial liability for environmental damage could materially adversely affect the Company's operating results and financial condition.</w:t>
      </w:r>
    </w:p>
    <w:p>
      <w:pPr>
        <w:spacing w:after="0" w:line="36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USE OF PROCEEDS</w:t>
      </w:r>
    </w:p>
    <w:p>
      <w:pPr>
        <w:spacing w:after="0" w:line="186"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This Prospectus relates to shares of Common Stock of the Company that may be offered and issued by the Company from time to time in connection with the acquisition of other businesses and properties and interests therein, and upon exercise or conversion of, warrants, options, convertible debentures, or other similar instruments issued by the Company from time to time in connection with any such acquisition. Other than the businesses or properties acquired, there usually will be no proceeds to the Company from these offerings. However, in situations where the Company issues warrants or options to purchase Common Stock in connection with an acquisition, any proceeds received by the Company upon the exercise of such warrants or options will be used for general corporate purposes. When this Prospectus is used by a Selling Shareholder in a public reoffering or resale of Common Stock acquired pursuant to this Prospectus, the Company will not receive any proceeds from such sale by the Selling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5" w:right="1440" w:bottom="1440" w:gutter="0" w:footer="0" w:header="0"/>
        </w:sectPr>
      </w:pPr>
    </w:p>
    <w:bookmarkStart w:id="8" w:name="page9"/>
    <w:bookmarkEnd w:id="8"/>
    <w:p>
      <w:pPr>
        <w:spacing w:after="0" w:line="1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9</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SUMMARY CONSOLIDATED FINANCIAL DATA</w:t>
      </w:r>
    </w:p>
    <w:p>
      <w:pPr>
        <w:spacing w:after="0" w:line="186" w:lineRule="exact"/>
        <w:rPr>
          <w:sz w:val="20"/>
          <w:szCs w:val="20"/>
          <w:color w:val="auto"/>
        </w:rPr>
      </w:pPr>
    </w:p>
    <w:p>
      <w:pPr>
        <w:ind w:right="4060" w:firstLine="473"/>
        <w:spacing w:after="0"/>
        <w:rPr>
          <w:sz w:val="20"/>
          <w:szCs w:val="20"/>
          <w:color w:val="auto"/>
        </w:rPr>
      </w:pPr>
      <w:r>
        <w:rPr>
          <w:rFonts w:ascii="Courier New" w:cs="Courier New" w:eastAsia="Courier New" w:hAnsi="Courier New"/>
          <w:sz w:val="16"/>
          <w:szCs w:val="16"/>
          <w:color w:val="auto"/>
        </w:rPr>
        <w:t>The following summary consolidated financial data of the Company for each of the three years in the period ended December 31, 1994, have been derived from the audited consolidated financial statements of the Company and for the three-month and six-month periods ended June 30, 1994 and 1995, have been derived from the unaudited consolidated financial statements of the Company. The summary consolidated financial data should be read in conjunction with the separate consolidated financial statements and the related notes thereto of the Company and Management's Discussion and Analysis of Financial Condition and Results of Operations incorporated by reference herein. See "Incorporation of Certain Information by Reference."</w:t>
      </w:r>
    </w:p>
    <w:p>
      <w:pPr>
        <w:spacing w:after="0" w:line="188" w:lineRule="exact"/>
        <w:rPr>
          <w:sz w:val="20"/>
          <w:szCs w:val="20"/>
          <w:color w:val="auto"/>
        </w:rPr>
      </w:pPr>
    </w:p>
    <w:p>
      <w:pPr>
        <w:ind w:right="4140" w:firstLine="473"/>
        <w:spacing w:after="0" w:line="239" w:lineRule="auto"/>
        <w:rPr>
          <w:sz w:val="20"/>
          <w:szCs w:val="20"/>
          <w:color w:val="auto"/>
        </w:rPr>
      </w:pPr>
      <w:r>
        <w:rPr>
          <w:rFonts w:ascii="Courier New" w:cs="Courier New" w:eastAsia="Courier New" w:hAnsi="Courier New"/>
          <w:sz w:val="16"/>
          <w:szCs w:val="16"/>
          <w:color w:val="auto"/>
        </w:rPr>
        <w:t>The data set forth below include the accounts of all companies acquired through June 30, 1995. Companies acquired in transactions accounted for as poolings of interests have been combined as though these companies had always been members of the same operating group. Accordingly, such data have been restated throughout all relevant periods reported. The accounts of businesses acquired in transactions accounted for as purchases are included from their respective dates of acquisition.</w:t>
      </w:r>
    </w:p>
    <w:p>
      <w:pPr>
        <w:spacing w:after="0" w:line="192" w:lineRule="exact"/>
        <w:rPr>
          <w:sz w:val="20"/>
          <w:szCs w:val="20"/>
          <w:color w:val="auto"/>
        </w:rPr>
      </w:pPr>
    </w:p>
    <w:p>
      <w:pPr>
        <w:ind w:right="4060" w:firstLine="473"/>
        <w:spacing w:after="0" w:line="239" w:lineRule="auto"/>
        <w:rPr>
          <w:sz w:val="20"/>
          <w:szCs w:val="20"/>
          <w:color w:val="auto"/>
        </w:rPr>
      </w:pPr>
      <w:r>
        <w:rPr>
          <w:rFonts w:ascii="Courier New" w:cs="Courier New" w:eastAsia="Courier New" w:hAnsi="Courier New"/>
          <w:sz w:val="16"/>
          <w:szCs w:val="16"/>
          <w:color w:val="auto"/>
        </w:rPr>
        <w:t>The unaudited data for the three months and six months ended June 30, 1994 and 1995, include, in the opinion of the Company's management, all adjustments (which include only normal recurring adjustments) necessary to present fairly the information for such periods. The results of operations of the interim periods are not necessarily indicative of the results that may be expected for the full year.</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FOR THE THREE</w:t>
            </w:r>
          </w:p>
        </w:tc>
        <w:tc>
          <w:tcPr>
            <w:tcW w:w="140" w:type="dxa"/>
            <w:vAlign w:val="bottom"/>
          </w:tcPr>
          <w:p>
            <w:pPr>
              <w:spacing w:after="0"/>
              <w:rPr>
                <w:sz w:val="15"/>
                <w:szCs w:val="15"/>
                <w:color w:val="auto"/>
              </w:rPr>
            </w:pPr>
          </w:p>
        </w:tc>
        <w:tc>
          <w:tcPr>
            <w:tcW w:w="216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FOR THE SIX</w:t>
            </w:r>
          </w:p>
        </w:tc>
      </w:tr>
      <w:tr>
        <w:trPr>
          <w:trHeight w:val="182"/>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MONTHS ENDED</w:t>
            </w:r>
          </w:p>
        </w:tc>
        <w:tc>
          <w:tcPr>
            <w:tcW w:w="140" w:type="dxa"/>
            <w:vAlign w:val="bottom"/>
          </w:tcPr>
          <w:p>
            <w:pPr>
              <w:spacing w:after="0"/>
              <w:rPr>
                <w:sz w:val="15"/>
                <w:szCs w:val="15"/>
                <w:color w:val="auto"/>
              </w:rPr>
            </w:pPr>
          </w:p>
        </w:tc>
        <w:tc>
          <w:tcPr>
            <w:tcW w:w="216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MONTHS ENDED</w:t>
            </w:r>
          </w:p>
        </w:tc>
      </w:tr>
      <w:tr>
        <w:trPr>
          <w:trHeight w:val="182"/>
        </w:trPr>
        <w:tc>
          <w:tcPr>
            <w:tcW w:w="3500" w:type="dxa"/>
            <w:vAlign w:val="bottom"/>
          </w:tcPr>
          <w:p>
            <w:pPr>
              <w:spacing w:after="0"/>
              <w:rPr>
                <w:sz w:val="15"/>
                <w:szCs w:val="15"/>
                <w:color w:val="auto"/>
              </w:rPr>
            </w:pPr>
          </w:p>
        </w:tc>
        <w:tc>
          <w:tcPr>
            <w:tcW w:w="188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FOR THE YEAR ENDED</w:t>
            </w:r>
          </w:p>
        </w:tc>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DECEMBER 31,</w:t>
            </w:r>
          </w:p>
        </w:tc>
        <w:tc>
          <w:tcPr>
            <w:tcW w:w="100" w:type="dxa"/>
            <w:vAlign w:val="bottom"/>
          </w:tcPr>
          <w:p>
            <w:pPr>
              <w:spacing w:after="0"/>
              <w:rPr>
                <w:sz w:val="15"/>
                <w:szCs w:val="15"/>
                <w:color w:val="auto"/>
              </w:rPr>
            </w:pPr>
          </w:p>
        </w:tc>
        <w:tc>
          <w:tcPr>
            <w:tcW w:w="2320" w:type="dxa"/>
            <w:vAlign w:val="bottom"/>
            <w:gridSpan w:val="3"/>
          </w:tcPr>
          <w:p>
            <w:pPr>
              <w:jc w:val="right"/>
              <w:ind w:right="921"/>
              <w:spacing w:after="0"/>
              <w:rPr>
                <w:sz w:val="20"/>
                <w:szCs w:val="20"/>
                <w:color w:val="auto"/>
              </w:rPr>
            </w:pPr>
            <w:r>
              <w:rPr>
                <w:rFonts w:ascii="Courier New" w:cs="Courier New" w:eastAsia="Courier New" w:hAnsi="Courier New"/>
                <w:sz w:val="16"/>
                <w:szCs w:val="16"/>
                <w:color w:val="auto"/>
              </w:rPr>
              <w:t>JUNE 30,</w:t>
            </w:r>
          </w:p>
        </w:tc>
        <w:tc>
          <w:tcPr>
            <w:tcW w:w="140" w:type="dxa"/>
            <w:vAlign w:val="bottom"/>
          </w:tcPr>
          <w:p>
            <w:pPr>
              <w:spacing w:after="0"/>
              <w:rPr>
                <w:sz w:val="15"/>
                <w:szCs w:val="15"/>
                <w:color w:val="auto"/>
              </w:rPr>
            </w:pPr>
          </w:p>
        </w:tc>
        <w:tc>
          <w:tcPr>
            <w:tcW w:w="1140" w:type="dxa"/>
            <w:vAlign w:val="bottom"/>
            <w:gridSpan w:val="3"/>
          </w:tcPr>
          <w:p>
            <w:pPr>
              <w:ind w:left="380"/>
              <w:spacing w:after="0"/>
              <w:rPr>
                <w:sz w:val="20"/>
                <w:szCs w:val="20"/>
                <w:color w:val="auto"/>
              </w:rPr>
            </w:pPr>
            <w:r>
              <w:rPr>
                <w:rFonts w:ascii="Courier New" w:cs="Courier New" w:eastAsia="Courier New" w:hAnsi="Courier New"/>
                <w:sz w:val="16"/>
                <w:szCs w:val="16"/>
                <w:color w:val="auto"/>
                <w:w w:val="96"/>
              </w:rPr>
              <w:t>JUNE 30,</w:t>
            </w:r>
          </w:p>
        </w:tc>
        <w:tc>
          <w:tcPr>
            <w:tcW w:w="102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3300" w:type="dxa"/>
            <w:vAlign w:val="bottom"/>
            <w:gridSpan w:val="6"/>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23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216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w:t>
            </w:r>
          </w:p>
        </w:tc>
      </w:tr>
      <w:tr>
        <w:trPr>
          <w:trHeight w:val="182"/>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1992</w:t>
            </w:r>
          </w:p>
        </w:tc>
        <w:tc>
          <w:tcPr>
            <w:tcW w:w="24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1993</w:t>
            </w:r>
          </w:p>
        </w:tc>
        <w:tc>
          <w:tcPr>
            <w:tcW w:w="3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1994</w:t>
            </w:r>
          </w:p>
        </w:tc>
        <w:tc>
          <w:tcPr>
            <w:tcW w:w="100" w:type="dxa"/>
            <w:vAlign w:val="bottom"/>
          </w:tcPr>
          <w:p>
            <w:pPr>
              <w:spacing w:after="0"/>
              <w:rPr>
                <w:sz w:val="15"/>
                <w:szCs w:val="15"/>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6"/>
                <w:szCs w:val="16"/>
                <w:color w:val="auto"/>
              </w:rPr>
              <w:t>1994</w:t>
            </w:r>
          </w:p>
        </w:tc>
        <w:tc>
          <w:tcPr>
            <w:tcW w:w="200" w:type="dxa"/>
            <w:vAlign w:val="bottom"/>
          </w:tcPr>
          <w:p>
            <w:pPr>
              <w:spacing w:after="0"/>
              <w:rPr>
                <w:sz w:val="15"/>
                <w:szCs w:val="15"/>
                <w:color w:val="auto"/>
              </w:rPr>
            </w:pPr>
          </w:p>
        </w:tc>
        <w:tc>
          <w:tcPr>
            <w:tcW w:w="11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5"/>
                <w:szCs w:val="15"/>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14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r>
      <w:tr>
        <w:trPr>
          <w:trHeight w:val="182"/>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40" w:type="dxa"/>
            <w:vAlign w:val="bottom"/>
            <w:gridSpan w:val="6"/>
          </w:tcPr>
          <w:p>
            <w:pPr>
              <w:spacing w:after="0"/>
              <w:rPr>
                <w:sz w:val="20"/>
                <w:szCs w:val="20"/>
                <w:color w:val="auto"/>
              </w:rPr>
            </w:pPr>
            <w:r>
              <w:rPr>
                <w:rFonts w:ascii="Courier New" w:cs="Courier New" w:eastAsia="Courier New" w:hAnsi="Courier New"/>
                <w:sz w:val="16"/>
                <w:szCs w:val="16"/>
                <w:color w:val="auto"/>
                <w:w w:val="99"/>
              </w:rPr>
              <w:t>(IN THOUSANDS, EXCEPT PER SHARE AMOUNTS)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46"/>
        </w:trPr>
        <w:tc>
          <w:tcPr>
            <w:tcW w:w="350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2"/>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Operating 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351,359</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$382,234</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$434,224</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113,514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111,229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211,485</w:t>
            </w:r>
          </w:p>
        </w:tc>
        <w:tc>
          <w:tcPr>
            <w:tcW w:w="140" w:type="dxa"/>
            <w:vAlign w:val="bottom"/>
          </w:tcPr>
          <w:p>
            <w:pPr>
              <w:spacing w:after="0"/>
              <w:rPr>
                <w:sz w:val="15"/>
                <w:szCs w:val="15"/>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5"/>
              </w:rPr>
              <w:t>212,471</w:t>
            </w:r>
          </w:p>
        </w:tc>
      </w:tr>
      <w:tr>
        <w:trPr>
          <w:trHeight w:val="182"/>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Costs and expenses: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Operating</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208,928</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217,345</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257,370</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66,754</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63,597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124,987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5"/>
              </w:rPr>
              <w:t>121,877</w:t>
            </w: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75,426</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66,968</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71,500</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18,491</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16,941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34,626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33,831</w:t>
            </w: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Nonrecurring charges</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51,047</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2,672</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8,863</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4,040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4,733</w:t>
            </w: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Merger costs</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3,782(1)</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3,782(1)</w:t>
            </w:r>
          </w:p>
        </w:tc>
        <w:tc>
          <w:tcPr>
            <w:tcW w:w="20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25,073(2)</w:t>
            </w: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3,782(1)</w:t>
            </w:r>
          </w:p>
        </w:tc>
        <w:tc>
          <w:tcPr>
            <w:tcW w:w="200" w:type="dxa"/>
            <w:vAlign w:val="bottom"/>
          </w:tcPr>
          <w:p>
            <w:pPr>
              <w:spacing w:after="0"/>
              <w:rPr>
                <w:sz w:val="15"/>
                <w:szCs w:val="15"/>
                <w:color w:val="auto"/>
              </w:rPr>
            </w:pPr>
          </w:p>
        </w:tc>
        <w:tc>
          <w:tcPr>
            <w:tcW w:w="10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25,073(2)</w:t>
            </w: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44,139</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52,222</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56,139</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14,795</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14,222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28,455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27,201</w:t>
            </w:r>
          </w:p>
        </w:tc>
      </w:tr>
      <w:tr>
        <w:trPr>
          <w:trHeight w:val="182"/>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379,540</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339,207</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397,654</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103,822</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123,873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191,850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5"/>
              </w:rPr>
              <w:t>212,715</w:t>
            </w:r>
          </w:p>
        </w:tc>
      </w:tr>
      <w:tr>
        <w:trPr>
          <w:trHeight w:val="182"/>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Income (loss) from operations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(28,181)</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43,027</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36,570</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9,692</w:t>
            </w:r>
          </w:p>
        </w:tc>
        <w:tc>
          <w:tcPr>
            <w:tcW w:w="20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(12,644)(3)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19,635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(244)(3)</w:t>
            </w:r>
          </w:p>
        </w:tc>
      </w:tr>
      <w:tr>
        <w:trPr>
          <w:trHeight w:val="182"/>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Stockholder settlement and other</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3500" w:type="dxa"/>
            <w:vAlign w:val="bottom"/>
          </w:tcPr>
          <w:p>
            <w:pPr>
              <w:ind w:left="560"/>
              <w:spacing w:after="0"/>
              <w:rPr>
                <w:sz w:val="20"/>
                <w:szCs w:val="20"/>
                <w:color w:val="auto"/>
              </w:rPr>
            </w:pPr>
            <w:r>
              <w:rPr>
                <w:rFonts w:ascii="Courier New" w:cs="Courier New" w:eastAsia="Courier New" w:hAnsi="Courier New"/>
                <w:sz w:val="16"/>
                <w:szCs w:val="16"/>
                <w:color w:val="auto"/>
              </w:rPr>
              <w:t>litigation related costs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(10,853)</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(5,500)</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(79,400)</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3500" w:type="dxa"/>
            <w:vAlign w:val="bottom"/>
          </w:tcPr>
          <w:p>
            <w:pPr>
              <w:ind w:left="560"/>
              <w:spacing w:after="0"/>
              <w:rPr>
                <w:sz w:val="20"/>
                <w:szCs w:val="20"/>
                <w:color w:val="auto"/>
              </w:rPr>
            </w:pPr>
            <w:r>
              <w:rPr>
                <w:rFonts w:ascii="Courier New" w:cs="Courier New" w:eastAsia="Courier New" w:hAnsi="Courier New"/>
                <w:sz w:val="16"/>
                <w:szCs w:val="16"/>
                <w:color w:val="auto"/>
              </w:rPr>
              <w:t>Early redemption premiums,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3500" w:type="dxa"/>
            <w:vAlign w:val="bottom"/>
          </w:tcPr>
          <w:p>
            <w:pPr>
              <w:ind w:left="760"/>
              <w:spacing w:after="0"/>
              <w:rPr>
                <w:sz w:val="20"/>
                <w:szCs w:val="20"/>
                <w:color w:val="auto"/>
              </w:rPr>
            </w:pPr>
            <w:r>
              <w:rPr>
                <w:rFonts w:ascii="Courier New" w:cs="Courier New" w:eastAsia="Courier New" w:hAnsi="Courier New"/>
                <w:sz w:val="16"/>
                <w:szCs w:val="16"/>
                <w:color w:val="auto"/>
              </w:rPr>
              <w:t>fees and nonrecurring</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3500" w:type="dxa"/>
            <w:vAlign w:val="bottom"/>
          </w:tcPr>
          <w:p>
            <w:pPr>
              <w:ind w:left="760"/>
              <w:spacing w:after="0"/>
              <w:rPr>
                <w:sz w:val="20"/>
                <w:szCs w:val="20"/>
                <w:color w:val="auto"/>
              </w:rPr>
            </w:pPr>
            <w:r>
              <w:rPr>
                <w:rFonts w:ascii="Courier New" w:cs="Courier New" w:eastAsia="Courier New" w:hAnsi="Courier New"/>
                <w:sz w:val="16"/>
                <w:szCs w:val="16"/>
                <w:color w:val="auto"/>
              </w:rPr>
              <w:t>interest</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(1,254)</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(7,481)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6"/>
                <w:szCs w:val="16"/>
                <w:color w:val="auto"/>
                <w:w w:val="96"/>
              </w:rPr>
              <w:t>(10,994)</w:t>
            </w:r>
          </w:p>
        </w:tc>
      </w:tr>
      <w:tr>
        <w:trPr>
          <w:trHeight w:val="182"/>
        </w:trPr>
        <w:tc>
          <w:tcPr>
            <w:tcW w:w="3500" w:type="dxa"/>
            <w:vAlign w:val="bottom"/>
          </w:tcPr>
          <w:p>
            <w:pPr>
              <w:ind w:left="560"/>
              <w:spacing w:after="0"/>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(35,840)</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(35,975)</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(32,084)</w:t>
            </w:r>
          </w:p>
        </w:tc>
        <w:tc>
          <w:tcPr>
            <w:tcW w:w="10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(8,368)</w:t>
            </w:r>
          </w:p>
        </w:tc>
        <w:tc>
          <w:tcPr>
            <w:tcW w:w="20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(7,890)</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(16,507)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6"/>
                <w:szCs w:val="16"/>
                <w:color w:val="auto"/>
                <w:w w:val="96"/>
              </w:rPr>
              <w:t>(16,103)</w:t>
            </w: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Interest income</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5,435</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3,539</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2,641</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820</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751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1,397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1,483</w:t>
            </w: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Other, net</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1,699</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1,915</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1,877</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381</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541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1,367</w:t>
            </w:r>
          </w:p>
        </w:tc>
      </w:tr>
      <w:tr>
        <w:trPr>
          <w:trHeight w:val="182"/>
        </w:trPr>
        <w:tc>
          <w:tcPr>
            <w:tcW w:w="3500" w:type="dxa"/>
            <w:vAlign w:val="bottom"/>
          </w:tcPr>
          <w:p>
            <w:pPr>
              <w:ind w:left="560"/>
              <w:spacing w:after="0"/>
              <w:rPr>
                <w:sz w:val="20"/>
                <w:szCs w:val="20"/>
                <w:color w:val="auto"/>
              </w:rPr>
            </w:pPr>
            <w:r>
              <w:rPr>
                <w:rFonts w:ascii="Courier New" w:cs="Courier New" w:eastAsia="Courier New" w:hAnsi="Courier New"/>
                <w:sz w:val="16"/>
                <w:szCs w:val="16"/>
                <w:color w:val="auto"/>
              </w:rPr>
              <w:t>Total other income</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3500" w:type="dxa"/>
            <w:vAlign w:val="bottom"/>
          </w:tcPr>
          <w:p>
            <w:pPr>
              <w:ind w:left="560"/>
              <w:spacing w:after="0"/>
              <w:rPr>
                <w:sz w:val="20"/>
                <w:szCs w:val="20"/>
                <w:color w:val="auto"/>
              </w:rPr>
            </w:pPr>
            <w:r>
              <w:rPr>
                <w:rFonts w:ascii="Courier New" w:cs="Courier New" w:eastAsia="Courier New" w:hAnsi="Courier New"/>
                <w:sz w:val="16"/>
                <w:szCs w:val="16"/>
                <w:color w:val="auto"/>
              </w:rPr>
              <w:t>(expense)</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(39,559)</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(36,021)</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(108,940)</w:t>
            </w:r>
          </w:p>
        </w:tc>
        <w:tc>
          <w:tcPr>
            <w:tcW w:w="10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(7,167)</w:t>
            </w:r>
          </w:p>
        </w:tc>
        <w:tc>
          <w:tcPr>
            <w:tcW w:w="20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6"/>
              </w:rPr>
              <w:t>(14,366)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(14,569)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6"/>
                <w:szCs w:val="16"/>
                <w:color w:val="auto"/>
                <w:w w:val="96"/>
              </w:rPr>
              <w:t>(24,247)</w:t>
            </w:r>
          </w:p>
        </w:tc>
      </w:tr>
      <w:tr>
        <w:trPr>
          <w:trHeight w:val="182"/>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Income (loss) before income taxes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(67,740)</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7,066</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(72,370)</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2,525</w:t>
            </w:r>
          </w:p>
        </w:tc>
        <w:tc>
          <w:tcPr>
            <w:tcW w:w="20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6"/>
              </w:rPr>
              <w:t>(27,010)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5,066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6"/>
                <w:szCs w:val="16"/>
                <w:color w:val="auto"/>
                <w:w w:val="96"/>
              </w:rPr>
              <w:t>(24,491)</w:t>
            </w:r>
          </w:p>
        </w:tc>
      </w:tr>
      <w:tr>
        <w:trPr>
          <w:trHeight w:val="182"/>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Income tax provision (4)</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479</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6,018</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3,908</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729</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829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2,148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3,166</w:t>
            </w:r>
          </w:p>
        </w:tc>
      </w:tr>
      <w:tr>
        <w:trPr>
          <w:trHeight w:val="182"/>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Income (loss) from continuing</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(68,219)</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988</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(76,278)</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1,796</w:t>
            </w:r>
          </w:p>
        </w:tc>
        <w:tc>
          <w:tcPr>
            <w:tcW w:w="20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6"/>
              </w:rPr>
              <w:t>(27,839)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2,918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6"/>
                <w:szCs w:val="16"/>
                <w:color w:val="auto"/>
                <w:w w:val="96"/>
              </w:rPr>
              <w:t>(27,657)</w:t>
            </w:r>
          </w:p>
        </w:tc>
      </w:tr>
      <w:tr>
        <w:trPr>
          <w:trHeight w:val="182"/>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(Loss) from discontinued operations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(1,407)</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Gain on discontinued operations,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net of income taxes</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1,836</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Extraordinary income from forgive-</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w w:val="97"/>
              </w:rPr>
              <w:t>ness of debt, net of income taxes</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10,066</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Net income (loss)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(57,724)</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988</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(76,278)</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1,796</w:t>
            </w:r>
          </w:p>
        </w:tc>
        <w:tc>
          <w:tcPr>
            <w:tcW w:w="20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(27,839)(5)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2,918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4"/>
              </w:rPr>
              <w:t>(27,657)(5)</w:t>
            </w:r>
          </w:p>
        </w:tc>
      </w:tr>
      <w:tr>
        <w:trPr>
          <w:trHeight w:val="182"/>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Preferred dividends</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152</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582</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565</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185</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Income (loss) available to</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common shareholders</w:t>
            </w:r>
          </w:p>
        </w:tc>
        <w:tc>
          <w:tcPr>
            <w:tcW w:w="180" w:type="dxa"/>
            <w:vAlign w:val="bottom"/>
          </w:tcPr>
          <w:p>
            <w:pPr>
              <w:jc w:val="right"/>
              <w:ind w:right="3"/>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(57,876)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406</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(76,843)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1,611</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6"/>
              </w:rPr>
              <w:t>(27,839)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2,353</w:t>
            </w:r>
          </w:p>
        </w:tc>
        <w:tc>
          <w:tcPr>
            <w:tcW w:w="140" w:type="dxa"/>
            <w:vAlign w:val="bottom"/>
          </w:tcPr>
          <w:p>
            <w:pPr>
              <w:spacing w:after="0"/>
              <w:rPr>
                <w:sz w:val="15"/>
                <w:szCs w:val="15"/>
                <w:color w:val="auto"/>
              </w:rPr>
            </w:pP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181"/>
              <w:spacing w:after="0"/>
              <w:rPr>
                <w:sz w:val="20"/>
                <w:szCs w:val="20"/>
                <w:color w:val="auto"/>
              </w:rPr>
            </w:pPr>
            <w:r>
              <w:rPr>
                <w:rFonts w:ascii="Courier New" w:cs="Courier New" w:eastAsia="Courier New" w:hAnsi="Courier New"/>
                <w:sz w:val="16"/>
                <w:szCs w:val="16"/>
                <w:color w:val="auto"/>
                <w:w w:val="96"/>
              </w:rPr>
              <w:t>(27,657)</w:t>
            </w:r>
          </w:p>
        </w:tc>
      </w:tr>
      <w:tr>
        <w:trPr>
          <w:trHeight w:val="364"/>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Income (loss) from continuing</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operations per share</w:t>
            </w:r>
          </w:p>
        </w:tc>
        <w:tc>
          <w:tcPr>
            <w:tcW w:w="180" w:type="dxa"/>
            <w:vAlign w:val="bottom"/>
          </w:tcPr>
          <w:p>
            <w:pPr>
              <w:jc w:val="right"/>
              <w:ind w:right="3"/>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0.03</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(0.54)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(0.54)</w:t>
            </w:r>
          </w:p>
        </w:tc>
      </w:tr>
      <w:tr>
        <w:trPr>
          <w:trHeight w:val="364"/>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Income (loss) per common share</w:t>
            </w:r>
          </w:p>
        </w:tc>
        <w:tc>
          <w:tcPr>
            <w:tcW w:w="180" w:type="dxa"/>
            <w:vAlign w:val="bottom"/>
          </w:tcPr>
          <w:p>
            <w:pPr>
              <w:jc w:val="right"/>
              <w:ind w:right="3"/>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0.03</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(0.54)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4"/>
                <w:szCs w:val="24"/>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(0.54)</w:t>
            </w:r>
          </w:p>
        </w:tc>
      </w:tr>
      <w:tr>
        <w:trPr>
          <w:trHeight w:val="364"/>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Weighted average number of common</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2"/>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and common equivalent shares</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42,707</w:t>
            </w:r>
          </w:p>
        </w:tc>
        <w:tc>
          <w:tcPr>
            <w:tcW w:w="24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45,885</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49,671</w:t>
            </w:r>
          </w:p>
        </w:tc>
        <w:tc>
          <w:tcPr>
            <w:tcW w:w="1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49,199</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51,704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48,880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51,409</w:t>
            </w:r>
          </w:p>
        </w:tc>
      </w:tr>
    </w:tbl>
    <w:p>
      <w:pPr>
        <w:spacing w:after="0" w:line="200" w:lineRule="exact"/>
        <w:rPr>
          <w:sz w:val="20"/>
          <w:szCs w:val="20"/>
          <w:color w:val="auto"/>
        </w:rPr>
      </w:pPr>
    </w:p>
    <w:p>
      <w:pPr>
        <w:sectPr>
          <w:pgSz w:w="11900" w:h="16857" w:orient="portrait"/>
          <w:cols w:equalWidth="0" w:num="1">
            <w:col w:w="11520"/>
          </w:cols>
          <w:pgMar w:left="240" w:top="295"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57" w:orient="portrait"/>
          <w:cols w:equalWidth="0" w:num="1">
            <w:col w:w="11520"/>
          </w:cols>
          <w:pgMar w:left="240" w:top="295" w:right="139" w:bottom="0" w:gutter="0" w:footer="0" w:header="0"/>
          <w:type w:val="continuous"/>
        </w:sectPr>
      </w:pPr>
    </w:p>
    <w:bookmarkStart w:id="9" w:name="page10"/>
    <w:bookmarkEnd w:id="9"/>
    <w:tbl>
      <w:tblPr>
        <w:tblLayout w:type="fixed"/>
        <w:tblInd w:w="3" w:type="dxa"/>
        <w:tblCellMar>
          <w:top w:w="0" w:type="dxa"/>
          <w:left w:w="0" w:type="dxa"/>
          <w:bottom w:w="0" w:type="dxa"/>
          <w:right w:w="0" w:type="dxa"/>
        </w:tblCellMar>
      </w:tblPr>
      <w:tr>
        <w:trPr>
          <w:trHeight w:val="181"/>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10</w:t>
            </w:r>
          </w:p>
        </w:tc>
        <w:tc>
          <w:tcPr>
            <w:tcW w:w="1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546"/>
        </w:trPr>
        <w:tc>
          <w:tcPr>
            <w:tcW w:w="7460" w:type="dxa"/>
            <w:vAlign w:val="bottom"/>
          </w:tcPr>
          <w:p>
            <w:pPr>
              <w:spacing w:after="0"/>
              <w:rPr>
                <w:sz w:val="24"/>
                <w:szCs w:val="2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OF JUNE 30,</w:t>
            </w:r>
          </w:p>
        </w:tc>
        <w:tc>
          <w:tcPr>
            <w:tcW w:w="9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7460" w:type="dxa"/>
            <w:vAlign w:val="bottom"/>
          </w:tcPr>
          <w:p>
            <w:pPr>
              <w:spacing w:after="0"/>
              <w:rPr>
                <w:sz w:val="15"/>
                <w:szCs w:val="15"/>
                <w:color w:val="auto"/>
              </w:rPr>
            </w:pPr>
          </w:p>
        </w:tc>
        <w:tc>
          <w:tcPr>
            <w:tcW w:w="322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2"/>
        </w:trPr>
        <w:tc>
          <w:tcPr>
            <w:tcW w:w="746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ACTUAL</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ADJUSTED(6)</w:t>
            </w:r>
          </w:p>
        </w:tc>
      </w:tr>
      <w:tr>
        <w:trPr>
          <w:trHeight w:val="182"/>
        </w:trPr>
        <w:tc>
          <w:tcPr>
            <w:tcW w:w="746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746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2"/>
        </w:trPr>
        <w:tc>
          <w:tcPr>
            <w:tcW w:w="7460" w:type="dxa"/>
            <w:vAlign w:val="bottom"/>
          </w:tcPr>
          <w:p>
            <w:pPr>
              <w:ind w:left="100"/>
              <w:spacing w:after="0"/>
              <w:rPr>
                <w:sz w:val="20"/>
                <w:szCs w:val="20"/>
                <w:color w:val="auto"/>
              </w:rPr>
            </w:pPr>
            <w:r>
              <w:rPr>
                <w:rFonts w:ascii="Courier New" w:cs="Courier New" w:eastAsia="Courier New" w:hAnsi="Courier New"/>
                <w:sz w:val="16"/>
                <w:szCs w:val="16"/>
                <w:color w:val="auto"/>
              </w:rPr>
              <w:t>Cash and cash equivalents  . . . . . . . . . . . . . . . . . . . . . . . .</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41,710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42,608</w:t>
            </w:r>
          </w:p>
        </w:tc>
      </w:tr>
      <w:tr>
        <w:trPr>
          <w:trHeight w:val="182"/>
        </w:trPr>
        <w:tc>
          <w:tcPr>
            <w:tcW w:w="7460" w:type="dxa"/>
            <w:vAlign w:val="bottom"/>
          </w:tcPr>
          <w:p>
            <w:pPr>
              <w:ind w:left="100"/>
              <w:spacing w:after="0"/>
              <w:rPr>
                <w:sz w:val="20"/>
                <w:szCs w:val="20"/>
                <w:color w:val="auto"/>
              </w:rPr>
            </w:pPr>
            <w:r>
              <w:rPr>
                <w:rFonts w:ascii="Courier New" w:cs="Courier New" w:eastAsia="Courier New" w:hAnsi="Courier New"/>
                <w:sz w:val="16"/>
                <w:szCs w:val="16"/>
                <w:color w:val="auto"/>
                <w:w w:val="98"/>
              </w:rPr>
              <w:t>Working capital. . . . . . . . . . . . . . . . . . . . . . . . . . . .</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4,404</w:t>
            </w:r>
          </w:p>
        </w:tc>
        <w:tc>
          <w:tcPr>
            <w:tcW w:w="68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7,385</w:t>
            </w:r>
          </w:p>
        </w:tc>
      </w:tr>
      <w:tr>
        <w:trPr>
          <w:trHeight w:val="182"/>
        </w:trPr>
        <w:tc>
          <w:tcPr>
            <w:tcW w:w="7460" w:type="dxa"/>
            <w:vAlign w:val="bottom"/>
          </w:tcPr>
          <w:p>
            <w:pPr>
              <w:ind w:left="100"/>
              <w:spacing w:after="0"/>
              <w:rPr>
                <w:sz w:val="20"/>
                <w:szCs w:val="20"/>
                <w:color w:val="auto"/>
              </w:rPr>
            </w:pPr>
            <w:r>
              <w:rPr>
                <w:rFonts w:ascii="Courier New" w:cs="Courier New" w:eastAsia="Courier New" w:hAnsi="Courier New"/>
                <w:sz w:val="16"/>
                <w:szCs w:val="16"/>
                <w:color w:val="auto"/>
              </w:rPr>
              <w:t>Total assets   . . . . . . . . . . . . . . . . . . . . . . . . . . . . . .</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813,708</w:t>
            </w:r>
          </w:p>
        </w:tc>
        <w:tc>
          <w:tcPr>
            <w:tcW w:w="68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814,606</w:t>
            </w:r>
          </w:p>
        </w:tc>
      </w:tr>
      <w:tr>
        <w:trPr>
          <w:trHeight w:val="182"/>
        </w:trPr>
        <w:tc>
          <w:tcPr>
            <w:tcW w:w="7460" w:type="dxa"/>
            <w:vAlign w:val="bottom"/>
          </w:tcPr>
          <w:p>
            <w:pPr>
              <w:ind w:left="100"/>
              <w:spacing w:after="0"/>
              <w:rPr>
                <w:sz w:val="20"/>
                <w:szCs w:val="20"/>
                <w:color w:val="auto"/>
              </w:rPr>
            </w:pPr>
            <w:r>
              <w:rPr>
                <w:rFonts w:ascii="Courier New" w:cs="Courier New" w:eastAsia="Courier New" w:hAnsi="Courier New"/>
                <w:sz w:val="16"/>
                <w:szCs w:val="16"/>
                <w:color w:val="auto"/>
              </w:rPr>
              <w:t>Long-term debt, excluding</w:t>
            </w:r>
          </w:p>
        </w:tc>
        <w:tc>
          <w:tcPr>
            <w:tcW w:w="1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7460" w:type="dxa"/>
            <w:vAlign w:val="bottom"/>
          </w:tcPr>
          <w:p>
            <w:pPr>
              <w:ind w:left="380"/>
              <w:spacing w:after="0"/>
              <w:rPr>
                <w:sz w:val="20"/>
                <w:szCs w:val="20"/>
                <w:color w:val="auto"/>
              </w:rPr>
            </w:pPr>
            <w:r>
              <w:rPr>
                <w:rFonts w:ascii="Courier New" w:cs="Courier New" w:eastAsia="Courier New" w:hAnsi="Courier New"/>
                <w:sz w:val="16"/>
                <w:szCs w:val="16"/>
                <w:color w:val="auto"/>
              </w:rPr>
              <w:t>current maturities  . . . . . . . . . . . . . . . . . . . . . . . . . .</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444,270</w:t>
            </w:r>
          </w:p>
        </w:tc>
        <w:tc>
          <w:tcPr>
            <w:tcW w:w="68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329,507</w:t>
            </w:r>
          </w:p>
        </w:tc>
      </w:tr>
      <w:tr>
        <w:trPr>
          <w:trHeight w:val="182"/>
        </w:trPr>
        <w:tc>
          <w:tcPr>
            <w:tcW w:w="7460" w:type="dxa"/>
            <w:vAlign w:val="bottom"/>
          </w:tcPr>
          <w:p>
            <w:pPr>
              <w:ind w:left="100"/>
              <w:spacing w:after="0"/>
              <w:rPr>
                <w:sz w:val="20"/>
                <w:szCs w:val="20"/>
                <w:color w:val="auto"/>
              </w:rPr>
            </w:pPr>
            <w:r>
              <w:rPr>
                <w:rFonts w:ascii="Courier New" w:cs="Courier New" w:eastAsia="Courier New" w:hAnsi="Courier New"/>
                <w:sz w:val="16"/>
                <w:szCs w:val="16"/>
                <w:color w:val="auto"/>
              </w:rPr>
              <w:t>Stockholders' equity   . . . . . . . . . . . . . . . . . . . . . . . . . .</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137,709</w:t>
            </w:r>
          </w:p>
        </w:tc>
        <w:tc>
          <w:tcPr>
            <w:tcW w:w="68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305,450</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563" w:right="3680" w:hanging="563"/>
        <w:spacing w:after="0" w:line="237" w:lineRule="auto"/>
        <w:tabs>
          <w:tab w:leader="none" w:pos="5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nonrecurring costs related to the merger of the Company and Envirofil, Inc. on May 27, 1994.</w:t>
      </w:r>
    </w:p>
    <w:p>
      <w:pPr>
        <w:spacing w:after="0" w:line="187" w:lineRule="exact"/>
        <w:rPr>
          <w:rFonts w:ascii="Courier New" w:cs="Courier New" w:eastAsia="Courier New" w:hAnsi="Courier New"/>
          <w:sz w:val="16"/>
          <w:szCs w:val="16"/>
          <w:color w:val="auto"/>
        </w:rPr>
      </w:pPr>
    </w:p>
    <w:p>
      <w:pPr>
        <w:ind w:left="563" w:right="3220" w:hanging="563"/>
        <w:spacing w:after="0" w:line="239" w:lineRule="auto"/>
        <w:tabs>
          <w:tab w:leader="none" w:pos="5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nonrecurring costs related to the Chambers Merger, consisting of transaction costs ($11.9 million), severance and other termination benefits ($9.5 million), and nonrecurring costs relating to the integration of the operations of the combined companies ($3.7 million).</w:t>
      </w:r>
    </w:p>
    <w:p>
      <w:pPr>
        <w:spacing w:after="0" w:line="187" w:lineRule="exact"/>
        <w:rPr>
          <w:rFonts w:ascii="Courier New" w:cs="Courier New" w:eastAsia="Courier New" w:hAnsi="Courier New"/>
          <w:sz w:val="16"/>
          <w:szCs w:val="16"/>
          <w:color w:val="auto"/>
        </w:rPr>
      </w:pPr>
    </w:p>
    <w:p>
      <w:pPr>
        <w:jc w:val="both"/>
        <w:ind w:left="563" w:right="3500" w:hanging="563"/>
        <w:spacing w:after="0" w:line="238" w:lineRule="auto"/>
        <w:tabs>
          <w:tab w:leader="none" w:pos="5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 from operations excluding unusual items and merger costs was $16.5 million and $29.6 million for the three and six months ended June 30, 1995, respectively.</w:t>
      </w:r>
    </w:p>
    <w:p>
      <w:pPr>
        <w:spacing w:after="0" w:line="188" w:lineRule="exact"/>
        <w:rPr>
          <w:rFonts w:ascii="Courier New" w:cs="Courier New" w:eastAsia="Courier New" w:hAnsi="Courier New"/>
          <w:sz w:val="16"/>
          <w:szCs w:val="16"/>
          <w:color w:val="auto"/>
        </w:rPr>
      </w:pPr>
    </w:p>
    <w:p>
      <w:pPr>
        <w:ind w:left="563" w:right="3220" w:hanging="563"/>
        <w:spacing w:after="0" w:line="256" w:lineRule="auto"/>
        <w:tabs>
          <w:tab w:leader="none" w:pos="56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utilize Chambers' net operating loss carryforwards to offset future income for federal income tax purposes. As a result of an issuance of Common Stock in connection with one of the acquisitions in August 1995, an "ownership change" within the meaning of Section 382 of the Internal Revenue Code of 1986, as amended, occurred, which will limit the Company's potential utilization of Chambers' net operating loss carry forwards to a maximum of approximately $32 million on an annual basis.</w:t>
      </w:r>
    </w:p>
    <w:p>
      <w:pPr>
        <w:spacing w:after="0" w:line="4" w:lineRule="exact"/>
        <w:rPr>
          <w:rFonts w:ascii="Courier New" w:cs="Courier New" w:eastAsia="Courier New" w:hAnsi="Courier New"/>
          <w:sz w:val="15"/>
          <w:szCs w:val="15"/>
          <w:color w:val="auto"/>
        </w:rPr>
      </w:pPr>
    </w:p>
    <w:p>
      <w:pPr>
        <w:ind w:left="563" w:right="3220"/>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In connection with the settlement relating to certain stockholder litigation of Chambers, the Company made a settlement payment of $75.6 million for the benefit of certain Chambers stockholders. The portion of such payment that is not characterized as a return of capital to such stockholders may be available as a deduction to the Company to offset taxable income.</w:t>
      </w:r>
    </w:p>
    <w:p>
      <w:pPr>
        <w:spacing w:after="0" w:line="190" w:lineRule="exact"/>
        <w:rPr>
          <w:rFonts w:ascii="Courier New" w:cs="Courier New" w:eastAsia="Courier New" w:hAnsi="Courier New"/>
          <w:sz w:val="15"/>
          <w:szCs w:val="15"/>
          <w:color w:val="auto"/>
        </w:rPr>
      </w:pPr>
    </w:p>
    <w:p>
      <w:pPr>
        <w:ind w:left="563" w:right="3220" w:hanging="563"/>
        <w:spacing w:after="0" w:line="262" w:lineRule="auto"/>
        <w:tabs>
          <w:tab w:leader="none" w:pos="56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(loss) before unusual items, merger costs and early redemption premiums, fees and nonrecurring interest was $7.7 million and $11.6 million for the three and six months ended June 30, 1995, respectively.</w:t>
      </w:r>
    </w:p>
    <w:p>
      <w:pPr>
        <w:spacing w:after="0" w:line="171" w:lineRule="exact"/>
        <w:rPr>
          <w:rFonts w:ascii="Courier New" w:cs="Courier New" w:eastAsia="Courier New" w:hAnsi="Courier New"/>
          <w:sz w:val="15"/>
          <w:szCs w:val="15"/>
          <w:color w:val="auto"/>
        </w:rPr>
      </w:pPr>
    </w:p>
    <w:p>
      <w:pPr>
        <w:ind w:left="563" w:right="3220" w:hanging="563"/>
        <w:spacing w:after="0" w:line="258" w:lineRule="auto"/>
        <w:tabs>
          <w:tab w:leader="none" w:pos="56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(i) additional borrowings by the Company subsequent to June 30, 1995, of $50.0 million under the Company's bank credit facility, (ii) the sale of approximately 6.3 million shares of Common Stock in the 1995 Offering, the net proceeds from which in the amount of approximately $117.9 million, were used to repay indebtedness outstanding under the credit facility, (iii) the receipt of approximately $1.3 million by the Company in connection with the issuance of 137,500 shares of Common Stock upon the exercise of stock purchase warrants, and (iv) the effect of retirement of the Convertible Debentures, assuming all Convertible Debentures are converted 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683"/>
          </w:cols>
          <w:pgMar w:left="237" w:top="295" w:right="979"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DESCRIPTION OF CAPITAL STOCK</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Company is authorized to issue 150,000,000 shares of Common Stock, par value $0.01 per share, of which 53,848,249 shares were outstanding at September 30, 1995. The Company is also authorized to issue 10,000,000 shares of Preferred Stock, $.01 par value (the ``Preferred Stock''), none of which are outstanding. On November 1, 1995, the Company called for redemption of the Convertible Debentures on December 11, 1995. On September 30, 1995, the outstanding principal amount of the Convertible Debentures was $48,030,000. The Convertible Debentures are convertible into Common Stock at $13.25 per share. If all of the Convertible Debentures are converted into Common Stock, the Company will issue approximately 3,624,905 additional shares.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Each holder of Common Stock is entitled to one vote per share held of record on each matter submitted to shareholders. Cumulative voting for the election of directors is not permitted, and the holders of a majority of shares voting for the election of directors can elect all members of the Board of Directors.</w:t>
      </w:r>
    </w:p>
    <w:p>
      <w:pPr>
        <w:spacing w:after="0" w:line="18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Subject to the rights of any holders of Preferred Stock, holders of record of shares of Common Stock are entitled to receive ratably dividends when and if declared by the Board of Directors out of funds of the Company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87" w:lineRule="exact"/>
        <w:rPr>
          <w:sz w:val="20"/>
          <w:szCs w:val="20"/>
          <w:color w:val="auto"/>
        </w:rPr>
      </w:pPr>
    </w:p>
    <w:p>
      <w:pPr>
        <w:ind w:right="3219" w:firstLine="473"/>
        <w:spacing w:after="0" w:line="239" w:lineRule="auto"/>
        <w:rPr>
          <w:sz w:val="20"/>
          <w:szCs w:val="20"/>
          <w:color w:val="auto"/>
        </w:rPr>
      </w:pPr>
      <w:r>
        <w:rPr>
          <w:rFonts w:ascii="Courier New" w:cs="Courier New" w:eastAsia="Courier New" w:hAnsi="Courier New"/>
          <w:sz w:val="16"/>
          <w:szCs w:val="16"/>
          <w:color w:val="auto"/>
        </w:rPr>
        <w:t>Holders of Common Stock have no conversion, redemption, or preemptive rights. All outstanding shares of Common Stock are, and the Shares offered hereby will be, upon issuance and sale, validly issued, fully paid, and nonassessable.</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6"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The Board of Directors is authorized, without further approval of the shareholders,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the Company, without shareholder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BUT UNISSUED SHARES</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Authorized but unissued shares of Common Stock or Preferred Stock can be reserved for issuance by the Board of Directors from time to time without further shareholder action for proper corporate purposes, including stock dividends or stock splits, raising equity capital, and structuring future corporate transactions, including acquisitions.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6" w:lineRule="exact"/>
        <w:rPr>
          <w:sz w:val="20"/>
          <w:szCs w:val="20"/>
          <w:color w:val="auto"/>
        </w:rPr>
      </w:pPr>
    </w:p>
    <w:p>
      <w:pPr>
        <w:ind w:right="3499" w:firstLine="473"/>
        <w:spacing w:after="0" w:line="237" w:lineRule="auto"/>
        <w:rPr>
          <w:sz w:val="20"/>
          <w:szCs w:val="20"/>
          <w:color w:val="auto"/>
        </w:rPr>
      </w:pPr>
      <w:r>
        <w:rPr>
          <w:rFonts w:ascii="Courier New" w:cs="Courier New" w:eastAsia="Courier New" w:hAnsi="Courier New"/>
          <w:sz w:val="16"/>
          <w:szCs w:val="16"/>
          <w:color w:val="auto"/>
        </w:rPr>
        <w:t>The transfer agent and registrar for the Common Stock is The First National Bank of Boston, Boston, Massachusetts.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OF LIABILITY AND INDEMNIFICATION OF OFFICERS AND DIRECTORS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Certificate of Incorporation of the Company provides that the directors of the Company shall not be liable to the Company or its shareholders for monetary damages for breach of fiduciary duty as a director to the fullest extent permitted by the Delaware General Corporation Law (the "DGCL"). The foregoing limitation does not eliminate or limit the liability of a director for any breach of a director's duty of loyalty to the Company or its shareholders,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Certificate of Incorporation of</w:t>
      </w:r>
    </w:p>
    <w:p>
      <w:pPr>
        <w:sectPr>
          <w:pgSz w:w="11900" w:h="16838" w:orient="portrait"/>
          <w:cols w:equalWidth="0" w:num="1">
            <w:col w:w="10219"/>
          </w:cols>
          <w:pgMar w:left="240" w:top="295" w:right="1440" w:bottom="8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5" w:right="1440" w:bottom="89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the Company also provides that the Company shall indemnify, and advance litigation expenses to, its officers, directors, employees, and agents to the fullest extent permitted by the DGCL and all other laws of the State of Delaware.</w:t>
      </w:r>
    </w:p>
    <w:p>
      <w:pPr>
        <w:spacing w:after="0" w:line="187"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The DGCL provides that the Company has the power to indemnify any person who is sued or threatened to be made a named party in a proceeding, other than an action by or in the right of the Company, because such person is or was a director, officer, employee, or agent of the Company or is or was serving at the request of the Company as a director, officer, employee, or agent of another corporation, partnership, joint venture, trust, or other enterprise, against expenses actually and reasonably incurred by him in connection with such proceeding. In order to be indemnified, the person must have (1) acted in good faith; (2) acted in a manner he reasonably believed to be in or not opposed to the best interests of the Company; and (3) with respect to any criminal action or proceeding, had no reasonable cause to believe his conduct was unlawful. The indemnification includes attorneys' fees, judgments, fines, and amounts paid in settlement.</w:t>
      </w:r>
    </w:p>
    <w:p>
      <w:pPr>
        <w:spacing w:after="0" w:line="190"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The DGCL also provides that the Company may indemnify any person who is sued or threatened to be made a named party in a proceeding by or in the right of the Company to procure a judgment in its favor because such person is or was a director, officer, employee, or agent of the Company, or is or was serving at the request of the Company as a director, officer, employee, or agent of another corporation, partnership, joint venture, trust, or other enterprise. In order to be indemnified, the person must have conducted himself in good faith and in a manner he reasonably believed to be in or not opposed to the best interests of the Company. No indemnification may be made, however, with respect to any claim, issue, or matter as to which such person shall have been judged to be liable to the Company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81" w:lineRule="exact"/>
        <w:rPr>
          <w:sz w:val="20"/>
          <w:szCs w:val="20"/>
          <w:color w:val="auto"/>
        </w:rPr>
      </w:pPr>
    </w:p>
    <w:p>
      <w:pPr>
        <w:ind w:right="2939" w:firstLine="473"/>
        <w:spacing w:after="0"/>
        <w:rPr>
          <w:sz w:val="20"/>
          <w:szCs w:val="20"/>
          <w:color w:val="auto"/>
        </w:rPr>
      </w:pPr>
      <w:r>
        <w:rPr>
          <w:rFonts w:ascii="Courier New" w:cs="Courier New" w:eastAsia="Courier New" w:hAnsi="Courier New"/>
          <w:sz w:val="16"/>
          <w:szCs w:val="16"/>
          <w:color w:val="auto"/>
        </w:rPr>
        <w:t>Indemnification by the Company is subject to a determination that the director, officer, employee, or agent has met the applicable standard of conduct. The determination must be made (1) by a majority vote of a quorum of the Board of Directors, consisting only of directors who were not parties to such action, suit or proceeding; (2) if such a quorum cannot be obtained, or even if obtainable, if a quorum of disinterested directors so directs, by independent legal counsel in a written opinion; or (3) by the shareholders of the Company.</w:t>
      </w:r>
    </w:p>
    <w:p>
      <w:pPr>
        <w:spacing w:after="0" w:line="187"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The Company has entered into an Indemnification Agreement with each of its directors and executive officers (the "Indemnitees") pursuant to which the Company has agreed to indemnify and hold each of the Indemnitees harmless from and against all expenses, including reasonable fees and expenses of counsel, and all liabilities, including the amounts of any judgments, fines, penalties, excise taxes, and amounts paid in settlement actually incurred by an Indemnitee in connection with any threatened, pending or completed claim, action (including any action by or in the right of the Company), suit, or proceeding (whether formal or informal, or civil, criminal, administrative, legislative, arbitrative, or investigative) in respect of which the Indemnitee is, was, or at any time becomes, or is threatened to be made, a party, witness, subject, or target, by reason of the fact that the Indemnitee is or was an authorized representative of the Company; provided, however, no indemnity shall be paid on account of the Indemnitee's conduct that is finally adjudged to constitute willful misconduct or to have been knowingly fraudulent, deliberately dishonest, or from which the Indemnitee derives an improper personal benefit.</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or person controlling the Company pursuant to the foregoing provisions, the Company has been informed that in the opinion of the Securities and Exchange Commission such indemnification is against public policy as expressed in the Securities Act and is therefore unenforceable.</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19"/>
          </w:cols>
          <w:pgMar w:left="240" w:top="295"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PRICE RANGE OF COMMON STOCK AND DIVIDENDS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Common Stock is traded on the NYSE under the symbol "UW." Prior to July 20, 1993, the Common Stock was traded in the over-the-counter market and quoted on the NASDAQ National Market System ("Nasdaq/NMS"). The following table sets forth the high and low per share closing prices for the Common Stock for the calendar quarters indicated as reported on the NYSE for periods on and after July 20, 1993, and the high and low sales prices for the Common Stock as quoted on the Nasdaq/NMS for periods prior to July 20, 1993.</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HIGH</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LOW</w:t>
            </w:r>
          </w:p>
        </w:tc>
      </w:tr>
      <w:tr>
        <w:trPr>
          <w:trHeight w:val="182"/>
        </w:trPr>
        <w:tc>
          <w:tcPr>
            <w:tcW w:w="5380" w:type="dxa"/>
            <w:vAlign w:val="bottom"/>
          </w:tcPr>
          <w:p>
            <w:pPr>
              <w:spacing w:after="0"/>
              <w:rPr>
                <w:sz w:val="15"/>
                <w:szCs w:val="15"/>
                <w:color w:val="auto"/>
              </w:rPr>
            </w:pP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3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rPr>
              <w:t>First Quarter  . . . . . . . . . . . . . . .</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$14.50</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$13.25</w:t>
            </w:r>
          </w:p>
        </w:tc>
      </w:tr>
      <w:tr>
        <w:trPr>
          <w:trHeight w:val="182"/>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rPr>
              <w:t>Second Quarter   . . . . . . . . . . . . . .</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13.75</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11.75</w:t>
            </w:r>
          </w:p>
        </w:tc>
      </w:tr>
      <w:tr>
        <w:trPr>
          <w:trHeight w:val="182"/>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rPr>
              <w:t>Third Quarter  . . . . . . . . . . . . . . .</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15.00</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11.50</w:t>
            </w:r>
          </w:p>
        </w:tc>
      </w:tr>
      <w:tr>
        <w:trPr>
          <w:trHeight w:val="182"/>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rPr>
              <w:t>Fourth Quarter   . . . . . . . . . . . . . .</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12.50</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9.75</w:t>
            </w:r>
          </w:p>
        </w:tc>
      </w:tr>
      <w:tr>
        <w:trPr>
          <w:trHeight w:val="364"/>
        </w:trPr>
        <w:tc>
          <w:tcPr>
            <w:tcW w:w="53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rPr>
              <w:t>First Quarter  . . . . . . . . . . . . . . .</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$15.00</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$11.38</w:t>
            </w:r>
          </w:p>
        </w:tc>
      </w:tr>
      <w:tr>
        <w:trPr>
          <w:trHeight w:val="182"/>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rPr>
              <w:t>Second Quarter   . . . . . . . . . . . . . .</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13.38</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10.58</w:t>
            </w:r>
          </w:p>
        </w:tc>
      </w:tr>
      <w:tr>
        <w:trPr>
          <w:trHeight w:val="182"/>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w w:val="98"/>
              </w:rPr>
              <w:t>Third Quarter. . . . . . . . . . . . . .</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15.13</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11.50</w:t>
            </w:r>
          </w:p>
        </w:tc>
      </w:tr>
      <w:tr>
        <w:trPr>
          <w:trHeight w:val="182"/>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rPr>
              <w:t>Fourth Quarter   . . . . . . . . . . . . . .</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15.13</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11.00</w:t>
            </w:r>
          </w:p>
        </w:tc>
      </w:tr>
      <w:tr>
        <w:trPr>
          <w:trHeight w:val="364"/>
        </w:trPr>
        <w:tc>
          <w:tcPr>
            <w:tcW w:w="53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rPr>
              <w:t>First Quarter  . . . . . . . . . . . . . . .</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$12.25</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$10.13</w:t>
            </w:r>
          </w:p>
        </w:tc>
      </w:tr>
      <w:tr>
        <w:trPr>
          <w:trHeight w:val="182"/>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rPr>
              <w:t>Second Quarter   . . . . . . . . . . . . . .</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16.00</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11.50</w:t>
            </w:r>
          </w:p>
        </w:tc>
      </w:tr>
      <w:tr>
        <w:trPr>
          <w:trHeight w:val="182"/>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w w:val="98"/>
              </w:rPr>
              <w:t>Third Quarter. . . . . . . . . . . . . .</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21.75</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14.75</w:t>
            </w:r>
          </w:p>
        </w:tc>
      </w:tr>
      <w:tr>
        <w:trPr>
          <w:trHeight w:val="182"/>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rPr>
              <w:t>Fourth Quarter (through November 1, 1995)  .</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21.63</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19.75</w:t>
            </w:r>
          </w:p>
        </w:tc>
      </w:tr>
    </w:tbl>
    <w:p>
      <w:pPr>
        <w:spacing w:after="0" w:line="368"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According to the Company's transfer agent, on September 30, 1995, there were 4,363 holders of record of the Company's Common Stock.</w:t>
      </w:r>
    </w:p>
    <w:p>
      <w:pPr>
        <w:spacing w:after="0" w:line="188"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The Company has never paid cash dividends on its Common Stock. Envirofil paid dividends on its preferred stock prior to its acquisition by the Company; the holders of such preferred stock received Common Stock in such acquisition, and no dividends have been paid by the Company. The Board of Directors of the Company presently intends to retain any earnings in the foreseeable future for the Company's business. In addition, payment of dividends on the Common Stock is restricted by the terms of the Company's bank credit agreement.</w:t>
      </w:r>
    </w:p>
    <w:p>
      <w:pPr>
        <w:spacing w:after="0" w:line="35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MANNER OF OFFERING BY SELLING SHAREHOLDERS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This Prospectus, as appropriately amended or supplemented, may, with the consent of the Company, be used from time to time by a Selling Shareholder, or its transferees, to offer and sell the Shares in transactions in which the Selling Shareholder and any broker-dealer through whom any of the Shares are sold may be deemed to be underwriters within the meaning of the Securities Act. The Company will receive none of the proceeds from any such sales. There presently are no arrangements or understandings, formal or informal, pertaining to the distribution of the Shares.</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Agreements with Selling Shareholders permitting use of this Prospectus may provide that any such offering be effected in an orderly manner through securities dealers, acting as broker or dealer, selected by the Company; that Selling Shareholders enter into custody agreements with one or more banks with respect to such shares; and that sales be made only by one or more of the methods described in this Prospectus, as appropriately supplemented or amended when required.</w:t>
      </w:r>
    </w:p>
    <w:p>
      <w:pPr>
        <w:spacing w:after="0" w:line="192"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The Company anticipates that resales of the Shares by a Selling Shareholder may be effected from time to time on the open market in ordinary brokerage transactions on the NYSE, or such other security exchange on which the Common Stock may be listed, in the over-the-counter market, or in private transactions (which may involve crosses and block transactions). The Shares will be offered for sale at market prices prevailing at the time of sale or at</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19"/>
          </w:cols>
          <w:pgMar w:left="240" w:top="295" w:right="1440" w:bottom="1440" w:gutter="0" w:footer="0" w:header="0"/>
          <w:type w:val="continuous"/>
        </w:sectPr>
      </w:pPr>
    </w:p>
    <w:bookmarkStart w:id="13" w:name="page14"/>
    <w:bookmarkEnd w:id="13"/>
    <w:p>
      <w:pPr>
        <w:ind w:left="283"/>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left="3" w:right="2759"/>
        <w:spacing w:after="0"/>
        <w:rPr>
          <w:sz w:val="20"/>
          <w:szCs w:val="20"/>
          <w:color w:val="auto"/>
        </w:rPr>
      </w:pPr>
      <w:r>
        <w:rPr>
          <w:rFonts w:ascii="Courier New" w:cs="Courier New" w:eastAsia="Courier New" w:hAnsi="Courier New"/>
          <w:sz w:val="16"/>
          <w:szCs w:val="16"/>
          <w:color w:val="auto"/>
        </w:rPr>
        <w:t>negotiated prices and on terms to be determined when the agreement to sell is made or at the time of sale, as the case may be. The Shares may be offered directly, through agents designated from time to time, or through brokers or dealers. A member firm of the NYSE may be engaged to act as the Selling Shareholder's agent in the sale of the Shares by the Selling Shareholder and/or may acquire Shares as principal. Broker-dealers participating in such transactions as agent may receive commissions from the Selling Shareholder (and, if they act as agent for the purchaser of such Shares, from such purchaser), such commissions computed in appropriate cases in accordance with the applicable rules of the NYSE, which commissions may be at negotiated rates where permissible.</w:t>
      </w:r>
    </w:p>
    <w:p>
      <w:pPr>
        <w:spacing w:after="0" w:line="189" w:lineRule="exact"/>
        <w:rPr>
          <w:sz w:val="20"/>
          <w:szCs w:val="20"/>
          <w:color w:val="auto"/>
        </w:rPr>
      </w:pPr>
    </w:p>
    <w:p>
      <w:pPr>
        <w:ind w:left="3" w:right="2759" w:firstLine="473"/>
        <w:spacing w:after="0" w:line="257" w:lineRule="auto"/>
        <w:rPr>
          <w:sz w:val="20"/>
          <w:szCs w:val="20"/>
          <w:color w:val="auto"/>
        </w:rPr>
      </w:pPr>
      <w:r>
        <w:rPr>
          <w:rFonts w:ascii="Courier New" w:cs="Courier New" w:eastAsia="Courier New" w:hAnsi="Courier New"/>
          <w:sz w:val="15"/>
          <w:szCs w:val="15"/>
          <w:color w:val="auto"/>
        </w:rPr>
        <w:t>Participating broker-dealers may agree with the Selling Shareholder to sell a specified number of shares at a stipulated price per share and, to the extent such broker-dealer is unable to do so acting as agent for the Selling Shareholder to purchase as principal any unsold shares at the price required to fulfill the broker-dealer's commitment to the Selling Shareholder. In addition or alternatively, shares may be sold by the Selling Shareholder, and/or by or through other broker-dealers in special offerings, exchange distributions, or secondary distributions pursuant to and in compliance with the governing rules of the NYSE, and in connection therewith commissions in excess of the customary commission prescribed by the rules of the NYSE may be paid to participating broker-dealers, or, in the case of certain secondary distributions, a discount or concession from the offering price may be allowed to participating broker-dealers in excess of such customary commission. Broker-dealers who acquire shares as principal may thereafter resell such Shares from time to time in transactions (which may involve cross and block transactions and which may involve sales to and through other broker-dealers, including transactions of the nature described in the preceding two sentences) on the NYSE or such other security exchange on which the Common Stock may be listed, in negotiated transactions, or otherwise, at market prices prevailing at the time of sale or at negotiated prices, and in connection with such resales may pay to or receive commissions from the purchasers of such shares.</w:t>
      </w:r>
    </w:p>
    <w:p>
      <w:pPr>
        <w:spacing w:after="0" w:line="362" w:lineRule="exact"/>
        <w:rPr>
          <w:sz w:val="20"/>
          <w:szCs w:val="20"/>
          <w:color w:val="auto"/>
        </w:rPr>
      </w:pPr>
    </w:p>
    <w:p>
      <w:pPr>
        <w:ind w:left="3" w:right="2759" w:firstLine="473"/>
        <w:spacing w:after="0" w:line="256" w:lineRule="auto"/>
        <w:rPr>
          <w:sz w:val="20"/>
          <w:szCs w:val="20"/>
          <w:color w:val="auto"/>
        </w:rPr>
      </w:pPr>
      <w:r>
        <w:rPr>
          <w:rFonts w:ascii="Courier New" w:cs="Courier New" w:eastAsia="Courier New" w:hAnsi="Courier New"/>
          <w:sz w:val="15"/>
          <w:szCs w:val="15"/>
          <w:color w:val="auto"/>
        </w:rPr>
        <w:t>Upon the Company's being notified by the Selling Shareholder that a particular offer to sell the Shares is made, a material arrangement has been entered into with a broker-dealer for the sale of shares through a block trade, special offering, exchange distribution, or secondary distribution, or any block trade has taken place, to the extent required, a supplement to this Prospectus will be delivered together with this Prospectus and filed pursuant to Rule 424(b) under the Securities Act setting forth with respect to such offer or trade the terms of the offer or trade; including (i) the name of each Selling Shareholder, (ii) the number of Shares involved, (iii) the price at which the Shares were sold , (iv) any participating brokers, dealers, agents or member firm involved, (v) any discounts, commissions and other items paid as compensation from, and the resulting net proceeds to, the Selling Shareholder,</w:t>
      </w:r>
    </w:p>
    <w:p>
      <w:pPr>
        <w:spacing w:after="0" w:line="8" w:lineRule="exact"/>
        <w:rPr>
          <w:sz w:val="20"/>
          <w:szCs w:val="20"/>
          <w:color w:val="auto"/>
        </w:rPr>
      </w:pPr>
    </w:p>
    <w:p>
      <w:pPr>
        <w:jc w:val="both"/>
        <w:ind w:left="3" w:right="2939" w:hanging="3"/>
        <w:spacing w:after="0" w:line="238" w:lineRule="auto"/>
        <w:tabs>
          <w:tab w:leader="none" w:pos="47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broker-dealers did not conduct any investigation to verify the information set out in this Prospectus, and (vii) other facts material to the transaction.</w:t>
      </w:r>
    </w:p>
    <w:p>
      <w:pPr>
        <w:spacing w:after="0" w:line="188"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Shares may be sold directly by the Selling Shareholder or through agents designated by the Selling Shareholder from time to time. Unless otherwise indicated in the a supplement to this Prospectus, any such agent will be acting on a best efforts basis for the period of its appointment.</w:t>
      </w:r>
    </w:p>
    <w:p>
      <w:pPr>
        <w:spacing w:after="0" w:line="187"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The Selling Shareholder and any brokers, dealers, agents, member firm or others that participate with the Selling Shareholder in the distribution of the Shares may be deemed to be "underwriters" within the meaning of the Securities Act, and any commissions or fees received by such persons and any profit on the resale of the Shares purchased by such person may be deemed to be underwriting commissions or discounts under the Securities Act.</w:t>
      </w:r>
    </w:p>
    <w:p>
      <w:pPr>
        <w:spacing w:after="0" w:line="190" w:lineRule="exact"/>
        <w:rPr>
          <w:sz w:val="20"/>
          <w:szCs w:val="20"/>
          <w:color w:val="auto"/>
        </w:rPr>
      </w:pPr>
    </w:p>
    <w:p>
      <w:pPr>
        <w:ind w:left="3" w:right="2759" w:firstLine="473"/>
        <w:spacing w:after="0" w:line="259" w:lineRule="auto"/>
        <w:rPr>
          <w:sz w:val="20"/>
          <w:szCs w:val="20"/>
          <w:color w:val="auto"/>
        </w:rPr>
      </w:pPr>
      <w:r>
        <w:rPr>
          <w:rFonts w:ascii="Courier New" w:cs="Courier New" w:eastAsia="Courier New" w:hAnsi="Courier New"/>
          <w:sz w:val="15"/>
          <w:szCs w:val="15"/>
          <w:color w:val="auto"/>
        </w:rPr>
        <w:t>The Company may agree to indemnify the Selling Shareholder as an underwriter under the Securities Act against certain liabilities, including liabilities arising under the Securities Act. Agents may be entitled under agreements entered into with the Selling Shareholder to indemnification against certain civil liabilities, including liabilities under the Securities Act.</w:t>
      </w:r>
    </w:p>
    <w:p>
      <w:pPr>
        <w:spacing w:after="0" w:line="174" w:lineRule="exact"/>
        <w:rPr>
          <w:sz w:val="20"/>
          <w:szCs w:val="20"/>
          <w:color w:val="auto"/>
        </w:rPr>
      </w:pPr>
    </w:p>
    <w:p>
      <w:pPr>
        <w:ind w:left="3" w:right="2759" w:firstLine="473"/>
        <w:spacing w:after="0" w:line="259" w:lineRule="auto"/>
        <w:rPr>
          <w:sz w:val="20"/>
          <w:szCs w:val="20"/>
          <w:color w:val="auto"/>
        </w:rPr>
      </w:pPr>
      <w:r>
        <w:rPr>
          <w:rFonts w:ascii="Courier New" w:cs="Courier New" w:eastAsia="Courier New" w:hAnsi="Courier New"/>
          <w:sz w:val="15"/>
          <w:szCs w:val="15"/>
          <w:color w:val="auto"/>
        </w:rPr>
        <w:t>The Selling Shareholder will be subject to the applicable provisions of the Exchange Act, and the rules and regulations thereunder, including without limitation Rules 10b-2, 10b-6, and 10b-7, which provisions may limit the timing of purchases and sales of any of the Common Stock by the Selling Shareholder. All of the foregoing may affect the marketability of the Common Stock.</w:t>
      </w:r>
    </w:p>
    <w:p>
      <w:pPr>
        <w:spacing w:after="0" w:line="174" w:lineRule="exact"/>
        <w:rPr>
          <w:sz w:val="20"/>
          <w:szCs w:val="20"/>
          <w:color w:val="auto"/>
        </w:rPr>
      </w:pPr>
    </w:p>
    <w:p>
      <w:pPr>
        <w:ind w:left="3" w:right="3119" w:firstLine="473"/>
        <w:spacing w:after="0" w:line="239" w:lineRule="auto"/>
        <w:rPr>
          <w:sz w:val="20"/>
          <w:szCs w:val="20"/>
          <w:color w:val="auto"/>
        </w:rPr>
      </w:pPr>
      <w:r>
        <w:rPr>
          <w:rFonts w:ascii="Courier New" w:cs="Courier New" w:eastAsia="Courier New" w:hAnsi="Courier New"/>
          <w:sz w:val="16"/>
          <w:szCs w:val="16"/>
          <w:color w:val="auto"/>
        </w:rPr>
        <w:t>The Company will pay substantially all the expenses incident to this offering of the Common Stock by the Selling Shareholder to the public other than brokerage fees, commissions and discounts of underwriters, dealers or agents.</w:t>
      </w:r>
    </w:p>
    <w:p>
      <w:pPr>
        <w:sectPr>
          <w:pgSz w:w="11900" w:h="16838" w:orient="portrait"/>
          <w:cols w:equalWidth="0" w:num="1">
            <w:col w:w="10222"/>
          </w:cols>
          <w:pgMar w:left="237" w:top="295" w:right="1440" w:bottom="5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03"/>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22"/>
          </w:cols>
          <w:pgMar w:left="237" w:top="295" w:right="1440" w:bottom="538"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In order to comply with certain states' securities laws, if applicable, the Common Stock will be sold in such jurisdictions only through registered or licensed brokers or dealers. In addition, in certain states the Common Stock may not be sold unless the Common Stock has been registered or qualified for sale in such state or an exemption from registration or qualification is available and is complied with.</w:t>
      </w:r>
    </w:p>
    <w:p>
      <w:pPr>
        <w:spacing w:after="0" w:line="36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LEGAL MATTERS</w:t>
      </w:r>
    </w:p>
    <w:p>
      <w:pPr>
        <w:spacing w:after="0" w:line="186" w:lineRule="exact"/>
        <w:rPr>
          <w:sz w:val="20"/>
          <w:szCs w:val="20"/>
          <w:color w:val="auto"/>
        </w:rPr>
      </w:pPr>
    </w:p>
    <w:p>
      <w:pPr>
        <w:ind w:right="2839" w:firstLine="473"/>
        <w:spacing w:after="0" w:line="267" w:lineRule="auto"/>
        <w:rPr>
          <w:sz w:val="20"/>
          <w:szCs w:val="20"/>
          <w:color w:val="auto"/>
        </w:rPr>
      </w:pPr>
      <w:r>
        <w:rPr>
          <w:rFonts w:ascii="Courier New" w:cs="Courier New" w:eastAsia="Courier New" w:hAnsi="Courier New"/>
          <w:sz w:val="15"/>
          <w:szCs w:val="15"/>
          <w:color w:val="auto"/>
        </w:rPr>
        <w:t>Certain legal matters in connection with the Shares have been passed upon for the Company by Snell &amp; Smith, a Professional Corporation, Houston, Texas.</w:t>
      </w:r>
    </w:p>
    <w:p>
      <w:pPr>
        <w:spacing w:after="0" w:line="16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EXPERTS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consolidated financial statements of the Company (i) as of December 31, 1993 and 1994, and for each of the three years in the period ended December 31, 1994, which are included in the Company's Annual Report on Form 10-K for the fiscal year ended December 31, 1994, as amended by Form 10-K/A, and are included and incorporated by reference into the Company's Joint Proxy Statement and Prospectus dated May 19, 1995, and (ii) the supplemental consolidated financial statements of the Company as of December 31, 1993 and 1994, and for each of the three years in the period ended December 31, 1994, which are included in the Company's Current Report on Form 8-K dated June 30, 1995, incorporated in this Prospectus by reference have been audited by Coopers &amp; Lybrand L.L.P., independent accountants, given on the authority of that firm as experts in accounting and auditing.</w:t>
      </w:r>
    </w:p>
    <w:p>
      <w:pPr>
        <w:spacing w:after="0" w:line="18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consolidated financial statements of Envirofil for the year ended June 30, 1993 incorporated by reference in this Prospectus, and the combined financial statements of the Acquired New Jersey Solid Waste Companies as of December 31, 1992 and 1993 and for each of the three years in the period ended December 31, 1993, incorporated into this Prospectus by reference to Envirofil's Form 8-K filed with the Commission on February 28, 1994, as amended by Envirofil's Form 8-K/A filed with the Commission on May 11, 1994, have been incorporated by reference herein in reliance upon the reports of Arthur Andersen LLP, independent public accountants, given on the authority of that firm as experts in accounting and auditing in giving said reports.</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consolidated financial statements of Chambers at December 31, 1993 and 1994, and for each of the three years in the period ended December 31, 1994, incorporated by reference in this Prospectus from the Company's Current Report on Form 8-K dated June 30, 1995, have been audited by Deloitte &amp; Touche LLP, independent auditors, as stated in their reports (which contain an explanatory paragraph describing a change in the method of accounting for contributions), which are incorporated by reference herein, and have been so incorporated in reliance upon the reports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5"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PART II</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20.</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6"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81"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The Restated Certificate of Incorporation of the registrant includes the following provisions:</w:t>
      </w:r>
    </w:p>
    <w:p>
      <w:pPr>
        <w:spacing w:after="0" w:line="188" w:lineRule="exact"/>
        <w:rPr>
          <w:sz w:val="20"/>
          <w:szCs w:val="20"/>
          <w:color w:val="auto"/>
        </w:rPr>
      </w:pPr>
    </w:p>
    <w:p>
      <w:pPr>
        <w:ind w:left="460" w:right="2759" w:firstLine="378"/>
        <w:spacing w:after="0" w:line="256" w:lineRule="auto"/>
        <w:rPr>
          <w:sz w:val="20"/>
          <w:szCs w:val="20"/>
          <w:color w:val="auto"/>
        </w:rPr>
      </w:pPr>
      <w:r>
        <w:rPr>
          <w:rFonts w:ascii="Courier New" w:cs="Courier New" w:eastAsia="Courier New" w:hAnsi="Courier New"/>
          <w:sz w:val="15"/>
          <w:szCs w:val="15"/>
          <w:color w:val="auto"/>
        </w:rPr>
        <w:t>Seventh: No director of the Corporation shall not be personally liable to the Corporation or its stockholders for monetary damages for breach of fiduciary duty as a director, provided that this provision shall not eliminate or limit the liability of a director for liability (i) for any breach of the director's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Any repeal or modification of this paragraph by the stockholders of the Corporation shall be prospective only, and shall not adversely affect any limitation on the personal liability of a director of the Corporation existing at the time of such repeal or modification.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w:t>
      </w:r>
    </w:p>
    <w:p>
      <w:pPr>
        <w:spacing w:after="0" w:line="18" w:lineRule="exact"/>
        <w:rPr>
          <w:sz w:val="20"/>
          <w:szCs w:val="20"/>
          <w:color w:val="auto"/>
        </w:rPr>
      </w:pPr>
    </w:p>
    <w:p>
      <w:pPr>
        <w:jc w:val="both"/>
        <w:ind w:left="460" w:right="3039" w:firstLine="10"/>
        <w:spacing w:after="0" w:line="238" w:lineRule="auto"/>
        <w:tabs>
          <w:tab w:leader="none" w:pos="83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Section 141 of the Delaware General Corporation Law, exercise or perform any of the powers or duties otherwise conferred or imposed upon the board of directors by the Delaware General Corporation Law.</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145 of the Delaware General Corporation Law provides as follows:</w:t>
      </w:r>
    </w:p>
    <w:p>
      <w:pPr>
        <w:spacing w:after="0" w:line="186" w:lineRule="exact"/>
        <w:rPr>
          <w:sz w:val="20"/>
          <w:szCs w:val="20"/>
          <w:color w:val="auto"/>
        </w:rPr>
      </w:pPr>
    </w:p>
    <w:p>
      <w:pPr>
        <w:ind w:right="2759" w:firstLine="470"/>
        <w:spacing w:after="0"/>
        <w:tabs>
          <w:tab w:leader="none" w:pos="10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19"/>
          </w:cols>
          <w:pgMar w:left="240" w:top="295" w:right="1440" w:bottom="1440" w:gutter="0" w:footer="0" w:header="0"/>
          <w:type w:val="continuous"/>
        </w:sectPr>
      </w:pPr>
    </w:p>
    <w:bookmarkStart w:id="16" w:name="page17"/>
    <w:bookmarkEnd w:id="16"/>
    <w:p>
      <w:pPr>
        <w:ind w:left="283"/>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left="3" w:right="2839"/>
        <w:spacing w:after="0"/>
        <w:rPr>
          <w:sz w:val="20"/>
          <w:szCs w:val="20"/>
          <w:color w:val="auto"/>
        </w:rPr>
      </w:pPr>
      <w:r>
        <w:rPr>
          <w:rFonts w:ascii="Courier New" w:cs="Courier New" w:eastAsia="Courier New" w:hAnsi="Courier New"/>
          <w:sz w:val="16"/>
          <w:szCs w:val="16"/>
          <w:color w:val="auto"/>
        </w:rPr>
        <w:t>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88" w:lineRule="exact"/>
        <w:rPr>
          <w:sz w:val="20"/>
          <w:szCs w:val="20"/>
          <w:color w:val="auto"/>
        </w:rPr>
      </w:pPr>
    </w:p>
    <w:p>
      <w:pPr>
        <w:ind w:left="3" w:right="2759" w:firstLine="470"/>
        <w:spacing w:after="0"/>
        <w:tabs>
          <w:tab w:leader="none" w:pos="161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3" w:lineRule="exact"/>
        <w:rPr>
          <w:rFonts w:ascii="Courier New" w:cs="Courier New" w:eastAsia="Courier New" w:hAnsi="Courier New"/>
          <w:sz w:val="16"/>
          <w:szCs w:val="16"/>
          <w:color w:val="auto"/>
        </w:rPr>
      </w:pPr>
    </w:p>
    <w:p>
      <w:pPr>
        <w:ind w:left="3" w:right="2759" w:firstLine="470"/>
        <w:spacing w:after="0" w:line="239" w:lineRule="auto"/>
        <w:tabs>
          <w:tab w:leader="none" w:pos="161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86" w:lineRule="exact"/>
        <w:rPr>
          <w:rFonts w:ascii="Courier New" w:cs="Courier New" w:eastAsia="Courier New" w:hAnsi="Courier New"/>
          <w:sz w:val="16"/>
          <w:szCs w:val="16"/>
          <w:color w:val="auto"/>
        </w:rPr>
      </w:pPr>
    </w:p>
    <w:p>
      <w:pPr>
        <w:ind w:left="1603" w:hanging="1130"/>
        <w:spacing w:after="0"/>
        <w:tabs>
          <w:tab w:leader="none" w:pos="160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under the provisions of subsection (a) or</w:t>
      </w:r>
    </w:p>
    <w:p>
      <w:pPr>
        <w:spacing w:after="0" w:line="4" w:lineRule="exact"/>
        <w:rPr>
          <w:rFonts w:ascii="Courier New" w:cs="Courier New" w:eastAsia="Courier New" w:hAnsi="Courier New"/>
          <w:sz w:val="16"/>
          <w:szCs w:val="16"/>
          <w:color w:val="auto"/>
        </w:rPr>
      </w:pPr>
    </w:p>
    <w:p>
      <w:pPr>
        <w:ind w:left="3" w:right="2759" w:hanging="3"/>
        <w:spacing w:after="0"/>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87" w:lineRule="exact"/>
        <w:rPr>
          <w:rFonts w:ascii="Courier New" w:cs="Courier New" w:eastAsia="Courier New" w:hAnsi="Courier New"/>
          <w:sz w:val="16"/>
          <w:szCs w:val="16"/>
          <w:color w:val="auto"/>
        </w:rPr>
      </w:pPr>
    </w:p>
    <w:p>
      <w:pPr>
        <w:ind w:left="3" w:right="2759" w:firstLine="470"/>
        <w:spacing w:after="0"/>
        <w:tabs>
          <w:tab w:leader="none" w:pos="161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fees)incurred by other employees and agents may be so paid upon such terms and conditions, if any, as the board of directors deems appropriate.</w:t>
      </w:r>
    </w:p>
    <w:p>
      <w:pPr>
        <w:spacing w:after="0" w:line="184"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6"/>
                <w:szCs w:val="16"/>
                <w:color w:val="auto"/>
              </w:rPr>
              <w:t>(f)</w:t>
            </w:r>
          </w:p>
        </w:tc>
        <w:tc>
          <w:tcPr>
            <w:tcW w:w="280" w:type="dxa"/>
            <w:vAlign w:val="bottom"/>
          </w:tcPr>
          <w:p>
            <w:pPr>
              <w:spacing w:after="0"/>
              <w:rPr>
                <w:sz w:val="15"/>
                <w:szCs w:val="15"/>
                <w:color w:val="auto"/>
              </w:rPr>
            </w:pPr>
          </w:p>
        </w:tc>
        <w:tc>
          <w:tcPr>
            <w:tcW w:w="55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The indemnification and advancement of expense</w:t>
            </w:r>
          </w:p>
        </w:tc>
      </w:tr>
      <w:tr>
        <w:trPr>
          <w:trHeight w:val="182"/>
        </w:trPr>
        <w:tc>
          <w:tcPr>
            <w:tcW w:w="1460" w:type="dxa"/>
            <w:vAlign w:val="bottom"/>
            <w:gridSpan w:val="2"/>
          </w:tcPr>
          <w:p>
            <w:pPr>
              <w:spacing w:after="0"/>
              <w:rPr>
                <w:sz w:val="20"/>
                <w:szCs w:val="20"/>
                <w:color w:val="auto"/>
              </w:rPr>
            </w:pPr>
            <w:r>
              <w:rPr>
                <w:rFonts w:ascii="Courier New" w:cs="Courier New" w:eastAsia="Courier New" w:hAnsi="Courier New"/>
                <w:sz w:val="16"/>
                <w:szCs w:val="16"/>
                <w:color w:val="auto"/>
                <w:w w:val="99"/>
              </w:rPr>
              <w:t>provided by, or</w:t>
            </w:r>
          </w:p>
        </w:tc>
        <w:tc>
          <w:tcPr>
            <w:tcW w:w="4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granted pursuant to, the other subsections</w:t>
            </w:r>
          </w:p>
        </w:tc>
        <w:tc>
          <w:tcPr>
            <w:tcW w:w="1760" w:type="dxa"/>
            <w:vAlign w:val="bottom"/>
          </w:tcPr>
          <w:p>
            <w:pPr>
              <w:ind w:left="60"/>
              <w:spacing w:after="0"/>
              <w:rPr>
                <w:sz w:val="20"/>
                <w:szCs w:val="20"/>
                <w:color w:val="auto"/>
              </w:rPr>
            </w:pPr>
            <w:r>
              <w:rPr>
                <w:rFonts w:ascii="Courier New" w:cs="Courier New" w:eastAsia="Courier New" w:hAnsi="Courier New"/>
                <w:sz w:val="16"/>
                <w:szCs w:val="16"/>
                <w:color w:val="auto"/>
              </w:rPr>
              <w:t>of this section</w:t>
            </w:r>
          </w:p>
        </w:tc>
      </w:tr>
      <w:tr>
        <w:trPr>
          <w:trHeight w:val="182"/>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shall</w:t>
            </w:r>
          </w:p>
        </w:tc>
        <w:tc>
          <w:tcPr>
            <w:tcW w:w="50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not be deemed exclusive of any other rights to which</w:t>
            </w:r>
          </w:p>
        </w:tc>
        <w:tc>
          <w:tcPr>
            <w:tcW w:w="1760" w:type="dxa"/>
            <w:vAlign w:val="bottom"/>
          </w:tcPr>
          <w:p>
            <w:pPr>
              <w:ind w:left="60"/>
              <w:spacing w:after="0"/>
              <w:rPr>
                <w:sz w:val="20"/>
                <w:szCs w:val="20"/>
                <w:color w:val="auto"/>
              </w:rPr>
            </w:pPr>
            <w:r>
              <w:rPr>
                <w:rFonts w:ascii="Courier New" w:cs="Courier New" w:eastAsia="Courier New" w:hAnsi="Courier New"/>
                <w:sz w:val="16"/>
                <w:szCs w:val="16"/>
                <w:color w:val="auto"/>
              </w:rPr>
              <w:t>those seeking</w:t>
            </w:r>
          </w:p>
        </w:tc>
      </w:tr>
      <w:tr>
        <w:trPr>
          <w:trHeight w:val="182"/>
        </w:trPr>
        <w:tc>
          <w:tcPr>
            <w:tcW w:w="1460" w:type="dxa"/>
            <w:vAlign w:val="bottom"/>
            <w:gridSpan w:val="2"/>
          </w:tcPr>
          <w:p>
            <w:pPr>
              <w:spacing w:after="0"/>
              <w:rPr>
                <w:sz w:val="20"/>
                <w:szCs w:val="20"/>
                <w:color w:val="auto"/>
              </w:rPr>
            </w:pPr>
            <w:r>
              <w:rPr>
                <w:rFonts w:ascii="Courier New" w:cs="Courier New" w:eastAsia="Courier New" w:hAnsi="Courier New"/>
                <w:sz w:val="16"/>
                <w:szCs w:val="16"/>
                <w:color w:val="auto"/>
                <w:w w:val="99"/>
              </w:rPr>
              <w:t>indemnification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or</w:t>
            </w:r>
          </w:p>
        </w:tc>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w w:val="99"/>
              </w:rPr>
              <w:t>advancement of expenses may be entitled</w:t>
            </w:r>
          </w:p>
        </w:tc>
        <w:tc>
          <w:tcPr>
            <w:tcW w:w="1760" w:type="dxa"/>
            <w:vAlign w:val="bottom"/>
          </w:tcPr>
          <w:p>
            <w:pPr>
              <w:ind w:left="60"/>
              <w:spacing w:after="0"/>
              <w:rPr>
                <w:sz w:val="20"/>
                <w:szCs w:val="20"/>
                <w:color w:val="auto"/>
              </w:rPr>
            </w:pPr>
            <w:r>
              <w:rPr>
                <w:rFonts w:ascii="Courier New" w:cs="Courier New" w:eastAsia="Courier New" w:hAnsi="Courier New"/>
                <w:sz w:val="16"/>
                <w:szCs w:val="16"/>
                <w:color w:val="auto"/>
              </w:rPr>
              <w:t>under any bylaw,</w:t>
            </w:r>
          </w:p>
        </w:tc>
      </w:tr>
      <w:tr>
        <w:trPr>
          <w:trHeight w:val="182"/>
        </w:trPr>
        <w:tc>
          <w:tcPr>
            <w:tcW w:w="1460" w:type="dxa"/>
            <w:vAlign w:val="bottom"/>
            <w:gridSpan w:val="2"/>
          </w:tcPr>
          <w:p>
            <w:pPr>
              <w:spacing w:after="0"/>
              <w:rPr>
                <w:sz w:val="20"/>
                <w:szCs w:val="20"/>
                <w:color w:val="auto"/>
              </w:rPr>
            </w:pPr>
            <w:r>
              <w:rPr>
                <w:rFonts w:ascii="Courier New" w:cs="Courier New" w:eastAsia="Courier New" w:hAnsi="Courier New"/>
                <w:sz w:val="16"/>
                <w:szCs w:val="16"/>
                <w:color w:val="auto"/>
                <w:w w:val="99"/>
              </w:rPr>
              <w:t>agreement, vote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w w:val="99"/>
              </w:rPr>
              <w:t>stockholders or disinterested directors</w:t>
            </w:r>
          </w:p>
        </w:tc>
        <w:tc>
          <w:tcPr>
            <w:tcW w:w="1760" w:type="dxa"/>
            <w:vAlign w:val="bottom"/>
          </w:tcPr>
          <w:p>
            <w:pPr>
              <w:ind w:left="60"/>
              <w:spacing w:after="0"/>
              <w:rPr>
                <w:sz w:val="20"/>
                <w:szCs w:val="20"/>
                <w:color w:val="auto"/>
              </w:rPr>
            </w:pPr>
            <w:r>
              <w:rPr>
                <w:rFonts w:ascii="Courier New" w:cs="Courier New" w:eastAsia="Courier New" w:hAnsi="Courier New"/>
                <w:sz w:val="16"/>
                <w:szCs w:val="16"/>
                <w:color w:val="auto"/>
                <w:w w:val="97"/>
              </w:rPr>
              <w:t>or otherwise, both</w:t>
            </w:r>
          </w:p>
        </w:tc>
      </w:tr>
      <w:tr>
        <w:trPr>
          <w:trHeight w:val="182"/>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as to</w:t>
            </w: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action in</w:t>
            </w:r>
          </w:p>
        </w:tc>
        <w:tc>
          <w:tcPr>
            <w:tcW w:w="58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his official capacity and as to action in another capacity</w:t>
            </w:r>
          </w:p>
        </w:tc>
      </w:tr>
      <w:tr>
        <w:trPr>
          <w:trHeight w:val="182"/>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while</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holding such</w:t>
            </w:r>
          </w:p>
        </w:tc>
        <w:tc>
          <w:tcPr>
            <w:tcW w:w="3780" w:type="dxa"/>
            <w:vAlign w:val="bottom"/>
          </w:tcPr>
          <w:p>
            <w:pPr>
              <w:jc w:val="right"/>
              <w:ind w:right="2981"/>
              <w:spacing w:after="0"/>
              <w:rPr>
                <w:sz w:val="20"/>
                <w:szCs w:val="20"/>
                <w:color w:val="auto"/>
              </w:rPr>
            </w:pPr>
            <w:r>
              <w:rPr>
                <w:rFonts w:ascii="Courier New" w:cs="Courier New" w:eastAsia="Courier New" w:hAnsi="Courier New"/>
                <w:sz w:val="16"/>
                <w:szCs w:val="16"/>
                <w:color w:val="auto"/>
              </w:rPr>
              <w:t>office.</w:t>
            </w:r>
          </w:p>
        </w:tc>
        <w:tc>
          <w:tcPr>
            <w:tcW w:w="1760" w:type="dxa"/>
            <w:vAlign w:val="bottom"/>
          </w:tcPr>
          <w:p>
            <w:pPr>
              <w:spacing w:after="0"/>
              <w:rPr>
                <w:sz w:val="15"/>
                <w:szCs w:val="15"/>
                <w:color w:val="auto"/>
              </w:rPr>
            </w:pPr>
          </w:p>
        </w:tc>
      </w:tr>
    </w:tbl>
    <w:p>
      <w:pPr>
        <w:spacing w:after="0" w:line="186" w:lineRule="exact"/>
        <w:rPr>
          <w:sz w:val="20"/>
          <w:szCs w:val="20"/>
          <w:color w:val="auto"/>
        </w:rPr>
      </w:pPr>
    </w:p>
    <w:p>
      <w:pPr>
        <w:ind w:left="3" w:right="2939" w:firstLine="470"/>
        <w:spacing w:after="0" w:line="239" w:lineRule="auto"/>
        <w:tabs>
          <w:tab w:leader="none" w:pos="161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w:t>
      </w:r>
    </w:p>
    <w:p>
      <w:pPr>
        <w:sectPr>
          <w:pgSz w:w="11900" w:h="16838" w:orient="portrait"/>
          <w:cols w:equalWidth="0" w:num="1">
            <w:col w:w="10222"/>
          </w:cols>
          <w:pgMar w:left="237"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03"/>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22"/>
          </w:cols>
          <w:pgMar w:left="237" w:top="295"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87" w:lineRule="exact"/>
        <w:rPr>
          <w:sz w:val="20"/>
          <w:szCs w:val="20"/>
          <w:color w:val="auto"/>
        </w:rPr>
      </w:pPr>
    </w:p>
    <w:p>
      <w:pPr>
        <w:ind w:right="2759" w:firstLine="470"/>
        <w:spacing w:after="0"/>
        <w:tabs>
          <w:tab w:leader="none" w:pos="160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90" w:lineRule="exact"/>
        <w:rPr>
          <w:rFonts w:ascii="Courier New" w:cs="Courier New" w:eastAsia="Courier New" w:hAnsi="Courier New"/>
          <w:sz w:val="16"/>
          <w:szCs w:val="16"/>
          <w:color w:val="auto"/>
        </w:rPr>
      </w:pPr>
    </w:p>
    <w:p>
      <w:pPr>
        <w:ind w:right="2759" w:firstLine="470"/>
        <w:spacing w:after="0"/>
        <w:tabs>
          <w:tab w:leader="none" w:pos="160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85" w:lineRule="exact"/>
        <w:rPr>
          <w:rFonts w:ascii="Courier New" w:cs="Courier New" w:eastAsia="Courier New" w:hAnsi="Courier New"/>
          <w:sz w:val="16"/>
          <w:szCs w:val="16"/>
          <w:color w:val="auto"/>
        </w:rPr>
      </w:pPr>
    </w:p>
    <w:p>
      <w:pPr>
        <w:ind w:left="1600" w:hanging="1130"/>
        <w:spacing w:after="0"/>
        <w:tabs>
          <w:tab w:leader="none" w:pos="16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expenses</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87" w:lineRule="exact"/>
        <w:rPr>
          <w:sz w:val="20"/>
          <w:szCs w:val="20"/>
          <w:color w:val="auto"/>
        </w:rPr>
      </w:pPr>
    </w:p>
    <w:p>
      <w:pPr>
        <w:ind w:right="2759" w:firstLine="470"/>
        <w:spacing w:after="0" w:line="239" w:lineRule="auto"/>
        <w:tabs>
          <w:tab w:leader="none" w:pos="160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90"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The Restated Certificate of Incorporation of the registrant includes the following provision:</w:t>
      </w:r>
    </w:p>
    <w:p>
      <w:pPr>
        <w:spacing w:after="0" w:line="188" w:lineRule="exact"/>
        <w:rPr>
          <w:sz w:val="20"/>
          <w:szCs w:val="20"/>
          <w:color w:val="auto"/>
        </w:rPr>
      </w:pPr>
    </w:p>
    <w:p>
      <w:pPr>
        <w:ind w:left="460" w:right="2759" w:firstLine="378"/>
        <w:spacing w:after="0" w:line="257" w:lineRule="auto"/>
        <w:rPr>
          <w:sz w:val="20"/>
          <w:szCs w:val="20"/>
          <w:color w:val="auto"/>
        </w:rPr>
      </w:pPr>
      <w:r>
        <w:rPr>
          <w:rFonts w:ascii="Courier New" w:cs="Courier New" w:eastAsia="Courier New" w:hAnsi="Courier New"/>
          <w:sz w:val="15"/>
          <w:szCs w:val="15"/>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19"/>
          </w:cols>
          <w:pgMar w:left="240" w:top="295" w:right="1440" w:bottom="1440" w:gutter="0" w:footer="0" w:header="0"/>
          <w:type w:val="continuous"/>
        </w:sectPr>
      </w:pPr>
    </w:p>
    <w:bookmarkStart w:id="18" w:name="page19"/>
    <w:bookmarkEnd w:id="18"/>
    <w:p>
      <w:pPr>
        <w:ind w:left="283"/>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left="3" w:right="2939" w:firstLine="473"/>
        <w:spacing w:after="0" w:line="239" w:lineRule="auto"/>
        <w:rPr>
          <w:sz w:val="20"/>
          <w:szCs w:val="20"/>
          <w:color w:val="auto"/>
        </w:rPr>
      </w:pPr>
      <w:r>
        <w:rPr>
          <w:rFonts w:ascii="Courier New" w:cs="Courier New" w:eastAsia="Courier New" w:hAnsi="Courier New"/>
          <w:sz w:val="16"/>
          <w:szCs w:val="16"/>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189" w:lineRule="exact"/>
        <w:rPr>
          <w:sz w:val="20"/>
          <w:szCs w:val="20"/>
          <w:color w:val="auto"/>
        </w:rPr>
      </w:pPr>
    </w:p>
    <w:p>
      <w:pPr>
        <w:ind w:left="3" w:right="2759" w:firstLine="473"/>
        <w:spacing w:after="0" w:line="257" w:lineRule="auto"/>
        <w:rPr>
          <w:sz w:val="20"/>
          <w:szCs w:val="20"/>
          <w:color w:val="auto"/>
        </w:rPr>
      </w:pPr>
      <w:r>
        <w:rPr>
          <w:rFonts w:ascii="Courier New" w:cs="Courier New" w:eastAsia="Courier New" w:hAnsi="Courier New"/>
          <w:sz w:val="15"/>
          <w:szCs w:val="15"/>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35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21. EXHIBITS AND FINANCIAL STATEMENT SCHEDULES.</w:t>
      </w:r>
    </w:p>
    <w:p>
      <w:pPr>
        <w:spacing w:after="0" w:line="186" w:lineRule="exact"/>
        <w:rPr>
          <w:sz w:val="20"/>
          <w:szCs w:val="20"/>
          <w:color w:val="auto"/>
        </w:rPr>
      </w:pPr>
    </w:p>
    <w:p>
      <w:pPr>
        <w:ind w:left="1603" w:right="2939" w:hanging="1418"/>
        <w:spacing w:after="0" w:line="239" w:lineRule="auto"/>
        <w:tabs>
          <w:tab w:leader="none" w:pos="1583"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 Restated Certificate of Incorporation [Incorporated by reference to Exhibit 3.1 to the Post- Effective Amendment No. 1 to the Registrant's Registration Statement on Form S-4 (File No. 33- 60103].</w:t>
      </w:r>
    </w:p>
    <w:p>
      <w:pPr>
        <w:spacing w:after="0" w:line="187" w:lineRule="exact"/>
        <w:rPr>
          <w:sz w:val="20"/>
          <w:szCs w:val="20"/>
          <w:color w:val="auto"/>
        </w:rPr>
      </w:pPr>
    </w:p>
    <w:p>
      <w:pPr>
        <w:ind w:left="1603" w:right="3119" w:hanging="1418"/>
        <w:spacing w:after="0" w:line="238" w:lineRule="auto"/>
        <w:tabs>
          <w:tab w:leader="none" w:pos="1583"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 Bylaws [Incorporated by reference to Exhibit 3.2 to the Post-Effective Amendment No. 1 to the Registrant's Registration Statement on Form S-4 (File No. 33-60103].</w:t>
      </w:r>
    </w:p>
    <w:p>
      <w:pPr>
        <w:spacing w:after="0" w:line="188" w:lineRule="exact"/>
        <w:rPr>
          <w:sz w:val="20"/>
          <w:szCs w:val="20"/>
          <w:color w:val="auto"/>
        </w:rPr>
      </w:pPr>
    </w:p>
    <w:p>
      <w:pPr>
        <w:ind w:left="1603" w:right="2759" w:hanging="1418"/>
        <w:spacing w:after="0" w:line="239" w:lineRule="auto"/>
        <w:tabs>
          <w:tab w:leader="none" w:pos="1583"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 Indenture dated September 25, 1992, between the Registrant and The First National Bank of Boston, as Trustee, with respect to the Registrant's 8 1/2% Convertible Subordinated Debentures Due 2002 [Incorporated by reference to Exhibit</w:t>
      </w:r>
    </w:p>
    <w:p>
      <w:pPr>
        <w:spacing w:after="0" w:line="6" w:lineRule="exact"/>
        <w:rPr>
          <w:sz w:val="20"/>
          <w:szCs w:val="20"/>
          <w:color w:val="auto"/>
        </w:rPr>
      </w:pPr>
    </w:p>
    <w:p>
      <w:pPr>
        <w:ind w:left="1883" w:right="2759"/>
        <w:spacing w:after="0" w:line="237" w:lineRule="auto"/>
        <w:rPr>
          <w:sz w:val="20"/>
          <w:szCs w:val="20"/>
          <w:color w:val="auto"/>
        </w:rPr>
      </w:pPr>
      <w:r>
        <w:rPr>
          <w:rFonts w:ascii="Courier New" w:cs="Courier New" w:eastAsia="Courier New" w:hAnsi="Courier New"/>
          <w:sz w:val="16"/>
          <w:szCs w:val="16"/>
          <w:color w:val="auto"/>
        </w:rPr>
        <w:t>4.1 of the Registrant's Registration Statement on Form S-1, File No. 33-50918].</w:t>
      </w:r>
    </w:p>
    <w:p>
      <w:pPr>
        <w:spacing w:after="0" w:line="188" w:lineRule="exact"/>
        <w:rPr>
          <w:sz w:val="20"/>
          <w:szCs w:val="20"/>
          <w:color w:val="auto"/>
        </w:rPr>
      </w:pPr>
    </w:p>
    <w:p>
      <w:pPr>
        <w:ind w:left="1603" w:right="2939" w:hanging="1418"/>
        <w:spacing w:after="0" w:line="238" w:lineRule="auto"/>
        <w:tabs>
          <w:tab w:leader="none" w:pos="1583"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 Specimen Stock Certificate [Incorporated by reference to Exhibit 4.3 of the Registrant's Registration Statement on Form S-3, File No. 33-76224].</w:t>
      </w:r>
    </w:p>
    <w:p>
      <w:pPr>
        <w:spacing w:after="0" w:line="184" w:lineRule="exact"/>
        <w:rPr>
          <w:sz w:val="20"/>
          <w:szCs w:val="20"/>
          <w:color w:val="auto"/>
        </w:rPr>
      </w:pPr>
    </w:p>
    <w:p>
      <w:pPr>
        <w:ind w:left="463" w:hanging="463"/>
        <w:spacing w:after="0"/>
        <w:tabs>
          <w:tab w:leader="none" w:pos="46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w:t>
      </w:r>
      <w:r>
        <w:rPr>
          <w:rFonts w:ascii="Courier New" w:cs="Courier New" w:eastAsia="Courier New" w:hAnsi="Courier New"/>
          <w:sz w:val="15"/>
          <w:szCs w:val="15"/>
          <w:color w:val="auto"/>
        </w:rPr>
        <w:t>-  Opinion of Snell &amp; Smith, A Professional Corporation.</w:t>
      </w:r>
    </w:p>
    <w:p>
      <w:pPr>
        <w:spacing w:after="0" w:line="186" w:lineRule="exact"/>
        <w:rPr>
          <w:sz w:val="20"/>
          <w:szCs w:val="20"/>
          <w:color w:val="auto"/>
        </w:rPr>
      </w:pPr>
    </w:p>
    <w:p>
      <w:pPr>
        <w:ind w:left="1603" w:right="2759" w:hanging="1418"/>
        <w:spacing w:after="0" w:line="238" w:lineRule="auto"/>
        <w:tabs>
          <w:tab w:leader="none" w:pos="1583"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- 1990 Stock Option Plan [Incorporated by reference to Exhibit 10.1 of the Registrant's Annual Report on Form 10-K for the year ended December 31, 1990].</w:t>
      </w:r>
    </w:p>
    <w:p>
      <w:pPr>
        <w:spacing w:after="0" w:line="188" w:lineRule="exact"/>
        <w:rPr>
          <w:sz w:val="20"/>
          <w:szCs w:val="20"/>
          <w:color w:val="auto"/>
        </w:rPr>
      </w:pPr>
    </w:p>
    <w:p>
      <w:pPr>
        <w:ind w:left="1603" w:right="3039" w:hanging="1418"/>
        <w:spacing w:after="0" w:line="238" w:lineRule="auto"/>
        <w:tabs>
          <w:tab w:leader="none" w:pos="1583"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- 1993 Stock Incentive Plan [Incorporated by reference to Exhibit 4.4 of the Registrants Registration Statement on Form S-8, File No. 33-72436].</w:t>
      </w:r>
    </w:p>
    <w:p>
      <w:pPr>
        <w:spacing w:after="0" w:line="188" w:lineRule="exact"/>
        <w:rPr>
          <w:sz w:val="20"/>
          <w:szCs w:val="20"/>
          <w:color w:val="auto"/>
        </w:rPr>
      </w:pPr>
    </w:p>
    <w:p>
      <w:pPr>
        <w:ind w:left="1603" w:right="2759" w:hanging="1418"/>
        <w:spacing w:after="0" w:line="238" w:lineRule="auto"/>
        <w:tabs>
          <w:tab w:leader="none" w:pos="1583"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 Envirofil, Inc. 1993 Stock Incentive Plan [Incorporated by reference to Exhibit 10.3 of the Registrant's Annual Report on Form 10-K for the year ended December 31, 1994].</w:t>
      </w:r>
    </w:p>
    <w:p>
      <w:pPr>
        <w:spacing w:after="0" w:line="188" w:lineRule="exact"/>
        <w:rPr>
          <w:sz w:val="20"/>
          <w:szCs w:val="20"/>
          <w:color w:val="auto"/>
        </w:rPr>
      </w:pPr>
    </w:p>
    <w:p>
      <w:pPr>
        <w:ind w:left="1603" w:right="3039" w:hanging="1418"/>
        <w:spacing w:after="0" w:line="238" w:lineRule="auto"/>
        <w:tabs>
          <w:tab w:leader="none" w:pos="1583"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 Asset Purchase Agreement dated August 12, 1993, between Chambers of Indiana, Inc. and USA Waste of Indiana, Inc. [Incorporated by reference to Exhibit 2.2</w:t>
      </w:r>
    </w:p>
    <w:p>
      <w:pPr>
        <w:sectPr>
          <w:pgSz w:w="11900" w:h="16838" w:orient="portrait"/>
          <w:cols w:equalWidth="0" w:num="1">
            <w:col w:w="10222"/>
          </w:cols>
          <w:pgMar w:left="237"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03"/>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22"/>
          </w:cols>
          <w:pgMar w:left="237" w:top="295" w:right="1440" w:bottom="1440"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left="1600" w:right="2839"/>
        <w:spacing w:after="0" w:line="237" w:lineRule="auto"/>
        <w:rPr>
          <w:sz w:val="20"/>
          <w:szCs w:val="20"/>
          <w:color w:val="auto"/>
        </w:rPr>
      </w:pPr>
      <w:r>
        <w:rPr>
          <w:rFonts w:ascii="Courier New" w:cs="Courier New" w:eastAsia="Courier New" w:hAnsi="Courier New"/>
          <w:sz w:val="16"/>
          <w:szCs w:val="16"/>
          <w:color w:val="auto"/>
        </w:rPr>
        <w:t>to Registrant's Current Report on Form 8-K dated September 30, 1993].</w:t>
      </w:r>
    </w:p>
    <w:p>
      <w:pPr>
        <w:spacing w:after="0" w:line="188" w:lineRule="exact"/>
        <w:rPr>
          <w:sz w:val="20"/>
          <w:szCs w:val="20"/>
          <w:color w:val="auto"/>
        </w:rPr>
      </w:pPr>
    </w:p>
    <w:p>
      <w:pPr>
        <w:ind w:left="1320" w:right="2759" w:hanging="1418"/>
        <w:spacing w:after="0" w:line="239" w:lineRule="auto"/>
        <w:tabs>
          <w:tab w:leader="none" w:pos="130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 Stock Purchase Agreement dated August 12, 1993, between Chambers Development Company, Inc. and USA Waste of Indiana, Inc. [Incorporated by reference to Exhibit 2.1 to Registrant's Current Report on Form 8-K dated September 30, 1993].</w:t>
      </w:r>
    </w:p>
    <w:p>
      <w:pPr>
        <w:spacing w:after="0" w:line="189" w:lineRule="exact"/>
        <w:rPr>
          <w:sz w:val="20"/>
          <w:szCs w:val="20"/>
          <w:color w:val="auto"/>
        </w:rPr>
      </w:pPr>
    </w:p>
    <w:p>
      <w:pPr>
        <w:ind w:left="1320" w:right="2759" w:hanging="1418"/>
        <w:spacing w:after="0"/>
        <w:tabs>
          <w:tab w:leader="none" w:pos="130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 Agreement of Merger dated as of September 29, 1993, among USA Waste Services, Inc., USA Acquisition Co., Soil Remediation of Philadelphia, Inc., and Louis D. Paolino, Jr. [Incorporated by reference to Exhibit 2.3 to Registrant's Current Report on Form 8-K dated September 30, 1993].</w:t>
      </w:r>
    </w:p>
    <w:p>
      <w:pPr>
        <w:spacing w:after="0" w:line="367" w:lineRule="exact"/>
        <w:rPr>
          <w:sz w:val="20"/>
          <w:szCs w:val="20"/>
          <w:color w:val="auto"/>
        </w:rPr>
      </w:pPr>
    </w:p>
    <w:p>
      <w:pPr>
        <w:ind w:left="1320" w:right="2839" w:hanging="1418"/>
        <w:spacing w:after="0" w:line="239" w:lineRule="auto"/>
        <w:tabs>
          <w:tab w:leader="none" w:pos="130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 Agreement and Plan of Reorganization dated as of March 17, 1993, as amended on March 25, 1993, March 31, 1993, and August 20, 1993, between Envirofil, Inc. and Environmental Waste of America, Inc. [Incorporated by reference to Exhibit (c)(i) to Envirofil's Current Report on Form 8-K filed on November 16, 1993, as amended by a Current Report in Form 8-K/A filed on January 18, 1994].</w:t>
      </w:r>
    </w:p>
    <w:p>
      <w:pPr>
        <w:spacing w:after="0" w:line="192" w:lineRule="exact"/>
        <w:rPr>
          <w:sz w:val="20"/>
          <w:szCs w:val="20"/>
          <w:color w:val="auto"/>
        </w:rPr>
      </w:pPr>
    </w:p>
    <w:p>
      <w:pPr>
        <w:ind w:left="1320" w:right="2839" w:hanging="1418"/>
        <w:spacing w:after="0" w:line="239" w:lineRule="auto"/>
        <w:tabs>
          <w:tab w:leader="none" w:pos="130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 Stock Purchase Agreement dated March 15, 1993, between Environmental Waste of America, Inc. and Donald G. Lindgren, as amended and assigned to Envirofil, Inc. as of November 5, 1993. [Incorporated by reference to Exhibit (c)(i) to Envirofil's Current Report on Form 8-K filed on November 16, 1993, as amended by a Current Report in Form 8-K/A filed on January 18, 1994].</w:t>
      </w:r>
    </w:p>
    <w:p>
      <w:pPr>
        <w:spacing w:after="0" w:line="192" w:lineRule="exact"/>
        <w:rPr>
          <w:sz w:val="20"/>
          <w:szCs w:val="20"/>
          <w:color w:val="auto"/>
        </w:rPr>
      </w:pPr>
    </w:p>
    <w:p>
      <w:pPr>
        <w:ind w:left="1320" w:right="2759" w:hanging="1418"/>
        <w:spacing w:after="0" w:line="239" w:lineRule="auto"/>
        <w:tabs>
          <w:tab w:leader="none" w:pos="130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6"/>
          <w:szCs w:val="16"/>
          <w:color w:val="auto"/>
        </w:rPr>
        <w:t>- Stock Purchase Agreement dated March 19, 1993, among Envirofil, Inc., Meadowbrook Carting Co., Inc., and certain shareholders of Meadowbrook Carting Co., Inc. [Incorporated by reference to Exhibit (c)(ii) to Envirofil's Current Report on Form 8-K filed February 28, 1994, as amended by Current Report on Form 8-K/A filed on May 11, 1994].</w:t>
      </w:r>
    </w:p>
    <w:p>
      <w:pPr>
        <w:spacing w:after="0" w:line="190" w:lineRule="exact"/>
        <w:rPr>
          <w:sz w:val="20"/>
          <w:szCs w:val="20"/>
          <w:color w:val="auto"/>
        </w:rPr>
      </w:pPr>
    </w:p>
    <w:p>
      <w:pPr>
        <w:ind w:left="1320" w:right="2939" w:hanging="1607"/>
        <w:spacing w:after="0" w:line="239" w:lineRule="auto"/>
        <w:tabs>
          <w:tab w:leader="none" w:pos="1300"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6"/>
          <w:szCs w:val="16"/>
          <w:color w:val="auto"/>
        </w:rPr>
        <w:t>- Stock Purchase Agreement dated March 19, 1993, among Envirofil, Inc., Mid-Jersey Disposal, Co., Inc., and certain shareholders of Mid-Jersey Disposal Co., Inc. [Incorporated by reference to Exhibit (c)(ii) to Envirofil's Current Report on Form 8-K filed February 28, 1994, as amended by Current Report on Form 8-K/A filed on May 11, 1994].</w:t>
      </w:r>
    </w:p>
    <w:p>
      <w:pPr>
        <w:spacing w:after="0" w:line="192" w:lineRule="exact"/>
        <w:rPr>
          <w:sz w:val="20"/>
          <w:szCs w:val="20"/>
          <w:color w:val="auto"/>
        </w:rPr>
      </w:pPr>
    </w:p>
    <w:p>
      <w:pPr>
        <w:ind w:left="1320" w:right="2939" w:hanging="1607"/>
        <w:spacing w:after="0" w:line="239" w:lineRule="auto"/>
        <w:tabs>
          <w:tab w:leader="none" w:pos="130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 Stock Purchase Agreement dated March 19, 1993, among Envirofil, Inc., Quality Recycling Co., Inc., and certain shareholders of Quality Recycling Co., Inc. [Incorporated by reference to Exhibit (c)(iii) to Envirofil's Current Report on Form 8-K filed February 28, 1994, as amended by Current Report on Form 8-K/A filed on May 11, 1994].</w:t>
      </w:r>
    </w:p>
    <w:p>
      <w:pPr>
        <w:spacing w:after="0" w:line="190" w:lineRule="exact"/>
        <w:rPr>
          <w:sz w:val="20"/>
          <w:szCs w:val="20"/>
          <w:color w:val="auto"/>
        </w:rPr>
      </w:pPr>
    </w:p>
    <w:p>
      <w:pPr>
        <w:ind w:left="1320" w:right="2759" w:hanging="1607"/>
        <w:spacing w:after="0" w:line="239" w:lineRule="auto"/>
        <w:tabs>
          <w:tab w:leader="none" w:pos="1300"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6"/>
          <w:szCs w:val="16"/>
          <w:color w:val="auto"/>
        </w:rPr>
        <w:t>- Stock Purchase Agreement dated March 19, 1993, among Envirofil, Inc., Forcees, Inc., and certain shareholders of Forcees., Inc. [Incorporated by reference to Exhibit (c)(iv) to Envirofil's Current Report on Form 8-K filed February 28, 1994, as amended by Current Report on Form 8-K/A filed on May 11, 1994].</w:t>
      </w:r>
    </w:p>
    <w:p>
      <w:pPr>
        <w:spacing w:after="0" w:line="190" w:lineRule="exact"/>
        <w:rPr>
          <w:sz w:val="20"/>
          <w:szCs w:val="20"/>
          <w:color w:val="auto"/>
        </w:rPr>
      </w:pPr>
    </w:p>
    <w:p>
      <w:pPr>
        <w:ind w:left="1320" w:right="2839" w:hanging="1607"/>
        <w:spacing w:after="0" w:line="239" w:lineRule="auto"/>
        <w:tabs>
          <w:tab w:leader="none" w:pos="1300"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 Amended and Restated Plan and Agreement of Reorganization dated March 29, 1994, among the Registrant, Envirofil Acquisition Corporation, a Delaware corporation and wholly owned subsidiary of the Registrant, and Envirofil, Inc., a Delaware corporation [Incorporated by reference to Exhibit 2.1 to the Registrant's Registration Statement on Form S-4 (File No. 33-77110].</w:t>
      </w:r>
    </w:p>
    <w:p>
      <w:pPr>
        <w:sectPr>
          <w:pgSz w:w="11900" w:h="16838" w:orient="portrait"/>
          <w:cols w:equalWidth="0" w:num="1">
            <w:col w:w="9939"/>
          </w:cols>
          <w:pgMar w:left="52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9939"/>
          </w:cols>
          <w:pgMar w:left="520" w:top="295" w:right="1440" w:bottom="1440" w:gutter="0" w:footer="0" w:header="0"/>
          <w:type w:val="continuous"/>
        </w:sectPr>
      </w:pPr>
    </w:p>
    <w:bookmarkStart w:id="20" w:name="page21"/>
    <w:bookmarkEnd w:id="20"/>
    <w:p>
      <w:pPr>
        <w:ind w:left="283"/>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left="1603" w:right="2839" w:hanging="1607"/>
        <w:spacing w:after="0"/>
        <w:tabs>
          <w:tab w:leader="none" w:pos="1583" w:val="left"/>
        </w:tabs>
        <w:rPr>
          <w:sz w:val="20"/>
          <w:szCs w:val="20"/>
          <w:color w:val="auto"/>
        </w:rPr>
      </w:pPr>
      <w:r>
        <w:rPr>
          <w:rFonts w:ascii="Courier New" w:cs="Courier New" w:eastAsia="Courier New" w:hAnsi="Courier New"/>
          <w:sz w:val="16"/>
          <w:szCs w:val="16"/>
          <w:color w:val="auto"/>
        </w:rPr>
        <w:t>10.14</w:t>
      </w:r>
      <w:r>
        <w:rPr>
          <w:sz w:val="20"/>
          <w:szCs w:val="20"/>
          <w:color w:val="auto"/>
        </w:rPr>
        <w:tab/>
      </w:r>
      <w:r>
        <w:rPr>
          <w:rFonts w:ascii="Courier New" w:cs="Courier New" w:eastAsia="Courier New" w:hAnsi="Courier New"/>
          <w:sz w:val="16"/>
          <w:szCs w:val="16"/>
          <w:color w:val="auto"/>
        </w:rPr>
        <w:t>- Amended and Restated Agreement and Plan of Merger dated as of November 28, 1994, among the Registrant, Chambers Acquisition Corporation, a Delaware corporation and wholly owned subsidiary of the Registrant, and Chambers Development Company, Inc., a Delaware corporation [Incorporated by reference to Exhibit 2.1 of the Registrant's Registration Statement on Form S-4, File No. 33-59259].</w:t>
      </w:r>
    </w:p>
    <w:p>
      <w:pPr>
        <w:spacing w:after="0" w:line="368" w:lineRule="exact"/>
        <w:rPr>
          <w:sz w:val="20"/>
          <w:szCs w:val="20"/>
          <w:color w:val="auto"/>
        </w:rPr>
      </w:pPr>
    </w:p>
    <w:p>
      <w:pPr>
        <w:ind w:left="1603" w:right="2759" w:hanging="1607"/>
        <w:spacing w:after="0"/>
        <w:tabs>
          <w:tab w:leader="none" w:pos="1583" w:val="left"/>
        </w:tabs>
        <w:rPr>
          <w:sz w:val="20"/>
          <w:szCs w:val="20"/>
          <w:color w:val="auto"/>
        </w:rPr>
      </w:pPr>
      <w:r>
        <w:rPr>
          <w:rFonts w:ascii="Courier New" w:cs="Courier New" w:eastAsia="Courier New" w:hAnsi="Courier New"/>
          <w:sz w:val="16"/>
          <w:szCs w:val="16"/>
          <w:color w:val="auto"/>
        </w:rPr>
        <w:t>10.15</w:t>
      </w:r>
      <w:r>
        <w:rPr>
          <w:sz w:val="20"/>
          <w:szCs w:val="20"/>
          <w:color w:val="auto"/>
        </w:rPr>
        <w:tab/>
      </w:r>
      <w:r>
        <w:rPr>
          <w:rFonts w:ascii="Courier New" w:cs="Courier New" w:eastAsia="Courier New" w:hAnsi="Courier New"/>
          <w:sz w:val="16"/>
          <w:szCs w:val="16"/>
          <w:color w:val="auto"/>
        </w:rPr>
        <w:t>- Amended and Restated Revolving Credit Agreement dated as of November 28, 1994, among the Registrant, its subsidiaries, The First National Bank of Boston, Bank of America Illinois, Bank One Texas, National Association, The Bank of Nova Scotia, National Westminster Bank USA, and Banque Paribas [Incorporated by reference to Exhibit 10.17 of the Registrant's Annual Report on Form 10-K for the year ended December 31, 1994].</w:t>
      </w:r>
    </w:p>
    <w:p>
      <w:pPr>
        <w:spacing w:after="0" w:line="187" w:lineRule="exact"/>
        <w:rPr>
          <w:sz w:val="20"/>
          <w:szCs w:val="20"/>
          <w:color w:val="auto"/>
        </w:rPr>
      </w:pPr>
    </w:p>
    <w:p>
      <w:pPr>
        <w:ind w:left="1603" w:right="2839" w:hanging="1607"/>
        <w:spacing w:after="0" w:line="239" w:lineRule="auto"/>
        <w:tabs>
          <w:tab w:leader="none" w:pos="1583" w:val="left"/>
        </w:tabs>
        <w:rPr>
          <w:sz w:val="20"/>
          <w:szCs w:val="20"/>
          <w:color w:val="auto"/>
        </w:rPr>
      </w:pPr>
      <w:r>
        <w:rPr>
          <w:rFonts w:ascii="Courier New" w:cs="Courier New" w:eastAsia="Courier New" w:hAnsi="Courier New"/>
          <w:sz w:val="16"/>
          <w:szCs w:val="16"/>
          <w:color w:val="auto"/>
        </w:rPr>
        <w:t>10.16</w:t>
      </w:r>
      <w:r>
        <w:rPr>
          <w:sz w:val="20"/>
          <w:szCs w:val="20"/>
          <w:color w:val="auto"/>
        </w:rPr>
        <w:tab/>
      </w:r>
      <w:r>
        <w:rPr>
          <w:rFonts w:ascii="Courier New" w:cs="Courier New" w:eastAsia="Courier New" w:hAnsi="Courier New"/>
          <w:sz w:val="16"/>
          <w:szCs w:val="16"/>
          <w:color w:val="auto"/>
        </w:rPr>
        <w:t>- Form of Employment Agreement between the Registrant and each of John E. Drury, Donald F. Moorehead, Jr., David Sutherland-Yoest, and Charles A. Wilcox [Incorporated by reference to Exhibit 10.18 of the Registrant's Annual Report on Form 10-K for the year ended December 31, 1994].</w:t>
      </w:r>
    </w:p>
    <w:p>
      <w:pPr>
        <w:spacing w:after="0" w:line="189" w:lineRule="exact"/>
        <w:rPr>
          <w:sz w:val="20"/>
          <w:szCs w:val="20"/>
          <w:color w:val="auto"/>
        </w:rPr>
      </w:pPr>
    </w:p>
    <w:p>
      <w:pPr>
        <w:ind w:left="1603" w:right="2759" w:hanging="1607"/>
        <w:spacing w:after="0" w:line="239" w:lineRule="auto"/>
        <w:tabs>
          <w:tab w:leader="none" w:pos="1583"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6"/>
          <w:szCs w:val="16"/>
          <w:color w:val="auto"/>
        </w:rPr>
        <w:t>- Employment Agreement between the Registrant and Earl E. DeFrates [Incorporated by reference to Exhibit 10.19 of the Registrant's Annual Report on Form 10-K for the year ended December 31, 1994].</w:t>
      </w:r>
    </w:p>
    <w:p>
      <w:pPr>
        <w:spacing w:after="0" w:line="187" w:lineRule="exact"/>
        <w:rPr>
          <w:sz w:val="20"/>
          <w:szCs w:val="20"/>
          <w:color w:val="auto"/>
        </w:rPr>
      </w:pPr>
    </w:p>
    <w:p>
      <w:pPr>
        <w:ind w:left="1603" w:right="2759" w:hanging="1607"/>
        <w:spacing w:after="0" w:line="238" w:lineRule="auto"/>
        <w:tabs>
          <w:tab w:leader="none" w:pos="1583" w:val="left"/>
        </w:tabs>
        <w:rPr>
          <w:sz w:val="20"/>
          <w:szCs w:val="20"/>
          <w:color w:val="auto"/>
        </w:rPr>
      </w:pPr>
      <w:r>
        <w:rPr>
          <w:rFonts w:ascii="Courier New" w:cs="Courier New" w:eastAsia="Courier New" w:hAnsi="Courier New"/>
          <w:sz w:val="16"/>
          <w:szCs w:val="16"/>
          <w:color w:val="auto"/>
        </w:rPr>
        <w:t>10.18</w:t>
      </w:r>
      <w:r>
        <w:rPr>
          <w:sz w:val="20"/>
          <w:szCs w:val="20"/>
          <w:color w:val="auto"/>
        </w:rPr>
        <w:tab/>
      </w:r>
      <w:r>
        <w:rPr>
          <w:rFonts w:ascii="Courier New" w:cs="Courier New" w:eastAsia="Courier New" w:hAnsi="Courier New"/>
          <w:sz w:val="16"/>
          <w:szCs w:val="16"/>
          <w:color w:val="auto"/>
        </w:rPr>
        <w:t>- Employment Agreement between the Registrant and Gregory T. Sangalis [Incorporated by reference to Exhibit 10.17 to the Registrant's Registration Statement on Form S-4, File No.</w:t>
      </w:r>
    </w:p>
    <w:p>
      <w:pPr>
        <w:spacing w:after="0" w:line="2"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33-59259].</w:t>
      </w:r>
    </w:p>
    <w:p>
      <w:pPr>
        <w:spacing w:after="0" w:line="186" w:lineRule="exact"/>
        <w:rPr>
          <w:sz w:val="20"/>
          <w:szCs w:val="20"/>
          <w:color w:val="auto"/>
        </w:rPr>
      </w:pPr>
    </w:p>
    <w:p>
      <w:pPr>
        <w:ind w:left="1603" w:right="2839" w:hanging="1607"/>
        <w:spacing w:after="0" w:line="239" w:lineRule="auto"/>
        <w:tabs>
          <w:tab w:leader="none" w:pos="1583" w:val="left"/>
        </w:tabs>
        <w:rPr>
          <w:sz w:val="20"/>
          <w:szCs w:val="20"/>
          <w:color w:val="auto"/>
        </w:rPr>
      </w:pPr>
      <w:r>
        <w:rPr>
          <w:rFonts w:ascii="Courier New" w:cs="Courier New" w:eastAsia="Courier New" w:hAnsi="Courier New"/>
          <w:sz w:val="16"/>
          <w:szCs w:val="16"/>
          <w:color w:val="auto"/>
        </w:rPr>
        <w:t>10.19</w:t>
      </w:r>
      <w:r>
        <w:rPr>
          <w:sz w:val="20"/>
          <w:szCs w:val="20"/>
          <w:color w:val="auto"/>
        </w:rPr>
        <w:tab/>
      </w:r>
      <w:r>
        <w:rPr>
          <w:rFonts w:ascii="Courier New" w:cs="Courier New" w:eastAsia="Courier New" w:hAnsi="Courier New"/>
          <w:sz w:val="16"/>
          <w:szCs w:val="16"/>
          <w:color w:val="auto"/>
        </w:rPr>
        <w:t>- Amendment to Amended and Restated Agreement and Plan of Merger dated June 27, 1995, among the Registrant, Chambers Acquisition Corporation, and Chambers Development Company, Inc. [Incorporated by reference to Exhibit 2.2 to the Registrant's Current Report on Form 8-K dated June 30, 1995].</w:t>
      </w:r>
    </w:p>
    <w:p>
      <w:pPr>
        <w:spacing w:after="0" w:line="190" w:lineRule="exact"/>
        <w:rPr>
          <w:sz w:val="20"/>
          <w:szCs w:val="20"/>
          <w:color w:val="auto"/>
        </w:rPr>
      </w:pPr>
    </w:p>
    <w:p>
      <w:pPr>
        <w:ind w:left="1603" w:right="2759" w:hanging="1607"/>
        <w:spacing w:after="0"/>
        <w:tabs>
          <w:tab w:leader="none" w:pos="1583" w:val="left"/>
        </w:tabs>
        <w:rPr>
          <w:sz w:val="20"/>
          <w:szCs w:val="20"/>
          <w:color w:val="auto"/>
        </w:rPr>
      </w:pPr>
      <w:r>
        <w:rPr>
          <w:rFonts w:ascii="Courier New" w:cs="Courier New" w:eastAsia="Courier New" w:hAnsi="Courier New"/>
          <w:sz w:val="16"/>
          <w:szCs w:val="16"/>
          <w:color w:val="auto"/>
        </w:rPr>
        <w:t>10.20</w:t>
      </w:r>
      <w:r>
        <w:rPr>
          <w:sz w:val="20"/>
          <w:szCs w:val="20"/>
          <w:color w:val="auto"/>
        </w:rPr>
        <w:tab/>
      </w:r>
      <w:r>
        <w:rPr>
          <w:rFonts w:ascii="Courier New" w:cs="Courier New" w:eastAsia="Courier New" w:hAnsi="Courier New"/>
          <w:sz w:val="16"/>
          <w:szCs w:val="16"/>
          <w:color w:val="auto"/>
        </w:rPr>
        <w:t>- Shareholders Agreement dated June 25, 1995, among USA Waste Services, Inc., Donald F. Moorehead, Jr., John E. Drury, John G. Rangos, Sr., John G. Rangos, Jr., Alexander W. Rangos, and John Rangos Development Corporation, Inc. [Incorporated by reference to Exhibit 10.20 to the Registrant's Quarterly Report on Form 10-Q/A for the period ended June 30, 1995].</w:t>
      </w:r>
    </w:p>
    <w:p>
      <w:pPr>
        <w:spacing w:after="0" w:line="368" w:lineRule="exact"/>
        <w:rPr>
          <w:sz w:val="20"/>
          <w:szCs w:val="20"/>
          <w:color w:val="auto"/>
        </w:rPr>
      </w:pPr>
    </w:p>
    <w:p>
      <w:pPr>
        <w:ind w:left="1603" w:right="2759" w:hanging="1607"/>
        <w:spacing w:after="0"/>
        <w:tabs>
          <w:tab w:leader="none" w:pos="1583" w:val="left"/>
        </w:tabs>
        <w:rPr>
          <w:sz w:val="20"/>
          <w:szCs w:val="20"/>
          <w:color w:val="auto"/>
        </w:rPr>
      </w:pPr>
      <w:r>
        <w:rPr>
          <w:rFonts w:ascii="Courier New" w:cs="Courier New" w:eastAsia="Courier New" w:hAnsi="Courier New"/>
          <w:sz w:val="16"/>
          <w:szCs w:val="16"/>
          <w:color w:val="auto"/>
        </w:rPr>
        <w:t>10.21</w:t>
      </w:r>
      <w:r>
        <w:rPr>
          <w:sz w:val="20"/>
          <w:szCs w:val="20"/>
          <w:color w:val="auto"/>
        </w:rPr>
        <w:tab/>
      </w:r>
      <w:r>
        <w:rPr>
          <w:rFonts w:ascii="Courier New" w:cs="Courier New" w:eastAsia="Courier New" w:hAnsi="Courier New"/>
          <w:sz w:val="16"/>
          <w:szCs w:val="16"/>
          <w:color w:val="auto"/>
        </w:rPr>
        <w:t>- Consulting and Non-Compete Agreement dated June 25, 1995, between the Registrant and John G. Rangos, Sr. [Incorporated by reference to Exhibit 10.21 to the Registrant's Quarterly Report on Form 10-Q/A for the period ended June 30, 1995].</w:t>
      </w:r>
    </w:p>
    <w:p>
      <w:pPr>
        <w:spacing w:after="0" w:line="366" w:lineRule="exact"/>
        <w:rPr>
          <w:sz w:val="20"/>
          <w:szCs w:val="20"/>
          <w:color w:val="auto"/>
        </w:rPr>
      </w:pPr>
    </w:p>
    <w:p>
      <w:pPr>
        <w:ind w:left="1603" w:right="2839" w:hanging="1607"/>
        <w:spacing w:after="0" w:line="239" w:lineRule="auto"/>
        <w:tabs>
          <w:tab w:leader="none" w:pos="1583" w:val="left"/>
        </w:tabs>
        <w:rPr>
          <w:sz w:val="20"/>
          <w:szCs w:val="20"/>
          <w:color w:val="auto"/>
        </w:rPr>
      </w:pPr>
      <w:r>
        <w:rPr>
          <w:rFonts w:ascii="Courier New" w:cs="Courier New" w:eastAsia="Courier New" w:hAnsi="Courier New"/>
          <w:sz w:val="16"/>
          <w:szCs w:val="16"/>
          <w:color w:val="auto"/>
        </w:rPr>
        <w:t>10.22</w:t>
      </w:r>
      <w:r>
        <w:rPr>
          <w:sz w:val="20"/>
          <w:szCs w:val="20"/>
          <w:color w:val="auto"/>
        </w:rPr>
        <w:tab/>
      </w:r>
      <w:r>
        <w:rPr>
          <w:rFonts w:ascii="Courier New" w:cs="Courier New" w:eastAsia="Courier New" w:hAnsi="Courier New"/>
          <w:sz w:val="16"/>
          <w:szCs w:val="16"/>
          <w:color w:val="auto"/>
        </w:rPr>
        <w:t>- Employment Agreement dated June 25, 1995, between the Registrant and Alexander W. Rangos [Incorporated by reference to Exhibit 10.22 to the Registrant's Quarterly Report on Form 10-Q/A for the period ended June 30, 1995].</w:t>
      </w:r>
    </w:p>
    <w:p>
      <w:pPr>
        <w:spacing w:after="0" w:line="187" w:lineRule="exact"/>
        <w:rPr>
          <w:sz w:val="20"/>
          <w:szCs w:val="20"/>
          <w:color w:val="auto"/>
        </w:rPr>
      </w:pPr>
    </w:p>
    <w:p>
      <w:pPr>
        <w:ind w:left="1603" w:right="2939" w:hanging="1607"/>
        <w:spacing w:after="0" w:line="239" w:lineRule="auto"/>
        <w:tabs>
          <w:tab w:leader="none" w:pos="1583" w:val="left"/>
        </w:tabs>
        <w:rPr>
          <w:sz w:val="20"/>
          <w:szCs w:val="20"/>
          <w:color w:val="auto"/>
        </w:rPr>
      </w:pPr>
      <w:r>
        <w:rPr>
          <w:rFonts w:ascii="Courier New" w:cs="Courier New" w:eastAsia="Courier New" w:hAnsi="Courier New"/>
          <w:sz w:val="16"/>
          <w:szCs w:val="16"/>
          <w:color w:val="auto"/>
        </w:rPr>
        <w:t>10.21</w:t>
      </w:r>
      <w:r>
        <w:rPr>
          <w:sz w:val="20"/>
          <w:szCs w:val="20"/>
          <w:color w:val="auto"/>
        </w:rPr>
        <w:tab/>
      </w:r>
      <w:r>
        <w:rPr>
          <w:rFonts w:ascii="Courier New" w:cs="Courier New" w:eastAsia="Courier New" w:hAnsi="Courier New"/>
          <w:sz w:val="16"/>
          <w:szCs w:val="16"/>
          <w:color w:val="auto"/>
        </w:rPr>
        <w:t>- Subsidiaries of the Registrant [Incorporated by reference to Exhibit 21.1 to the Post-Effective Amendment No. 1 to the Registrant's Registration Statement on Form S-4 (File No. 33-60103].</w:t>
      </w:r>
    </w:p>
    <w:p>
      <w:pPr>
        <w:spacing w:after="0" w:line="187" w:lineRule="exact"/>
        <w:rPr>
          <w:sz w:val="20"/>
          <w:szCs w:val="20"/>
          <w:color w:val="auto"/>
        </w:rPr>
      </w:pPr>
    </w:p>
    <w:p>
      <w:pPr>
        <w:ind w:left="1603" w:right="3419" w:hanging="1603"/>
        <w:spacing w:after="0" w:line="237" w:lineRule="auto"/>
        <w:tabs>
          <w:tab w:leader="none" w:pos="-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23.1- Consent of Snell &amp; Smith, A Professional Corporation (Contained in Exhibit 5.1).</w:t>
      </w:r>
    </w:p>
    <w:p>
      <w:pPr>
        <w:spacing w:after="0" w:line="183" w:lineRule="exact"/>
        <w:rPr>
          <w:rFonts w:ascii="Courier New" w:cs="Courier New" w:eastAsia="Courier New" w:hAnsi="Courier New"/>
          <w:sz w:val="16"/>
          <w:szCs w:val="16"/>
          <w:color w:val="auto"/>
        </w:rPr>
      </w:pPr>
    </w:p>
    <w:p>
      <w:pPr>
        <w:ind w:left="283" w:hanging="283"/>
        <w:spacing w:after="0"/>
        <w:tabs>
          <w:tab w:leader="none" w:pos="28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23.2</w:t>
      </w:r>
      <w:r>
        <w:rPr>
          <w:rFonts w:ascii="Courier New" w:cs="Courier New" w:eastAsia="Courier New" w:hAnsi="Courier New"/>
          <w:sz w:val="15"/>
          <w:szCs w:val="15"/>
          <w:color w:val="auto"/>
        </w:rPr>
        <w:t>-  Consent of Coopers &amp; Lybrand L.L.P.</w:t>
      </w:r>
    </w:p>
    <w:p>
      <w:pPr>
        <w:sectPr>
          <w:pgSz w:w="11900" w:h="16838" w:orient="portrait"/>
          <w:cols w:equalWidth="0" w:num="1">
            <w:col w:w="10222"/>
          </w:cols>
          <w:pgMar w:left="237"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03"/>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22"/>
          </w:cols>
          <w:pgMar w:left="237" w:top="295" w:right="1440" w:bottom="1440" w:gutter="0" w:footer="0" w:header="0"/>
          <w:type w:val="continuous"/>
        </w:sectPr>
      </w:pPr>
    </w:p>
    <w:bookmarkStart w:id="21" w:name="page22"/>
    <w:bookmarkEnd w:id="21"/>
    <w:p>
      <w:pPr>
        <w:ind w:left="283"/>
        <w:spacing w:after="0"/>
        <w:rPr>
          <w:sz w:val="20"/>
          <w:szCs w:val="20"/>
          <w:color w:val="auto"/>
        </w:rPr>
      </w:pPr>
      <w:r>
        <w:rPr>
          <w:rFonts w:ascii="Courier New" w:cs="Courier New" w:eastAsia="Courier New" w:hAnsi="Courier New"/>
          <w:sz w:val="16"/>
          <w:szCs w:val="16"/>
          <w:color w:val="auto"/>
        </w:rPr>
        <w:t>22</w:t>
      </w:r>
    </w:p>
    <w:p>
      <w:pPr>
        <w:spacing w:after="0" w:line="1" w:lineRule="exact"/>
        <w:rPr>
          <w:sz w:val="20"/>
          <w:szCs w:val="20"/>
          <w:color w:val="auto"/>
        </w:rPr>
      </w:pPr>
    </w:p>
    <w:p>
      <w:pPr>
        <w:ind w:left="463" w:hanging="463"/>
        <w:spacing w:after="0"/>
        <w:tabs>
          <w:tab w:leader="none" w:pos="46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23.3</w:t>
      </w:r>
      <w:r>
        <w:rPr>
          <w:rFonts w:ascii="Courier New" w:cs="Courier New" w:eastAsia="Courier New" w:hAnsi="Courier New"/>
          <w:sz w:val="15"/>
          <w:szCs w:val="15"/>
          <w:color w:val="auto"/>
        </w:rPr>
        <w:t>-  Consent of Arthur Andersen LLP.</w:t>
      </w:r>
    </w:p>
    <w:p>
      <w:pPr>
        <w:spacing w:after="0" w:line="182"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23.4</w:t>
      </w:r>
      <w:r>
        <w:rPr>
          <w:rFonts w:ascii="Courier New" w:cs="Courier New" w:eastAsia="Courier New" w:hAnsi="Courier New"/>
          <w:sz w:val="15"/>
          <w:szCs w:val="15"/>
          <w:color w:val="auto"/>
        </w:rPr>
        <w:t>-  Consent of Deloitte &amp; Touche LLP.</w:t>
      </w:r>
    </w:p>
    <w:p>
      <w:pPr>
        <w:spacing w:after="0" w:line="182"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w:t>
      </w:r>
      <w:r>
        <w:rPr>
          <w:rFonts w:ascii="Courier New" w:cs="Courier New" w:eastAsia="Courier New" w:hAnsi="Courier New"/>
          <w:sz w:val="15"/>
          <w:szCs w:val="15"/>
          <w:color w:val="auto"/>
        </w:rPr>
        <w:t>-  Powers of Attorney [Included on Page II-10].</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843" w:hanging="843"/>
        <w:spacing w:after="0"/>
        <w:tabs>
          <w:tab w:leader="none" w:pos="84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183" w:lineRule="exact"/>
        <w:rPr>
          <w:sz w:val="20"/>
          <w:szCs w:val="20"/>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ITEM 22.</w:t>
      </w:r>
      <w:r>
        <w:rPr>
          <w:sz w:val="20"/>
          <w:szCs w:val="20"/>
          <w:color w:val="auto"/>
        </w:rPr>
        <w:tab/>
      </w:r>
      <w:r>
        <w:rPr>
          <w:rFonts w:ascii="Courier New" w:cs="Courier New" w:eastAsia="Courier New" w:hAnsi="Courier New"/>
          <w:sz w:val="15"/>
          <w:szCs w:val="15"/>
          <w:color w:val="auto"/>
        </w:rPr>
        <w:t>UNDERTAKINGS.</w:t>
      </w:r>
    </w:p>
    <w:p>
      <w:pPr>
        <w:spacing w:after="0" w:line="183" w:lineRule="exact"/>
        <w:rPr>
          <w:sz w:val="20"/>
          <w:szCs w:val="20"/>
          <w:color w:val="auto"/>
        </w:rPr>
      </w:pPr>
    </w:p>
    <w:p>
      <w:pPr>
        <w:ind w:left="1603" w:hanging="752"/>
        <w:spacing w:after="0"/>
        <w:tabs>
          <w:tab w:leader="none" w:pos="160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6" w:lineRule="exact"/>
        <w:rPr>
          <w:rFonts w:ascii="Courier New" w:cs="Courier New" w:eastAsia="Courier New" w:hAnsi="Courier New"/>
          <w:sz w:val="16"/>
          <w:szCs w:val="16"/>
          <w:color w:val="auto"/>
        </w:rPr>
      </w:pPr>
    </w:p>
    <w:p>
      <w:pPr>
        <w:ind w:left="843" w:right="2939" w:firstLine="765"/>
        <w:spacing w:after="0" w:line="238" w:lineRule="auto"/>
        <w:tabs>
          <w:tab w:leader="none" w:pos="245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8" w:lineRule="exact"/>
        <w:rPr>
          <w:rFonts w:ascii="Courier New" w:cs="Courier New" w:eastAsia="Courier New" w:hAnsi="Courier New"/>
          <w:sz w:val="16"/>
          <w:szCs w:val="16"/>
          <w:color w:val="auto"/>
        </w:rPr>
      </w:pPr>
    </w:p>
    <w:p>
      <w:pPr>
        <w:ind w:left="1603" w:right="2759" w:firstLine="856"/>
        <w:spacing w:after="0" w:line="237" w:lineRule="auto"/>
        <w:tabs>
          <w:tab w:leader="none" w:pos="3211" w:val="left"/>
        </w:tabs>
        <w:numPr>
          <w:ilvl w:val="2"/>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7" w:lineRule="exact"/>
        <w:rPr>
          <w:rFonts w:ascii="Courier New" w:cs="Courier New" w:eastAsia="Courier New" w:hAnsi="Courier New"/>
          <w:sz w:val="16"/>
          <w:szCs w:val="16"/>
          <w:color w:val="auto"/>
        </w:rPr>
      </w:pPr>
    </w:p>
    <w:p>
      <w:pPr>
        <w:ind w:left="1603" w:right="2839" w:firstLine="856"/>
        <w:spacing w:after="0" w:line="239" w:lineRule="auto"/>
        <w:tabs>
          <w:tab w:leader="none" w:pos="3211" w:val="left"/>
        </w:tabs>
        <w:numPr>
          <w:ilvl w:val="2"/>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90" w:lineRule="exact"/>
        <w:rPr>
          <w:rFonts w:ascii="Courier New" w:cs="Courier New" w:eastAsia="Courier New" w:hAnsi="Courier New"/>
          <w:sz w:val="16"/>
          <w:szCs w:val="16"/>
          <w:color w:val="auto"/>
        </w:rPr>
      </w:pPr>
    </w:p>
    <w:p>
      <w:pPr>
        <w:ind w:left="1603" w:right="2939" w:firstLine="856"/>
        <w:spacing w:after="0" w:line="239" w:lineRule="auto"/>
        <w:tabs>
          <w:tab w:leader="none" w:pos="3211" w:val="left"/>
        </w:tabs>
        <w:numPr>
          <w:ilvl w:val="2"/>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ind w:left="843" w:right="2839"/>
        <w:spacing w:after="0" w:line="239" w:lineRule="auto"/>
        <w:rPr>
          <w:sz w:val="20"/>
          <w:szCs w:val="20"/>
          <w:color w:val="auto"/>
        </w:rPr>
      </w:pPr>
      <w:r>
        <w:rPr>
          <w:rFonts w:ascii="Courier New" w:cs="Courier New" w:eastAsia="Courier New" w:hAnsi="Courier New"/>
          <w:sz w:val="16"/>
          <w:szCs w:val="16"/>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90" w:lineRule="exact"/>
        <w:rPr>
          <w:sz w:val="20"/>
          <w:szCs w:val="20"/>
          <w:color w:val="auto"/>
        </w:rPr>
      </w:pPr>
    </w:p>
    <w:p>
      <w:pPr>
        <w:ind w:left="843" w:right="2939" w:firstLine="765"/>
        <w:spacing w:after="0" w:line="239" w:lineRule="auto"/>
        <w:tabs>
          <w:tab w:leader="none" w:pos="245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Courier New" w:cs="Courier New" w:eastAsia="Courier New" w:hAnsi="Courier New"/>
          <w:sz w:val="16"/>
          <w:szCs w:val="16"/>
          <w:color w:val="auto"/>
        </w:rPr>
      </w:pPr>
    </w:p>
    <w:p>
      <w:pPr>
        <w:ind w:left="2463" w:hanging="855"/>
        <w:spacing w:after="0"/>
        <w:tabs>
          <w:tab w:leader="none" w:pos="2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w:t>
      </w:r>
    </w:p>
    <w:p>
      <w:pPr>
        <w:spacing w:after="0" w:line="5" w:lineRule="exact"/>
        <w:rPr>
          <w:sz w:val="20"/>
          <w:szCs w:val="20"/>
          <w:color w:val="auto"/>
        </w:rPr>
      </w:pPr>
    </w:p>
    <w:p>
      <w:pPr>
        <w:ind w:left="843" w:right="2839"/>
        <w:spacing w:after="0" w:line="237" w:lineRule="auto"/>
        <w:rPr>
          <w:sz w:val="20"/>
          <w:szCs w:val="20"/>
          <w:color w:val="auto"/>
        </w:rPr>
      </w:pPr>
      <w:r>
        <w:rPr>
          <w:rFonts w:ascii="Courier New" w:cs="Courier New" w:eastAsia="Courier New" w:hAnsi="Courier New"/>
          <w:sz w:val="16"/>
          <w:szCs w:val="16"/>
          <w:color w:val="auto"/>
        </w:rPr>
        <w:t>post-effective amendment any of the securities being registered which remain unsold at the termination of the offering.</w:t>
      </w:r>
    </w:p>
    <w:p>
      <w:pPr>
        <w:spacing w:after="0" w:line="188" w:lineRule="exact"/>
        <w:rPr>
          <w:sz w:val="20"/>
          <w:szCs w:val="20"/>
          <w:color w:val="auto"/>
        </w:rPr>
      </w:pPr>
    </w:p>
    <w:p>
      <w:pPr>
        <w:ind w:left="3" w:right="2759" w:firstLine="848"/>
        <w:spacing w:after="0" w:line="258" w:lineRule="auto"/>
        <w:tabs>
          <w:tab w:leader="none" w:pos="161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74" w:lineRule="exact"/>
        <w:rPr>
          <w:rFonts w:ascii="Courier New" w:cs="Courier New" w:eastAsia="Courier New" w:hAnsi="Courier New"/>
          <w:sz w:val="15"/>
          <w:szCs w:val="15"/>
          <w:color w:val="auto"/>
        </w:rPr>
      </w:pPr>
    </w:p>
    <w:p>
      <w:pPr>
        <w:ind w:left="3" w:right="2839" w:firstLine="848"/>
        <w:spacing w:after="0" w:line="258" w:lineRule="auto"/>
        <w:tabs>
          <w:tab w:leader="none" w:pos="161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w:t>
      </w:r>
    </w:p>
    <w:p>
      <w:pPr>
        <w:sectPr>
          <w:pgSz w:w="11900" w:h="16838" w:orient="portrait"/>
          <w:cols w:equalWidth="0" w:num="1">
            <w:col w:w="10222"/>
          </w:cols>
          <w:pgMar w:left="237"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3"/>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22"/>
          </w:cols>
          <w:pgMar w:left="237" w:top="295"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8" w:lineRule="exact"/>
        <w:rPr>
          <w:sz w:val="20"/>
          <w:szCs w:val="20"/>
          <w:color w:val="auto"/>
        </w:rPr>
      </w:pPr>
    </w:p>
    <w:p>
      <w:pPr>
        <w:ind w:right="2759" w:firstLine="848"/>
        <w:spacing w:after="0" w:line="239" w:lineRule="auto"/>
        <w:tabs>
          <w:tab w:leader="none" w:pos="160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registrations statement through the date of responding to the request.</w:t>
      </w:r>
    </w:p>
    <w:p>
      <w:pPr>
        <w:spacing w:after="0" w:line="191" w:lineRule="exact"/>
        <w:rPr>
          <w:rFonts w:ascii="Courier New" w:cs="Courier New" w:eastAsia="Courier New" w:hAnsi="Courier New"/>
          <w:sz w:val="16"/>
          <w:szCs w:val="16"/>
          <w:color w:val="auto"/>
        </w:rPr>
      </w:pPr>
    </w:p>
    <w:p>
      <w:pPr>
        <w:ind w:right="2939" w:firstLine="848"/>
        <w:spacing w:after="0" w:line="260" w:lineRule="auto"/>
        <w:tabs>
          <w:tab w:leader="none" w:pos="160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19"/>
          </w:cols>
          <w:pgMar w:left="240" w:top="295"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duly caused this registration statement to be signed on its behalf by the undersigned, thereunto duly authorized, in the City of Dallas, State of Texas on November 03, 1995.</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USA Waste Services, Inc.</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E. Drury</w:t>
      </w:r>
    </w:p>
    <w:p>
      <w:pPr>
        <w:spacing w:after="0" w:line="8" w:lineRule="exact"/>
        <w:rPr>
          <w:sz w:val="20"/>
          <w:szCs w:val="20"/>
          <w:color w:val="auto"/>
        </w:rPr>
      </w:pPr>
    </w:p>
    <w:p>
      <w:pPr>
        <w:sectPr>
          <w:pgSz w:w="11900" w:h="16838" w:orient="portrait"/>
          <w:cols w:equalWidth="0" w:num="2">
            <w:col w:w="3500" w:space="380"/>
            <w:col w:w="6339"/>
          </w:cols>
          <w:pgMar w:left="240" w:top="295" w:right="1440" w:bottom="1440" w:gutter="0" w:footer="0" w:header="0"/>
          <w:type w:val="continuous"/>
        </w:sect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2759"/>
        <w:spacing w:after="0"/>
        <w:rPr>
          <w:sz w:val="20"/>
          <w:szCs w:val="20"/>
          <w:color w:val="auto"/>
        </w:rPr>
      </w:pPr>
      <w:r>
        <w:rPr>
          <w:rFonts w:ascii="Courier New" w:cs="Courier New" w:eastAsia="Courier New" w:hAnsi="Courier New"/>
          <w:sz w:val="16"/>
          <w:szCs w:val="16"/>
          <w:color w:val="auto"/>
        </w:rPr>
        <w:t>John E. Drury,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II-9</w:t>
      </w:r>
    </w:p>
    <w:p>
      <w:pPr>
        <w:sectPr>
          <w:pgSz w:w="11900" w:h="16838" w:orient="portrait"/>
          <w:cols w:equalWidth="0" w:num="1">
            <w:col w:w="10219"/>
          </w:cols>
          <w:pgMar w:left="240" w:top="295" w:right="1440" w:bottom="1440" w:gutter="0" w:footer="0" w:header="0"/>
          <w:type w:val="continuous"/>
        </w:sectPr>
      </w:pPr>
    </w:p>
    <w:bookmarkStart w:id="24" w:name="page25"/>
    <w:bookmarkEnd w:id="24"/>
    <w:p>
      <w:pPr>
        <w:ind w:left="283"/>
        <w:spacing w:after="0"/>
        <w:rPr>
          <w:sz w:val="20"/>
          <w:szCs w:val="20"/>
          <w:color w:val="auto"/>
        </w:rPr>
      </w:pPr>
      <w:r>
        <w:rPr>
          <w:rFonts w:ascii="Courier New" w:cs="Courier New" w:eastAsia="Courier New" w:hAnsi="Courier New"/>
          <w:sz w:val="16"/>
          <w:szCs w:val="16"/>
          <w:color w:val="auto"/>
        </w:rPr>
        <w:t>25</w:t>
      </w:r>
    </w:p>
    <w:p>
      <w:pPr>
        <w:spacing w:after="0" w:line="1"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left="3" w:right="2759" w:firstLine="851"/>
        <w:spacing w:after="0"/>
        <w:rPr>
          <w:sz w:val="20"/>
          <w:szCs w:val="20"/>
          <w:color w:val="auto"/>
        </w:rPr>
      </w:pPr>
      <w:r>
        <w:rPr>
          <w:rFonts w:ascii="Courier New" w:cs="Courier New" w:eastAsia="Courier New" w:hAnsi="Courier New"/>
          <w:sz w:val="16"/>
          <w:szCs w:val="16"/>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on Form S-4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5"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Witness our hands on the date set forth below.</w:t>
      </w:r>
    </w:p>
    <w:p>
      <w:pPr>
        <w:spacing w:after="0" w:line="186" w:lineRule="exact"/>
        <w:rPr>
          <w:sz w:val="20"/>
          <w:szCs w:val="20"/>
          <w:color w:val="auto"/>
        </w:rPr>
      </w:pPr>
    </w:p>
    <w:p>
      <w:pPr>
        <w:ind w:left="3" w:right="3039" w:firstLine="851"/>
        <w:spacing w:after="0" w:line="238"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or amendment thereto has been signed by the following persons in the capacities and on November 03, 1995.</w:t>
      </w:r>
    </w:p>
    <w:p>
      <w:pPr>
        <w:spacing w:after="0" w:line="200" w:lineRule="exact"/>
        <w:rPr>
          <w:sz w:val="20"/>
          <w:szCs w:val="20"/>
          <w:color w:val="auto"/>
        </w:rPr>
      </w:pPr>
    </w:p>
    <w:p>
      <w:pPr>
        <w:spacing w:after="0" w:line="348" w:lineRule="exact"/>
        <w:rPr>
          <w:sz w:val="20"/>
          <w:szCs w:val="20"/>
          <w:color w:val="auto"/>
        </w:rPr>
      </w:pPr>
    </w:p>
    <w:p>
      <w:pPr>
        <w:ind w:left="3"/>
        <w:spacing w:after="0"/>
        <w:tabs>
          <w:tab w:leader="none" w:pos="5843"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p>
    <w:p>
      <w:pPr>
        <w:spacing w:after="0" w:line="1" w:lineRule="exact"/>
        <w:rPr>
          <w:sz w:val="20"/>
          <w:szCs w:val="20"/>
          <w:color w:val="auto"/>
        </w:rPr>
      </w:pPr>
    </w:p>
    <w:p>
      <w:pPr>
        <w:ind w:left="3"/>
        <w:spacing w:after="0"/>
        <w:tabs>
          <w:tab w:leader="none" w:pos="602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183" w:lineRule="exact"/>
        <w:rPr>
          <w:sz w:val="20"/>
          <w:szCs w:val="20"/>
          <w:color w:val="auto"/>
        </w:rPr>
      </w:pPr>
    </w:p>
    <w:p>
      <w:pPr>
        <w:ind w:left="3"/>
        <w:spacing w:after="0"/>
        <w:tabs>
          <w:tab w:leader="none" w:pos="4143" w:val="left"/>
        </w:tabs>
        <w:rPr>
          <w:sz w:val="20"/>
          <w:szCs w:val="20"/>
          <w:color w:val="auto"/>
        </w:rPr>
      </w:pPr>
      <w:r>
        <w:rPr>
          <w:rFonts w:ascii="Courier New" w:cs="Courier New" w:eastAsia="Courier New" w:hAnsi="Courier New"/>
          <w:sz w:val="16"/>
          <w:szCs w:val="16"/>
          <w:color w:val="auto"/>
        </w:rPr>
        <w:t>/s/ John E. Drury</w:t>
      </w:r>
      <w:r>
        <w:rPr>
          <w:sz w:val="20"/>
          <w:szCs w:val="20"/>
          <w:color w:val="auto"/>
        </w:rPr>
        <w:tab/>
      </w:r>
      <w:r>
        <w:rPr>
          <w:rFonts w:ascii="Courier New" w:cs="Courier New" w:eastAsia="Courier New" w:hAnsi="Courier New"/>
          <w:sz w:val="15"/>
          <w:szCs w:val="15"/>
          <w:color w:val="auto"/>
        </w:rPr>
        <w:t>Chairman of the Board and Chief Executive Officer</w:t>
      </w:r>
    </w:p>
    <w:p>
      <w:pPr>
        <w:spacing w:after="0" w:line="1" w:lineRule="exact"/>
        <w:rPr>
          <w:sz w:val="20"/>
          <w:szCs w:val="20"/>
          <w:color w:val="auto"/>
        </w:rPr>
      </w:pPr>
    </w:p>
    <w:p>
      <w:pPr>
        <w:ind w:left="183" w:hanging="183"/>
        <w:spacing w:after="0"/>
        <w:tabs>
          <w:tab w:leader="none" w:pos="18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E. Drury</w:t>
      </w:r>
    </w:p>
    <w:p>
      <w:pPr>
        <w:spacing w:after="0" w:line="183" w:lineRule="exact"/>
        <w:rPr>
          <w:sz w:val="20"/>
          <w:szCs w:val="20"/>
          <w:color w:val="auto"/>
        </w:rPr>
      </w:pPr>
    </w:p>
    <w:p>
      <w:pPr>
        <w:ind w:left="3"/>
        <w:spacing w:after="0"/>
        <w:tabs>
          <w:tab w:leader="none" w:pos="4143" w:val="left"/>
        </w:tabs>
        <w:rPr>
          <w:sz w:val="20"/>
          <w:szCs w:val="20"/>
          <w:color w:val="auto"/>
        </w:rPr>
      </w:pPr>
      <w:r>
        <w:rPr>
          <w:rFonts w:ascii="Courier New" w:cs="Courier New" w:eastAsia="Courier New" w:hAnsi="Courier New"/>
          <w:sz w:val="16"/>
          <w:szCs w:val="16"/>
          <w:color w:val="auto"/>
        </w:rPr>
        <w:t>/s/ Donald F. Moorehead, Jr.</w:t>
      </w:r>
      <w:r>
        <w:rPr>
          <w:sz w:val="20"/>
          <w:szCs w:val="20"/>
          <w:color w:val="auto"/>
        </w:rPr>
        <w:tab/>
      </w:r>
      <w:r>
        <w:rPr>
          <w:rFonts w:ascii="Courier New" w:cs="Courier New" w:eastAsia="Courier New" w:hAnsi="Courier New"/>
          <w:sz w:val="15"/>
          <w:szCs w:val="15"/>
          <w:color w:val="auto"/>
        </w:rPr>
        <w:t>Vice Chairman of the Board and Chief Development</w:t>
      </w:r>
    </w:p>
    <w:p>
      <w:pPr>
        <w:spacing w:after="0" w:line="1" w:lineRule="exact"/>
        <w:rPr>
          <w:sz w:val="20"/>
          <w:szCs w:val="20"/>
          <w:color w:val="auto"/>
        </w:rPr>
      </w:pPr>
    </w:p>
    <w:p>
      <w:pPr>
        <w:ind w:left="3"/>
        <w:spacing w:after="0"/>
        <w:tabs>
          <w:tab w:leader="none" w:pos="432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Officer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Donald F. Moorehead, Jr.</w:t>
      </w:r>
    </w:p>
    <w:p>
      <w:pPr>
        <w:spacing w:after="0" w:line="183" w:lineRule="exact"/>
        <w:rPr>
          <w:sz w:val="20"/>
          <w:szCs w:val="20"/>
          <w:color w:val="auto"/>
        </w:rPr>
      </w:pPr>
    </w:p>
    <w:p>
      <w:pPr>
        <w:ind w:left="3"/>
        <w:spacing w:after="0"/>
        <w:tabs>
          <w:tab w:leader="none" w:pos="4143" w:val="left"/>
        </w:tabs>
        <w:rPr>
          <w:sz w:val="20"/>
          <w:szCs w:val="20"/>
          <w:color w:val="auto"/>
        </w:rPr>
      </w:pPr>
      <w:r>
        <w:rPr>
          <w:rFonts w:ascii="Courier New" w:cs="Courier New" w:eastAsia="Courier New" w:hAnsi="Courier New"/>
          <w:sz w:val="16"/>
          <w:szCs w:val="16"/>
          <w:color w:val="auto"/>
        </w:rPr>
        <w:t>/s/ David Sutherland-Yoest</w:t>
      </w:r>
      <w:r>
        <w:rPr>
          <w:sz w:val="20"/>
          <w:szCs w:val="20"/>
          <w:color w:val="auto"/>
        </w:rPr>
        <w:tab/>
      </w:r>
      <w:r>
        <w:rPr>
          <w:rFonts w:ascii="Courier New" w:cs="Courier New" w:eastAsia="Courier New" w:hAnsi="Courier New"/>
          <w:sz w:val="15"/>
          <w:szCs w:val="15"/>
          <w:color w:val="auto"/>
        </w:rPr>
        <w:t>President, Chief Operating Officer, and Director</w:t>
      </w:r>
    </w:p>
    <w:p>
      <w:pPr>
        <w:spacing w:after="0" w:line="1" w:lineRule="exact"/>
        <w:rPr>
          <w:sz w:val="20"/>
          <w:szCs w:val="20"/>
          <w:color w:val="auto"/>
        </w:rPr>
      </w:pPr>
    </w:p>
    <w:p>
      <w:pPr>
        <w:ind w:left="183" w:hanging="183"/>
        <w:spacing w:after="0"/>
        <w:tabs>
          <w:tab w:leader="none" w:pos="18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Sutherland-Yoest</w:t>
      </w:r>
    </w:p>
    <w:p>
      <w:pPr>
        <w:spacing w:after="0" w:line="183" w:lineRule="exact"/>
        <w:rPr>
          <w:sz w:val="20"/>
          <w:szCs w:val="20"/>
          <w:color w:val="auto"/>
        </w:rPr>
      </w:pPr>
    </w:p>
    <w:p>
      <w:pPr>
        <w:ind w:left="3"/>
        <w:spacing w:after="0"/>
        <w:tabs>
          <w:tab w:leader="none" w:pos="4143" w:val="left"/>
        </w:tabs>
        <w:rPr>
          <w:sz w:val="20"/>
          <w:szCs w:val="20"/>
          <w:color w:val="auto"/>
        </w:rPr>
      </w:pPr>
      <w:r>
        <w:rPr>
          <w:rFonts w:ascii="Courier New" w:cs="Courier New" w:eastAsia="Courier New" w:hAnsi="Courier New"/>
          <w:sz w:val="16"/>
          <w:szCs w:val="16"/>
          <w:color w:val="auto"/>
        </w:rPr>
        <w:t>/s/ Earl E. DeFrates</w:t>
      </w:r>
      <w:r>
        <w:rPr>
          <w:sz w:val="20"/>
          <w:szCs w:val="20"/>
          <w:color w:val="auto"/>
        </w:rPr>
        <w:tab/>
      </w:r>
      <w:r>
        <w:rPr>
          <w:rFonts w:ascii="Courier New" w:cs="Courier New" w:eastAsia="Courier New" w:hAnsi="Courier New"/>
          <w:sz w:val="15"/>
          <w:szCs w:val="15"/>
          <w:color w:val="auto"/>
        </w:rPr>
        <w:t>Executive Vice President, Chief Financial Officer</w:t>
      </w:r>
    </w:p>
    <w:p>
      <w:pPr>
        <w:spacing w:after="0" w:line="1" w:lineRule="exact"/>
        <w:rPr>
          <w:sz w:val="20"/>
          <w:szCs w:val="20"/>
          <w:color w:val="auto"/>
        </w:rPr>
      </w:pPr>
    </w:p>
    <w:p>
      <w:pPr>
        <w:ind w:left="3"/>
        <w:spacing w:after="0"/>
        <w:tabs>
          <w:tab w:leader="none" w:pos="432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and Treasurer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Earl E. DeFrates</w:t>
      </w:r>
    </w:p>
    <w:p>
      <w:pPr>
        <w:spacing w:after="0" w:line="183" w:lineRule="exact"/>
        <w:rPr>
          <w:sz w:val="20"/>
          <w:szCs w:val="20"/>
          <w:color w:val="auto"/>
        </w:rPr>
      </w:pPr>
    </w:p>
    <w:p>
      <w:pPr>
        <w:ind w:left="3"/>
        <w:spacing w:after="0"/>
        <w:tabs>
          <w:tab w:leader="none" w:pos="4143" w:val="left"/>
        </w:tabs>
        <w:rPr>
          <w:sz w:val="20"/>
          <w:szCs w:val="20"/>
          <w:color w:val="auto"/>
        </w:rPr>
      </w:pPr>
      <w:r>
        <w:rPr>
          <w:rFonts w:ascii="Courier New" w:cs="Courier New" w:eastAsia="Courier New" w:hAnsi="Courier New"/>
          <w:sz w:val="16"/>
          <w:szCs w:val="16"/>
          <w:color w:val="auto"/>
        </w:rPr>
        <w:t>/s/ Bruce E. Snyder</w:t>
      </w:r>
      <w:r>
        <w:rPr>
          <w:sz w:val="20"/>
          <w:szCs w:val="20"/>
          <w:color w:val="auto"/>
        </w:rPr>
        <w:tab/>
      </w:r>
      <w:r>
        <w:rPr>
          <w:rFonts w:ascii="Courier New" w:cs="Courier New" w:eastAsia="Courier New" w:hAnsi="Courier New"/>
          <w:sz w:val="15"/>
          <w:szCs w:val="15"/>
          <w:color w:val="auto"/>
        </w:rPr>
        <w:t>Vice President and Corporate Controller (Chief</w:t>
      </w:r>
    </w:p>
    <w:p>
      <w:pPr>
        <w:spacing w:after="0" w:line="1" w:lineRule="exact"/>
        <w:rPr>
          <w:sz w:val="20"/>
          <w:szCs w:val="20"/>
          <w:color w:val="auto"/>
        </w:rPr>
      </w:pPr>
    </w:p>
    <w:p>
      <w:pPr>
        <w:ind w:left="3"/>
        <w:spacing w:after="0"/>
        <w:tabs>
          <w:tab w:leader="none" w:pos="432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Accounting Officer)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Bruce E. Snyder</w:t>
      </w:r>
    </w:p>
    <w:p>
      <w:pPr>
        <w:spacing w:after="0" w:line="183" w:lineRule="exact"/>
        <w:rPr>
          <w:sz w:val="20"/>
          <w:szCs w:val="20"/>
          <w:color w:val="auto"/>
        </w:rPr>
      </w:pPr>
    </w:p>
    <w:p>
      <w:pPr>
        <w:ind w:left="3"/>
        <w:spacing w:after="0"/>
        <w:tabs>
          <w:tab w:leader="none" w:pos="4143" w:val="left"/>
        </w:tabs>
        <w:rPr>
          <w:sz w:val="20"/>
          <w:szCs w:val="20"/>
          <w:color w:val="auto"/>
        </w:rPr>
      </w:pPr>
      <w:r>
        <w:rPr>
          <w:rFonts w:ascii="Courier New" w:cs="Courier New" w:eastAsia="Courier New" w:hAnsi="Courier New"/>
          <w:sz w:val="16"/>
          <w:szCs w:val="16"/>
          <w:color w:val="auto"/>
        </w:rPr>
        <w:t>/s/ John G. Rangos, Sr.</w:t>
      </w:r>
      <w:r>
        <w:rPr>
          <w:sz w:val="20"/>
          <w:szCs w:val="20"/>
          <w:color w:val="auto"/>
        </w:rPr>
        <w:tab/>
      </w:r>
      <w:r>
        <w:rPr>
          <w:rFonts w:ascii="Courier New" w:cs="Courier New" w:eastAsia="Courier New" w:hAnsi="Courier New"/>
          <w:sz w:val="15"/>
          <w:szCs w:val="15"/>
          <w:color w:val="auto"/>
        </w:rPr>
        <w:t>Vice Chairman of the Board</w:t>
      </w:r>
    </w:p>
    <w:p>
      <w:pPr>
        <w:spacing w:after="0" w:line="1" w:lineRule="exact"/>
        <w:rPr>
          <w:sz w:val="20"/>
          <w:szCs w:val="20"/>
          <w:color w:val="auto"/>
        </w:rPr>
      </w:pPr>
    </w:p>
    <w:p>
      <w:pPr>
        <w:ind w:left="183" w:hanging="183"/>
        <w:spacing w:after="0"/>
        <w:tabs>
          <w:tab w:leader="none" w:pos="18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G. Rangos, Sr.</w:t>
      </w:r>
    </w:p>
    <w:p>
      <w:pPr>
        <w:spacing w:after="0" w:line="183" w:lineRule="exact"/>
        <w:rPr>
          <w:sz w:val="20"/>
          <w:szCs w:val="20"/>
          <w:color w:val="auto"/>
        </w:rPr>
      </w:pPr>
    </w:p>
    <w:p>
      <w:pPr>
        <w:ind w:left="3"/>
        <w:spacing w:after="0"/>
        <w:tabs>
          <w:tab w:leader="none" w:pos="4143" w:val="left"/>
        </w:tabs>
        <w:rPr>
          <w:sz w:val="20"/>
          <w:szCs w:val="20"/>
          <w:color w:val="auto"/>
        </w:rPr>
      </w:pPr>
      <w:r>
        <w:rPr>
          <w:rFonts w:ascii="Courier New" w:cs="Courier New" w:eastAsia="Courier New" w:hAnsi="Courier New"/>
          <w:sz w:val="16"/>
          <w:szCs w:val="16"/>
          <w:color w:val="auto"/>
        </w:rPr>
        <w:t>/s/ Alexander W. Rangos</w:t>
      </w:r>
      <w:r>
        <w:rPr>
          <w:sz w:val="20"/>
          <w:szCs w:val="20"/>
          <w:color w:val="auto"/>
        </w:rPr>
        <w:tab/>
      </w:r>
      <w:r>
        <w:rPr>
          <w:rFonts w:ascii="Courier New" w:cs="Courier New" w:eastAsia="Courier New" w:hAnsi="Courier New"/>
          <w:sz w:val="15"/>
          <w:szCs w:val="15"/>
          <w:color w:val="auto"/>
        </w:rPr>
        <w:t>Executive Vice President for Corporate</w:t>
      </w:r>
    </w:p>
    <w:p>
      <w:pPr>
        <w:spacing w:after="0" w:line="1" w:lineRule="exact"/>
        <w:rPr>
          <w:sz w:val="20"/>
          <w:szCs w:val="20"/>
          <w:color w:val="auto"/>
        </w:rPr>
      </w:pPr>
    </w:p>
    <w:p>
      <w:pPr>
        <w:ind w:left="3"/>
        <w:spacing w:after="0"/>
        <w:tabs>
          <w:tab w:leader="none" w:pos="432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Development and Director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Alexander W. Rangos</w:t>
      </w:r>
    </w:p>
    <w:p>
      <w:pPr>
        <w:spacing w:after="0" w:line="183" w:lineRule="exact"/>
        <w:rPr>
          <w:sz w:val="20"/>
          <w:szCs w:val="20"/>
          <w:color w:val="auto"/>
        </w:rPr>
      </w:pPr>
    </w:p>
    <w:p>
      <w:pPr>
        <w:ind w:left="3"/>
        <w:spacing w:after="0"/>
        <w:tabs>
          <w:tab w:leader="none" w:pos="4143" w:val="left"/>
        </w:tabs>
        <w:rPr>
          <w:sz w:val="20"/>
          <w:szCs w:val="20"/>
          <w:color w:val="auto"/>
        </w:rPr>
      </w:pPr>
      <w:r>
        <w:rPr>
          <w:rFonts w:ascii="Courier New" w:cs="Courier New" w:eastAsia="Courier New" w:hAnsi="Courier New"/>
          <w:sz w:val="16"/>
          <w:szCs w:val="16"/>
          <w:color w:val="auto"/>
        </w:rPr>
        <w:t>/s/ George L. Ball</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183" w:hanging="183"/>
        <w:spacing w:after="0"/>
        <w:tabs>
          <w:tab w:leader="none" w:pos="18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George L. Ball</w:t>
      </w:r>
    </w:p>
    <w:p>
      <w:pPr>
        <w:spacing w:after="0" w:line="183" w:lineRule="exact"/>
        <w:rPr>
          <w:sz w:val="20"/>
          <w:szCs w:val="20"/>
          <w:color w:val="auto"/>
        </w:rPr>
      </w:pPr>
    </w:p>
    <w:p>
      <w:pPr>
        <w:ind w:left="3"/>
        <w:spacing w:after="0"/>
        <w:tabs>
          <w:tab w:leader="none" w:pos="4143" w:val="left"/>
        </w:tabs>
        <w:rPr>
          <w:sz w:val="20"/>
          <w:szCs w:val="20"/>
          <w:color w:val="auto"/>
        </w:rPr>
      </w:pPr>
      <w:r>
        <w:rPr>
          <w:rFonts w:ascii="Courier New" w:cs="Courier New" w:eastAsia="Courier New" w:hAnsi="Courier New"/>
          <w:sz w:val="16"/>
          <w:szCs w:val="16"/>
          <w:color w:val="auto"/>
        </w:rPr>
        <w:t>/s/ Richard J. Heckmann</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183" w:hanging="183"/>
        <w:spacing w:after="0"/>
        <w:tabs>
          <w:tab w:leader="none" w:pos="18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J. Heckmann</w:t>
      </w:r>
    </w:p>
    <w:p>
      <w:pPr>
        <w:spacing w:after="0" w:line="183" w:lineRule="exact"/>
        <w:rPr>
          <w:sz w:val="20"/>
          <w:szCs w:val="20"/>
          <w:color w:val="auto"/>
        </w:rPr>
      </w:pPr>
    </w:p>
    <w:p>
      <w:pPr>
        <w:ind w:left="3"/>
        <w:spacing w:after="0"/>
        <w:tabs>
          <w:tab w:leader="none" w:pos="4143" w:val="left"/>
        </w:tabs>
        <w:rPr>
          <w:sz w:val="20"/>
          <w:szCs w:val="20"/>
          <w:color w:val="auto"/>
        </w:rPr>
      </w:pPr>
      <w:r>
        <w:rPr>
          <w:rFonts w:ascii="Courier New" w:cs="Courier New" w:eastAsia="Courier New" w:hAnsi="Courier New"/>
          <w:sz w:val="16"/>
          <w:szCs w:val="16"/>
          <w:color w:val="auto"/>
        </w:rPr>
        <w:t>/s/ Peter J. Gibbons</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183" w:hanging="183"/>
        <w:spacing w:after="0"/>
        <w:tabs>
          <w:tab w:leader="none" w:pos="18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Peter J. Gibbons</w:t>
      </w:r>
    </w:p>
    <w:p>
      <w:pPr>
        <w:spacing w:after="0" w:line="183" w:lineRule="exact"/>
        <w:rPr>
          <w:sz w:val="20"/>
          <w:szCs w:val="20"/>
          <w:color w:val="auto"/>
        </w:rPr>
      </w:pPr>
    </w:p>
    <w:p>
      <w:pPr>
        <w:ind w:left="3"/>
        <w:spacing w:after="0"/>
        <w:tabs>
          <w:tab w:leader="none" w:pos="4143" w:val="left"/>
        </w:tabs>
        <w:rPr>
          <w:sz w:val="20"/>
          <w:szCs w:val="20"/>
          <w:color w:val="auto"/>
        </w:rPr>
      </w:pPr>
      <w:r>
        <w:rPr>
          <w:rFonts w:ascii="Courier New" w:cs="Courier New" w:eastAsia="Courier New" w:hAnsi="Courier New"/>
          <w:sz w:val="16"/>
          <w:szCs w:val="16"/>
          <w:color w:val="auto"/>
        </w:rPr>
        <w:t>/s/ William E. Moffett</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183" w:hanging="183"/>
        <w:spacing w:after="0"/>
        <w:tabs>
          <w:tab w:leader="none" w:pos="1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William E. Moffett</w:t>
      </w:r>
    </w:p>
    <w:p>
      <w:pPr>
        <w:sectPr>
          <w:pgSz w:w="11900" w:h="16838" w:orient="portrait"/>
          <w:cols w:equalWidth="0" w:num="1">
            <w:col w:w="10222"/>
          </w:cols>
          <w:pgMar w:left="237"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503"/>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222"/>
          </w:cols>
          <w:pgMar w:left="237" w:top="295"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1040"/>
              <w:spacing w:after="0"/>
              <w:rPr>
                <w:sz w:val="20"/>
                <w:szCs w:val="20"/>
                <w:color w:val="auto"/>
              </w:rPr>
            </w:pPr>
            <w:r>
              <w:rPr>
                <w:rFonts w:ascii="Courier New" w:cs="Courier New" w:eastAsia="Courier New" w:hAnsi="Courier New"/>
                <w:sz w:val="16"/>
                <w:szCs w:val="16"/>
                <w:color w:val="auto"/>
              </w:rPr>
              <w:t>Exhibit Index</w:t>
            </w:r>
          </w:p>
        </w:tc>
      </w:tr>
      <w:tr>
        <w:trPr>
          <w:trHeight w:val="364"/>
        </w:trPr>
        <w:tc>
          <w:tcPr>
            <w:tcW w:w="46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3.1</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Restated Certificate of Incorporation [Incorporated</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by reference to Exhibit 3.1 to the Post- Effective</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Amendment No. 1 to the Registrant's Registration</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Statement on Form S-4 (File No. 33- 60103].</w:t>
            </w:r>
          </w:p>
        </w:tc>
      </w:tr>
      <w:tr>
        <w:trPr>
          <w:trHeight w:val="364"/>
        </w:trPr>
        <w:tc>
          <w:tcPr>
            <w:tcW w:w="46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3.2</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Bylaws [Incorporated by reference to Exhibit 3.2 to</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the Post-Effective Amendment No. 1 to the</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7"/>
              </w:rPr>
              <w:t>Registrant's Registration Statement on Form S-4 (File</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No. 33-60103]</w:t>
            </w:r>
          </w:p>
        </w:tc>
      </w:tr>
      <w:tr>
        <w:trPr>
          <w:trHeight w:val="364"/>
        </w:trPr>
        <w:tc>
          <w:tcPr>
            <w:tcW w:w="46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4.1</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Indenture dated September 25, 1992, between the</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Registrant and The First National Bank of Boston, as</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Trustee, with respect to the Registrant's 8 1/2%</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Convertible Subordinated Debentures Due 2002</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[Incorporated by reference to Exhibit 4.1 of the</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7"/>
              </w:rPr>
              <w:t>Registrant's Registration Statement on Form S-1, File</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No. 33-50918].</w:t>
            </w:r>
          </w:p>
        </w:tc>
      </w:tr>
      <w:tr>
        <w:trPr>
          <w:trHeight w:val="364"/>
        </w:trPr>
        <w:tc>
          <w:tcPr>
            <w:tcW w:w="46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4.2</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7"/>
              </w:rPr>
              <w:t>Specimen Stock Certificate [Incorporated by reference</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to Exhibit 4.3 of the Registrant's Registration</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Statement on Form S-3, File No. 33-76224].</w:t>
            </w:r>
          </w:p>
        </w:tc>
      </w:tr>
      <w:tr>
        <w:trPr>
          <w:trHeight w:val="364"/>
        </w:trPr>
        <w:tc>
          <w:tcPr>
            <w:tcW w:w="46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5.1</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7"/>
              </w:rPr>
              <w:t>Opinion of Snell &amp; Smith, A Professional Corporation.</w:t>
            </w:r>
          </w:p>
        </w:tc>
      </w:tr>
      <w:tr>
        <w:trPr>
          <w:trHeight w:val="364"/>
        </w:trPr>
        <w:tc>
          <w:tcPr>
            <w:tcW w:w="46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10.1</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1990 Stock Option Plan [Incorporated by reference to</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Exhibit 10.1 of the Registrant's Annual Report on</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Form 10-K for the year ended December 31, 1990].</w:t>
            </w:r>
          </w:p>
        </w:tc>
      </w:tr>
      <w:tr>
        <w:trPr>
          <w:trHeight w:val="364"/>
        </w:trPr>
        <w:tc>
          <w:tcPr>
            <w:tcW w:w="46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10.2</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1993 Stock Incentive Plan [Incorporated by reference</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to Exhibit 4.4 of the Registrants Registration</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Statement on Form S-8, File No. 33-72436].</w:t>
            </w:r>
          </w:p>
        </w:tc>
      </w:tr>
      <w:tr>
        <w:trPr>
          <w:trHeight w:val="364"/>
        </w:trPr>
        <w:tc>
          <w:tcPr>
            <w:tcW w:w="46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10.3</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Envirofil, Inc. 1993 Stock Incentive Plan</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[Incorporated by reference to Exhibit 10.3 of the</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Registrant's Annual Report on Form 10-K for the year</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ended December 31, 1994].</w:t>
            </w:r>
          </w:p>
        </w:tc>
      </w:tr>
      <w:tr>
        <w:trPr>
          <w:trHeight w:val="364"/>
        </w:trPr>
        <w:tc>
          <w:tcPr>
            <w:tcW w:w="46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10.4</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Asset Purchase Agreement dated August 12, 1993,</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between Chambers of Indiana, Inc. and USA Waste of</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Indiana, Inc. [Incorporated by reference to Exhibit</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2.2 to Registrant's Current Report on Form 8-K dated</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September 30, 1993].</w:t>
            </w:r>
          </w:p>
        </w:tc>
      </w:tr>
      <w:tr>
        <w:trPr>
          <w:trHeight w:val="364"/>
        </w:trPr>
        <w:tc>
          <w:tcPr>
            <w:tcW w:w="46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10.5</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Stock Purchase Agreement dated August 12, 1993,</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between Chambers Development Company, Inc. and USA</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Waste of Indiana, Inc. [Incorporated by reference to</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Exhibit 2.1 to Registrant's Current Report on Form</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8-K dated September 30, 1993].</w:t>
            </w:r>
          </w:p>
        </w:tc>
      </w:tr>
      <w:tr>
        <w:trPr>
          <w:trHeight w:val="364"/>
        </w:trPr>
        <w:tc>
          <w:tcPr>
            <w:tcW w:w="46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10.6</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Agreement of Merger dated as of September 29, 1993,</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among USA Waste Services, Inc., USA Acquisition Co.,</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Soil Remediation of Philadelphia, Inc., and Louis D.</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Paolino, Jr.  [Incorporated by reference to Exhibit</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2.3 to Registrant's Current Report on Form 8-K dated</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September 30, 1993].</w:t>
            </w:r>
          </w:p>
        </w:tc>
      </w:tr>
      <w:tr>
        <w:trPr>
          <w:trHeight w:val="364"/>
        </w:trPr>
        <w:tc>
          <w:tcPr>
            <w:tcW w:w="46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10.7</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Agreement and Plan of Reorganization dated as of</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March 17, 1993, as amended on March 25, 1993, March</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31, 1993, and August 20, 1993, between Envirofil,</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Inc. and Environmental Waste of America, Inc.</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[Incorporated by reference to Exhibit (c)(i) to</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Envirofil's Current Report on Form 8-K filed on</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November 16, 1993, as amended by a Current Report in</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Form 8-K/A filed on January 18, 1994].</w:t>
            </w:r>
          </w:p>
        </w:tc>
      </w:tr>
      <w:tr>
        <w:trPr>
          <w:trHeight w:val="364"/>
        </w:trPr>
        <w:tc>
          <w:tcPr>
            <w:tcW w:w="46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10.8</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Stock Purchase Agreement dated March 15, 1993,</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between Environmental Waste of America, Inc. and</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Donald G. Lindgren, as amended and assigned to</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Envirofil, Inc. as of November 5, 1993.</w:t>
            </w:r>
          </w:p>
        </w:tc>
      </w:tr>
    </w:tbl>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[Incorporated by reference to Exhibit (c)(i) to</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Envirofil's Current Report on Form 8-K filed on</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November 16, 1993, as amended by a Current Report in</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Form 8-K/A filed on January 18, 1994].</w:t>
      </w:r>
    </w:p>
    <w:p>
      <w:pPr>
        <w:sectPr>
          <w:pgSz w:w="11900" w:h="16838" w:orient="portrait"/>
          <w:cols w:equalWidth="0" w:num="1">
            <w:col w:w="10219"/>
          </w:cols>
          <w:pgMar w:left="240" w:top="295"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27</w:t>
      </w:r>
    </w:p>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620" w:type="dxa"/>
            <w:vAlign w:val="bottom"/>
          </w:tcPr>
          <w:p>
            <w:pPr>
              <w:spacing w:after="0"/>
              <w:rPr>
                <w:sz w:val="20"/>
                <w:szCs w:val="20"/>
                <w:color w:val="auto"/>
              </w:rPr>
            </w:pPr>
            <w:r>
              <w:rPr>
                <w:rFonts w:ascii="Courier New" w:cs="Courier New" w:eastAsia="Courier New" w:hAnsi="Courier New"/>
                <w:sz w:val="16"/>
                <w:szCs w:val="16"/>
                <w:color w:val="auto"/>
              </w:rPr>
              <w:t>10.9</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Stock Purchase Agreement dated March 19, 1993, among</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Envirofil, Inc., Meadowbrook Carting Co., Inc., and</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7"/>
              </w:rPr>
              <w:t>certain shareholders of Meadowbrook Carting Co., Inc.</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[Incorporated by reference to Exhibit (c)(ii) to</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7"/>
              </w:rPr>
              <w:t>Envirofil's Current Report on Form 8-K filed February</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28, 1994, as amended by Current Report on Form 8-K/A</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filed on May 11, 1994].</w:t>
            </w:r>
          </w:p>
        </w:tc>
      </w:tr>
      <w:tr>
        <w:trPr>
          <w:trHeight w:val="364"/>
        </w:trPr>
        <w:tc>
          <w:tcPr>
            <w:tcW w:w="620" w:type="dxa"/>
            <w:vAlign w:val="bottom"/>
          </w:tcPr>
          <w:p>
            <w:pPr>
              <w:spacing w:after="0"/>
              <w:rPr>
                <w:sz w:val="20"/>
                <w:szCs w:val="20"/>
                <w:color w:val="auto"/>
              </w:rPr>
            </w:pPr>
            <w:r>
              <w:rPr>
                <w:rFonts w:ascii="Courier New" w:cs="Courier New" w:eastAsia="Courier New" w:hAnsi="Courier New"/>
                <w:sz w:val="16"/>
                <w:szCs w:val="16"/>
                <w:color w:val="auto"/>
              </w:rPr>
              <w:t>10.10</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Stock Purchase Agreement dated March 19, 1993, among</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Envirofil, Inc., Mid-Jersey Disposal, Co., Inc., and</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7"/>
              </w:rPr>
              <w:t>certain shareholders of Mid-Jersey Disposal Co., Inc.</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[Incorporated by reference to Exhibit (c)(ii) to</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7"/>
              </w:rPr>
              <w:t>Envirofil's Current Report on Form 8-K filed February</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28, 1994, as amended by Current Report on Form 8-K/A</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filed on May 11, 1994].</w:t>
            </w:r>
          </w:p>
        </w:tc>
      </w:tr>
      <w:tr>
        <w:trPr>
          <w:trHeight w:val="364"/>
        </w:trPr>
        <w:tc>
          <w:tcPr>
            <w:tcW w:w="620" w:type="dxa"/>
            <w:vAlign w:val="bottom"/>
          </w:tcPr>
          <w:p>
            <w:pPr>
              <w:spacing w:after="0"/>
              <w:rPr>
                <w:sz w:val="20"/>
                <w:szCs w:val="20"/>
                <w:color w:val="auto"/>
              </w:rPr>
            </w:pPr>
            <w:r>
              <w:rPr>
                <w:rFonts w:ascii="Courier New" w:cs="Courier New" w:eastAsia="Courier New" w:hAnsi="Courier New"/>
                <w:sz w:val="16"/>
                <w:szCs w:val="16"/>
                <w:color w:val="auto"/>
              </w:rPr>
              <w:t>10.11</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Stock Purchase Agreement dated March 19, 1993, among</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Envirofil, Inc., Quality Recycling Co., Inc., and</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certain shareholders of Quality Recycling Co., Inc.</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[Incorporated by reference to Exhibit (c)(iii) to</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7"/>
              </w:rPr>
              <w:t>Envirofil's Current Report on Form 8-K filed February</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28, 1994, as amended by Current Report on Form 8-K/A</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filed on May 11, 1994].</w:t>
            </w:r>
          </w:p>
        </w:tc>
      </w:tr>
      <w:tr>
        <w:trPr>
          <w:trHeight w:val="364"/>
        </w:trPr>
        <w:tc>
          <w:tcPr>
            <w:tcW w:w="620" w:type="dxa"/>
            <w:vAlign w:val="bottom"/>
          </w:tcPr>
          <w:p>
            <w:pPr>
              <w:spacing w:after="0"/>
              <w:rPr>
                <w:sz w:val="20"/>
                <w:szCs w:val="20"/>
                <w:color w:val="auto"/>
              </w:rPr>
            </w:pPr>
            <w:r>
              <w:rPr>
                <w:rFonts w:ascii="Courier New" w:cs="Courier New" w:eastAsia="Courier New" w:hAnsi="Courier New"/>
                <w:sz w:val="16"/>
                <w:szCs w:val="16"/>
                <w:color w:val="auto"/>
              </w:rPr>
              <w:t>10.12</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Stock Purchase Agreement dated March 19, 1993, among</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Envirofil, Inc., Forcees, Inc., and certain</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shareholders of Forcees., Inc. [Incorporated by</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reference to Exhibit (c)(iv) to Envirofil's Current</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Report on Form 8-K filed February 28, 1994, as</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amended by Current Report on Form 8-K/A filed on May</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11, 1994].</w:t>
            </w:r>
          </w:p>
        </w:tc>
      </w:tr>
      <w:tr>
        <w:trPr>
          <w:trHeight w:val="364"/>
        </w:trPr>
        <w:tc>
          <w:tcPr>
            <w:tcW w:w="620" w:type="dxa"/>
            <w:vAlign w:val="bottom"/>
          </w:tcPr>
          <w:p>
            <w:pPr>
              <w:spacing w:after="0"/>
              <w:rPr>
                <w:sz w:val="20"/>
                <w:szCs w:val="20"/>
                <w:color w:val="auto"/>
              </w:rPr>
            </w:pPr>
            <w:r>
              <w:rPr>
                <w:rFonts w:ascii="Courier New" w:cs="Courier New" w:eastAsia="Courier New" w:hAnsi="Courier New"/>
                <w:sz w:val="16"/>
                <w:szCs w:val="16"/>
                <w:color w:val="auto"/>
              </w:rPr>
              <w:t>10.13</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Amended and Restated Plan and Agreement of</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Reorganization dated March 29, 1994, among the</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Registrant, Envirofil Acquisition Corporation, a</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Delaware corporation and wholly owned subsidiary of</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the Registrant, and Envirofil, Inc., a Delaware</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7"/>
              </w:rPr>
              <w:t>corporation [Incorporated by reference to Exhibit 2.1</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to the Registrant's Registration Statement on Form</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S-4 (File No. 33- 77110].</w:t>
            </w:r>
          </w:p>
        </w:tc>
      </w:tr>
      <w:tr>
        <w:trPr>
          <w:trHeight w:val="364"/>
        </w:trPr>
        <w:tc>
          <w:tcPr>
            <w:tcW w:w="620" w:type="dxa"/>
            <w:vAlign w:val="bottom"/>
          </w:tcPr>
          <w:p>
            <w:pPr>
              <w:spacing w:after="0"/>
              <w:rPr>
                <w:sz w:val="20"/>
                <w:szCs w:val="20"/>
                <w:color w:val="auto"/>
              </w:rPr>
            </w:pPr>
            <w:r>
              <w:rPr>
                <w:rFonts w:ascii="Courier New" w:cs="Courier New" w:eastAsia="Courier New" w:hAnsi="Courier New"/>
                <w:sz w:val="16"/>
                <w:szCs w:val="16"/>
                <w:color w:val="auto"/>
              </w:rPr>
              <w:t>10.14</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Amended and Restated Agreement and Plan of Merger</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dated as of November 28, 1994, among the Registrant,</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Chambers Acquisition Corporation, a Delaware</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corporation and wholly owned subsidiary of the</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7"/>
              </w:rPr>
              <w:t>Registrant, and Chambers Development Company, Inc., a</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Delaware corporation [Incorporated by reference to</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Exhibit 2.1 of the Registrant's Registration</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Statement on Form S- 4, File No. 33-59259].</w:t>
            </w:r>
          </w:p>
        </w:tc>
      </w:tr>
      <w:tr>
        <w:trPr>
          <w:trHeight w:val="364"/>
        </w:trPr>
        <w:tc>
          <w:tcPr>
            <w:tcW w:w="620" w:type="dxa"/>
            <w:vAlign w:val="bottom"/>
          </w:tcPr>
          <w:p>
            <w:pPr>
              <w:spacing w:after="0"/>
              <w:rPr>
                <w:sz w:val="20"/>
                <w:szCs w:val="20"/>
                <w:color w:val="auto"/>
              </w:rPr>
            </w:pPr>
            <w:r>
              <w:rPr>
                <w:rFonts w:ascii="Courier New" w:cs="Courier New" w:eastAsia="Courier New" w:hAnsi="Courier New"/>
                <w:sz w:val="16"/>
                <w:szCs w:val="16"/>
                <w:color w:val="auto"/>
              </w:rPr>
              <w:t>10.15</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7"/>
              </w:rPr>
              <w:t>Amended and Restated Revolving Credit Agreement dated</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as of November 28, 1994, among the Registrant, its</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7"/>
              </w:rPr>
              <w:t>subsidiaries, The First National Bank of Boston, Bank</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of America Illinois, Bank One Texas, National</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Association, The Bank of Nova Scotia, National</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Westminster Bank USA, and Banque Paribas</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[Incorporated by reference to Exhibit 10.17 of the</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Registrant's Annual Report on Form 10-K for the year</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ended December 31, 1994].</w:t>
            </w:r>
          </w:p>
        </w:tc>
      </w:tr>
      <w:tr>
        <w:trPr>
          <w:trHeight w:val="364"/>
        </w:trPr>
        <w:tc>
          <w:tcPr>
            <w:tcW w:w="620" w:type="dxa"/>
            <w:vAlign w:val="bottom"/>
          </w:tcPr>
          <w:p>
            <w:pPr>
              <w:spacing w:after="0"/>
              <w:rPr>
                <w:sz w:val="20"/>
                <w:szCs w:val="20"/>
                <w:color w:val="auto"/>
              </w:rPr>
            </w:pPr>
            <w:r>
              <w:rPr>
                <w:rFonts w:ascii="Courier New" w:cs="Courier New" w:eastAsia="Courier New" w:hAnsi="Courier New"/>
                <w:sz w:val="16"/>
                <w:szCs w:val="16"/>
                <w:color w:val="auto"/>
              </w:rPr>
              <w:t>10.16</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Form of Employment Agreement between the Registrant</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7"/>
              </w:rPr>
              <w:t>and each of John E. Drury, Donald F.  Moorehead, Jr.,</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David Sutherland-Yoest, and Charles A. Wilcox</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[Incorporated by reference to Exhibit 10.18 of the</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Registrant's Annual Report on Form 10-K for the year</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ended December 31, 1994].</w:t>
            </w:r>
          </w:p>
        </w:tc>
      </w:tr>
      <w:tr>
        <w:trPr>
          <w:trHeight w:val="364"/>
        </w:trPr>
        <w:tc>
          <w:tcPr>
            <w:tcW w:w="620" w:type="dxa"/>
            <w:vAlign w:val="bottom"/>
          </w:tcPr>
          <w:p>
            <w:pPr>
              <w:spacing w:after="0"/>
              <w:rPr>
                <w:sz w:val="20"/>
                <w:szCs w:val="20"/>
                <w:color w:val="auto"/>
              </w:rPr>
            </w:pPr>
            <w:r>
              <w:rPr>
                <w:rFonts w:ascii="Courier New" w:cs="Courier New" w:eastAsia="Courier New" w:hAnsi="Courier New"/>
                <w:sz w:val="16"/>
                <w:szCs w:val="16"/>
                <w:color w:val="auto"/>
              </w:rPr>
              <w:t>10.17</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Employment Agreement between the Registrant and Earl</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E. DeFrates [Incorporated by reference to Exhibit</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w w:val="99"/>
              </w:rPr>
              <w:t>10.19 of the Registrant's Annual Report on Form 10-K</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for the year ended December 31, 1994].</w:t>
            </w:r>
          </w:p>
        </w:tc>
      </w:tr>
      <w:tr>
        <w:trPr>
          <w:trHeight w:val="364"/>
        </w:trPr>
        <w:tc>
          <w:tcPr>
            <w:tcW w:w="620" w:type="dxa"/>
            <w:vAlign w:val="bottom"/>
          </w:tcPr>
          <w:p>
            <w:pPr>
              <w:spacing w:after="0"/>
              <w:rPr>
                <w:sz w:val="20"/>
                <w:szCs w:val="20"/>
                <w:color w:val="auto"/>
              </w:rPr>
            </w:pPr>
            <w:r>
              <w:rPr>
                <w:rFonts w:ascii="Courier New" w:cs="Courier New" w:eastAsia="Courier New" w:hAnsi="Courier New"/>
                <w:sz w:val="16"/>
                <w:szCs w:val="16"/>
                <w:color w:val="auto"/>
              </w:rPr>
              <w:t>10.18</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Employment Agreement between the Registrant and</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Gregory T. Sangalis [Incorporated by reference to</w:t>
            </w:r>
          </w:p>
        </w:tc>
      </w:tr>
    </w:tbl>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Exhibit 10.17 to the Registrant's Registration</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Statement on Form S-4, File No. 33-59259].</w:t>
      </w:r>
    </w:p>
    <w:p>
      <w:pPr>
        <w:sectPr>
          <w:pgSz w:w="11900" w:h="16838" w:orient="portrait"/>
          <w:cols w:equalWidth="0" w:num="1">
            <w:col w:w="9939"/>
          </w:cols>
          <w:pgMar w:left="520" w:top="295"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28</w:t>
      </w:r>
    </w:p>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10.19</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ind w:left="380"/>
              <w:spacing w:after="0"/>
              <w:rPr>
                <w:sz w:val="20"/>
                <w:szCs w:val="20"/>
                <w:color w:val="auto"/>
              </w:rPr>
            </w:pPr>
            <w:r>
              <w:rPr>
                <w:rFonts w:ascii="Courier New" w:cs="Courier New" w:eastAsia="Courier New" w:hAnsi="Courier New"/>
                <w:sz w:val="16"/>
                <w:szCs w:val="16"/>
                <w:color w:val="auto"/>
                <w:w w:val="99"/>
              </w:rPr>
              <w:t>Amendment to Amended</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and Restated Agreement and Plan</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20" w:type="dxa"/>
            <w:vAlign w:val="bottom"/>
          </w:tcPr>
          <w:p>
            <w:pPr>
              <w:ind w:left="380"/>
              <w:spacing w:after="0"/>
              <w:rPr>
                <w:sz w:val="20"/>
                <w:szCs w:val="20"/>
                <w:color w:val="auto"/>
              </w:rPr>
            </w:pPr>
            <w:r>
              <w:rPr>
                <w:rFonts w:ascii="Courier New" w:cs="Courier New" w:eastAsia="Courier New" w:hAnsi="Courier New"/>
                <w:sz w:val="16"/>
                <w:szCs w:val="16"/>
                <w:color w:val="auto"/>
                <w:w w:val="99"/>
              </w:rPr>
              <w:t>of Merger dated June</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27, 1995, among the Registrant,</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20" w:type="dxa"/>
            <w:vAlign w:val="bottom"/>
          </w:tcPr>
          <w:p>
            <w:pPr>
              <w:ind w:left="380"/>
              <w:spacing w:after="0"/>
              <w:rPr>
                <w:sz w:val="20"/>
                <w:szCs w:val="20"/>
                <w:color w:val="auto"/>
              </w:rPr>
            </w:pPr>
            <w:r>
              <w:rPr>
                <w:rFonts w:ascii="Courier New" w:cs="Courier New" w:eastAsia="Courier New" w:hAnsi="Courier New"/>
                <w:sz w:val="16"/>
                <w:szCs w:val="16"/>
                <w:color w:val="auto"/>
                <w:w w:val="99"/>
              </w:rPr>
              <w:t>Chambers Acquisition</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Corporation, and Chambers</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20" w:type="dxa"/>
            <w:vAlign w:val="bottom"/>
          </w:tcPr>
          <w:p>
            <w:pPr>
              <w:ind w:left="380"/>
              <w:spacing w:after="0"/>
              <w:rPr>
                <w:sz w:val="20"/>
                <w:szCs w:val="20"/>
                <w:color w:val="auto"/>
              </w:rPr>
            </w:pPr>
            <w:r>
              <w:rPr>
                <w:rFonts w:ascii="Courier New" w:cs="Courier New" w:eastAsia="Courier New" w:hAnsi="Courier New"/>
                <w:sz w:val="16"/>
                <w:szCs w:val="16"/>
                <w:color w:val="auto"/>
                <w:w w:val="99"/>
              </w:rPr>
              <w:t>Development Company,</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w w:val="97"/>
              </w:rPr>
              <w:t>Inc.  [Incorporated by reference</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to Exhibit 2.2 to the Registrant's Current Report on</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Form 8-K dated June 30, 1995].</w:t>
            </w:r>
          </w:p>
        </w:tc>
      </w:tr>
      <w:tr>
        <w:trPr>
          <w:trHeight w:val="364"/>
        </w:trPr>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10.20</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7"/>
              </w:rPr>
              <w:t>Shareholders Agreement dated June 25, 1995, among USA</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7"/>
              </w:rPr>
              <w:t>Waste Services, Inc., Donald F.  Moorehead, Jr., John</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E. Drury, John G. Rangos, Sr., John G. Rangos, Jr.,</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20" w:type="dxa"/>
            <w:vAlign w:val="bottom"/>
          </w:tcPr>
          <w:p>
            <w:pPr>
              <w:ind w:left="380"/>
              <w:spacing w:after="0"/>
              <w:rPr>
                <w:sz w:val="20"/>
                <w:szCs w:val="20"/>
                <w:color w:val="auto"/>
              </w:rPr>
            </w:pPr>
            <w:r>
              <w:rPr>
                <w:rFonts w:ascii="Courier New" w:cs="Courier New" w:eastAsia="Courier New" w:hAnsi="Courier New"/>
                <w:sz w:val="16"/>
                <w:szCs w:val="16"/>
                <w:color w:val="auto"/>
                <w:w w:val="99"/>
              </w:rPr>
              <w:t>Alexander W. Rangos,</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and John Rangos Development</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Corporation, Inc. [Incorporated by reference to</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20" w:type="dxa"/>
            <w:vAlign w:val="bottom"/>
          </w:tcPr>
          <w:p>
            <w:pPr>
              <w:ind w:left="380"/>
              <w:spacing w:after="0"/>
              <w:rPr>
                <w:sz w:val="20"/>
                <w:szCs w:val="20"/>
                <w:color w:val="auto"/>
              </w:rPr>
            </w:pPr>
            <w:r>
              <w:rPr>
                <w:rFonts w:ascii="Courier New" w:cs="Courier New" w:eastAsia="Courier New" w:hAnsi="Courier New"/>
                <w:sz w:val="16"/>
                <w:szCs w:val="16"/>
                <w:color w:val="auto"/>
                <w:w w:val="99"/>
              </w:rPr>
              <w:t>Exhibit 10.20 to the</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w w:val="97"/>
              </w:rPr>
              <w:t>Registrant's Quarterly Report on</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Form 10-Q/A for the period ended June 30, 1995].</w:t>
            </w:r>
          </w:p>
        </w:tc>
      </w:tr>
      <w:tr>
        <w:trPr>
          <w:trHeight w:val="364"/>
        </w:trPr>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10.21</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Consulting and Non-Compete Agreement dated June 25,</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7"/>
              </w:rPr>
              <w:t>1995, between the Registrant and John G.  Rangos, Sr.</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[Incorporated by reference to Exhibit 10.21 to the</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Registrant's Quarterly Report on Form 10-Q/A for the</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period ended June 30, 1995].</w:t>
            </w:r>
          </w:p>
        </w:tc>
      </w:tr>
      <w:tr>
        <w:trPr>
          <w:trHeight w:val="364"/>
        </w:trPr>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10.22</w:t>
            </w:r>
          </w:p>
        </w:tc>
        <w:tc>
          <w:tcPr>
            <w:tcW w:w="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ind w:left="380"/>
              <w:spacing w:after="0"/>
              <w:rPr>
                <w:sz w:val="20"/>
                <w:szCs w:val="20"/>
                <w:color w:val="auto"/>
              </w:rPr>
            </w:pPr>
            <w:r>
              <w:rPr>
                <w:rFonts w:ascii="Courier New" w:cs="Courier New" w:eastAsia="Courier New" w:hAnsi="Courier New"/>
                <w:sz w:val="16"/>
                <w:szCs w:val="16"/>
                <w:color w:val="auto"/>
                <w:w w:val="99"/>
              </w:rPr>
              <w:t>Employment Agreement</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w w:val="97"/>
              </w:rPr>
              <w:t>dated June 25, 1995, between the</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Registrant and Alexander W. Rangos [Incorporated by</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20" w:type="dxa"/>
            <w:vAlign w:val="bottom"/>
          </w:tcPr>
          <w:p>
            <w:pPr>
              <w:ind w:left="380"/>
              <w:spacing w:after="0"/>
              <w:rPr>
                <w:sz w:val="20"/>
                <w:szCs w:val="20"/>
                <w:color w:val="auto"/>
              </w:rPr>
            </w:pPr>
            <w:r>
              <w:rPr>
                <w:rFonts w:ascii="Courier New" w:cs="Courier New" w:eastAsia="Courier New" w:hAnsi="Courier New"/>
                <w:sz w:val="16"/>
                <w:szCs w:val="16"/>
                <w:color w:val="auto"/>
                <w:w w:val="99"/>
              </w:rPr>
              <w:t>reference to Exhibit</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10.22 to the Registrant's</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Quarterly Report on Form 10-Q/A for the period ended</w:t>
            </w:r>
          </w:p>
        </w:tc>
      </w:tr>
      <w:tr>
        <w:trPr>
          <w:trHeight w:val="182"/>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20" w:type="dxa"/>
            <w:vAlign w:val="bottom"/>
          </w:tcPr>
          <w:p>
            <w:pPr>
              <w:ind w:left="380"/>
              <w:spacing w:after="0"/>
              <w:rPr>
                <w:sz w:val="20"/>
                <w:szCs w:val="20"/>
                <w:color w:val="auto"/>
              </w:rPr>
            </w:pPr>
            <w:r>
              <w:rPr>
                <w:rFonts w:ascii="Courier New" w:cs="Courier New" w:eastAsia="Courier New" w:hAnsi="Courier New"/>
                <w:sz w:val="16"/>
                <w:szCs w:val="16"/>
                <w:color w:val="auto"/>
              </w:rPr>
              <w:t>June 30, 1995].</w:t>
            </w:r>
          </w:p>
        </w:tc>
        <w:tc>
          <w:tcPr>
            <w:tcW w:w="3060" w:type="dxa"/>
            <w:vAlign w:val="bottom"/>
          </w:tcPr>
          <w:p>
            <w:pPr>
              <w:spacing w:after="0"/>
              <w:rPr>
                <w:sz w:val="15"/>
                <w:szCs w:val="15"/>
                <w:color w:val="auto"/>
              </w:rPr>
            </w:pPr>
          </w:p>
        </w:tc>
      </w:tr>
    </w:tbl>
    <w:p>
      <w:pPr>
        <w:spacing w:after="0" w:line="186" w:lineRule="exact"/>
        <w:rPr>
          <w:sz w:val="20"/>
          <w:szCs w:val="20"/>
          <w:color w:val="auto"/>
        </w:rPr>
      </w:pPr>
    </w:p>
    <w:p>
      <w:pPr>
        <w:ind w:left="2460" w:right="3219" w:hanging="1612"/>
        <w:spacing w:after="0" w:line="260" w:lineRule="auto"/>
        <w:tabs>
          <w:tab w:leader="none" w:pos="160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Subsidiaries of the Registrant [Incorporated by reference to Exhibit 21.1 to the Post-Effective Amendment No. 1 to the Registrant's Registration Statement on Form S-4 (File No. 33-60103].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23.1</w:t>
            </w:r>
          </w:p>
        </w:tc>
        <w:tc>
          <w:tcPr>
            <w:tcW w:w="9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6"/>
                <w:szCs w:val="16"/>
                <w:color w:val="auto"/>
                <w:w w:val="99"/>
              </w:rPr>
              <w:t>Consent of</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Snell &amp;</w:t>
            </w: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w w:val="97"/>
              </w:rPr>
              <w:t>Smith, A Professional Corporation</w:t>
            </w:r>
          </w:p>
        </w:tc>
      </w:tr>
      <w:tr>
        <w:trPr>
          <w:trHeight w:val="182"/>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6"/>
                <w:szCs w:val="16"/>
                <w:color w:val="auto"/>
                <w:w w:val="99"/>
              </w:rPr>
              <w:t>(Contained</w:t>
            </w:r>
          </w:p>
        </w:tc>
        <w:tc>
          <w:tcPr>
            <w:tcW w:w="39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 Exhibit 5.1).</w:t>
            </w:r>
          </w:p>
        </w:tc>
      </w:tr>
      <w:tr>
        <w:trPr>
          <w:trHeight w:val="364"/>
        </w:trPr>
        <w:tc>
          <w:tcPr>
            <w:tcW w:w="4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23.2</w:t>
            </w:r>
          </w:p>
        </w:tc>
        <w:tc>
          <w:tcPr>
            <w:tcW w:w="9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6"/>
                <w:szCs w:val="16"/>
                <w:color w:val="auto"/>
                <w:w w:val="99"/>
              </w:rPr>
              <w:t>Consent of</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Coopers</w:t>
            </w: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&amp; Lybrand L.L.P.</w:t>
            </w:r>
          </w:p>
        </w:tc>
      </w:tr>
      <w:tr>
        <w:trPr>
          <w:trHeight w:val="364"/>
        </w:trPr>
        <w:tc>
          <w:tcPr>
            <w:tcW w:w="4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23.3</w:t>
            </w:r>
          </w:p>
        </w:tc>
        <w:tc>
          <w:tcPr>
            <w:tcW w:w="9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6"/>
                <w:szCs w:val="16"/>
                <w:color w:val="auto"/>
                <w:w w:val="99"/>
              </w:rPr>
              <w:t>Consent of</w:t>
            </w:r>
          </w:p>
        </w:tc>
        <w:tc>
          <w:tcPr>
            <w:tcW w:w="39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Arthur Andersen LLP.</w:t>
            </w:r>
          </w:p>
        </w:tc>
      </w:tr>
      <w:tr>
        <w:trPr>
          <w:trHeight w:val="364"/>
        </w:trPr>
        <w:tc>
          <w:tcPr>
            <w:tcW w:w="4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23.4</w:t>
            </w:r>
          </w:p>
        </w:tc>
        <w:tc>
          <w:tcPr>
            <w:tcW w:w="9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6"/>
                <w:szCs w:val="16"/>
                <w:color w:val="auto"/>
                <w:w w:val="99"/>
              </w:rPr>
              <w:t>Consent of</w:t>
            </w:r>
          </w:p>
        </w:tc>
        <w:tc>
          <w:tcPr>
            <w:tcW w:w="39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Deloitte &amp; Touche LLP.</w:t>
            </w:r>
          </w:p>
        </w:tc>
      </w:tr>
      <w:tr>
        <w:trPr>
          <w:trHeight w:val="364"/>
        </w:trPr>
        <w:tc>
          <w:tcPr>
            <w:tcW w:w="4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380"/>
              <w:spacing w:after="0"/>
              <w:rPr>
                <w:sz w:val="20"/>
                <w:szCs w:val="20"/>
                <w:color w:val="auto"/>
              </w:rPr>
            </w:pPr>
            <w:r>
              <w:rPr>
                <w:rFonts w:ascii="Courier New" w:cs="Courier New" w:eastAsia="Courier New" w:hAnsi="Courier New"/>
                <w:sz w:val="16"/>
                <w:szCs w:val="16"/>
                <w:color w:val="auto"/>
              </w:rPr>
              <w:t>24</w:t>
            </w:r>
          </w:p>
        </w:tc>
        <w:tc>
          <w:tcPr>
            <w:tcW w:w="9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Powers of Attorney</w:t>
            </w: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[Included on Page II-10].</w:t>
            </w:r>
          </w:p>
        </w:tc>
      </w:tr>
      <w:tr>
        <w:trPr>
          <w:trHeight w:val="182"/>
        </w:trPr>
        <w:tc>
          <w:tcPr>
            <w:tcW w:w="232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182"/>
        </w:trPr>
        <w:tc>
          <w:tcPr>
            <w:tcW w:w="4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Filed herewith</w:t>
            </w:r>
          </w:p>
        </w:tc>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180" w:type="dxa"/>
            <w:vAlign w:val="bottom"/>
          </w:tcPr>
          <w:p>
            <w:pPr>
              <w:spacing w:after="0"/>
              <w:rPr>
                <w:sz w:val="15"/>
                <w:szCs w:val="15"/>
                <w:color w:val="auto"/>
              </w:rPr>
            </w:pPr>
          </w:p>
        </w:tc>
      </w:tr>
    </w:tbl>
    <w:p>
      <w:pPr>
        <w:sectPr>
          <w:pgSz w:w="11900" w:h="16838" w:orient="portrait"/>
          <w:cols w:equalWidth="0" w:num="1">
            <w:col w:w="10219"/>
          </w:cols>
          <w:pgMar w:left="240" w:top="295"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November 2,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5400 LBJ Freeway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300, Tower One</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Dallas, Texas</w:t>
      </w:r>
      <w:r>
        <w:rPr>
          <w:sz w:val="20"/>
          <w:szCs w:val="20"/>
          <w:color w:val="auto"/>
        </w:rPr>
        <w:tab/>
      </w:r>
      <w:r>
        <w:rPr>
          <w:rFonts w:ascii="Courier New" w:cs="Courier New" w:eastAsia="Courier New" w:hAnsi="Courier New"/>
          <w:sz w:val="15"/>
          <w:szCs w:val="15"/>
          <w:color w:val="auto"/>
        </w:rPr>
        <w:t>75240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86"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We have acted as counsel for USA Waste Services, Inc., a Delaware corporation (the "Company"), in connection with the filing of the Registration Statement on Form S-4 with respect to the registration of 6,000,000 shares (the "Shares") of the Common Stock, $.01 par value (the "Common Stock"), of the Company.</w:t>
      </w:r>
    </w:p>
    <w:p>
      <w:pPr>
        <w:spacing w:after="0" w:line="189" w:lineRule="exact"/>
        <w:rPr>
          <w:sz w:val="20"/>
          <w:szCs w:val="20"/>
          <w:color w:val="auto"/>
        </w:rPr>
      </w:pPr>
    </w:p>
    <w:p>
      <w:pPr>
        <w:ind w:right="2939" w:firstLine="851"/>
        <w:spacing w:after="0" w:line="239" w:lineRule="auto"/>
        <w:rPr>
          <w:sz w:val="20"/>
          <w:szCs w:val="20"/>
          <w:color w:val="auto"/>
        </w:rPr>
      </w:pPr>
      <w:r>
        <w:rPr>
          <w:rFonts w:ascii="Courier New" w:cs="Courier New" w:eastAsia="Courier New" w:hAnsi="Courier New"/>
          <w:sz w:val="16"/>
          <w:szCs w:val="16"/>
          <w:color w:val="auto"/>
        </w:rPr>
        <w:t>We have made such inquiries and examined such documents as we have considered necessary or appropriate for purposes of giving the opinions hereinafter set forth, including the examination of executed or conformed counterparts, or copies certified or otherwise proved to our satisfaction, of the following:</w:t>
      </w:r>
    </w:p>
    <w:p>
      <w:pPr>
        <w:spacing w:after="0" w:line="189" w:lineRule="exact"/>
        <w:rPr>
          <w:sz w:val="20"/>
          <w:szCs w:val="20"/>
          <w:color w:val="auto"/>
        </w:rPr>
      </w:pPr>
    </w:p>
    <w:p>
      <w:pPr>
        <w:ind w:right="3039" w:firstLine="848"/>
        <w:spacing w:after="0" w:line="237" w:lineRule="auto"/>
        <w:tabs>
          <w:tab w:leader="none" w:pos="160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Restated Certificate of Incorporation of the Company as filed with the Secretary of State of Delaware on June 30, 1995;</w:t>
      </w:r>
    </w:p>
    <w:p>
      <w:pPr>
        <w:spacing w:after="0" w:line="183" w:lineRule="exact"/>
        <w:rPr>
          <w:rFonts w:ascii="Courier New" w:cs="Courier New" w:eastAsia="Courier New" w:hAnsi="Courier New"/>
          <w:sz w:val="16"/>
          <w:szCs w:val="16"/>
          <w:color w:val="auto"/>
        </w:rPr>
      </w:pPr>
    </w:p>
    <w:p>
      <w:pPr>
        <w:ind w:left="1600" w:hanging="752"/>
        <w:spacing w:after="0"/>
        <w:tabs>
          <w:tab w:leader="none" w:pos="16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By-laws of the Company;</w:t>
      </w:r>
    </w:p>
    <w:p>
      <w:pPr>
        <w:spacing w:after="0" w:line="186" w:lineRule="exact"/>
        <w:rPr>
          <w:rFonts w:ascii="Courier New" w:cs="Courier New" w:eastAsia="Courier New" w:hAnsi="Courier New"/>
          <w:sz w:val="16"/>
          <w:szCs w:val="16"/>
          <w:color w:val="auto"/>
        </w:rPr>
      </w:pPr>
    </w:p>
    <w:p>
      <w:pPr>
        <w:ind w:right="2839" w:firstLine="848"/>
        <w:spacing w:after="0" w:line="239" w:lineRule="auto"/>
        <w:tabs>
          <w:tab w:leader="none" w:pos="160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on Form S-4 of the Company, including the related prospectus and other attachments, filed with the Securities and Exchange Commission to register the Shares under the Securities Act of 1933 (the "Registration Statement").</w:t>
      </w:r>
    </w:p>
    <w:p>
      <w:pPr>
        <w:spacing w:after="0" w:line="187"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We have assumed the genuineness and authenticity of all signatures on all original documents, the authenticity of all documents submitted to us as originals, the conformity to originals of all documents submitted to us as copies and the due authorization, execution, delivery or recordation of all documents where due authorization, execution or recordation or prerequisites to the effectiveness thereof.</w:t>
      </w:r>
    </w:p>
    <w:p>
      <w:pPr>
        <w:spacing w:after="0" w:line="190" w:lineRule="exact"/>
        <w:rPr>
          <w:sz w:val="20"/>
          <w:szCs w:val="20"/>
          <w:color w:val="auto"/>
        </w:rPr>
      </w:pPr>
    </w:p>
    <w:p>
      <w:pPr>
        <w:ind w:right="3879" w:firstLine="851"/>
        <w:spacing w:after="0" w:line="267" w:lineRule="auto"/>
        <w:rPr>
          <w:sz w:val="20"/>
          <w:szCs w:val="20"/>
          <w:color w:val="auto"/>
        </w:rPr>
      </w:pPr>
      <w:r>
        <w:rPr>
          <w:rFonts w:ascii="Courier New" w:cs="Courier New" w:eastAsia="Courier New" w:hAnsi="Courier New"/>
          <w:sz w:val="15"/>
          <w:szCs w:val="15"/>
          <w:color w:val="auto"/>
        </w:rPr>
        <w:t>Based upon the foregoing, and having regard for such legal considerations as we deem relevant, we are of the opinion that:</w:t>
      </w:r>
    </w:p>
    <w:p>
      <w:pPr>
        <w:spacing w:after="0" w:line="168" w:lineRule="exact"/>
        <w:rPr>
          <w:sz w:val="20"/>
          <w:szCs w:val="20"/>
          <w:color w:val="auto"/>
        </w:rPr>
      </w:pPr>
    </w:p>
    <w:p>
      <w:pPr>
        <w:ind w:right="2839" w:firstLine="848"/>
        <w:spacing w:after="0" w:line="237" w:lineRule="auto"/>
        <w:tabs>
          <w:tab w:leader="none" w:pos="160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duly organized, validly existing and in good standing under the laws of the States of Delaware;</w:t>
      </w:r>
    </w:p>
    <w:p>
      <w:pPr>
        <w:spacing w:after="0" w:line="187" w:lineRule="exact"/>
        <w:rPr>
          <w:rFonts w:ascii="Courier New" w:cs="Courier New" w:eastAsia="Courier New" w:hAnsi="Courier New"/>
          <w:sz w:val="16"/>
          <w:szCs w:val="16"/>
          <w:color w:val="auto"/>
        </w:rPr>
      </w:pPr>
    </w:p>
    <w:p>
      <w:pPr>
        <w:ind w:right="2839" w:firstLine="848"/>
        <w:spacing w:after="0" w:line="239" w:lineRule="auto"/>
        <w:tabs>
          <w:tab w:leader="none" w:pos="160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of the Company consists of 150,000,000 shares of Common Stock, of which, as of September 30, 1995, 53,848,249 shares are issued and outstanding, and 10,000,000 shares of Preferred Stock, $.01 par value, of which, as of September 30, 1995, no shares are issued and outstanding; and</w:t>
      </w:r>
    </w:p>
    <w:p>
      <w:pPr>
        <w:sectPr>
          <w:pgSz w:w="11900" w:h="16838" w:orient="portrait"/>
          <w:cols w:equalWidth="0" w:num="1">
            <w:col w:w="10219"/>
          </w:cols>
          <w:pgMar w:left="240" w:top="138"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 1995</w:t>
      </w:r>
    </w:p>
    <w:p>
      <w:pPr>
        <w:spacing w:after="0" w:line="368" w:lineRule="exact"/>
        <w:rPr>
          <w:sz w:val="20"/>
          <w:szCs w:val="20"/>
          <w:color w:val="auto"/>
        </w:rPr>
      </w:pPr>
    </w:p>
    <w:p>
      <w:pPr>
        <w:ind w:right="2759" w:firstLine="848"/>
        <w:spacing w:after="0" w:line="238" w:lineRule="auto"/>
        <w:tabs>
          <w:tab w:leader="none" w:pos="160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registered under the Registration Statement are duly authorized, and if and when issued by the Company, will be legally issued, fully paid, and non-assessable.</w:t>
      </w:r>
    </w:p>
    <w:p>
      <w:pPr>
        <w:spacing w:after="0" w:line="188"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We hereby consent to the filing of this opinion with the Securities and Exchange Commission as an exhibit to the Registration Statement and to the Statements made regarding our Firm and to the use of our name under the heading "Legal Matters" in the prospectus constituting a part of the Registration Statement.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SNELL &amp; SMITH, A Professional</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Corporation</w:t>
      </w:r>
    </w:p>
    <w:p>
      <w:pPr>
        <w:sectPr>
          <w:pgSz w:w="11900" w:h="16838" w:orient="portrait"/>
          <w:cols w:equalWidth="0" w:num="1">
            <w:col w:w="10219"/>
          </w:cols>
          <w:pgMar w:left="240" w:top="295"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23.2</w:t>
      </w:r>
    </w:p>
    <w:p>
      <w:pPr>
        <w:spacing w:after="0" w:line="36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6" w:lineRule="exact"/>
        <w:rPr>
          <w:sz w:val="20"/>
          <w:szCs w:val="20"/>
          <w:color w:val="auto"/>
        </w:rPr>
      </w:pPr>
    </w:p>
    <w:p>
      <w:pPr>
        <w:ind w:right="2759" w:firstLine="851"/>
        <w:spacing w:after="0"/>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S-4 of our report dated March 10, 1995, on our audits of the consolidated financial statements of USA Waste Services, Inc. as of December 31, 1994 and 1993, and each of the three years in the period ended December 31, 1994, which is included in USA Waste Services, Inc.'s Annual Report on Form 10-K for the fiscal year ended December 31, 1994, as amended by Form 10-K/A and included and incorporated by reference into USA Waste Services, Inc.'s Joint Proxy Statement and Prospectus dated May 19, 1995, and our report dated July 14, 1995, on our audits of the supplemental consolidated financial statements of USA Waste Services, Inc. as of December 31, 1994 and 1993, and for each of the three years in the period ended December 31, 1994, which is included in USA Waste Services, Inc.'s Current Report of Form 8-K dated June 30, 1995. We also consent to the reference to our firm under the caption "Experts."</w:t>
      </w:r>
    </w:p>
    <w:p>
      <w:pPr>
        <w:spacing w:after="0" w:line="36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COOPERS &amp; LYBRAND L.L.P.</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 1995</w:t>
      </w:r>
    </w:p>
    <w:p>
      <w:pPr>
        <w:sectPr>
          <w:pgSz w:w="11900" w:h="16838" w:orient="portrait"/>
          <w:cols w:equalWidth="0" w:num="1">
            <w:col w:w="10219"/>
          </w:cols>
          <w:pgMar w:left="240" w:top="138"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23.3</w:t>
      </w:r>
    </w:p>
    <w:p>
      <w:pPr>
        <w:spacing w:after="0" w:line="18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USA Waste Services, Inc.</w:t>
      </w:r>
    </w:p>
    <w:p>
      <w:pPr>
        <w:spacing w:after="0" w:line="186"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on Form S-4 of our report dated September 22, 1993 on Envirofil, Inc. included in the USA Waste Services, Inc.'s previously filed Annual Report of Form 10-K for the fiscal year ended December 31, 1994, as amended by Form 10-K/A (Amendment No. 1) dated April 25, 1995 and included in and incorporated by reference in the USA Waste Services, Inc.'s previously filed Joint Proxy Statement and Prospectus dated May 19, 1995, and our report dated March 25, 1994 on the Acquired New Jersey Solid Waste Companies included in the Envirofil, Inc.'s previously filed Current Report on Form 8-K/A dated May 11, 1994 and incorporated by reference in the USA Waste Services, Inc.'s previously filed Joint Proxy Statement and Prospectus dated May 19, 1995 and to all references to our Firm included in this Registration Statement.</w:t>
      </w:r>
    </w:p>
    <w:p>
      <w:pPr>
        <w:sectPr>
          <w:pgSz w:w="11900" w:h="16838" w:orient="portrait"/>
          <w:cols w:equalWidth="0" w:num="1">
            <w:col w:w="10219"/>
          </w:cols>
          <w:pgMar w:left="240" w:top="138"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3,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ectPr>
          <w:pgSz w:w="11900" w:h="16838" w:orient="portrait"/>
          <w:cols w:equalWidth="0" w:num="2">
            <w:col w:w="3620" w:space="720"/>
            <w:col w:w="5879"/>
          </w:cols>
          <w:pgMar w:left="240" w:top="138"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23.4</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INDEPENDENT AUDITORS' CONSENT</w:t>
      </w:r>
    </w:p>
    <w:p>
      <w:pPr>
        <w:spacing w:after="0" w:line="368" w:lineRule="exact"/>
        <w:rPr>
          <w:sz w:val="20"/>
          <w:szCs w:val="20"/>
          <w:color w:val="auto"/>
        </w:rPr>
      </w:pPr>
    </w:p>
    <w:p>
      <w:pPr>
        <w:ind w:right="2759" w:firstLine="851"/>
        <w:spacing w:after="0"/>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S-4 of our report dated March 30, 1995 on the consolidated financial statements of Chambers Development Company, Inc. and subsidiaries as of December 31, 1994 and 1993 and for each of the three years in the period ended December 31, 1994 appearing in USA Waste Services, Inc.'s Current Report on Form 8-K dated June 30, 1995 (which does not include such consolidated financial statements), and our report dated March 30, 1995 appearing in the Joint Proxy Statement and Prospectus of USA Waste Services, Inc. dated May 19, 1995. We also consent to the reference to us under the heading "Experts" in the Prospectus, which is part of such Registration Statement.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3, 1995</w:t>
      </w:r>
    </w:p>
    <w:sectPr>
      <w:pgSz w:w="11900" w:h="16838" w:orient="portrait"/>
      <w:cols w:equalWidth="0" w:num="1">
        <w:col w:w="10219"/>
      </w:cols>
      <w:pgMar w:left="240" w:top="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1"/>
    </w:lvl>
    <w:lvl w:ilvl="1">
      <w:lvlJc w:val="left"/>
      <w:lvlText w:val="%2."/>
      <w:numFmt w:val="decimal"/>
      <w:start w:val="1"/>
    </w:lvl>
  </w:abstractNum>
  <w:abstractNum w:abstractNumId="2">
    <w:nsid w:val="431BD7B7"/>
    <w:multiLevelType w:val="hybridMultilevel"/>
    <w:lvl w:ilvl="0">
      <w:lvlJc w:val="left"/>
      <w:lvlText w:val="%1."/>
      <w:numFmt w:val="decimal"/>
      <w:start w:val="14"/>
    </w:lvl>
    <w:lvl w:ilvl="1">
      <w:lvlJc w:val="left"/>
      <w:lvlText w:val="%2"/>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lowerRoman"/>
      <w:start w:val="2"/>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lowerRoman"/>
      <w:start w:val="6"/>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decimal"/>
      <w:start w:val="145"/>
    </w:lvl>
  </w:abstractNum>
  <w:abstractNum w:abstractNumId="10">
    <w:nsid w:val="721DA317"/>
    <w:multiLevelType w:val="hybridMultilevel"/>
    <w:lvl w:ilvl="0">
      <w:lvlJc w:val="left"/>
      <w:lvlText w:val="%1"/>
      <w:numFmt w:val="lowerLetter"/>
      <w:start w:val="1"/>
    </w:lvl>
    <w:lvl w:ilvl="1">
      <w:lvlJc w:val="left"/>
      <w:lvlText w:val="(%2)"/>
      <w:numFmt w:val="lowerLetter"/>
      <w:start w:val="2"/>
    </w:lvl>
  </w:abstractNum>
  <w:abstractNum w:abstractNumId="11">
    <w:nsid w:val="2443A858"/>
    <w:multiLevelType w:val="hybridMultilevel"/>
    <w:lvl w:ilvl="0">
      <w:lvlJc w:val="left"/>
      <w:lvlText w:val="(%1)"/>
      <w:numFmt w:val="lowerLetter"/>
      <w:start w:val="2"/>
    </w:lvl>
    <w:lvl w:ilvl="1">
      <w:lvlJc w:val="left"/>
      <w:lvlText w:val="(%2)"/>
      <w:numFmt w:val="lowerLetter"/>
      <w:start w:val="5"/>
    </w:lvl>
  </w:abstractNum>
  <w:abstractNum w:abstractNumId="12">
    <w:nsid w:val="2D1D5AE9"/>
    <w:multiLevelType w:val="hybridMultilevel"/>
    <w:lvl w:ilvl="0">
      <w:lvlJc w:val="left"/>
      <w:lvlText w:val="(%1)"/>
      <w:numFmt w:val="lowerLetter"/>
      <w:start w:val="7"/>
    </w:lvl>
  </w:abstractNum>
  <w:abstractNum w:abstractNumId="13">
    <w:nsid w:val="6763845E"/>
    <w:multiLevelType w:val="hybridMultilevel"/>
    <w:lvl w:ilvl="0">
      <w:lvlJc w:val="left"/>
      <w:lvlText w:val="(%1)"/>
      <w:numFmt w:val="lowerLetter"/>
      <w:start w:val="8"/>
    </w:lvl>
  </w:abstractNum>
  <w:abstractNum w:abstractNumId="14">
    <w:nsid w:val="75A2A8D4"/>
    <w:multiLevelType w:val="hybridMultilevel"/>
    <w:lvl w:ilvl="0">
      <w:lvlJc w:val="left"/>
      <w:lvlText w:val="(%1)"/>
      <w:numFmt w:val="lowerLetter"/>
      <w:start w:val="1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
    <w:nsid w:val="189A769B"/>
    <w:multiLevelType w:val="hybridMultilevel"/>
    <w:lvl w:ilvl="0">
      <w:lvlJc w:val="left"/>
      <w:lvlText w:val="(%1)"/>
      <w:numFmt w:val="decimal"/>
      <w:start w:val="2"/>
    </w:lvl>
  </w:abstractNum>
  <w:abstractNum w:abstractNumId="20">
    <w:nsid w:val="54E49EB4"/>
    <w:multiLevelType w:val="hybridMultilevel"/>
    <w:lvl w:ilvl="0">
      <w:lvlJc w:val="left"/>
      <w:lvlText w:val="(%1)"/>
      <w:numFmt w:val="lowerLetter"/>
      <w:start w:val="2"/>
    </w:lvl>
  </w:abstractNum>
  <w:abstractNum w:abstractNumId="21">
    <w:nsid w:val="71F32454"/>
    <w:multiLevelType w:val="hybridMultilevel"/>
    <w:lvl w:ilvl="0">
      <w:lvlJc w:val="left"/>
      <w:lvlText w:val="(%1)"/>
      <w:numFmt w:val="lowerLetter"/>
      <w:start w:val="4"/>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2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2019-12-20T05:15:37Z</dcterms:created>
  <dcterms:modified xsi:type="dcterms:W3CDTF">2019-12-20T05:15:37Z</dcterms:modified>
</cp:coreProperties>
</file>