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gridSpan w:val="3"/>
          </w:tcPr>
          <w:p>
            <w:pPr>
              <w:ind w:left="800"/>
              <w:spacing w:after="0" w:line="203" w:lineRule="exact"/>
              <w:rPr>
                <w:sz w:val="20"/>
                <w:szCs w:val="20"/>
                <w:color w:val="auto"/>
              </w:rPr>
            </w:pPr>
            <w:r>
              <w:rPr>
                <w:rFonts w:ascii="Courier New" w:cs="Courier New" w:eastAsia="Courier New" w:hAnsi="Courier New"/>
                <w:sz w:val="18"/>
                <w:szCs w:val="18"/>
                <w:color w:val="auto"/>
              </w:rPr>
              <w:t>OMB APPROVAL</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OMB Number:</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3235-0145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burden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....14.90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INFORMATION STATEMENT TO BE INCLUDED IN STATEMENTS FILED PURSUANT TO RULES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129915104</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1999</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129915104</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13G</w:t>
            </w:r>
          </w:p>
        </w:tc>
        <w:tc>
          <w:tcPr>
            <w:tcW w:w="3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OPPENHEIMER CAPITAL (IRS No. 13-3413767)</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6"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36,749,584</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36,749,584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line="238" w:lineRule="auto"/>
        <w:rPr>
          <w:sz w:val="20"/>
          <w:szCs w:val="20"/>
          <w:color w:val="auto"/>
        </w:rPr>
      </w:pPr>
      <w:r>
        <w:rPr>
          <w:rFonts w:ascii="Courier New" w:cs="Courier New" w:eastAsia="Courier New" w:hAnsi="Courier New"/>
          <w:sz w:val="18"/>
          <w:szCs w:val="18"/>
          <w:color w:val="auto"/>
        </w:rPr>
        <w:t>36,749,584</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tabs>
          <w:tab w:leader="none" w:pos="77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5.9</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717"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1580" w:hanging="414"/>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53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 Fannin Street, Suite 4000 Houston, Texas 77002</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OPPENHEIMER CAPITAL</w:t>
      </w:r>
    </w:p>
    <w:p>
      <w:pPr>
        <w:spacing w:after="0" w:line="202" w:lineRule="exact"/>
        <w:rPr>
          <w:sz w:val="20"/>
          <w:szCs w:val="20"/>
          <w:color w:val="auto"/>
        </w:rPr>
      </w:pPr>
    </w:p>
    <w:p>
      <w:pPr>
        <w:ind w:left="1580" w:hanging="41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54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New York 10105-4800</w:t>
      </w:r>
    </w:p>
    <w:p>
      <w:pPr>
        <w:spacing w:after="0" w:line="163"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129915104</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ind w:left="11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2120" w:right="2659" w:hanging="954"/>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Insurance company as defined in Section 3(a)(19) of the Act;</w:t>
      </w:r>
    </w:p>
    <w:p>
      <w:pPr>
        <w:spacing w:after="0" w:line="223" w:lineRule="exact"/>
        <w:rPr>
          <w:rFonts w:ascii="Courier New" w:cs="Courier New" w:eastAsia="Courier New" w:hAnsi="Courier New"/>
          <w:sz w:val="16"/>
          <w:szCs w:val="16"/>
          <w:color w:val="auto"/>
        </w:rPr>
      </w:pPr>
    </w:p>
    <w:p>
      <w:pPr>
        <w:ind w:left="2120" w:right="2559" w:hanging="954"/>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120" w:right="2339" w:hanging="954"/>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Advisors Act of 1940;</w:t>
      </w:r>
    </w:p>
    <w:p>
      <w:pPr>
        <w:spacing w:after="0" w:line="208" w:lineRule="exact"/>
        <w:rPr>
          <w:rFonts w:ascii="Courier New" w:cs="Courier New" w:eastAsia="Courier New" w:hAnsi="Courier New"/>
          <w:sz w:val="18"/>
          <w:szCs w:val="18"/>
          <w:color w:val="auto"/>
        </w:rPr>
      </w:pPr>
    </w:p>
    <w:p>
      <w:pPr>
        <w:ind w:left="2120" w:right="1919" w:hanging="954"/>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120" w:right="1699" w:hanging="954"/>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or control person, in accordance with 13d-1(b)(ii)(G);</w:t>
      </w:r>
    </w:p>
    <w:p>
      <w:pPr>
        <w:spacing w:after="0" w:line="208" w:lineRule="exact"/>
        <w:rPr>
          <w:rFonts w:ascii="Courier New" w:cs="Courier New" w:eastAsia="Courier New" w:hAnsi="Courier New"/>
          <w:sz w:val="18"/>
          <w:szCs w:val="18"/>
          <w:color w:val="auto"/>
        </w:rPr>
      </w:pPr>
    </w:p>
    <w:p>
      <w:pPr>
        <w:ind w:left="2120" w:right="2439" w:hanging="954"/>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120" w:right="1819" w:hanging="954"/>
        <w:spacing w:after="0" w:line="236"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13d-1(b)(1)(ii)(H).</w:t>
      </w:r>
    </w:p>
    <w:p>
      <w:pPr>
        <w:spacing w:after="0" w:line="207" w:lineRule="exact"/>
        <w:rPr>
          <w:sz w:val="20"/>
          <w:szCs w:val="20"/>
          <w:color w:val="auto"/>
        </w:rPr>
      </w:pPr>
    </w:p>
    <w:p>
      <w:pPr>
        <w:ind w:left="1160" w:right="223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hanging="630"/>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36,749,584**</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5.9</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480" w:hanging="630"/>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36,749,584**</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6" w:lineRule="exact"/>
        <w:rPr>
          <w:rFonts w:ascii="Courier New" w:cs="Courier New" w:eastAsia="Courier New" w:hAnsi="Courier New"/>
          <w:sz w:val="18"/>
          <w:szCs w:val="18"/>
          <w:color w:val="auto"/>
        </w:rPr>
      </w:pPr>
    </w:p>
    <w:p>
      <w:pPr>
        <w:ind w:left="1480" w:hanging="630"/>
        <w:spacing w:after="0"/>
        <w:tabs>
          <w:tab w:leader="none" w:pos="1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direct the disposition of: 36,749,584**</w:t>
      </w:r>
    </w:p>
    <w:p>
      <w:pPr>
        <w:spacing w:after="0" w:line="224" w:lineRule="exact"/>
        <w:rPr>
          <w:sz w:val="20"/>
          <w:szCs w:val="20"/>
          <w:color w:val="auto"/>
        </w:rPr>
      </w:pPr>
    </w:p>
    <w:p>
      <w:pPr>
        <w:ind w:left="220" w:right="1699" w:firstLine="316"/>
        <w:spacing w:after="0" w:line="237" w:lineRule="auto"/>
        <w:rPr>
          <w:sz w:val="20"/>
          <w:szCs w:val="20"/>
          <w:color w:val="auto"/>
        </w:rPr>
      </w:pPr>
      <w:r>
        <w:rPr>
          <w:rFonts w:ascii="Courier New" w:cs="Courier New" w:eastAsia="Courier New" w:hAnsi="Courier New"/>
          <w:sz w:val="18"/>
          <w:szCs w:val="18"/>
          <w:color w:val="auto"/>
        </w:rPr>
        <w:t>**This report is being filed on behalf of Oppenheimer Capital, a Delaware general partnership and/or certain investment advisory clients or discretionary accounts relating to their collective beneficial ownership of shares of common stock of the Issuer. Oppenheimer Capital is a registered investment adviser under Section 203 of the Investment Advisers Act of 1940. As a result of its role as investment adviser Oppenheimer Capital may be deemed to be the beneficial owner of the securities of the Issuer. Oppenheimer Capital has the sole power to dispose of the shares and to vote the shares under its written guidelines established by its Management Board.</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699" w:firstLine="526"/>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Clarification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Clarification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69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 February 10, 2000</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FRANK C. POLI</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lvl w:ilvl="1">
      <w:lvlJc w:val="left"/>
      <w:lvlText w:val="%2"/>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2020-10-07T09:36:45Z</dcterms:created>
  <dcterms:modified xsi:type="dcterms:W3CDTF">2020-10-07T09:36:45Z</dcterms:modified>
</cp:coreProperties>
</file>