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 2011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5.02. Departure of Directors or Certain Officers; Election of Directors; Appointment of Certain Officers;</w:t>
        </w:r>
      </w:hyperlink>
    </w:p>
    <w:p>
      <w:pPr>
        <w:spacing w:after="0" w:line="3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Compensatory Arrangements of Certain Officers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On October 3, 2011, Waste Management, Inc. (the “Company”) announced the appointment of Steven C. Preston as Executive Vice President — Finance, Recycling and Energy Services effective immediately. Mr. Preston, age 51, succeeds Robert G. Simpson as principal financial officer of the Company, whose retirement was previously announced on June 8, 2011. Mr. Preston’s responsibilities will include being the Company’s principal financial officer and having oversight responsibilities for the Company’s recycling, waste-to-energy and organic growth operations. Mr. Preston will report to the Company’s President and Chief Executive Officer, David P. Steiner.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Mr. Preston was previously President and Chief Executive Officer of Oakleaf Global Holdings, Inc. (“Oakleaf”), which the Company acquired in</w:t>
      </w:r>
    </w:p>
    <w:p>
      <w:pPr>
        <w:spacing w:after="0" w:line="3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July 2011. Oakleaf, through its subsidiaries, provides outsourced hauling, disposal, waste diversion and recycling services to support large customers’ waste and recycling solutions. Mr. Preston was appointed President of Oakleaf in June 2009 and also became its Chief Executive Officer in August 2009. Prior to joining Oakleaf, Mr. Preston served as Secretary of the U.S. Department of Housing and Urban Development from 2008 through 2009, and Administrator of the U.S. Small Business Administration from 2006 through 2008. Before entering public service, Mr. Preston spent nearly 25 years in financial and operational leadership positions in the private sector, including nine years with The ServiceMaster Company as Chief Financial Officer and Executive Vice President of Strategic Services. Mr. Preston received a B.A. from Northwestern University and a M.B.A. from the University of Chicago.</w:t>
      </w:r>
    </w:p>
    <w:p>
      <w:pPr>
        <w:spacing w:after="0" w:line="56"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 connection with Mr. Preston’s appointment, the Company and Mr. Preston entered into an employment agreement, dated October 2, 2011, that sets forth the terms and conditions of Mr. Preston’s employment. Either party may terminate Mr. Preston’s employment at any time for any reason, with or without cause. During the employment period, Mr. Preston will be paid a minimum base salary of $580,000 per year. For the calendar year 2011, Mr. Preston will be entitled to a bonus of $510,000. Beginning January 1, 2012 and continuing throughout the employment period, Mr. Preston shall be entitled to participate in an annual incentive compensation plan as established by the Management Development and Compensation Committee (the “Compensation Committee”) of the Company’s Board of Directors. Mr. Preston’s target annual bonus will be 85% of his base salary, although his actual bonus may range from 0% to 170% of his base salary, depending on the achievement of certain personal and corporate performance goals. Under his employment agreement, Mr. Preston will relocate his primary residence to the Houston, Texas area before October 1, 2012, and the associated expenses will be eligible for coverage under the Company’s relocation policy. If Mr. Preston resigns without good reason during the 12 month period following such relocation, then he will be required to reimburse the Company for the prorated portion of the relocation expenses.</w:t>
      </w:r>
    </w:p>
    <w:p>
      <w:pPr>
        <w:spacing w:after="0" w:line="7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the event of the termination of Mr. Preston’s employment by the Company, he will be entitled to certain severance payments. Specifically, if Mr. Preston is terminated by the Company without cause or he terminates his employment for good reason, Mr. Preston generally is entitled to, subject to his execution of a release, (i) an amount equal to two times the sum of his base salary and target annual bonus, (ii) continuation of all health and welfare plan benefits for him and his family for the lesser of two years or until he becomes covered by a subsequent employer, and (iii) a prorated bonus for the year of his employment termination. In the event Mr. Preston is terminated by the Company without cause or he terminates his employment for good reason, within six months prior to or two years following a change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control, he generally is entitled to the same benefits described above, except that the prorated bonus would be calculated at the maximum bonus available to him. In the event Mr. Preston’s employment is terminated by reason of death or total disability, he generally will receive all amounts accrued but unpaid at the date of his employment termination, and a pro rated bonus for the year of his employment termination. In the event Mr. Preston’s employment is terminated by the Company for cause or if he resigns without good reason, he will receive all amounts accrued but unpaid at the date of his employment termination.</w:t>
      </w:r>
    </w:p>
    <w:p>
      <w:pPr>
        <w:spacing w:after="0" w:line="46"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 xml:space="preserve">The term “cause,” as defined in the employment agreement and described herein, means Mr. Preston’s (i) willful or deliberate and continual refusal to perform his employment duties reasonably requested by the Company after receipt of written notice to him of such failure to perform, specifying such failure (other than as a result of his sickness, illness or injury) and his failure to cure such nonperformance within 10 days of receipt of said written notice; (ii) breach of any statutory or common law duty of loyalty to the Company; (iii) conviction of, or plea of </w:t>
      </w:r>
      <w:r>
        <w:rPr>
          <w:rFonts w:ascii="Arial" w:cs="Arial" w:eastAsia="Arial" w:hAnsi="Arial"/>
          <w:sz w:val="17"/>
          <w:szCs w:val="17"/>
          <w:i w:val="1"/>
          <w:iCs w:val="1"/>
          <w:color w:val="auto"/>
        </w:rPr>
        <w:t>nolo contendre</w:t>
      </w:r>
      <w:r>
        <w:rPr>
          <w:rFonts w:ascii="Arial" w:cs="Arial" w:eastAsia="Arial" w:hAnsi="Arial"/>
          <w:sz w:val="17"/>
          <w:szCs w:val="17"/>
          <w:color w:val="auto"/>
        </w:rPr>
        <w:t xml:space="preserve"> to, any felony; (iv) willful or intentional cause of material injury to the Company, its property, or its assets; (v) disclosure or attempted disclosure to any unauthorized person(s) of the Company’s proprietary or confidential information; (vi) material violation or a repeated and willful violation of the Company’s published policies or procedures, including but not limited to, the Company’s Code of Business Conduct and Ethics (or any successor policy) then in effect; or (vii) breach of certain restrictive covenants set forth in the employment agreement, including covenants not to compete or solicit Company customers or employees for a period of two years after the termination of his employment, and a covenant not to disparage the Company.</w:t>
      </w:r>
    </w:p>
    <w:p>
      <w:pPr>
        <w:spacing w:after="0" w:line="74"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term “good reason,” as defined in the employment agreement and described herein, means the occurrence or failure to cause the occurrence, as the case may be, without Mr. Preston’s express written consent, of any of the following circumstances: (i) the Company materially diminishes his core duties or responsibility for those core duties, so as to effectively cause him to (A) no longer be performing the duties of principal financial officer or (B) no longer have executive management responsibility over some significant business operations of the Company (except in each case in connection with the termination of his employment for death, total disability, or cause, or temporarily as a result of his illness or other absence); (ii) in the event of the Company’s becoming a 50% or more subsidiary of any other entity, the Company materially diminishes the duties, authority or responsibilities of the person to whom he is required to report; (iii) removal or the non-reelection of Mr. Preston from an officer position with the Company; (iv) any material breach by the Company of any provision of the employment agreement; (v) failure of any successor to the Company (whether direct or indirect and whether by merger, acquisition, consolidation or otherwise) to assume in a writing delivered to him upon the assignee becoming such, the obligations of the Company hereunder, resulting in a material negative change in his employment relationship; or (vi) in the event that he no longer directly reports to the current Chief Executive Officer, David P. Steiner.</w:t>
      </w:r>
    </w:p>
    <w:p>
      <w:pPr>
        <w:spacing w:after="0" w:line="75"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connection with Mr. Preston’s appointment, on October 4, 2011, the Compensation Committee approved a stock option award consisting of 184,584 stock options granted under the Company’s 2009 Stock Incentive Plan. The stock options (i) have an exercise price of $31.28 per share of Company common stock, (ii) have a term of 10 years, and (iii) vest annually over a three year period, with (A) 25% vesting on the first anniversary of the grant date, (B) 25% vesting on the second anniversary of the grant date, and (C) 50% vesting on the third anniversary of the grant date. The stock options will be subject to the terms and conditions of the agreement evidencing the award.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Company’s acquisition of Oakleaf did not include Oakleaf’s Valet Waste Holdings, Inc. subsidiary (“Valet Waste”). A group of private equity funds controls Valet Waste and those funds formerly controlled Oakleaf. All of the common stock of Valet Waste was distributed to those funds and Oakleaf’s other stockholders prior to the Company’s acquisition of Oakleaf. Valet Waste is engaged in a separate line of business comprised of collecting bagged waste and recyclable materials for a fee at the doorstep of apartments and other multi-family housing units and delivering such bagged materials to on-site containers that are serviced by third party haulers. As a former stockholder of Oakleaf, Mr. Preston, along with several other employees that came to the Company as a result of the Oakleaf acquisition, continues to own equity in Valet Waste. Currently, the Company is not engaged in this multi-family valet/doorstep waste and recyclable materials collection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 of Exhibit</w:t>
      </w:r>
    </w:p>
    <w:p>
      <w:pPr>
        <w:spacing w:after="0" w:line="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between Waste Management, Inc. and Steven C. Preston, dated October 2, 2011.</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October 5, 2011</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729"/>
        </w:trPr>
        <w:tc>
          <w:tcPr>
            <w:tcW w:w="3480" w:type="dxa"/>
            <w:vAlign w:val="bottom"/>
          </w:tcPr>
          <w:p>
            <w:pPr>
              <w:spacing w:after="0"/>
              <w:rPr>
                <w:sz w:val="24"/>
                <w:szCs w:val="24"/>
                <w:color w:val="auto"/>
              </w:rPr>
            </w:pPr>
          </w:p>
        </w:tc>
        <w:tc>
          <w:tcPr>
            <w:tcW w:w="6260" w:type="dxa"/>
            <w:vAlign w:val="bottom"/>
            <w:gridSpan w:val="2"/>
          </w:tcPr>
          <w:p>
            <w:pPr>
              <w:jc w:val="right"/>
              <w:ind w:right="3890"/>
              <w:spacing w:after="0"/>
              <w:rPr>
                <w:sz w:val="20"/>
                <w:szCs w:val="20"/>
                <w:color w:val="auto"/>
              </w:rPr>
            </w:pPr>
            <w:r>
              <w:rPr>
                <w:rFonts w:ascii="Arial" w:cs="Arial" w:eastAsia="Arial" w:hAnsi="Arial"/>
                <w:sz w:val="18"/>
                <w:szCs w:val="18"/>
                <w:color w:val="auto"/>
              </w:rPr>
              <w:t>5</w:t>
            </w:r>
          </w:p>
        </w:tc>
        <w:tc>
          <w:tcPr>
            <w:tcW w:w="1680" w:type="dxa"/>
            <w:vAlign w:val="bottom"/>
          </w:tcPr>
          <w:p>
            <w:pPr>
              <w:spacing w:after="0"/>
              <w:rPr>
                <w:sz w:val="24"/>
                <w:szCs w:val="24"/>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between Waste Management, Inc. and Steven C. Preston, dated October 2, 2011</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19"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This EMPLOYMENT AGREEMENT (the “Agreement”) is made and entered into on this 2nd day of October, 2011 by and between Waste Management, Inc. (the “Company”) and Steven C. Preston (the “Executive”).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Employment.</w:t>
      </w:r>
    </w:p>
    <w:p>
      <w:pPr>
        <w:spacing w:after="0" w:line="121"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Term of Employment.</w:t>
      </w:r>
    </w:p>
    <w:p>
      <w:pPr>
        <w:spacing w:after="0" w:line="121"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The period of Executive’s employment under this Agreement shall begin on October 1, 2011 (“Employment Date”), and may be terminated by either party pursuant to Section 5 below. The period during which Executive is employed hereunder shall be referred to as the “Employment Period.”</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Duties and Responsibilities.</w:t>
      </w:r>
    </w:p>
    <w:p>
      <w:pPr>
        <w:spacing w:after="0" w:line="121" w:lineRule="exact"/>
        <w:rPr>
          <w:sz w:val="20"/>
          <w:szCs w:val="20"/>
          <w:color w:val="auto"/>
        </w:rPr>
      </w:pPr>
    </w:p>
    <w:p>
      <w:pPr>
        <w:ind w:right="180" w:firstLine="233"/>
        <w:spacing w:after="0" w:line="255" w:lineRule="auto"/>
        <w:tabs>
          <w:tab w:leader="none" w:pos="4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Executive shall serve as Executive Vice-President — Finance, Recycling, and Energy Services. In such capacity, Executive shall perform such duties and have the power, authority, and functions of the Company’s principal financial officer and head of the Recycling and Energy Services business units, and shall perform such other duties, and shall have such other power, authority, and functions as may be deemed appropriate for the position and assigned to Executive by the Chief Executive Officer or the Board of Directors (the “Board”) of the Company. Until the first anniversary of the Employment Date, the Company shall maintain an office for Executive at its Hartford, Connecticut location in order that Executive may continue to assist in the integration and coordination of the Oakleaf operations.</w:t>
      </w:r>
    </w:p>
    <w:p>
      <w:pPr>
        <w:spacing w:after="0" w:line="85" w:lineRule="exact"/>
        <w:rPr>
          <w:rFonts w:ascii="Arial" w:cs="Arial" w:eastAsia="Arial" w:hAnsi="Arial"/>
          <w:sz w:val="18"/>
          <w:szCs w:val="18"/>
          <w:b w:val="1"/>
          <w:bCs w:val="1"/>
          <w:color w:val="auto"/>
        </w:rPr>
      </w:pPr>
    </w:p>
    <w:p>
      <w:pPr>
        <w:ind w:firstLine="233"/>
        <w:spacing w:after="0" w:line="276" w:lineRule="auto"/>
        <w:tabs>
          <w:tab w:leader="none" w:pos="49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Compensation and Benefits.</w:t>
      </w:r>
    </w:p>
    <w:p>
      <w:pPr>
        <w:spacing w:after="0" w:line="117" w:lineRule="exact"/>
        <w:rPr>
          <w:sz w:val="20"/>
          <w:szCs w:val="20"/>
          <w:color w:val="auto"/>
        </w:rPr>
      </w:pPr>
    </w:p>
    <w:p>
      <w:pPr>
        <w:ind w:right="100" w:firstLine="233"/>
        <w:spacing w:after="0" w:line="266" w:lineRule="auto"/>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During the Employment Period, the Company shall pay Executive a base salary at the annual rate of Five Hundred Eighty Thousand and</w:t>
      </w:r>
      <w:r>
        <w:rPr>
          <w:rFonts w:ascii="Arial" w:cs="Arial" w:eastAsia="Arial" w:hAnsi="Arial"/>
          <w:sz w:val="18"/>
          <w:szCs w:val="18"/>
          <w:b w:val="1"/>
          <w:bCs w:val="1"/>
          <w:color w:val="auto"/>
        </w:rPr>
        <w:t xml:space="preserve"> </w:t>
      </w:r>
      <w:r>
        <w:rPr>
          <w:rFonts w:ascii="Arial" w:cs="Arial" w:eastAsia="Arial" w:hAnsi="Arial"/>
          <w:sz w:val="18"/>
          <w:szCs w:val="18"/>
          <w:color w:val="auto"/>
        </w:rPr>
        <w:t>00/100ths Dollars ($580,000.00) per year, or such higher rate as may be determined from time to time by the Company (“Base Salary”). Such Base Salary shall be paid in accordance with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standard payroll practice for its executive officers. Once increased, Base Salary shall not be reduced except by mutual agreement.</w:t>
      </w:r>
    </w:p>
    <w:p>
      <w:pPr>
        <w:spacing w:after="0" w:line="113"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Executive’s guaranteed annual bonus for calendar year 2011 (“2011 Bonus”) shall be Five Hundred Ten Thousand and 00/100ths</w:t>
      </w:r>
    </w:p>
    <w:p>
      <w:pPr>
        <w:spacing w:after="0" w:line="50" w:lineRule="exact"/>
        <w:rPr>
          <w:rFonts w:ascii="Arial" w:cs="Arial" w:eastAsia="Arial" w:hAnsi="Arial"/>
          <w:sz w:val="16"/>
          <w:szCs w:val="16"/>
          <w:b w:val="1"/>
          <w:bCs w:val="1"/>
          <w:color w:val="auto"/>
        </w:rPr>
      </w:pPr>
    </w:p>
    <w:p>
      <w:pPr>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Dollars ($510,000.00) and based on services rendered from the execution of the Agreement through December 31, 2011. It is expressly understood and agreed that Executive will not be eligible for nor will he receive any additional bonus for calendar year 2011 from either the Company or Oakleaf Global Holdings, Inc., or any of their affiliates. The 2011 Bonus will be paid in calendar year 2012, at the same time as similarly situated executive employees receive or otherwise would have received their bonuses.</w:t>
      </w:r>
    </w:p>
    <w:p>
      <w:pPr>
        <w:spacing w:after="0" w:line="82"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Beginning January 1, 2012 and continuing throughout the Employment Period, Executive shall be entitled to participate in an annual incentive compensation plan of the Company, as established by the Management Development and Compensation Committee (“Compensation Committee”) of the Board from time to time. The Executive’s target annual bonus will be eighty-five percent (85%) of his Base Salary in effect for such year (the “Target Bonus”), and his actual annual bonus may range from 0% to 170% of Base Salary (</w:t>
      </w:r>
      <w:r>
        <w:rPr>
          <w:rFonts w:ascii="Arial" w:cs="Arial" w:eastAsia="Arial" w:hAnsi="Arial"/>
          <w:sz w:val="16"/>
          <w:szCs w:val="16"/>
          <w:i w:val="1"/>
          <w:iCs w:val="1"/>
          <w:color w:val="auto"/>
        </w:rPr>
        <w:t>i.e</w:t>
      </w:r>
      <w:r>
        <w:rPr>
          <w:rFonts w:ascii="Arial" w:cs="Arial" w:eastAsia="Arial" w:hAnsi="Arial"/>
          <w:sz w:val="16"/>
          <w:szCs w:val="16"/>
          <w:color w:val="auto"/>
        </w:rPr>
        <w:t>., a maximum possible bonus of two times the Target Bonus), and will be determined based upon (i) the achievement of certain corporate financial and/or performance goals, as may be established and approved from time to time by the Compensation Committee of the Board, and (ii) the achievement of personal performance goals as may be established by the Chief Executive Officer or the Board of Directors. The annual bonus will be paid at such time and in such manner as set forth in the annual incentive compensation plan document.</w:t>
      </w:r>
    </w:p>
    <w:p>
      <w:pPr>
        <w:spacing w:after="0" w:line="55" w:lineRule="exact"/>
        <w:rPr>
          <w:sz w:val="20"/>
          <w:szCs w:val="20"/>
          <w:color w:val="auto"/>
        </w:rPr>
      </w:pPr>
    </w:p>
    <w:p>
      <w:pPr>
        <w:ind w:firstLine="233"/>
        <w:spacing w:after="0" w:line="258" w:lineRule="auto"/>
        <w:tabs>
          <w:tab w:leader="none" w:pos="4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profit sharing</w:t>
      </w:r>
      <w:r>
        <w:rPr>
          <w:rFonts w:ascii="Arial" w:cs="Arial" w:eastAsia="Arial" w:hAnsi="Arial"/>
          <w:sz w:val="18"/>
          <w:szCs w:val="18"/>
          <w:b w:val="1"/>
          <w:bCs w:val="1"/>
          <w:color w:val="auto"/>
        </w:rPr>
        <w:t xml:space="preserve"> </w:t>
      </w:r>
      <w:r>
        <w:rPr>
          <w:rFonts w:ascii="Arial" w:cs="Arial" w:eastAsia="Arial" w:hAnsi="Arial"/>
          <w:sz w:val="18"/>
          <w:szCs w:val="18"/>
          <w:color w:val="auto"/>
        </w:rPr>
        <w:t>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so long as such changes are similarly applicable to similarly-situated employees generally.</w:t>
      </w:r>
    </w:p>
    <w:p>
      <w:pPr>
        <w:spacing w:after="0" w:line="80"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69" w:lineRule="exact"/>
        <w:rPr>
          <w:sz w:val="20"/>
          <w:szCs w:val="20"/>
          <w:color w:val="auto"/>
        </w:rPr>
      </w:pPr>
    </w:p>
    <w:p>
      <w:pPr>
        <w:ind w:right="20" w:firstLine="233"/>
        <w:spacing w:after="0" w:line="261" w:lineRule="auto"/>
        <w:tabs>
          <w:tab w:leader="none" w:pos="49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The Company shall promptly reimburse Executive for the ordinary and necessary business expenses incurred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performance of his duties hereunder in accordance 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80" w:firstLine="233"/>
        <w:spacing w:after="0" w:line="266" w:lineRule="auto"/>
        <w:tabs>
          <w:tab w:leader="none" w:pos="4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Subject to the approval of the Compensation Committee of the Board, Executive shall receive a Stock Option Award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 Incentive Plan on October 4, 2011. The award, vesting, and exercise of all options shall be subject to and governed by the provisions of the applicable Waste Management, Inc. Stock Incentive Plan.</w:t>
      </w:r>
    </w:p>
    <w:p>
      <w:pPr>
        <w:spacing w:after="0" w:line="68" w:lineRule="exact"/>
        <w:rPr>
          <w:rFonts w:ascii="Arial" w:cs="Arial" w:eastAsia="Arial" w:hAnsi="Arial"/>
          <w:sz w:val="18"/>
          <w:szCs w:val="18"/>
          <w:b w:val="1"/>
          <w:bCs w:val="1"/>
          <w:color w:val="auto"/>
        </w:rPr>
      </w:pPr>
    </w:p>
    <w:p>
      <w:pPr>
        <w:ind w:firstLine="233"/>
        <w:spacing w:after="0" w:line="258" w:lineRule="auto"/>
        <w:tabs>
          <w:tab w:leader="none" w:pos="45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Relocation to Houston. </w:t>
      </w:r>
      <w:r>
        <w:rPr>
          <w:rFonts w:ascii="Arial" w:cs="Arial" w:eastAsia="Arial" w:hAnsi="Arial"/>
          <w:sz w:val="18"/>
          <w:szCs w:val="18"/>
          <w:color w:val="auto"/>
        </w:rPr>
        <w:t>Prior to the first year anniversary of the Employment Date, Executive will relocate his primary residence to the Houston, Texas</w:t>
      </w:r>
      <w:r>
        <w:rPr>
          <w:rFonts w:ascii="Arial" w:cs="Arial" w:eastAsia="Arial" w:hAnsi="Arial"/>
          <w:sz w:val="18"/>
          <w:szCs w:val="18"/>
          <w:b w:val="1"/>
          <w:bCs w:val="1"/>
          <w:color w:val="auto"/>
        </w:rPr>
        <w:t xml:space="preserve"> </w:t>
      </w:r>
      <w:r>
        <w:rPr>
          <w:rFonts w:ascii="Arial" w:cs="Arial" w:eastAsia="Arial" w:hAnsi="Arial"/>
          <w:sz w:val="18"/>
          <w:szCs w:val="18"/>
          <w:color w:val="auto"/>
        </w:rPr>
        <w:t>area. Executive’s relocation of his residence to Houston will be eligible for coverage under the Company’s relocation policy. It is expressly agreed to and understood that should Executive resign without “Good Reason” (as that term is defined in Section 5(d) below) during the twelve-month period following such relocation, then Executive shall be required to reimburse the Company for the prorated portion of the relocation expense based on a 365-day proration schedule.</w:t>
      </w:r>
    </w:p>
    <w:p>
      <w:pPr>
        <w:spacing w:after="0" w:line="75" w:lineRule="exact"/>
        <w:rPr>
          <w:rFonts w:ascii="Arial" w:cs="Arial" w:eastAsia="Arial" w:hAnsi="Arial"/>
          <w:sz w:val="18"/>
          <w:szCs w:val="18"/>
          <w:b w:val="1"/>
          <w:bCs w:val="1"/>
          <w:color w:val="auto"/>
        </w:rPr>
      </w:pPr>
    </w:p>
    <w:p>
      <w:pPr>
        <w:ind w:right="200" w:firstLine="233"/>
        <w:spacing w:after="0" w:line="282" w:lineRule="auto"/>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Executive and/or Senior Vice Presidents of the Company as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of the Board, and as they may exist from time to time.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Termination of Employment.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13" w:lineRule="exact"/>
        <w:rPr>
          <w:sz w:val="20"/>
          <w:szCs w:val="20"/>
          <w:color w:val="auto"/>
        </w:rPr>
      </w:pPr>
    </w:p>
    <w:p>
      <w:pPr>
        <w:ind w:left="480" w:hanging="247"/>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17" w:lineRule="exact"/>
        <w:rPr>
          <w:rFonts w:ascii="Arial" w:cs="Arial" w:eastAsia="Arial" w:hAnsi="Arial"/>
          <w:sz w:val="18"/>
          <w:szCs w:val="18"/>
          <w:b w:val="1"/>
          <w:bCs w:val="1"/>
          <w:color w:val="auto"/>
        </w:rPr>
      </w:pPr>
    </w:p>
    <w:p>
      <w:pPr>
        <w:ind w:firstLine="233"/>
        <w:spacing w:after="0" w:line="274" w:lineRule="auto"/>
        <w:tabs>
          <w:tab w:leader="none" w:pos="487"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Total Disability. </w:t>
      </w:r>
      <w:r>
        <w:rPr>
          <w:rFonts w:ascii="Arial" w:cs="Arial" w:eastAsia="Arial" w:hAnsi="Arial"/>
          <w:sz w:val="17"/>
          <w:szCs w:val="17"/>
          <w:color w:val="auto"/>
        </w:rPr>
        <w:t>The Company may terminate Executive’s employment hereunder upon Executive’s becoming “Totally Disabled.” For purposes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Executive shall be considered “Totally Disabled” if Executive has become physically or mentally disabled so as to render Executive incapable of performing the essential functions of his position (with or without reasonable accommodations) and such disability is expected to result in death or to last for a continuous period of at least 12 months, provided that such condition constitutes a “disability” within the meaning of Section 409A of the Internal Revenue Code. Executive’s receipt of disability benefits under the Company’s long-term disability plan or receipt of Social Security disability benefits shall be deemed conclusive evidence of Total Disability for purpose of this Agreement.</w:t>
      </w:r>
    </w:p>
    <w:p>
      <w:pPr>
        <w:spacing w:after="0" w:line="65" w:lineRule="exact"/>
        <w:rPr>
          <w:rFonts w:ascii="Arial" w:cs="Arial" w:eastAsia="Arial" w:hAnsi="Arial"/>
          <w:sz w:val="17"/>
          <w:szCs w:val="17"/>
          <w:b w:val="1"/>
          <w:bCs w:val="1"/>
          <w:color w:val="auto"/>
        </w:rPr>
      </w:pPr>
    </w:p>
    <w:p>
      <w:pPr>
        <w:ind w:right="100" w:firstLine="233"/>
        <w:spacing w:after="0" w:line="282" w:lineRule="auto"/>
        <w:tabs>
          <w:tab w:leader="none" w:pos="46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57" w:lineRule="exact"/>
        <w:rPr>
          <w:rFonts w:ascii="Arial" w:cs="Arial" w:eastAsia="Arial" w:hAnsi="Arial"/>
          <w:sz w:val="18"/>
          <w:szCs w:val="18"/>
          <w:b w:val="1"/>
          <w:bCs w:val="1"/>
          <w:color w:val="auto"/>
        </w:rPr>
      </w:pPr>
    </w:p>
    <w:p>
      <w:pPr>
        <w:ind w:left="660" w:right="60" w:hanging="314"/>
        <w:spacing w:after="0" w:line="259"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purposes of this Agreement, the term “Cause” means any of the following: Executive’s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Executive’s failure to cure such nonperformance within ten (10) days of receipt of said written notice;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both"/>
        <w:ind w:left="640"/>
        <w:spacing w:after="0" w:line="286" w:lineRule="auto"/>
        <w:rPr>
          <w:sz w:val="20"/>
          <w:szCs w:val="20"/>
          <w:color w:val="auto"/>
        </w:rPr>
      </w:pPr>
      <w:r>
        <w:rPr>
          <w:rFonts w:ascii="Arial" w:cs="Arial" w:eastAsia="Arial" w:hAnsi="Arial"/>
          <w:sz w:val="16"/>
          <w:szCs w:val="16"/>
          <w:color w:val="auto"/>
        </w:rPr>
        <w:t xml:space="preserve">(B)breach of any statutory or common law duty of loyalty to the Company; (C)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(D) willful or intentional cause of material injury to the Company, its property, or its assets; (E) disclosure or attempted disclosure to any unauthorized person(s) of the Company’s proprietary or confidential information; (F) material violation or a repeated and willful violation of the Company’s published policies or procedures, including but not limited to, the Company’s Code of Business Conduct and Ethics (or any successor policy) then in effect; or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 breach of any of the covenants set forth in Section 10 hereof.</w:t>
      </w:r>
    </w:p>
    <w:p>
      <w:pPr>
        <w:spacing w:after="0" w:line="102" w:lineRule="exact"/>
        <w:rPr>
          <w:sz w:val="20"/>
          <w:szCs w:val="20"/>
          <w:color w:val="auto"/>
        </w:rPr>
      </w:pPr>
    </w:p>
    <w:p>
      <w:pPr>
        <w:jc w:val="both"/>
        <w:ind w:left="660" w:right="20" w:hanging="334"/>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 purposes of this Agreement, the phrase “Notice of Termination for Cause” shall mean a written notice that shall indicate the specific termination provision or provisions in Section 5(c)(i) relied upon, and shall set forth in reasonable detail the facts and circumstances which provide the basis for termination for Cause.</w:t>
      </w:r>
    </w:p>
    <w:p>
      <w:pPr>
        <w:spacing w:after="0" w:line="69" w:lineRule="exact"/>
        <w:rPr>
          <w:rFonts w:ascii="Arial" w:cs="Arial" w:eastAsia="Arial" w:hAnsi="Arial"/>
          <w:sz w:val="18"/>
          <w:szCs w:val="18"/>
          <w:color w:val="auto"/>
        </w:rPr>
      </w:pPr>
    </w:p>
    <w:p>
      <w:pPr>
        <w:ind w:left="-20" w:right="280" w:firstLine="233"/>
        <w:spacing w:after="0" w:line="282" w:lineRule="auto"/>
        <w:tabs>
          <w:tab w:leader="none" w:pos="46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57" w:lineRule="exact"/>
        <w:rPr>
          <w:rFonts w:ascii="Arial" w:cs="Arial" w:eastAsia="Arial" w:hAnsi="Arial"/>
          <w:sz w:val="18"/>
          <w:szCs w:val="18"/>
          <w:b w:val="1"/>
          <w:bCs w:val="1"/>
          <w:color w:val="auto"/>
        </w:rPr>
      </w:pPr>
    </w:p>
    <w:p>
      <w:pPr>
        <w:ind w:left="640" w:hanging="314"/>
        <w:spacing w:after="0" w:line="286" w:lineRule="auto"/>
        <w:tabs>
          <w:tab w:leader="none" w:pos="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(1) no longer be performing the duties of principal financial officer or (2) no longer have executive management responsibility over some significant business operations of the Company (except in each case in connection with the termination of Executive’s employment for Death, Total Disability,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the Executive from an officer position with the Company; (D) any material breach by the Company of any provision of this Agreement; or (E) failure of any successor to the Company (whether direct or indirect and whether by merger, acquisition, consolidation or otherwise) to assume in a writing delivered to Executive upon the assignee becoming such, the obligations of the Company hereunder, resulting in a material negative change in the employment relationship; or (F) in the event that Executive no longer directly reports to the current Chief Executive Officer, David P. Steiner.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044" w:right="259" w:bottom="1440" w:gutter="0" w:footer="0" w:header="0"/>
        </w:sectPr>
      </w:pPr>
    </w:p>
    <w:bookmarkStart w:id="12" w:name="page13"/>
    <w:bookmarkEnd w:id="12"/>
    <w:p>
      <w:pPr>
        <w:ind w:left="680" w:right="20" w:hanging="334"/>
        <w:spacing w:after="0" w:line="257"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5(d)(i)(A) or (B), the date may be twenty (20) days after the giving of such notice.</w:t>
      </w:r>
    </w:p>
    <w:p>
      <w:pPr>
        <w:spacing w:after="0" w:line="76" w:lineRule="exact"/>
        <w:rPr>
          <w:rFonts w:ascii="Arial" w:cs="Arial" w:eastAsia="Arial" w:hAnsi="Arial"/>
          <w:sz w:val="18"/>
          <w:szCs w:val="18"/>
          <w:color w:val="auto"/>
        </w:rPr>
      </w:pPr>
    </w:p>
    <w:p>
      <w:pPr>
        <w:ind w:right="380" w:firstLine="233"/>
        <w:spacing w:after="0" w:line="282" w:lineRule="auto"/>
        <w:tabs>
          <w:tab w:leader="none" w:pos="46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53" w:lineRule="exact"/>
        <w:rPr>
          <w:rFonts w:ascii="Arial" w:cs="Arial" w:eastAsia="Arial" w:hAnsi="Arial"/>
          <w:sz w:val="18"/>
          <w:szCs w:val="18"/>
          <w:b w:val="1"/>
          <w:bCs w:val="1"/>
          <w:color w:val="auto"/>
        </w:rPr>
      </w:pPr>
    </w:p>
    <w:p>
      <w:pPr>
        <w:ind w:right="360" w:firstLine="233"/>
        <w:spacing w:after="0" w:line="282" w:lineRule="auto"/>
        <w:tabs>
          <w:tab w:leader="none" w:pos="45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him at such time.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121"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22, as applicable to the form of termination:</w:t>
      </w:r>
    </w:p>
    <w:p>
      <w:pPr>
        <w:spacing w:after="0" w:line="69" w:lineRule="exact"/>
        <w:rPr>
          <w:sz w:val="20"/>
          <w:szCs w:val="20"/>
          <w:color w:val="auto"/>
        </w:rPr>
      </w:pPr>
    </w:p>
    <w:p>
      <w:pPr>
        <w:ind w:right="100" w:firstLine="233"/>
        <w:spacing w:after="0" w:line="282" w:lineRule="auto"/>
        <w:tabs>
          <w:tab w:leader="none" w:pos="47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57" w:lineRule="exact"/>
        <w:rPr>
          <w:rFonts w:ascii="Arial" w:cs="Arial" w:eastAsia="Arial" w:hAnsi="Arial"/>
          <w:sz w:val="18"/>
          <w:szCs w:val="18"/>
          <w:b w:val="1"/>
          <w:bCs w:val="1"/>
          <w:color w:val="auto"/>
        </w:rPr>
      </w:pPr>
    </w:p>
    <w:p>
      <w:pPr>
        <w:ind w:left="660" w:hanging="314"/>
        <w:spacing w:after="0" w:line="302"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death, any accrued but unpaid expenses required to be reimbursed under this Agreement, any accrued but unused vacation to the date of employment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46" w:lineRule="exact"/>
        <w:rPr>
          <w:rFonts w:ascii="Arial" w:cs="Arial" w:eastAsia="Arial" w:hAnsi="Arial"/>
          <w:sz w:val="16"/>
          <w:szCs w:val="16"/>
          <w:color w:val="auto"/>
        </w:rPr>
      </w:pPr>
    </w:p>
    <w:p>
      <w:pPr>
        <w:ind w:left="680" w:right="20" w:hanging="334"/>
        <w:spacing w:after="0" w:line="342" w:lineRule="auto"/>
        <w:tabs>
          <w:tab w:leader="none" w:pos="6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benefits accrued through the date of termination to which Executive may be entitled pursuant to the plans, policies and arrangements (including those referred to in Section 4(c) hereof), as determined and paid in accordance with the terms of such plans, policies and arrangements.</w:t>
      </w:r>
    </w:p>
    <w:p>
      <w:pPr>
        <w:spacing w:after="0" w:line="11" w:lineRule="exact"/>
        <w:rPr>
          <w:rFonts w:ascii="Arial" w:cs="Arial" w:eastAsia="Arial" w:hAnsi="Arial"/>
          <w:sz w:val="16"/>
          <w:szCs w:val="16"/>
          <w:color w:val="auto"/>
        </w:rPr>
      </w:pPr>
    </w:p>
    <w:p>
      <w:pPr>
        <w:ind w:right="180" w:firstLine="233"/>
        <w:spacing w:after="0" w:line="282" w:lineRule="auto"/>
        <w:tabs>
          <w:tab w:leader="none" w:pos="48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3" w:name="page14"/>
    <w:bookmarkEnd w:id="13"/>
    <w:p>
      <w:pPr>
        <w:ind w:left="652" w:right="140" w:hanging="314"/>
        <w:spacing w:after="0" w:line="302" w:lineRule="auto"/>
        <w:tabs>
          <w:tab w:leader="none" w:pos="652" w:val="left"/>
        </w:tabs>
        <w:numPr>
          <w:ilvl w:val="2"/>
          <w:numId w:val="13"/>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 Executive shall also be eligible for a pro-rata bonus or incentive compensation payment for the calendar year of his employment termination to the extent such awards are made to other senior executives of the Company and paid at the same time as other senior executives are paid.</w:t>
      </w:r>
    </w:p>
    <w:p>
      <w:pPr>
        <w:spacing w:after="0" w:line="46" w:lineRule="exact"/>
        <w:rPr>
          <w:rFonts w:ascii="Arial" w:cs="Arial" w:eastAsia="Arial" w:hAnsi="Arial"/>
          <w:sz w:val="16"/>
          <w:szCs w:val="16"/>
          <w:color w:val="auto"/>
        </w:rPr>
      </w:pPr>
    </w:p>
    <w:p>
      <w:pPr>
        <w:ind w:left="672" w:hanging="334"/>
        <w:spacing w:after="0" w:line="342" w:lineRule="auto"/>
        <w:tabs>
          <w:tab w:leader="none" w:pos="672" w:val="left"/>
        </w:tabs>
        <w:numPr>
          <w:ilvl w:val="2"/>
          <w:numId w:val="13"/>
        </w:numPr>
        <w:rPr>
          <w:rFonts w:ascii="Arial" w:cs="Arial" w:eastAsia="Arial" w:hAnsi="Arial"/>
          <w:sz w:val="16"/>
          <w:szCs w:val="16"/>
          <w:color w:val="auto"/>
        </w:rPr>
      </w:pPr>
      <w:r>
        <w:rPr>
          <w:rFonts w:ascii="Arial" w:cs="Arial" w:eastAsia="Arial" w:hAnsi="Arial"/>
          <w:sz w:val="16"/>
          <w:szCs w:val="16"/>
          <w:color w:val="auto"/>
        </w:rPr>
        <w:t>Any benefits accrued through the date of termination to which Executive may be entitled pursuant to the plans, policies and arrangements (including those referred to in Section 4(c) hereof) shall be determined and paid in accordance with the terms of such plans, policies and arrangements.</w:t>
      </w:r>
    </w:p>
    <w:p>
      <w:pPr>
        <w:spacing w:after="0" w:line="11" w:lineRule="exact"/>
        <w:rPr>
          <w:rFonts w:ascii="Arial" w:cs="Arial" w:eastAsia="Arial" w:hAnsi="Arial"/>
          <w:sz w:val="16"/>
          <w:szCs w:val="16"/>
          <w:color w:val="auto"/>
        </w:rPr>
      </w:pPr>
    </w:p>
    <w:p>
      <w:pPr>
        <w:ind w:left="-8" w:right="360" w:firstLine="233"/>
        <w:spacing w:after="0" w:line="282" w:lineRule="auto"/>
        <w:tabs>
          <w:tab w:leader="none" w:pos="459"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57" w:lineRule="exact"/>
        <w:rPr>
          <w:rFonts w:ascii="Arial" w:cs="Arial" w:eastAsia="Arial" w:hAnsi="Arial"/>
          <w:sz w:val="18"/>
          <w:szCs w:val="18"/>
          <w:b w:val="1"/>
          <w:bCs w:val="1"/>
          <w:color w:val="auto"/>
        </w:rPr>
      </w:pPr>
    </w:p>
    <w:p>
      <w:pPr>
        <w:ind w:left="652" w:right="240" w:hanging="314"/>
        <w:spacing w:after="0" w:line="342" w:lineRule="auto"/>
        <w:tabs>
          <w:tab w:leader="none" w:pos="652" w:val="left"/>
        </w:tabs>
        <w:numPr>
          <w:ilvl w:val="2"/>
          <w:numId w:val="14"/>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15" w:lineRule="exact"/>
        <w:rPr>
          <w:rFonts w:ascii="Arial" w:cs="Arial" w:eastAsia="Arial" w:hAnsi="Arial"/>
          <w:sz w:val="16"/>
          <w:szCs w:val="16"/>
          <w:color w:val="auto"/>
        </w:rPr>
      </w:pPr>
    </w:p>
    <w:p>
      <w:pPr>
        <w:ind w:left="672" w:hanging="334"/>
        <w:spacing w:after="0" w:line="264" w:lineRule="auto"/>
        <w:tabs>
          <w:tab w:leader="none" w:pos="672"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69" w:lineRule="exact"/>
        <w:rPr>
          <w:rFonts w:ascii="Arial" w:cs="Arial" w:eastAsia="Arial" w:hAnsi="Arial"/>
          <w:sz w:val="18"/>
          <w:szCs w:val="18"/>
          <w:color w:val="auto"/>
        </w:rPr>
      </w:pPr>
    </w:p>
    <w:p>
      <w:pPr>
        <w:ind w:left="-8" w:firstLine="233"/>
        <w:spacing w:after="0" w:line="282" w:lineRule="auto"/>
        <w:tabs>
          <w:tab w:leader="none" w:pos="479"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57" w:lineRule="exact"/>
        <w:rPr>
          <w:rFonts w:ascii="Arial" w:cs="Arial" w:eastAsia="Arial" w:hAnsi="Arial"/>
          <w:sz w:val="18"/>
          <w:szCs w:val="18"/>
          <w:b w:val="1"/>
          <w:bCs w:val="1"/>
          <w:color w:val="auto"/>
        </w:rPr>
      </w:pPr>
    </w:p>
    <w:p>
      <w:pPr>
        <w:ind w:left="292" w:right="240" w:hanging="292"/>
        <w:spacing w:after="0" w:line="342" w:lineRule="auto"/>
        <w:tabs>
          <w:tab w:leader="none" w:pos="29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15" w:lineRule="exact"/>
        <w:rPr>
          <w:rFonts w:ascii="Arial" w:cs="Arial" w:eastAsia="Arial" w:hAnsi="Arial"/>
          <w:sz w:val="16"/>
          <w:szCs w:val="16"/>
          <w:color w:val="auto"/>
        </w:rPr>
      </w:pPr>
    </w:p>
    <w:p>
      <w:pPr>
        <w:ind w:left="332" w:right="220" w:hanging="332"/>
        <w:spacing w:after="0" w:line="264" w:lineRule="auto"/>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benefits accrued through the date of termination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69" w:lineRule="exact"/>
        <w:rPr>
          <w:rFonts w:ascii="Arial" w:cs="Arial" w:eastAsia="Arial" w:hAnsi="Arial"/>
          <w:sz w:val="18"/>
          <w:szCs w:val="18"/>
          <w:color w:val="auto"/>
        </w:rPr>
      </w:pPr>
    </w:p>
    <w:p>
      <w:pPr>
        <w:ind w:left="-8" w:right="280" w:firstLine="233"/>
        <w:spacing w:after="0" w:line="261" w:lineRule="auto"/>
        <w:tabs>
          <w:tab w:leader="none" w:pos="459"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below) for reasons other than death, Total Disability or Cause, or Executive terminates his employment for Good Reason outside of a Change in Control Period, the Company shall pay the following amounts to Executive:</w:t>
      </w:r>
    </w:p>
    <w:p>
      <w:pPr>
        <w:spacing w:after="0" w:line="1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4" w:name="page15"/>
    <w:bookmarkEnd w:id="14"/>
    <w:p>
      <w:pPr>
        <w:ind w:left="320" w:right="260" w:hanging="314"/>
        <w:spacing w:after="0" w:line="342"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accrued but unused vacation to the date of termination, and any earned but unpaid bonuses for any prior calendar year.</w:t>
      </w:r>
    </w:p>
    <w:p>
      <w:pPr>
        <w:spacing w:after="0" w:line="15" w:lineRule="exact"/>
        <w:rPr>
          <w:rFonts w:ascii="Arial" w:cs="Arial" w:eastAsia="Arial" w:hAnsi="Arial"/>
          <w:sz w:val="16"/>
          <w:szCs w:val="16"/>
          <w:color w:val="auto"/>
        </w:rPr>
      </w:pPr>
    </w:p>
    <w:p>
      <w:pPr>
        <w:ind w:left="340" w:hanging="334"/>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benefits accrued through the date of termination to which Executive may be entitled pursuant to the plans, policies and arrangements referred to in Section 4(c) hereof shall be determined and paid in accordance with the terms of such plans, policies and arrangements.</w:t>
      </w:r>
    </w:p>
    <w:p>
      <w:pPr>
        <w:spacing w:after="0" w:line="38" w:lineRule="exact"/>
        <w:rPr>
          <w:rFonts w:ascii="Arial" w:cs="Arial" w:eastAsia="Arial" w:hAnsi="Arial"/>
          <w:sz w:val="17"/>
          <w:szCs w:val="17"/>
          <w:color w:val="auto"/>
        </w:rPr>
      </w:pPr>
    </w:p>
    <w:p>
      <w:pPr>
        <w:ind w:left="380" w:right="360" w:hanging="374"/>
        <w:spacing w:after="0" w:line="26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Executive’s employment is terminated.</w:t>
      </w:r>
    </w:p>
    <w:p>
      <w:pPr>
        <w:spacing w:after="0" w:line="73" w:lineRule="exact"/>
        <w:rPr>
          <w:rFonts w:ascii="Arial" w:cs="Arial" w:eastAsia="Arial" w:hAnsi="Arial"/>
          <w:sz w:val="18"/>
          <w:szCs w:val="18"/>
          <w:color w:val="auto"/>
        </w:rPr>
      </w:pPr>
    </w:p>
    <w:p>
      <w:pPr>
        <w:ind w:left="380" w:right="40" w:hanging="374"/>
        <w:spacing w:after="0" w:line="255"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an amount equal to two (2) times the sum of Executive’s Base Salary plus his Target Annual Bonus (in each case, as then in effect), of which one-half of such amount shall be paid in a lump sum within the calendar quarter in which the 60</w:t>
      </w:r>
      <w:r>
        <w:rPr>
          <w:rFonts w:ascii="Arial" w:cs="Arial" w:eastAsia="Arial" w:hAnsi="Arial"/>
          <w:sz w:val="15"/>
          <w:szCs w:val="15"/>
          <w:color w:val="auto"/>
        </w:rPr>
        <w:t>th</w:t>
      </w:r>
      <w:r>
        <w:rPr>
          <w:rFonts w:ascii="Arial" w:cs="Arial" w:eastAsia="Arial" w:hAnsi="Arial"/>
          <w:sz w:val="18"/>
          <w:szCs w:val="18"/>
          <w:color w:val="auto"/>
        </w:rPr>
        <w:t xml:space="preserve"> day following Executive’s employment termination date falls and one-half of such amount shall be paid during the two (2) year period beginning in the calendar quarter within which the 60</w:t>
      </w:r>
      <w:r>
        <w:rPr>
          <w:rFonts w:ascii="Arial" w:cs="Arial" w:eastAsia="Arial" w:hAnsi="Arial"/>
          <w:sz w:val="15"/>
          <w:szCs w:val="15"/>
          <w:color w:val="auto"/>
        </w:rPr>
        <w:t>th</w:t>
      </w:r>
      <w:r>
        <w:rPr>
          <w:rFonts w:ascii="Arial" w:cs="Arial" w:eastAsia="Arial" w:hAnsi="Arial"/>
          <w:sz w:val="18"/>
          <w:szCs w:val="18"/>
          <w:color w:val="auto"/>
        </w:rPr>
        <w:t xml:space="preserve"> day following Executive’s employment termination date falls and continuing at the same time and in the same manner as Base Salary would have been paid if Executive had remained in active employment until the end of such period.</w:t>
      </w:r>
    </w:p>
    <w:p>
      <w:pPr>
        <w:spacing w:after="0" w:line="85" w:lineRule="exact"/>
        <w:rPr>
          <w:rFonts w:ascii="Arial" w:cs="Arial" w:eastAsia="Arial" w:hAnsi="Arial"/>
          <w:sz w:val="18"/>
          <w:szCs w:val="18"/>
          <w:color w:val="auto"/>
        </w:rPr>
      </w:pPr>
    </w:p>
    <w:p>
      <w:pPr>
        <w:ind w:left="320" w:right="60" w:hanging="314"/>
        <w:spacing w:after="0" w:line="288"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and Executive’s completion of required enrollment elections, the Company will continue for Executive and Executive’s spouse and eligible dependents coverage under the Company’s health benefit plan and disability benefit plans, in which Executive was a participant at any time during the twelve-month period prior to the date of termination (subject to the payment by Executive of the applicable premium at the same rate as an active employee would pay for the same coverage), until the earliest to occur of (A) twenty-four (24) months after the employment termination date; (B) Executive’s death (provided that benefits provided to Executive’s spouse and dependents shall not terminate until twenty-four (24) months after the employment termination date); or (C) with respect to any particular plan, the date Executive becomes eligible to participate in a comparable benefit provided by a subsequent employer. In the event that Executive’s continued participation in any such Company plan is prohibited, the Company will arrange to provide Executive with benefits substantially similar to those which Executive would have been entitled to receive under this paragraph on a basis which provides Executive with no additional after-tax cost. Such continued coverage under this paragraph shall be in satisfaction of the Company’s obligation under COBRA.</w:t>
      </w:r>
    </w:p>
    <w:p>
      <w:pPr>
        <w:spacing w:after="0" w:line="14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5" w:right="259" w:bottom="1440" w:gutter="0" w:footer="0" w:header="0"/>
        </w:sectPr>
      </w:pPr>
    </w:p>
    <w:bookmarkStart w:id="15" w:name="page16"/>
    <w:bookmarkEnd w:id="15"/>
    <w:p>
      <w:pPr>
        <w:ind w:left="-8" w:right="420" w:firstLine="233"/>
        <w:spacing w:after="0" w:line="266" w:lineRule="auto"/>
        <w:tabs>
          <w:tab w:leader="none" w:pos="44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Executive’s employment termination date for any reason other than for Cause, it is determined by the Company that Executive could have been terminated for Cause, then to the extent permitted by law:</w:t>
      </w:r>
    </w:p>
    <w:p>
      <w:pPr>
        <w:spacing w:after="0" w:line="72" w:lineRule="exact"/>
        <w:rPr>
          <w:rFonts w:ascii="Arial" w:cs="Arial" w:eastAsia="Arial" w:hAnsi="Arial"/>
          <w:sz w:val="18"/>
          <w:szCs w:val="18"/>
          <w:b w:val="1"/>
          <w:bCs w:val="1"/>
          <w:color w:val="auto"/>
        </w:rPr>
      </w:pPr>
    </w:p>
    <w:p>
      <w:pPr>
        <w:ind w:left="652" w:hanging="314"/>
        <w:spacing w:after="0" w:line="277"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62" w:lineRule="exact"/>
        <w:rPr>
          <w:rFonts w:ascii="Arial" w:cs="Arial" w:eastAsia="Arial" w:hAnsi="Arial"/>
          <w:sz w:val="18"/>
          <w:szCs w:val="18"/>
          <w:color w:val="auto"/>
        </w:rPr>
      </w:pPr>
    </w:p>
    <w:p>
      <w:pPr>
        <w:ind w:left="672" w:right="40" w:hanging="334"/>
        <w:spacing w:after="0" w:line="259" w:lineRule="auto"/>
        <w:tabs>
          <w:tab w:leader="none" w:pos="6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written demand by the Company, Executive shall refund to the Company any amounts, plus interest, previously paid by Company to Executive pursuant to Subsections 6(e)(iii), 6(e)(iv) or 6(e)(v),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75" w:lineRule="exact"/>
        <w:rPr>
          <w:sz w:val="20"/>
          <w:szCs w:val="20"/>
          <w:color w:val="auto"/>
        </w:rPr>
      </w:pPr>
    </w:p>
    <w:p>
      <w:pPr>
        <w:ind w:left="232"/>
        <w:spacing w:after="0"/>
        <w:rPr>
          <w:sz w:val="20"/>
          <w:szCs w:val="20"/>
          <w:color w:val="auto"/>
        </w:rPr>
      </w:pPr>
      <w:r>
        <w:rPr>
          <w:rFonts w:ascii="Arial" w:cs="Arial" w:eastAsia="Arial" w:hAnsi="Arial"/>
          <w:sz w:val="18"/>
          <w:szCs w:val="18"/>
          <w:b w:val="1"/>
          <w:bCs w:val="1"/>
          <w:color w:val="auto"/>
        </w:rPr>
        <w:t>7. Resignation by Executive for Good Reason or Termination by Company Without Cause During a Change in Control Period.</w:t>
      </w:r>
    </w:p>
    <w:p>
      <w:pPr>
        <w:spacing w:after="0" w:line="117" w:lineRule="exact"/>
        <w:rPr>
          <w:sz w:val="20"/>
          <w:szCs w:val="20"/>
          <w:color w:val="auto"/>
        </w:rPr>
      </w:pPr>
    </w:p>
    <w:p>
      <w:pPr>
        <w:ind w:left="472" w:hanging="247"/>
        <w:spacing w:after="0"/>
        <w:tabs>
          <w:tab w:leader="none" w:pos="472"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Terminations During a Change in Control Period. </w:t>
      </w:r>
      <w:r>
        <w:rPr>
          <w:rFonts w:ascii="Arial" w:cs="Arial" w:eastAsia="Arial" w:hAnsi="Arial"/>
          <w:sz w:val="16"/>
          <w:szCs w:val="16"/>
          <w:color w:val="auto"/>
        </w:rPr>
        <w:t>Subject to reduction required by Section 22, in the event a Change in Control occurs and</w:t>
      </w:r>
    </w:p>
    <w:p>
      <w:pPr>
        <w:spacing w:after="0" w:line="50" w:lineRule="exact"/>
        <w:rPr>
          <w:rFonts w:ascii="Arial" w:cs="Arial" w:eastAsia="Arial" w:hAnsi="Arial"/>
          <w:sz w:val="16"/>
          <w:szCs w:val="16"/>
          <w:b w:val="1"/>
          <w:bCs w:val="1"/>
          <w:color w:val="auto"/>
        </w:rPr>
      </w:pPr>
    </w:p>
    <w:p>
      <w:pPr>
        <w:ind w:left="-8" w:right="200" w:firstLine="8"/>
        <w:spacing w:after="0" w:line="255" w:lineRule="auto"/>
        <w:tabs>
          <w:tab w:leader="none" w:pos="2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terminates his employment for Good Reason 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82" w:lineRule="exact"/>
        <w:rPr>
          <w:rFonts w:ascii="Arial" w:cs="Arial" w:eastAsia="Arial" w:hAnsi="Arial"/>
          <w:sz w:val="18"/>
          <w:szCs w:val="18"/>
          <w:color w:val="auto"/>
        </w:rPr>
      </w:pPr>
    </w:p>
    <w:p>
      <w:pPr>
        <w:ind w:left="652" w:hanging="314"/>
        <w:spacing w:after="0"/>
        <w:tabs>
          <w:tab w:leader="none" w:pos="6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6(e)(iv) and (v) in the same form as provided for therein.</w:t>
      </w:r>
    </w:p>
    <w:p>
      <w:pPr>
        <w:spacing w:after="0" w:line="117" w:lineRule="exact"/>
        <w:rPr>
          <w:rFonts w:ascii="Arial" w:cs="Arial" w:eastAsia="Arial" w:hAnsi="Arial"/>
          <w:sz w:val="18"/>
          <w:szCs w:val="18"/>
          <w:color w:val="auto"/>
        </w:rPr>
      </w:pPr>
    </w:p>
    <w:p>
      <w:pPr>
        <w:ind w:left="672" w:right="240" w:hanging="334"/>
        <w:spacing w:after="0" w:line="291" w:lineRule="auto"/>
        <w:tabs>
          <w:tab w:leader="none" w:pos="672" w:val="left"/>
        </w:tabs>
        <w:numPr>
          <w:ilvl w:val="2"/>
          <w:numId w:val="19"/>
        </w:numPr>
        <w:rPr>
          <w:rFonts w:ascii="Arial" w:cs="Arial" w:eastAsia="Arial" w:hAnsi="Arial"/>
          <w:sz w:val="16"/>
          <w:szCs w:val="16"/>
          <w:color w:val="auto"/>
        </w:rPr>
      </w:pPr>
      <w:r>
        <w:rPr>
          <w:rFonts w:ascii="Arial" w:cs="Arial" w:eastAsia="Arial" w:hAnsi="Arial"/>
          <w:sz w:val="16"/>
          <w:szCs w:val="16"/>
          <w:color w:val="auto"/>
        </w:rPr>
        <w:t>Executive shall also receive a bonus or incentive compensation payment for the calendar year of the employment termination, payable at 100% of the maximum bonus available to Executive, pro-rated as of the employment termination date. Such bonus payment shall be payable within five</w:t>
      </w:r>
    </w:p>
    <w:p>
      <w:pPr>
        <w:ind w:left="932" w:hanging="257"/>
        <w:spacing w:after="0"/>
        <w:tabs>
          <w:tab w:leader="none" w:pos="932" w:val="left"/>
        </w:tabs>
        <w:numPr>
          <w:ilvl w:val="3"/>
          <w:numId w:val="19"/>
        </w:numPr>
        <w:rPr>
          <w:rFonts w:ascii="Arial" w:cs="Arial" w:eastAsia="Arial" w:hAnsi="Arial"/>
          <w:sz w:val="18"/>
          <w:szCs w:val="18"/>
          <w:color w:val="auto"/>
        </w:rPr>
      </w:pPr>
      <w:r>
        <w:rPr>
          <w:rFonts w:ascii="Arial" w:cs="Arial" w:eastAsia="Arial" w:hAnsi="Arial"/>
          <w:sz w:val="18"/>
          <w:szCs w:val="18"/>
          <w:color w:val="auto"/>
        </w:rPr>
        <w:t>days after the later of the effective date of Executive’s termination or the Change in Control.</w:t>
      </w:r>
    </w:p>
    <w:p>
      <w:pPr>
        <w:spacing w:after="0" w:line="98" w:lineRule="exact"/>
        <w:rPr>
          <w:rFonts w:ascii="Arial" w:cs="Arial" w:eastAsia="Arial" w:hAnsi="Arial"/>
          <w:sz w:val="18"/>
          <w:szCs w:val="18"/>
          <w:color w:val="auto"/>
        </w:rPr>
      </w:pPr>
    </w:p>
    <w:p>
      <w:pPr>
        <w:ind w:left="492" w:hanging="267"/>
        <w:spacing w:after="0"/>
        <w:tabs>
          <w:tab w:leader="none" w:pos="492"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121" w:lineRule="exact"/>
        <w:rPr>
          <w:rFonts w:ascii="Arial" w:cs="Arial" w:eastAsia="Arial" w:hAnsi="Arial"/>
          <w:sz w:val="18"/>
          <w:szCs w:val="18"/>
          <w:b w:val="1"/>
          <w:bCs w:val="1"/>
          <w:color w:val="auto"/>
        </w:rPr>
      </w:pPr>
    </w:p>
    <w:p>
      <w:pPr>
        <w:ind w:left="652" w:right="560" w:hanging="314"/>
        <w:spacing w:after="0" w:line="277" w:lineRule="auto"/>
        <w:tabs>
          <w:tab w:leader="none" w:pos="6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62" w:lineRule="exact"/>
        <w:rPr>
          <w:rFonts w:ascii="Arial" w:cs="Arial" w:eastAsia="Arial" w:hAnsi="Arial"/>
          <w:sz w:val="18"/>
          <w:szCs w:val="18"/>
          <w:color w:val="auto"/>
        </w:rPr>
      </w:pPr>
    </w:p>
    <w:p>
      <w:pPr>
        <w:ind w:left="1032" w:right="200" w:hanging="365"/>
        <w:spacing w:after="0" w:line="264" w:lineRule="auto"/>
        <w:rPr>
          <w:rFonts w:ascii="Arial" w:cs="Arial" w:eastAsia="Arial" w:hAnsi="Arial"/>
          <w:sz w:val="18"/>
          <w:szCs w:val="18"/>
          <w:color w:val="auto"/>
        </w:rPr>
      </w:pPr>
      <w:r>
        <w:rPr>
          <w:rFonts w:ascii="Arial" w:cs="Arial" w:eastAsia="Arial" w:hAnsi="Arial"/>
          <w:sz w:val="18"/>
          <w:szCs w:val="18"/>
          <w:color w:val="auto"/>
        </w:rPr>
        <w:t>(A) any Person, or Persons acting as a group (within the meaning of Section 409A of the Internal Revenue Code), directly or indirectly, including by purchases, mergers, consolidation or otherwise, acquires ownership of securities of the Company that, together with stock held by such Person or</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0"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color w:val="auto"/>
        </w:rPr>
        <w:t>Persons, represents fifty percent (50%) or more of the total voting power or total fair market value of the Company’s then outstanding securities;</w:t>
      </w:r>
    </w:p>
    <w:p>
      <w:pPr>
        <w:spacing w:after="0" w:line="140" w:lineRule="exact"/>
        <w:rPr>
          <w:sz w:val="20"/>
          <w:szCs w:val="20"/>
          <w:color w:val="auto"/>
        </w:rPr>
      </w:pPr>
    </w:p>
    <w:p>
      <w:pPr>
        <w:ind w:left="700" w:right="60" w:hanging="357"/>
        <w:spacing w:after="0" w:line="259"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of the Internal Revenue Code), acquires, (or has acquired during the 12-month period ending on the date of the most recent acquisition by such Person or Persons) directly or indirectly, including by purchases, merger, consolidation or otherwise, ownership of the securities of the Company that represent thirty percent (30%) or more of the total voting power of the Company’s then outstanding voting securities;</w:t>
      </w:r>
    </w:p>
    <w:p>
      <w:pPr>
        <w:spacing w:after="0" w:line="78" w:lineRule="exact"/>
        <w:rPr>
          <w:rFonts w:ascii="Arial" w:cs="Arial" w:eastAsia="Arial" w:hAnsi="Arial"/>
          <w:sz w:val="18"/>
          <w:szCs w:val="18"/>
          <w:color w:val="auto"/>
        </w:rPr>
      </w:pPr>
    </w:p>
    <w:p>
      <w:pPr>
        <w:ind w:left="700" w:right="60" w:hanging="357"/>
        <w:spacing w:after="0" w:line="273" w:lineRule="auto"/>
        <w:tabs>
          <w:tab w:leader="none" w:pos="7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w:t>
      </w:r>
    </w:p>
    <w:p>
      <w:pPr>
        <w:spacing w:after="0" w:line="70" w:lineRule="exact"/>
        <w:rPr>
          <w:rFonts w:ascii="Arial" w:cs="Arial" w:eastAsia="Arial" w:hAnsi="Arial"/>
          <w:sz w:val="17"/>
          <w:szCs w:val="17"/>
          <w:color w:val="auto"/>
        </w:rPr>
      </w:pPr>
    </w:p>
    <w:p>
      <w:pPr>
        <w:ind w:left="700" w:right="20" w:hanging="357"/>
        <w:spacing w:after="0" w:line="255"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Person or Persons acting as a group acquires (or has acquired during the 12-month period ending on the date of the most recent acquisition by such Person or Persons) assets from the Company that have a total gross fair market value equal to or more than forty percent (40%) of the total gross fair market value of all of the assets of the Company immediately before such acquisition or acquisitions, other than a sale or disposition by the Company of such assets to an entity, at least fifty percent (50%) of the combined voting power of the voting securities of which are owned by the Company or by the stockholders of the Company in substantially the same proportions as their ownership of the Company immediately prior to such sale.</w:t>
      </w:r>
    </w:p>
    <w:p>
      <w:pPr>
        <w:spacing w:after="0" w:line="85" w:lineRule="exact"/>
        <w:rPr>
          <w:rFonts w:ascii="Arial" w:cs="Arial" w:eastAsia="Arial" w:hAnsi="Arial"/>
          <w:sz w:val="18"/>
          <w:szCs w:val="18"/>
          <w:color w:val="auto"/>
        </w:rPr>
      </w:pPr>
    </w:p>
    <w:p>
      <w:pPr>
        <w:ind w:left="340" w:right="180" w:hanging="334"/>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15" w:lineRule="exact"/>
        <w:rPr>
          <w:rFonts w:ascii="Arial" w:cs="Arial" w:eastAsia="Arial" w:hAnsi="Arial"/>
          <w:sz w:val="16"/>
          <w:szCs w:val="16"/>
          <w:color w:val="auto"/>
        </w:rPr>
      </w:pPr>
    </w:p>
    <w:p>
      <w:pPr>
        <w:ind w:left="380" w:hanging="374"/>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17" w:lineRule="exact"/>
        <w:rPr>
          <w:rFonts w:ascii="Arial" w:cs="Arial" w:eastAsia="Arial" w:hAnsi="Arial"/>
          <w:sz w:val="18"/>
          <w:szCs w:val="18"/>
          <w:color w:val="auto"/>
        </w:rPr>
      </w:pPr>
    </w:p>
    <w:p>
      <w:pPr>
        <w:ind w:left="380" w:right="180" w:hanging="374"/>
        <w:spacing w:after="0" w:line="264"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w:t>
      </w:r>
    </w:p>
    <w:p>
      <w:pPr>
        <w:spacing w:after="0" w:line="1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044" w:right="239" w:bottom="1440" w:gutter="0" w:footer="0" w:header="0"/>
        </w:sectPr>
      </w:pPr>
    </w:p>
    <w:bookmarkStart w:id="17" w:name="page18"/>
    <w:bookmarkEnd w:id="17"/>
    <w:p>
      <w:pPr>
        <w:ind w:left="600" w:right="60"/>
        <w:spacing w:after="0" w:line="264" w:lineRule="auto"/>
        <w:rPr>
          <w:sz w:val="20"/>
          <w:szCs w:val="20"/>
          <w:color w:val="auto"/>
        </w:rPr>
      </w:pPr>
      <w:r>
        <w:rPr>
          <w:rFonts w:ascii="Arial" w:cs="Arial" w:eastAsia="Arial" w:hAnsi="Arial"/>
          <w:sz w:val="18"/>
          <w:szCs w:val="18"/>
          <w:color w:val="auto"/>
        </w:rPr>
        <w:t>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73" w:lineRule="exact"/>
        <w:rPr>
          <w:sz w:val="20"/>
          <w:szCs w:val="20"/>
          <w:color w:val="auto"/>
        </w:rPr>
      </w:pPr>
    </w:p>
    <w:p>
      <w:pPr>
        <w:ind w:left="600" w:hanging="314"/>
        <w:spacing w:after="0" w:line="276" w:lineRule="auto"/>
        <w:tabs>
          <w:tab w:leader="none" w:pos="6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For purposes of this Agreement, “Release” means that specific document which the Company shall present to Executive for consideration and execution after any applicable termination of employment,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the Consolidated Omnibus Budget Reconciliation Act of 1985 (“COBRA”)).</w:t>
      </w:r>
    </w:p>
    <w:p>
      <w:pPr>
        <w:spacing w:after="0" w:line="60" w:lineRule="exact"/>
        <w:rPr>
          <w:rFonts w:ascii="Arial" w:cs="Arial" w:eastAsia="Arial" w:hAnsi="Arial"/>
          <w:sz w:val="17"/>
          <w:szCs w:val="17"/>
          <w:color w:val="auto"/>
        </w:rPr>
      </w:pPr>
    </w:p>
    <w:p>
      <w:pPr>
        <w:ind w:left="-60" w:right="80" w:firstLine="233"/>
        <w:spacing w:after="0" w:line="261" w:lineRule="auto"/>
        <w:tabs>
          <w:tab w:leader="none" w:pos="34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Other Benefits or Compensation. </w:t>
      </w:r>
      <w:r>
        <w:rPr>
          <w:rFonts w:ascii="Arial" w:cs="Arial" w:eastAsia="Arial" w:hAnsi="Arial"/>
          <w:sz w:val="18"/>
          <w:szCs w:val="18"/>
          <w:color w:val="auto"/>
        </w:rPr>
        <w:t>Except as may be provided under this Agreement, or under the terms of any incentive compensation,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or fringe benefit plan applicable to Executive at the 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71" w:lineRule="exact"/>
        <w:rPr>
          <w:rFonts w:ascii="Arial" w:cs="Arial" w:eastAsia="Arial" w:hAnsi="Arial"/>
          <w:sz w:val="18"/>
          <w:szCs w:val="18"/>
          <w:b w:val="1"/>
          <w:bCs w:val="1"/>
          <w:color w:val="auto"/>
        </w:rPr>
      </w:pPr>
    </w:p>
    <w:p>
      <w:pPr>
        <w:jc w:val="both"/>
        <w:ind w:left="-60" w:right="140" w:firstLine="233"/>
        <w:spacing w:after="0" w:line="266" w:lineRule="auto"/>
        <w:tabs>
          <w:tab w:leader="none" w:pos="34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w:t>
      </w:r>
      <w:r>
        <w:rPr>
          <w:rFonts w:ascii="Arial" w:cs="Arial" w:eastAsia="Arial" w:hAnsi="Arial"/>
          <w:sz w:val="18"/>
          <w:szCs w:val="18"/>
          <w:color w:val="auto"/>
        </w:rPr>
        <w:t>In the event of any termination of employment hereunder, Executive shall be under no obligation to seek other employment, and there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 offset against any amounts due Executive under this Agreement on account of any remuneration attributable to any subsequent employment that Executive may obtain.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044" w:right="299" w:bottom="1440" w:gutter="0" w:footer="0" w:header="0"/>
        </w:sectPr>
      </w:pPr>
    </w:p>
    <w:bookmarkStart w:id="18" w:name="page19"/>
    <w:bookmarkEnd w:id="18"/>
    <w:p>
      <w:pPr>
        <w:ind w:left="-20" w:firstLine="233"/>
        <w:spacing w:after="0" w:line="269" w:lineRule="auto"/>
        <w:tabs>
          <w:tab w:leader="none" w:pos="475"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Protective Covenants</w:t>
      </w:r>
      <w:r>
        <w:rPr>
          <w:rFonts w:ascii="Arial" w:cs="Arial" w:eastAsia="Arial" w:hAnsi="Arial"/>
          <w:sz w:val="17"/>
          <w:szCs w:val="17"/>
          <w:color w:val="auto"/>
        </w:rPr>
        <w:t>. In reliance upon Executive’s promise to abide by the various protective covenants and restrictions provided for below,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continue to provide Executive with one or more of 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Company’s business. Executive agrees that each of Executive’s covenants in Section 10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Employee has received in the past. In addition, Executive agrees that any and all rights Executive may have to incentive compensation, stock or stock-related compensation, and/or severance compensation, whether provided for in this Agreement or elsewhere, are provided in reliance upon Executive’s agreement to abide by and not challenge the validity of the Protective Covenants described below.</w:t>
      </w:r>
    </w:p>
    <w:p>
      <w:pPr>
        <w:spacing w:after="0" w:line="72" w:lineRule="exact"/>
        <w:rPr>
          <w:sz w:val="20"/>
          <w:szCs w:val="20"/>
          <w:color w:val="auto"/>
        </w:rPr>
      </w:pPr>
    </w:p>
    <w:p>
      <w:pPr>
        <w:ind w:left="-20" w:right="20" w:firstLine="233"/>
        <w:spacing w:after="0" w:line="268" w:lineRule="auto"/>
        <w:tabs>
          <w:tab w:leader="none" w:pos="46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Company Property, Computer Systems, and Inventions</w:t>
      </w:r>
      <w:r>
        <w:rPr>
          <w:rFonts w:ascii="Arial" w:cs="Arial" w:eastAsia="Arial" w:hAnsi="Arial"/>
          <w:sz w:val="17"/>
          <w:szCs w:val="17"/>
          <w:color w:val="auto"/>
        </w:rPr>
        <w:t>. All written materials, records, data, and other documents prepared or possessed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 during Executive’s employment with the Company are 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To the extent state law where Executive resides requires it (such as under Cal. Lab. Code, § 2870, or comparable laws), Executive is notified that </w:t>
      </w:r>
      <w:r>
        <w:rPr>
          <w:rFonts w:ascii="Arial" w:cs="Arial" w:eastAsia="Arial" w:hAnsi="Arial"/>
          <w:sz w:val="17"/>
          <w:szCs w:val="17"/>
          <w:b w:val="1"/>
          <w:bCs w:val="1"/>
          <w:color w:val="auto"/>
        </w:rPr>
        <w:t>no</w:t>
      </w:r>
      <w:r>
        <w:rPr>
          <w:rFonts w:ascii="Arial" w:cs="Arial" w:eastAsia="Arial" w:hAnsi="Arial"/>
          <w:sz w:val="17"/>
          <w:szCs w:val="17"/>
          <w:color w:val="auto"/>
        </w:rPr>
        <w:t xml:space="preserve"> </w:t>
      </w:r>
      <w:r>
        <w:rPr>
          <w:rFonts w:ascii="Arial" w:cs="Arial" w:eastAsia="Arial" w:hAnsi="Arial"/>
          <w:sz w:val="17"/>
          <w:szCs w:val="17"/>
          <w:b w:val="1"/>
          <w:bCs w:val="1"/>
          <w:color w:val="auto"/>
        </w:rPr>
        <w:t>provision in this Agreement requires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19" w:name="page20"/>
    <w:bookmarkEnd w:id="19"/>
    <w:p>
      <w:pPr>
        <w:spacing w:after="0" w:line="271" w:lineRule="auto"/>
        <w:rPr>
          <w:sz w:val="20"/>
          <w:szCs w:val="20"/>
          <w:color w:val="auto"/>
        </w:rPr>
      </w:pPr>
      <w:r>
        <w:rPr>
          <w:rFonts w:ascii="Arial" w:cs="Arial" w:eastAsia="Arial" w:hAnsi="Arial"/>
          <w:sz w:val="17"/>
          <w:szCs w:val="17"/>
          <w:b w:val="1"/>
          <w:bCs w:val="1"/>
          <w:color w:val="auto"/>
        </w:rPr>
        <w:t xml:space="preserve">Executive to 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 </w:t>
      </w:r>
      <w:r>
        <w:rPr>
          <w:rFonts w:ascii="Arial" w:cs="Arial" w:eastAsia="Arial" w:hAnsi="Arial"/>
          <w:sz w:val="17"/>
          <w:szCs w:val="17"/>
          <w:color w:val="auto"/>
        </w:rPr>
        <w:t>This paragraph is intended to compliment and supplement, not replace, any</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written agreement(s) the parties may 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w:t>
      </w:r>
    </w:p>
    <w:p>
      <w:pPr>
        <w:spacing w:after="0" w:line="66" w:lineRule="exact"/>
        <w:rPr>
          <w:sz w:val="20"/>
          <w:szCs w:val="20"/>
          <w:color w:val="auto"/>
        </w:rPr>
      </w:pPr>
    </w:p>
    <w:p>
      <w:pPr>
        <w:ind w:firstLine="233"/>
        <w:spacing w:after="0" w:line="273" w:lineRule="auto"/>
        <w:tabs>
          <w:tab w:leader="none" w:pos="49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 Information; Non-Disclosure</w:t>
      </w:r>
      <w:r>
        <w:rPr>
          <w:rFonts w:ascii="Arial" w:cs="Arial" w:eastAsia="Arial" w:hAnsi="Arial"/>
          <w:sz w:val="17"/>
          <w:szCs w:val="17"/>
          <w:color w:val="auto"/>
        </w:rPr>
        <w:t>. Executive acknowledges that the business of the Company is highly competitive and that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is one where the Company will provide Executive with 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68"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0" w:name="page21"/>
    <w:bookmarkEnd w:id="20"/>
    <w:p>
      <w:pPr>
        <w:ind w:right="80"/>
        <w:spacing w:after="0" w:line="264" w:lineRule="auto"/>
        <w:rPr>
          <w:sz w:val="20"/>
          <w:szCs w:val="20"/>
          <w:color w:val="auto"/>
        </w:rPr>
      </w:pPr>
      <w:r>
        <w:rPr>
          <w:rFonts w:ascii="Arial" w:cs="Arial" w:eastAsia="Arial" w:hAnsi="Arial"/>
          <w:sz w:val="18"/>
          <w:szCs w:val="18"/>
          <w:color w:val="auto"/>
        </w:rPr>
        <w:t>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76" w:lineRule="exact"/>
        <w:rPr>
          <w:sz w:val="20"/>
          <w:szCs w:val="20"/>
          <w:color w:val="auto"/>
        </w:rPr>
      </w:pPr>
    </w:p>
    <w:p>
      <w:pPr>
        <w:ind w:right="20" w:firstLine="233"/>
        <w:spacing w:after="0" w:line="292" w:lineRule="auto"/>
        <w:tabs>
          <w:tab w:leader="none" w:pos="47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Unfair Competition Restrictions</w:t>
      </w:r>
      <w:r>
        <w:rPr>
          <w:rFonts w:ascii="Arial" w:cs="Arial" w:eastAsia="Arial" w:hAnsi="Arial"/>
          <w:sz w:val="16"/>
          <w:szCs w:val="16"/>
          <w:color w:val="auto"/>
        </w:rPr>
        <w:t>. Ancillary to the rights provided to Executive following employment termination, the Company’s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specialized training, and/or goodwill 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the Company:</w:t>
      </w:r>
    </w:p>
    <w:p>
      <w:pPr>
        <w:spacing w:after="0" w:line="58" w:lineRule="exact"/>
        <w:rPr>
          <w:sz w:val="20"/>
          <w:szCs w:val="20"/>
          <w:color w:val="auto"/>
        </w:rPr>
      </w:pPr>
    </w:p>
    <w:p>
      <w:pPr>
        <w:ind w:left="660" w:right="60"/>
        <w:spacing w:after="0" w:line="293" w:lineRule="auto"/>
        <w:rPr>
          <w:sz w:val="20"/>
          <w:szCs w:val="20"/>
          <w:color w:val="auto"/>
        </w:rPr>
      </w:pPr>
      <w:r>
        <w:rPr>
          <w:rFonts w:ascii="Arial" w:cs="Arial" w:eastAsia="Arial" w:hAnsi="Arial"/>
          <w:sz w:val="16"/>
          <w:szCs w:val="16"/>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solid waste disposal, collection, transfer, storage, recycling and resource recovery, waste-to-energy conversion, landfill operation, waste compacting, management and/or brokering of waste disposal, reduction, recycling and related services, and development of beneficial-use projects for landfill gas.</w:t>
      </w:r>
    </w:p>
    <w:p>
      <w:pPr>
        <w:spacing w:after="0" w:line="5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1" w:name="page22"/>
    <w:bookmarkEnd w:id="21"/>
    <w:p>
      <w:pPr>
        <w:ind w:right="540"/>
        <w:spacing w:after="0" w:line="277" w:lineRule="auto"/>
        <w:rPr>
          <w:sz w:val="20"/>
          <w:szCs w:val="20"/>
          <w:color w:val="auto"/>
        </w:rPr>
      </w:pPr>
      <w:r>
        <w:rPr>
          <w:rFonts w:ascii="Arial" w:cs="Arial" w:eastAsia="Arial" w:hAnsi="Arial"/>
          <w:sz w:val="18"/>
          <w:szCs w:val="18"/>
          <w:color w:val="auto"/>
        </w:rPr>
        <w:t>businesses during the Restricted Term, but acknowledges that these restrictions are necessary to protect the Confidential Information the Company has provided to Executive.</w:t>
      </w:r>
    </w:p>
    <w:p>
      <w:pPr>
        <w:spacing w:after="0" w:line="62" w:lineRule="exact"/>
        <w:rPr>
          <w:sz w:val="20"/>
          <w:szCs w:val="20"/>
          <w:color w:val="auto"/>
        </w:rPr>
      </w:pPr>
    </w:p>
    <w:p>
      <w:pPr>
        <w:ind w:right="100" w:firstLine="215"/>
        <w:spacing w:after="0" w:line="293" w:lineRule="auto"/>
        <w:rPr>
          <w:sz w:val="20"/>
          <w:szCs w:val="20"/>
          <w:color w:val="auto"/>
        </w:rPr>
      </w:pPr>
      <w:r>
        <w:rPr>
          <w:rFonts w:ascii="Arial" w:cs="Arial" w:eastAsia="Arial" w:hAnsi="Arial"/>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of no material threat to the legitimate business interests of the Company.</w:t>
      </w:r>
    </w:p>
    <w:p>
      <w:pPr>
        <w:spacing w:after="0" w:line="53" w:lineRule="exact"/>
        <w:rPr>
          <w:sz w:val="20"/>
          <w:szCs w:val="20"/>
          <w:color w:val="auto"/>
        </w:rPr>
      </w:pPr>
    </w:p>
    <w:p>
      <w:pPr>
        <w:ind w:right="20" w:firstLine="233"/>
        <w:spacing w:after="0" w:line="258" w:lineRule="auto"/>
        <w:tabs>
          <w:tab w:leader="none" w:pos="49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the Restricted Term, Executive will not, in person or through the direction or control of others, call on, service, or</w:t>
      </w:r>
      <w:r>
        <w:rPr>
          <w:rFonts w:ascii="Arial" w:cs="Arial" w:eastAsia="Arial" w:hAnsi="Arial"/>
          <w:sz w:val="18"/>
          <w:szCs w:val="18"/>
          <w:b w:val="1"/>
          <w:bCs w:val="1"/>
          <w:color w:val="auto"/>
        </w:rPr>
        <w:t xml:space="preserve"> </w:t>
      </w:r>
      <w:r>
        <w:rPr>
          <w:rFonts w:ascii="Arial" w:cs="Arial" w:eastAsia="Arial" w:hAnsi="Arial"/>
          <w:sz w:val="18"/>
          <w:szCs w:val="18"/>
          <w:color w:val="auto"/>
        </w:rPr>
        <w:t>solicit competing business from a Covered Customer, or 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75" w:lineRule="exact"/>
        <w:rPr>
          <w:rFonts w:ascii="Arial" w:cs="Arial" w:eastAsia="Arial" w:hAnsi="Arial"/>
          <w:sz w:val="18"/>
          <w:szCs w:val="18"/>
          <w:b w:val="1"/>
          <w:bCs w:val="1"/>
          <w:color w:val="auto"/>
        </w:rPr>
      </w:pPr>
    </w:p>
    <w:p>
      <w:pPr>
        <w:ind w:firstLine="233"/>
        <w:spacing w:after="0" w:line="261" w:lineRule="auto"/>
        <w:tabs>
          <w:tab w:leader="none" w:pos="47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the Restricted Term, Executive will not, in person or through the direction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of others,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71" w:lineRule="exact"/>
        <w:rPr>
          <w:rFonts w:ascii="Arial" w:cs="Arial" w:eastAsia="Arial" w:hAnsi="Arial"/>
          <w:sz w:val="18"/>
          <w:szCs w:val="18"/>
          <w:b w:val="1"/>
          <w:bCs w:val="1"/>
          <w:color w:val="auto"/>
        </w:rPr>
      </w:pPr>
    </w:p>
    <w:p>
      <w:pPr>
        <w:ind w:right="40" w:firstLine="233"/>
        <w:spacing w:after="0" w:line="281" w:lineRule="auto"/>
        <w:tabs>
          <w:tab w:leader="none" w:pos="45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Non-Disparagement. </w:t>
      </w:r>
      <w:r>
        <w:rPr>
          <w:rFonts w:ascii="Arial" w:cs="Arial" w:eastAsia="Arial" w:hAnsi="Arial"/>
          <w:sz w:val="17"/>
          <w:szCs w:val="17"/>
          <w:color w:val="auto"/>
        </w:rPr>
        <w:t>During Executive’s employment, and for the Restricted Term, Executive covenants and agrees that Executive shall not engage in</w:t>
      </w:r>
      <w:r>
        <w:rPr>
          <w:rFonts w:ascii="Arial" w:cs="Arial" w:eastAsia="Arial" w:hAnsi="Arial"/>
          <w:sz w:val="17"/>
          <w:szCs w:val="17"/>
          <w:b w:val="1"/>
          <w:bCs w:val="1"/>
          <w:color w:val="auto"/>
        </w:rPr>
        <w:t xml:space="preserve"> </w:t>
      </w:r>
      <w:r>
        <w:rPr>
          <w:rFonts w:ascii="Arial" w:cs="Arial" w:eastAsia="Arial" w:hAnsi="Arial"/>
          <w:sz w:val="17"/>
          <w:szCs w:val="17"/>
          <w:color w:val="auto"/>
        </w:rPr>
        <w:t>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56" w:lineRule="exact"/>
        <w:rPr>
          <w:rFonts w:ascii="Arial" w:cs="Arial" w:eastAsia="Arial" w:hAnsi="Arial"/>
          <w:sz w:val="17"/>
          <w:szCs w:val="17"/>
          <w:b w:val="1"/>
          <w:bCs w:val="1"/>
          <w:color w:val="auto"/>
        </w:rPr>
      </w:pPr>
    </w:p>
    <w:p>
      <w:pPr>
        <w:ind w:right="40" w:firstLine="233"/>
        <w:spacing w:after="0" w:line="256" w:lineRule="auto"/>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Protected Communications. </w:t>
      </w:r>
      <w:r>
        <w:rPr>
          <w:rFonts w:ascii="Arial" w:cs="Arial" w:eastAsia="Arial" w:hAnsi="Arial"/>
          <w:sz w:val="18"/>
          <w:szCs w:val="18"/>
          <w:color w:val="auto"/>
        </w:rPr>
        <w:t>Nothing in this Agreement (particularly nothing in Paragraphs 10(b) and (f) regarding non-disclosure and non-disparagement) is intended or to be construed to prohibit or interfere with any and all rights Executive may have to report a violation of state or federal law to appropriate federal or state law enforcement officials, or to cooperate with a duly authorized government investigation. In addition, nothing herein prohibits Executive from engaging in a disclosure of information that is required by law (such as by court order or subpoena). Provided, however, that if Executive believes that the disclosure of Confidential Information is required by a subpoena, court order, or similar legal mandate, then Executive will provide the Company reasonable notice and opportunity to protect any legitimate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interests it may have in maintaining Confidential Information as confidential (through protective order or other means) before engaging in such a disclosure.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Enforcement of Protective Covenants.</w:t>
      </w:r>
    </w:p>
    <w:p>
      <w:pPr>
        <w:spacing w:after="0" w:line="117" w:lineRule="exact"/>
        <w:rPr>
          <w:sz w:val="20"/>
          <w:szCs w:val="20"/>
          <w:color w:val="auto"/>
        </w:rPr>
      </w:pPr>
    </w:p>
    <w:p>
      <w:pPr>
        <w:ind w:firstLine="233"/>
        <w:spacing w:after="0" w:line="314" w:lineRule="auto"/>
        <w:tabs>
          <w:tab w:leader="none" w:pos="477"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and Forfeiture of Compensation. </w:t>
      </w:r>
      <w:r>
        <w:rPr>
          <w:rFonts w:ascii="Arial" w:cs="Arial" w:eastAsia="Arial" w:hAnsi="Arial"/>
          <w:sz w:val="16"/>
          <w:szCs w:val="16"/>
          <w:color w:val="auto"/>
        </w:rPr>
        <w:t>Executive agrees that any breach by Executive of any of the Protective Covenants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Section 10 during Executive’s employment with the Company shall be grounds for immediate employment termination of Executive for Cause pursuant to Section 5(c)(i), which shall be in addition to and not exclusive of any and all other rights and remedies the Company may have against Executive.</w:t>
      </w:r>
    </w:p>
    <w:p>
      <w:pPr>
        <w:spacing w:after="0" w:line="38"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the event that Executive violates one of the Protective Covenants, (i) the Company shall have the right to immediately cease making any payments that it may otherwise owe to Executive, if any, (ii) Executive will forfeit any remaining rights to payments or continuing benefits provided by this Agreement, if there are any, and (iii) upon the Company’s demand, Executive will refund to the Company any amounts, plus interest, previously paid by Company to Executive pursuant to Subsections 6(e)(iii), 6(e)(iv), 6(e)(v), 7(a)(i) or 7(a)(ii),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81" w:lineRule="exact"/>
        <w:rPr>
          <w:sz w:val="20"/>
          <w:szCs w:val="20"/>
          <w:color w:val="auto"/>
        </w:rPr>
      </w:pPr>
    </w:p>
    <w:p>
      <w:pPr>
        <w:ind w:right="100" w:firstLine="233"/>
        <w:spacing w:after="0" w:line="273" w:lineRule="auto"/>
        <w:tabs>
          <w:tab w:leader="none" w:pos="49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a Protective Covenant set forth in Section 10 hereof will cause irreparable damage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with respect to which the Company’s remedy at 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64" w:lineRule="exact"/>
        <w:rPr>
          <w:rFonts w:ascii="Arial" w:cs="Arial" w:eastAsia="Arial" w:hAnsi="Arial"/>
          <w:sz w:val="17"/>
          <w:szCs w:val="17"/>
          <w:b w:val="1"/>
          <w:bCs w:val="1"/>
          <w:color w:val="auto"/>
        </w:rPr>
      </w:pPr>
    </w:p>
    <w:p>
      <w:pPr>
        <w:ind w:left="480" w:hanging="247"/>
        <w:spacing w:after="0"/>
        <w:tabs>
          <w:tab w:leader="none" w:pos="4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Reformation of Covenants. </w:t>
      </w:r>
      <w:r>
        <w:rPr>
          <w:rFonts w:ascii="Arial" w:cs="Arial" w:eastAsia="Arial" w:hAnsi="Arial"/>
          <w:sz w:val="16"/>
          <w:szCs w:val="16"/>
          <w:color w:val="auto"/>
        </w:rPr>
        <w:t>The Protective Covenants set forth in Section 10 constitute a series of separate but ancillary covenants, one for each</w:t>
      </w:r>
    </w:p>
    <w:p>
      <w:pPr>
        <w:spacing w:after="0" w:line="50" w:lineRule="exact"/>
        <w:rPr>
          <w:rFonts w:ascii="Arial" w:cs="Arial" w:eastAsia="Arial" w:hAnsi="Arial"/>
          <w:sz w:val="16"/>
          <w:szCs w:val="16"/>
          <w:b w:val="1"/>
          <w:bCs w:val="1"/>
          <w:color w:val="auto"/>
        </w:rPr>
      </w:pPr>
    </w:p>
    <w:p>
      <w:pPr>
        <w:ind w:right="2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Protective Covenants set forth in Section 10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firstLine="233"/>
        <w:spacing w:after="0" w:line="291" w:lineRule="auto"/>
        <w:tabs>
          <w:tab w:leader="none" w:pos="49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Survival. </w:t>
      </w:r>
      <w:r>
        <w:rPr>
          <w:rFonts w:ascii="Arial" w:cs="Arial" w:eastAsia="Arial" w:hAnsi="Arial"/>
          <w:sz w:val="16"/>
          <w:szCs w:val="16"/>
          <w:color w:val="auto"/>
        </w:rPr>
        <w:t>Executive and the Company further agree that the protective Covenants set forth in Section 10 shall each be construed as a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independent of any other 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Indemnification.</w:t>
      </w:r>
    </w:p>
    <w:p>
      <w:pPr>
        <w:spacing w:after="0" w:line="121"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Arbitration.</w:t>
      </w:r>
    </w:p>
    <w:p>
      <w:pPr>
        <w:spacing w:after="0" w:line="12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10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4" w:name="page25"/>
    <w:bookmarkEnd w:id="24"/>
    <w:p>
      <w:pPr>
        <w:ind w:right="300"/>
        <w:spacing w:after="0" w:line="342" w:lineRule="auto"/>
        <w:rPr>
          <w:sz w:val="20"/>
          <w:szCs w:val="20"/>
          <w:color w:val="auto"/>
        </w:rPr>
      </w:pPr>
      <w:r>
        <w:rPr>
          <w:rFonts w:ascii="Arial" w:cs="Arial" w:eastAsia="Arial" w:hAnsi="Arial"/>
          <w:sz w:val="16"/>
          <w:szCs w:val="16"/>
          <w:color w:val="auto"/>
        </w:rPr>
        <w:t>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Requirement of Timely Payments.</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5%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15. Withholding of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Source of Payments.</w:t>
      </w:r>
    </w:p>
    <w:p>
      <w:pPr>
        <w:spacing w:after="0" w:line="121"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17. Assignment.</w:t>
      </w:r>
    </w:p>
    <w:p>
      <w:pPr>
        <w:spacing w:after="0" w:line="121" w:lineRule="exact"/>
        <w:rPr>
          <w:sz w:val="20"/>
          <w:szCs w:val="20"/>
          <w:color w:val="auto"/>
        </w:rPr>
      </w:pPr>
    </w:p>
    <w:p>
      <w:pPr>
        <w:ind w:right="420" w:firstLine="222"/>
        <w:spacing w:after="0" w:line="312" w:lineRule="auto"/>
        <w:rPr>
          <w:sz w:val="20"/>
          <w:szCs w:val="20"/>
          <w:color w:val="auto"/>
        </w:rPr>
      </w:pPr>
      <w:r>
        <w:rPr>
          <w:rFonts w:ascii="Arial" w:cs="Arial" w:eastAsia="Arial" w:hAnsi="Arial"/>
          <w:sz w:val="16"/>
          <w:szCs w:val="16"/>
          <w:color w:val="auto"/>
        </w:rPr>
        <w:t>This Agreement shall inure to the benefit of the Company, its subsidiaries, affiliates, successors, and assigns. Except as 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18. Entire Agreement; Amendment.</w:t>
      </w:r>
    </w:p>
    <w:p>
      <w:pPr>
        <w:spacing w:after="0" w:line="121"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provided, however, that if all or any material part of the Protective Covenants provided for in this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5" w:name="page26"/>
    <w:bookmarkEnd w:id="25"/>
    <w:p>
      <w:pPr>
        <w:ind w:right="20"/>
        <w:spacing w:after="0" w:line="257" w:lineRule="auto"/>
        <w:rPr>
          <w:sz w:val="20"/>
          <w:szCs w:val="20"/>
          <w:color w:val="auto"/>
        </w:rPr>
      </w:pPr>
      <w:r>
        <w:rPr>
          <w:rFonts w:ascii="Arial" w:cs="Arial" w:eastAsia="Arial" w:hAnsi="Arial"/>
          <w:sz w:val="18"/>
          <w:szCs w:val="18"/>
          <w:color w:val="auto"/>
        </w:rPr>
        <w:t>Agreement are deemed void or unenforceable, then any prior agreement between the parties (or any of its subsidiaries, including Oakleaf Waste Management, Inc.) covering the same or substantially similar restrictions on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19. Governing Law and Venue.</w:t>
      </w:r>
    </w:p>
    <w:p>
      <w:pPr>
        <w:spacing w:after="0" w:line="121"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This Agreement shall be governed by and construed in accordance with the laws of the State of Texas applicable to agreements made and to be performed in that State, without regard to its conflict of laws provisions. The parties agree that any legal action arising from this Agreement that is not required to be resolved through arbitration pursuant to Section 13 must be pursued in a court of competent jurisdiction that is located in Houston, Texas.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 Notices.</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00"/>
          </w:cols>
          <w:pgMar w:left="240" w:top="935" w:right="259" w:bottom="1440" w:gutter="0" w:footer="0" w:header="0"/>
        </w:sectPr>
      </w:pPr>
    </w:p>
    <w:p>
      <w:pPr>
        <w:spacing w:after="0" w:line="18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838" w:orient="portrait"/>
          <w:cols w:equalWidth="0" w:num="2">
            <w:col w:w="2700" w:space="340"/>
            <w:col w:w="8360"/>
          </w:cols>
          <w:pgMar w:left="240" w:top="935" w:right="259" w:bottom="1440" w:gutter="0" w:footer="0" w:header="0"/>
          <w:type w:val="continuous"/>
        </w:sectPr>
      </w:pPr>
    </w:p>
    <w:p>
      <w:pPr>
        <w:spacing w:after="0" w:line="3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for Executive set forth below.</w:t>
      </w:r>
    </w:p>
    <w:p>
      <w:pPr>
        <w:spacing w:after="0" w:line="136" w:lineRule="exact"/>
        <w:rPr>
          <w:sz w:val="20"/>
          <w:szCs w:val="20"/>
          <w:color w:val="auto"/>
        </w:rPr>
      </w:pPr>
    </w:p>
    <w:p>
      <w:pPr>
        <w:sectPr>
          <w:pgSz w:w="11900" w:h="16838" w:orient="portrait"/>
          <w:cols w:equalWidth="0" w:num="2">
            <w:col w:w="2460" w:space="580"/>
            <w:col w:w="8360"/>
          </w:cols>
          <w:pgMar w:left="240" w:top="935" w:right="259" w:bottom="1440" w:gutter="0" w:footer="0" w:header="0"/>
          <w:type w:val="continuous"/>
        </w:sectPr>
      </w:pPr>
    </w:p>
    <w:p>
      <w:pPr>
        <w:ind w:left="500" w:hanging="267"/>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right="20" w:firstLine="458"/>
        <w:spacing w:after="0" w:line="282" w:lineRule="auto"/>
        <w:tabs>
          <w:tab w:leader="none" w:pos="705"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or deprive that party of the right thereafter to insist upon strict adherence to that term or any other term of this Agreement.</w:t>
      </w:r>
    </w:p>
    <w:p>
      <w:pPr>
        <w:spacing w:after="0" w:line="53" w:lineRule="exact"/>
        <w:rPr>
          <w:rFonts w:ascii="Arial" w:cs="Arial" w:eastAsia="Arial" w:hAnsi="Arial"/>
          <w:sz w:val="18"/>
          <w:szCs w:val="18"/>
          <w:b w:val="1"/>
          <w:bCs w:val="1"/>
          <w:color w:val="auto"/>
        </w:rPr>
      </w:pPr>
    </w:p>
    <w:p>
      <w:pPr>
        <w:ind w:firstLine="458"/>
        <w:spacing w:after="0" w:line="266" w:lineRule="auto"/>
        <w:tabs>
          <w:tab w:leader="none" w:pos="715"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68" w:lineRule="exact"/>
        <w:rPr>
          <w:rFonts w:ascii="Arial" w:cs="Arial" w:eastAsia="Arial" w:hAnsi="Arial"/>
          <w:sz w:val="18"/>
          <w:szCs w:val="18"/>
          <w:b w:val="1"/>
          <w:bCs w:val="1"/>
          <w:color w:val="auto"/>
        </w:rPr>
      </w:pPr>
    </w:p>
    <w:p>
      <w:pPr>
        <w:ind w:left="700" w:hanging="242"/>
        <w:spacing w:after="0"/>
        <w:tabs>
          <w:tab w:leader="none" w:pos="700" w:val="left"/>
        </w:tabs>
        <w:numPr>
          <w:ilvl w:val="1"/>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40" w:lineRule="exact"/>
        <w:rPr>
          <w:rFonts w:ascii="Arial" w:cs="Arial" w:eastAsia="Arial" w:hAnsi="Arial"/>
          <w:sz w:val="16"/>
          <w:szCs w:val="16"/>
          <w:b w:val="1"/>
          <w:bCs w:val="1"/>
          <w:color w:val="auto"/>
        </w:rPr>
      </w:pPr>
    </w:p>
    <w:p>
      <w:pPr>
        <w:ind w:left="720" w:hanging="262"/>
        <w:spacing w:after="0"/>
        <w:tabs>
          <w:tab w:leader="none" w:pos="72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26" w:name="page27"/>
    <w:bookmarkEnd w:id="26"/>
    <w:p>
      <w:pPr>
        <w:ind w:left="300"/>
        <w:spacing w:after="0"/>
        <w:rPr>
          <w:sz w:val="20"/>
          <w:szCs w:val="20"/>
          <w:color w:val="auto"/>
        </w:rPr>
      </w:pPr>
      <w:r>
        <w:rPr>
          <w:rFonts w:ascii="Arial" w:cs="Arial" w:eastAsia="Arial" w:hAnsi="Arial"/>
          <w:sz w:val="18"/>
          <w:szCs w:val="18"/>
          <w:color w:val="auto"/>
        </w:rPr>
        <w:t>shall be deemed to include the plural and vice versa.</w:t>
      </w:r>
    </w:p>
    <w:p>
      <w:pPr>
        <w:spacing w:after="0" w:line="113" w:lineRule="exact"/>
        <w:rPr>
          <w:sz w:val="20"/>
          <w:szCs w:val="20"/>
          <w:color w:val="auto"/>
        </w:rPr>
      </w:pPr>
    </w:p>
    <w:p>
      <w:pPr>
        <w:ind w:left="-60" w:right="240" w:firstLine="368"/>
        <w:spacing w:after="0" w:line="282" w:lineRule="auto"/>
        <w:tabs>
          <w:tab w:leader="none" w:pos="54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will together constitute but one Agreement.</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22. Potential Limitation on Severance Benefits.</w:t>
      </w:r>
    </w:p>
    <w:p>
      <w:pPr>
        <w:spacing w:after="0" w:line="117" w:lineRule="exact"/>
        <w:rPr>
          <w:sz w:val="20"/>
          <w:szCs w:val="20"/>
          <w:color w:val="auto"/>
        </w:rPr>
      </w:pPr>
    </w:p>
    <w:p>
      <w:pPr>
        <w:ind w:left="-60" w:right="420" w:firstLine="368"/>
        <w:spacing w:after="0" w:line="256" w:lineRule="auto"/>
        <w:tabs>
          <w:tab w:leader="none" w:pos="555"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Maximum Severance Amount. </w:t>
      </w:r>
      <w:r>
        <w:rPr>
          <w:rFonts w:ascii="Arial" w:cs="Arial" w:eastAsia="Arial" w:hAnsi="Arial"/>
          <w:sz w:val="18"/>
          <w:szCs w:val="18"/>
          <w:color w:val="auto"/>
        </w:rPr>
        <w:t>Notwithstanding any provision in this Agreement to the contrary, in the event of a qualifying termination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under Section 6(e) or Section 7 of this Agreement it is determined by the Company that the Severance Benefits (as defined in Section 22(b) below)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79" w:lineRule="exact"/>
        <w:rPr>
          <w:rFonts w:ascii="Arial" w:cs="Arial" w:eastAsia="Arial" w:hAnsi="Arial"/>
          <w:sz w:val="18"/>
          <w:szCs w:val="18"/>
          <w:b w:val="1"/>
          <w:bCs w:val="1"/>
          <w:color w:val="auto"/>
        </w:rPr>
      </w:pPr>
    </w:p>
    <w:p>
      <w:pPr>
        <w:ind w:left="-60" w:firstLine="368"/>
        <w:spacing w:after="0" w:line="266" w:lineRule="auto"/>
        <w:tabs>
          <w:tab w:leader="none" w:pos="565"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For purposes of determining Severance Benefits under Section 22(a) above, Severance Benefits means the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distributions by the Company, its subsidiaries or affiliated entities to or for the benefit of the Executive (whether paid or provided pursuant to the terms of this Agreement or otherwise), and</w:t>
      </w:r>
    </w:p>
    <w:p>
      <w:pPr>
        <w:spacing w:after="0" w:line="72" w:lineRule="exact"/>
        <w:rPr>
          <w:rFonts w:ascii="Arial" w:cs="Arial" w:eastAsia="Arial" w:hAnsi="Arial"/>
          <w:sz w:val="18"/>
          <w:szCs w:val="18"/>
          <w:b w:val="1"/>
          <w:bCs w:val="1"/>
          <w:color w:val="auto"/>
        </w:rPr>
      </w:pPr>
    </w:p>
    <w:p>
      <w:pPr>
        <w:ind w:left="180" w:right="180" w:hanging="4"/>
        <w:spacing w:after="0" w:line="342" w:lineRule="auto"/>
        <w:tabs>
          <w:tab w:leader="none" w:pos="4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15" w:lineRule="exact"/>
        <w:rPr>
          <w:rFonts w:ascii="Arial" w:cs="Arial" w:eastAsia="Arial" w:hAnsi="Arial"/>
          <w:sz w:val="16"/>
          <w:szCs w:val="16"/>
          <w:color w:val="auto"/>
        </w:rPr>
      </w:pPr>
    </w:p>
    <w:p>
      <w:pPr>
        <w:ind w:left="180" w:right="80" w:hanging="4"/>
        <w:spacing w:after="0" w:line="255" w:lineRule="auto"/>
        <w:tabs>
          <w:tab w:leader="none" w:pos="4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77" w:lineRule="exact"/>
        <w:rPr>
          <w:rFonts w:ascii="Arial" w:cs="Arial" w:eastAsia="Arial" w:hAnsi="Arial"/>
          <w:sz w:val="18"/>
          <w:szCs w:val="18"/>
          <w:color w:val="auto"/>
        </w:rPr>
      </w:pPr>
    </w:p>
    <w:p>
      <w:pPr>
        <w:ind w:left="-60" w:right="120" w:firstLine="368"/>
        <w:spacing w:after="0" w:line="314" w:lineRule="auto"/>
        <w:tabs>
          <w:tab w:leader="none" w:pos="590" w:val="left"/>
        </w:tabs>
        <w:numPr>
          <w:ilvl w:val="1"/>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Possible 280G Reduction. </w:t>
      </w:r>
      <w:r>
        <w:rPr>
          <w:rFonts w:ascii="Arial" w:cs="Arial" w:eastAsia="Arial" w:hAnsi="Arial"/>
          <w:sz w:val="16"/>
          <w:szCs w:val="16"/>
          <w:color w:val="auto"/>
        </w:rPr>
        <w:t>Following application of Section 22(a), in the event that the payment of the remaining Severance Benefits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plus any other payments to Executive which would be subject to Internal Revenue Code Section 280G (including any reduced Severance Benefits) (“280G Severance Benefits”) would be subject (in whole or part), to any excise tax imposed under Internal Revenue Code Section 4999 (the “Excise Tax”), then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27" w:name="page28"/>
    <w:bookmarkEnd w:id="27"/>
    <w:p>
      <w:pPr>
        <w:ind w:right="40"/>
        <w:spacing w:after="0" w:line="271" w:lineRule="auto"/>
        <w:rPr>
          <w:sz w:val="20"/>
          <w:szCs w:val="20"/>
          <w:color w:val="auto"/>
        </w:rPr>
      </w:pPr>
      <w:r>
        <w:rPr>
          <w:rFonts w:ascii="Arial" w:cs="Arial" w:eastAsia="Arial" w:hAnsi="Arial"/>
          <w:sz w:val="17"/>
          <w:szCs w:val="17"/>
          <w:color w:val="auto"/>
        </w:rPr>
        <w:t>cash portion of the 280G Severance Benefits shall first be further reduced, and the non-cash 280G Severance Benefits shall thereafter be further reduced, to the extent necessary so that no portion of the 280G Severance Benefits is subject to the Excise Tax, but only if (i) the amount of the 280G Severance Benefits to be received by Executive, as so reduced by this Section 22(c)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w:t>
      </w:r>
    </w:p>
    <w:p>
      <w:pPr>
        <w:spacing w:after="0" w:line="67" w:lineRule="exact"/>
        <w:rPr>
          <w:sz w:val="20"/>
          <w:szCs w:val="20"/>
          <w:color w:val="auto"/>
        </w:rPr>
      </w:pPr>
    </w:p>
    <w:p>
      <w:pPr>
        <w:ind w:right="80" w:firstLine="233"/>
        <w:spacing w:after="0" w:line="289" w:lineRule="auto"/>
        <w:tabs>
          <w:tab w:leader="none" w:pos="49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Calculation of 280G Severance Benefits. </w:t>
      </w:r>
      <w:r>
        <w:rPr>
          <w:rFonts w:ascii="Arial" w:cs="Arial" w:eastAsia="Arial" w:hAnsi="Arial"/>
          <w:sz w:val="16"/>
          <w:szCs w:val="16"/>
          <w:color w:val="auto"/>
        </w:rPr>
        <w:t>For purposes of determining the 280G Severance Benefits, (i) no portion of the 280G 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or enjoyment of which Executive shall have waived at such time and in such manner as not to constitute a “payment” within the meaning of Internal Revenue Code Section 280G(b), shall be taken into account, (ii) 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Internal Revenue Code Section 280G(b)(2) (including by reason of Internal Revenue Code Section 280G(b)(4)(A)); (iii) no portion of the 280G Severance Benefits shall be taken into account which, in the opinion of Tax Counsel, constitutes reasonable compensation for services actually rendered, within the meaning of Internal Revenue Code Section 280G(b)(4)(B), in excess of the “base amount” (as defined in Internal Revenue Code Section 280G(b)(3)) allocable to such reasonable compensation, and (iv) the value of any non-cash benefit or any deferred payment or benefit included in the 280G Severance Benefits shall be determined by the Auditor in accordance with the principles of Internal Revenue Code Sections 280G(d)(3) and (4).</w:t>
      </w:r>
    </w:p>
    <w:p>
      <w:pPr>
        <w:spacing w:after="0" w:line="53" w:lineRule="exact"/>
        <w:rPr>
          <w:rFonts w:ascii="Arial" w:cs="Arial" w:eastAsia="Arial" w:hAnsi="Arial"/>
          <w:sz w:val="16"/>
          <w:szCs w:val="16"/>
          <w:b w:val="1"/>
          <w:bCs w:val="1"/>
          <w:color w:val="auto"/>
        </w:rPr>
      </w:pPr>
    </w:p>
    <w:p>
      <w:pPr>
        <w:ind w:firstLine="233"/>
        <w:spacing w:after="0" w:line="282" w:lineRule="auto"/>
        <w:tabs>
          <w:tab w:leader="none" w:pos="47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Determination of Present Value. </w:t>
      </w:r>
      <w:r>
        <w:rPr>
          <w:rFonts w:ascii="Arial" w:cs="Arial" w:eastAsia="Arial" w:hAnsi="Arial"/>
          <w:sz w:val="18"/>
          <w:szCs w:val="18"/>
          <w:color w:val="auto"/>
        </w:rPr>
        <w:t>For purposes of this Section 22, the present value of Severance Benefits and 280G Severance Benefits 280G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Internal Revenue Code Section 280G(d)(4).</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 Compliance with Internal Revenue Code Section 409A.</w:t>
      </w:r>
    </w:p>
    <w:p>
      <w:pPr>
        <w:spacing w:after="0" w:line="117" w:lineRule="exact"/>
        <w:rPr>
          <w:sz w:val="20"/>
          <w:szCs w:val="20"/>
          <w:color w:val="auto"/>
        </w:rPr>
      </w:pPr>
    </w:p>
    <w:p>
      <w:pPr>
        <w:ind w:right="380" w:firstLine="233"/>
        <w:spacing w:after="0" w:line="261" w:lineRule="auto"/>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It is the intention of the Company and Executive that this Employment Agreement not result in unfavorable tax consequences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under Internal Revenue Code Section 409A. This Section 23 does not create an obligation on the part of Company to modify the Employment Agreement in the future and does not guarantee that the amounts or benefits owed under the Employment Agreement will not be subject to interest and penalties under Internal Revenue Code Section 409A.</w:t>
      </w:r>
    </w:p>
    <w:p>
      <w:pPr>
        <w:spacing w:after="0" w:line="71" w:lineRule="exact"/>
        <w:rPr>
          <w:rFonts w:ascii="Arial" w:cs="Arial" w:eastAsia="Arial" w:hAnsi="Arial"/>
          <w:sz w:val="18"/>
          <w:szCs w:val="18"/>
          <w:b w:val="1"/>
          <w:bCs w:val="1"/>
          <w:color w:val="auto"/>
        </w:rPr>
      </w:pPr>
    </w:p>
    <w:p>
      <w:pPr>
        <w:ind w:right="600" w:firstLine="233"/>
        <w:spacing w:after="0" w:line="313" w:lineRule="auto"/>
        <w:tabs>
          <w:tab w:leader="none" w:pos="49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Timing. </w:t>
      </w:r>
      <w:r>
        <w:rPr>
          <w:rFonts w:ascii="Arial" w:cs="Arial" w:eastAsia="Arial" w:hAnsi="Arial"/>
          <w:sz w:val="17"/>
          <w:szCs w:val="17"/>
          <w:color w:val="auto"/>
        </w:rPr>
        <w:t>The payments of severance under Sections 6(e)(iii) and (iv) and Sections 7(a)(i) and (ii) above (“Separation Payments”)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as separate payments for purposes of the short-term deferral rules under Treasury Regulation Section 1.409A-</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 w:name="page29"/>
    <w:bookmarkEnd w:id="28"/>
    <w:p>
      <w:pPr>
        <w:spacing w:after="0" w:line="283" w:lineRule="auto"/>
        <w:rPr>
          <w:sz w:val="20"/>
          <w:szCs w:val="20"/>
          <w:color w:val="auto"/>
        </w:rPr>
      </w:pPr>
      <w:r>
        <w:rPr>
          <w:rFonts w:ascii="Arial" w:cs="Arial" w:eastAsia="Arial" w:hAnsi="Arial"/>
          <w:sz w:val="16"/>
          <w:szCs w:val="16"/>
          <w:color w:val="auto"/>
        </w:rPr>
        <w:t>1(b)(4)(i)(F), and, with respect to such Separation Payments, the exemption for involuntary terminations under separation pay plans under Treasury Regulation Section 1.409A-1(b)(9)(iii). As a result, (A) Separation Payments that are by their terms scheduled to be made on or before March 15th of the calendar year following the applicable year of termination, (B) any additional Separation Payments that are made on or before December 31st of the second calendar year following the year of Executive’s termination and do not exceed the lesser of two times Base Salary or two times the limit under Internal Revenue Code Section 401(a)(17) then in effect, and (C) any Separation Payments under Section 7(a) made on account of a 409A Change in Control within the meaning of Internal Revenue Code Section 409A are exempt from the requirements of Internal Revenue Code Section 409A. If Executive is designated as a “specified employee” within the meaning of Internal Revenue Code Section 409A, then to the extent the Disability Payments and Separation Payments to be made during the first six month period following Executive’s termination of employment exceed such exempt amounts, the payments shall be withheld and the amount of the payments withheld will be paid in a lump sum, with interest (at the Company’s then applicable overnight rate), on the date that is six</w:t>
      </w:r>
    </w:p>
    <w:p>
      <w:pPr>
        <w:spacing w:after="0" w:line="7" w:lineRule="exact"/>
        <w:rPr>
          <w:sz w:val="20"/>
          <w:szCs w:val="20"/>
          <w:color w:val="auto"/>
        </w:rPr>
      </w:pPr>
    </w:p>
    <w:p>
      <w:pPr>
        <w:ind w:right="420" w:firstLine="8"/>
        <w:spacing w:after="0" w:line="261"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months and one (1) day after Executive’s termination. Continued medical benefits under Sections 6(e)(v) and 7(a)(i) above are intended to satisfy the exemption for medical expense reimbursements under Treasury Regulation Section 1.409A-1(b)(9)(v)(B).</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STEVEN C. PRESTON</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(“Executive”)</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Steven C. Preston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Steven C.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-130810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14605</wp:posOffset>
            </wp:positionV>
            <wp:extent cx="29927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169545</wp:posOffset>
            </wp:positionV>
            <wp:extent cx="3756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sectPr>
      <w:pgSz w:w="11900" w:h="16838" w:orient="portrait"/>
      <w:cols w:equalWidth="0" w:num="1">
        <w:col w:w="10800"/>
      </w:cols>
      <w:pgMar w:left="480" w:top="93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lowerLetter"/>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lowerLetter"/>
      <w:start w:val="2"/>
    </w:lvl>
  </w:abstractNum>
  <w:abstractNum w:abstractNumId="3">
    <w:nsid w:val="628C895D"/>
    <w:multiLevelType w:val="hybridMultilevel"/>
    <w:lvl w:ilvl="0">
      <w:lvlJc w:val="left"/>
      <w:lvlText w:val="(%1)"/>
      <w:numFmt w:val="lowerLetter"/>
      <w:start w:val="3"/>
    </w:lvl>
  </w:abstractNum>
  <w:abstractNum w:abstractNumId="4">
    <w:nsid w:val="333AB105"/>
    <w:multiLevelType w:val="hybridMultilevel"/>
    <w:lvl w:ilvl="0">
      <w:lvlJc w:val="left"/>
      <w:lvlText w:val="(%1)"/>
      <w:numFmt w:val="lowerLetter"/>
      <w:start w:val="4"/>
    </w:lvl>
  </w:abstractNum>
  <w:abstractNum w:abstractNumId="5">
    <w:nsid w:val="721DA317"/>
    <w:multiLevelType w:val="hybridMultilevel"/>
    <w:lvl w:ilvl="0">
      <w:lvlJc w:val="left"/>
      <w:lvlText w:val="(%1)"/>
      <w:numFmt w:val="lowerLetter"/>
      <w:start w:val="5"/>
    </w:lvl>
  </w:abstractNum>
  <w:abstractNum w:abstractNumId="6">
    <w:nsid w:val="2443A858"/>
    <w:multiLevelType w:val="hybridMultilevel"/>
    <w:lvl w:ilvl="0">
      <w:lvlJc w:val="left"/>
      <w:lvlText w:val="(%1)"/>
      <w:numFmt w:val="lowerLetter"/>
      <w:start w:val="1"/>
    </w:lvl>
    <w:lvl w:ilvl="1">
      <w:lvlJc w:val="left"/>
      <w:lvlText w:val="(%2)"/>
      <w:numFmt w:val="lowerRoman"/>
      <w:start w:val="1"/>
    </w:lvl>
  </w:abstractNum>
  <w:abstractNum w:abstractNumId="7">
    <w:nsid w:val="2D1D5AE9"/>
    <w:multiLevelType w:val="hybridMultilevel"/>
    <w:lvl w:ilvl="0">
      <w:lvlJc w:val="left"/>
      <w:lvlText w:val="%1"/>
      <w:numFmt w:val="lowerLetter"/>
      <w:start w:val="1"/>
    </w:lvl>
    <w:lvl w:ilvl="1">
      <w:lvlJc w:val="left"/>
      <w:lvlText w:val="(%2)"/>
      <w:numFmt w:val="lowerLetter"/>
      <w:start w:val="35"/>
    </w:lvl>
  </w:abstractNum>
  <w:abstractNum w:abstractNumId="8">
    <w:nsid w:val="6763845E"/>
    <w:multiLevelType w:val="hybridMultilevel"/>
    <w:lvl w:ilvl="0">
      <w:lvlJc w:val="left"/>
      <w:lvlText w:val="(%1)"/>
      <w:numFmt w:val="lowerLetter"/>
      <w:start w:val="4"/>
    </w:lvl>
    <w:lvl w:ilvl="1">
      <w:lvlJc w:val="left"/>
      <w:lvlText w:val="(%2)"/>
      <w:numFmt w:val="lowerLetter"/>
      <w:start w:val="9"/>
    </w:lvl>
  </w:abstractNum>
  <w:abstractNum w:abstractNumId="9">
    <w:nsid w:val="75A2A8D4"/>
    <w:multiLevelType w:val="hybridMultilevel"/>
    <w:lvl w:ilvl="0">
      <w:lvlJc w:val="left"/>
      <w:lvlText w:val="%1"/>
      <w:numFmt w:val="lowerLetter"/>
      <w:start w:val="1"/>
    </w:lvl>
    <w:lvl w:ilvl="1">
      <w:lvlJc w:val="left"/>
      <w:lvlText w:val="(%2)"/>
      <w:numFmt w:val="lowerLetter"/>
      <w:start w:val="35"/>
    </w:lvl>
  </w:abstractNum>
  <w:abstractNum w:abstractNumId="10">
    <w:nsid w:val="8EDBDAB"/>
    <w:multiLevelType w:val="hybridMultilevel"/>
    <w:lvl w:ilvl="0">
      <w:lvlJc w:val="left"/>
      <w:lvlText w:val="(%1)"/>
      <w:numFmt w:val="lowerLetter"/>
      <w:start w:val="5"/>
    </w:lvl>
    <w:lvl w:ilvl="1">
      <w:lvlJc w:val="left"/>
      <w:lvlText w:val="%2"/>
      <w:numFmt w:val="lowerLetter"/>
      <w:start w:val="1"/>
    </w:lvl>
  </w:abstractNum>
  <w:abstractNum w:abstractNumId="11">
    <w:nsid w:val="79838CB2"/>
    <w:multiLevelType w:val="hybridMultilevel"/>
    <w:lvl w:ilvl="0">
      <w:lvlJc w:val="left"/>
      <w:lvlText w:val="(%1)"/>
      <w:numFmt w:val="lowerLetter"/>
      <w:start w:val="1"/>
    </w:lvl>
    <w:lvl w:ilvl="1">
      <w:lvlJc w:val="left"/>
      <w:lvlText w:val="(%2)"/>
      <w:numFmt w:val="lowerRoman"/>
      <w:start w:val="1"/>
    </w:lvl>
  </w:abstractNum>
  <w:abstractNum w:abstractNumId="12">
    <w:nsid w:val="4353D0C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3">
    <w:nsid w:val="B03E0C6"/>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4">
    <w:nsid w:val="189A769B"/>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5">
    <w:nsid w:val="54E49EB4"/>
    <w:multiLevelType w:val="hybridMultilevel"/>
    <w:lvl w:ilvl="0">
      <w:lvlJc w:val="left"/>
      <w:lvlText w:val="(%1)"/>
      <w:numFmt w:val="lowerRoman"/>
      <w:start w:val="1"/>
    </w:lvl>
  </w:abstractNum>
  <w:abstractNum w:abstractNumId="16">
    <w:nsid w:val="71F32454"/>
    <w:multiLevelType w:val="hybridMultilevel"/>
    <w:lvl w:ilvl="0">
      <w:lvlJc w:val="left"/>
      <w:lvlText w:val="(%1)"/>
      <w:numFmt w:val="lowerLetter"/>
      <w:start w:val="6"/>
    </w:lvl>
    <w:lvl w:ilvl="1">
      <w:lvlJc w:val="left"/>
      <w:lvlText w:val="(%2)"/>
      <w:numFmt w:val="lowerRoman"/>
      <w:start w:val="1"/>
    </w:lvl>
  </w:abstractNum>
  <w:abstractNum w:abstractNumId="17">
    <w:nsid w:val="2CA8861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8">
    <w:nsid w:val="836C40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decimal"/>
      <w:start w:val="5"/>
    </w:lvl>
  </w:abstractNum>
  <w:abstractNum w:abstractNumId="19">
    <w:nsid w:val="2901D82"/>
    <w:multiLevelType w:val="hybridMultilevel"/>
    <w:lvl w:ilvl="0">
      <w:lvlJc w:val="left"/>
      <w:lvlText w:val="%1"/>
      <w:numFmt w:val="lowerRoman"/>
      <w:start w:val="1"/>
    </w:lvl>
    <w:lvl w:ilvl="1">
      <w:lvlJc w:val="left"/>
      <w:lvlText w:val="(%2)"/>
      <w:numFmt w:val="upperLetter"/>
      <w:start w:val="2"/>
    </w:lvl>
  </w:abstractNum>
  <w:abstractNum w:abstractNumId="20">
    <w:nsid w:val="3A95F874"/>
    <w:multiLevelType w:val="hybridMultilevel"/>
    <w:lvl w:ilvl="0">
      <w:lvlJc w:val="left"/>
      <w:lvlText w:val="(%1)"/>
      <w:numFmt w:val="lowerRoman"/>
      <w:start w:val="2"/>
    </w:lvl>
    <w:lvl w:ilvl="1">
      <w:lvlJc w:val="left"/>
      <w:lvlText w:val="%2"/>
      <w:numFmt w:val="upperLetter"/>
      <w:start w:val="1"/>
    </w:lvl>
  </w:abstractNum>
  <w:abstractNum w:abstractNumId="21">
    <w:nsid w:val="8138641"/>
    <w:multiLevelType w:val="hybridMultilevel"/>
    <w:lvl w:ilvl="0">
      <w:lvlJc w:val="left"/>
      <w:lvlText w:val="%1"/>
      <w:numFmt w:val="decimal"/>
      <w:start w:val="1"/>
    </w:lvl>
    <w:lvl w:ilvl="1">
      <w:lvlJc w:val="left"/>
      <w:lvlText w:val="(%2)"/>
      <w:numFmt w:val="lowerRoman"/>
      <w:start w:val="5"/>
    </w:lvl>
  </w:abstractNum>
  <w:abstractNum w:abstractNumId="22">
    <w:nsid w:val="1E7FF521"/>
    <w:multiLevelType w:val="hybridMultilevel"/>
    <w:lvl w:ilvl="0">
      <w:lvlJc w:val="left"/>
      <w:lvlText w:val="%1."/>
      <w:numFmt w:val="decimal"/>
      <w:start w:val="8"/>
    </w:lvl>
    <w:lvl w:ilvl="1">
      <w:lvlJc w:val="left"/>
      <w:lvlText w:val="%2"/>
      <w:numFmt w:val="lowerRoman"/>
      <w:start w:val="1"/>
    </w:lvl>
  </w:abstractNum>
  <w:abstractNum w:abstractNumId="23">
    <w:nsid w:val="7C3DBD3D"/>
    <w:multiLevelType w:val="hybridMultilevel"/>
    <w:lvl w:ilvl="0">
      <w:lvlJc w:val="left"/>
      <w:lvlText w:val="%1."/>
      <w:numFmt w:val="decimal"/>
      <w:start w:val="10"/>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lowerLetter"/>
      <w:start w:val="3"/>
    </w:lvl>
  </w:abstractNum>
  <w:abstractNum w:abstractNumId="27">
    <w:nsid w:val="4516DDE9"/>
    <w:multiLevelType w:val="hybridMultilevel"/>
    <w:lvl w:ilvl="0">
      <w:lvlJc w:val="left"/>
      <w:lvlText w:val="(%1)"/>
      <w:numFmt w:val="lowerLetter"/>
      <w:start w:val="4"/>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4"/>
    </w:lvl>
  </w:abstractNum>
  <w:abstractNum w:abstractNumId="31">
    <w:nsid w:val="5577F8E1"/>
    <w:multiLevelType w:val="hybridMultilevel"/>
    <w:lvl w:ilvl="0">
      <w:lvlJc w:val="left"/>
      <w:lvlText w:val="%1."/>
      <w:numFmt w:val="decimal"/>
      <w:start w:val="21"/>
    </w:lvl>
    <w:lvl w:ilvl="1">
      <w:lvlJc w:val="left"/>
      <w:lvlText w:val="(%2)"/>
      <w:numFmt w:val="lowerLetter"/>
      <w:start w:val="1"/>
    </w:lvl>
  </w:abstractNum>
  <w:abstractNum w:abstractNumId="32">
    <w:nsid w:val="440BADFC"/>
    <w:multiLevelType w:val="hybridMultilevel"/>
    <w:lvl w:ilvl="0">
      <w:lvlJc w:val="left"/>
      <w:lvlText w:val="(%1)"/>
      <w:numFmt w:val="lowerLetter"/>
      <w:start w:val="5"/>
    </w:lvl>
  </w:abstractNum>
  <w:abstractNum w:abstractNumId="33">
    <w:nsid w:val="5072367"/>
    <w:multiLevelType w:val="hybridMultilevel"/>
    <w:lvl w:ilvl="0">
      <w:lvlJc w:val="left"/>
      <w:lvlText w:val="%1"/>
      <w:numFmt w:val="upperLetter"/>
      <w:start w:val="1"/>
    </w:lvl>
    <w:lvl w:ilvl="1">
      <w:lvlJc w:val="left"/>
      <w:lvlText w:val="(%2)"/>
      <w:numFmt w:val="lowerLetter"/>
      <w:start w:val="1"/>
    </w:lvl>
  </w:abstractNum>
  <w:abstractNum w:abstractNumId="34">
    <w:nsid w:val="3804823E"/>
    <w:multiLevelType w:val="hybridMultilevel"/>
    <w:lvl w:ilvl="0">
      <w:lvlJc w:val="left"/>
      <w:lvlText w:val="(%1)"/>
      <w:numFmt w:val="upperLetter"/>
      <w:start w:val="1"/>
    </w:lvl>
    <w:lvl w:ilvl="1">
      <w:lvlJc w:val="left"/>
      <w:lvlText w:val="(%2)"/>
      <w:numFmt w:val="lowerLetter"/>
      <w:start w:val="3"/>
    </w:lvl>
  </w:abstractNum>
  <w:abstractNum w:abstractNumId="35">
    <w:nsid w:val="77465F01"/>
    <w:multiLevelType w:val="hybridMultilevel"/>
    <w:lvl w:ilvl="0">
      <w:lvlJc w:val="left"/>
      <w:lvlText w:val="(%1)"/>
      <w:numFmt w:val="lowerLetter"/>
      <w:start w:val="4"/>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2019-12-10T07:36:46Z</dcterms:created>
  <dcterms:modified xsi:type="dcterms:W3CDTF">2019-12-10T07:36:46Z</dcterms:modified>
</cp:coreProperties>
</file>