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8015d1_8k.htm"/>
      <w:bookmarkStart w:id="1" w:name="kstm268015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603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March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225"/>
        <w:gridCol w:w="60"/>
        <w:gridCol w:w="2210"/>
        <w:gridCol w:w="60"/>
        <w:gridCol w:w="1520"/>
      </w:tblGrid>
      <w:tr>
        <w:trPr/>
        <w:tc>
          <w:tcPr>
            <w:tcW w:w="2225"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303"/>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73-1309529</w:t>
            </w:r>
          </w:p>
        </w:tc>
      </w:tr>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F_edei--EntityAddressAddressLine1_"/>
            <w:bookmarkEnd w:id="8"/>
            <w:r>
              <w:rPr>
                <w:rFonts w:ascii="Times New Roman;Times;Serif" w:hAnsi="Times New Roman;Times;Serif"/>
                <w:b/>
                <w:sz w:val="20"/>
              </w:rPr>
              <w:t xml:space="preserve">800 Capitol Street, </w:t>
            </w:r>
            <w:bookmarkStart w:id="9" w:name="xdx_905_edei--EntityAddressAddressLine2_"/>
            <w:bookmarkEnd w:id="9"/>
            <w:r>
              <w:rPr>
                <w:rFonts w:ascii="Times New Roman;Times;Serif" w:hAnsi="Times New Roman;Times;Serif"/>
                <w:b/>
                <w:sz w:val="20"/>
              </w:rPr>
              <w:t xml:space="preserve">Suite 3000, </w:t>
            </w:r>
            <w:bookmarkStart w:id="10" w:name="xdx_905_edei--EntityAddressCityOrTown_c2"/>
            <w:bookmarkEnd w:id="10"/>
            <w:r>
              <w:rPr>
                <w:rFonts w:ascii="Times New Roman;Times;Serif" w:hAnsi="Times New Roman;Times;Serif"/>
                <w:b/>
                <w:sz w:val="20"/>
              </w:rPr>
              <w:t xml:space="preserve">Houston, </w:t>
            </w:r>
            <w:bookmarkStart w:id="11" w:name="xdx_902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D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60303__20"/>
      <w:bookmarkEnd w:id="13"/>
      <w:r>
        <w:rPr>
          <w:rFonts w:ascii="Times New Roman;Times;Serif" w:hAnsi="Times New Roman;Times;Serif"/>
          <w:b/>
          <w:i w:val="false"/>
          <w:caps w:val="false"/>
          <w:smallCaps w:val="false"/>
          <w:sz w:val="20"/>
        </w:rPr>
        <w:t xml:space="preserve">713) </w:t>
      </w:r>
      <w:bookmarkStart w:id="14" w:name="xdx_90F_edei--LocalPhoneNumber_c20260303"/>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0_edei--SolicitingMaterial_c202603"/>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740" w:type="dxa"/>
        <w:jc w:val="left"/>
        <w:tblInd w:w="0" w:type="dxa"/>
        <w:tblLayout w:type="fixed"/>
        <w:tblCellMar>
          <w:top w:w="28" w:type="dxa"/>
          <w:left w:w="0" w:type="dxa"/>
          <w:bottom w:w="0" w:type="dxa"/>
          <w:right w:w="0" w:type="dxa"/>
        </w:tblCellMar>
      </w:tblPr>
      <w:tblGrid>
        <w:gridCol w:w="2630"/>
        <w:gridCol w:w="1535"/>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19" w:name="xdx_900_edei--Security12bTitle_c20260303"/>
            <w:bookmarkEnd w:id="19"/>
            <w:r>
              <w:rPr>
                <w:rFonts w:ascii="Times New Roman;Times;Serif" w:hAnsi="Times New Roman;Times;Serif"/>
                <w:sz w:val="20"/>
              </w:rPr>
              <w:t>Common Stock, $0.01 par value</w:t>
            </w:r>
          </w:p>
        </w:tc>
        <w:tc>
          <w:tcPr>
            <w:tcW w:w="1535"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20" w:name="xdx_905_edei--TradingSymbol_c20260303__2"/>
            <w:bookmarkEnd w:id="20"/>
            <w:r>
              <w:rPr>
                <w:rFonts w:ascii="Times New Roman;Times;Serif" w:hAnsi="Times New Roman;Times;Serif"/>
                <w:sz w:val="20"/>
              </w:rPr>
              <w:t>WM</w:t>
            </w:r>
          </w:p>
        </w:tc>
        <w:tc>
          <w:tcPr>
            <w:tcW w:w="3575" w:type="dxa"/>
            <w:tcBorders>
              <w:left w:val="single" w:sz="8" w:space="0" w:color="000000"/>
              <w:bottom w:val="single" w:sz="8" w:space="0" w:color="000000"/>
              <w:right w:val="single" w:sz="8" w:space="0" w:color="000000"/>
            </w:tcBorders>
            <w:tcMar>
              <w:top w:w="0" w:type="dxa"/>
              <w:left w:w="120" w:type="dxa"/>
              <w:bottom w:w="28" w:type="dxa"/>
              <w:right w:w="28" w:type="dxa"/>
            </w:tcMar>
            <w:vAlign w:val="center"/>
          </w:tcPr>
          <w:p>
            <w:pPr>
              <w:pStyle w:val="TableContents"/>
              <w:bidi w:val="0"/>
              <w:spacing w:before="0" w:after="283"/>
              <w:jc w:val="left"/>
              <w:rPr>
                <w:rFonts w:ascii="Times New Roman;Times;Serif" w:hAnsi="Times New Roman;Times;Serif"/>
                <w:sz w:val="20"/>
              </w:rPr>
            </w:pPr>
            <w:bookmarkStart w:id="21" w:name="xdx_909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B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incentive awards were granted on March 3, 2026, to the Chief Executive Officer, Chief Financial Officer and each of the other currently-serving named executive officers of Waste Management, Inc. (the “Company”) identified in the Company’s most recent proxy statement (collectively, the “Executives”), pursuant to action by the Management Development and Compensation Committee (the “Committee”) of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Executives, which includes James C. Fish, Jr., Chief Executive Officer; John J. Morris, Jr., President and Chief Operating Officer; David L. Reed, Executive Vice President and Chief Financial Officer; Ms. Tara J. Hemmer, Senior Vice President and Chief Sustainability Officer; and Mr. Rafael E. Carrasco, Senior Vice President – Enterprise Strategy and President, WM Healthcare Solutions, received performance share units (“PSUs”) and stock options under the Company’s 2023 Stock Incentive Plan. The number of PSUs granted to each of the Executives is as follows: Mr. Fish – 49,350; Mr. Morris – 16,450; Mr. Reed – 9,350; Ms. Hemmer – 7,272 and Mr. Carrasco – 7,272. The material terms of the PSUs are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0"/>
        <w:gridCol w:w="60"/>
        <w:gridCol w:w="8465"/>
      </w:tblGrid>
      <w:tr>
        <w:trPr/>
        <w:tc>
          <w:tcPr>
            <w:tcW w:w="168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PSUs</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Performance Calculation Date (“PCD”)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2028; award (if any) paid out after certification by the Committee of actual level of achievement (“payment date”).</w:t>
            </w:r>
          </w:p>
        </w:tc>
      </w:tr>
      <w:tr>
        <w:trPr/>
        <w:tc>
          <w:tcPr>
            <w:tcW w:w="1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Performance Measure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 of the PSUs will have a cash flow generation performance measure, and 50% of the PSUs will have a total shareholder return relative to the S&amp;P 500 performance measure, in each case as set forth in the award agreement filed as Exhibit 10.1.</w:t>
            </w:r>
          </w:p>
        </w:tc>
      </w:tr>
      <w:tr>
        <w:trPr/>
        <w:tc>
          <w:tcPr>
            <w:tcW w:w="1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Range of Possible Awards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 – 200% of targeted amount, plus accrued dividend equivalents, based on actual results achieved.</w:t>
            </w:r>
          </w:p>
        </w:tc>
      </w:tr>
      <w:tr>
        <w:trPr/>
        <w:tc>
          <w:tcPr>
            <w:tcW w:w="1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283"/>
              <w:jc w:val="both"/>
              <w:rPr/>
            </w:pPr>
            <w:r>
              <w:rPr/>
              <w:t>Termination of Employment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283"/>
              <w:jc w:val="left"/>
              <w:rPr/>
            </w:pPr>
            <w:r>
              <w:rPr/>
              <w:t>Death or Disability before PCD</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in full on payment date based on actual results as if participant had remained an active employee through PCD.</w:t>
            </w:r>
          </w:p>
        </w:tc>
      </w:tr>
      <w:tr>
        <w:trPr/>
        <w:tc>
          <w:tcPr>
            <w:tcW w:w="1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Involuntary Termination for Cause or </w:t>
              <w:br/>
              <w:t>Voluntary Resignation before PCD</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 forfeiture.</w:t>
            </w:r>
          </w:p>
        </w:tc>
      </w:tr>
      <w:tr>
        <w:trPr/>
        <w:tc>
          <w:tcPr>
            <w:tcW w:w="1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both"/>
              <w:rPr/>
            </w:pPr>
            <w:r>
              <w:rPr/>
              <w:t> </w:t>
            </w:r>
          </w:p>
        </w:tc>
      </w:tr>
      <w:tr>
        <w:trPr/>
        <w:tc>
          <w:tcPr>
            <w:tcW w:w="1680" w:type="dxa"/>
            <w:tcBorders/>
            <w:vAlign w:val="center"/>
          </w:tcPr>
          <w:p>
            <w:pPr>
              <w:pStyle w:val="TableContents"/>
              <w:bidi w:val="0"/>
              <w:spacing w:before="0" w:after="283"/>
              <w:jc w:val="left"/>
              <w:rPr/>
            </w:pPr>
            <w:r>
              <w:rPr/>
              <w:t>Involuntary Termination other than</w:t>
              <w:br/>
              <w:t xml:space="preserve">for Cause before PCD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on payment date based on actual results, prorated based on portion of performance period completed prior to termination of employment.</w:t>
            </w:r>
          </w:p>
        </w:tc>
      </w:tr>
      <w:tr>
        <w:trPr/>
        <w:tc>
          <w:tcPr>
            <w:tcW w:w="1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r>
      <w:tr>
        <w:trPr/>
        <w:tc>
          <w:tcPr>
            <w:tcW w:w="1680" w:type="dxa"/>
            <w:tcBorders/>
            <w:vAlign w:val="center"/>
          </w:tcPr>
          <w:p>
            <w:pPr>
              <w:pStyle w:val="TableContents"/>
              <w:bidi w:val="0"/>
              <w:spacing w:before="0" w:after="283"/>
              <w:jc w:val="left"/>
              <w:rPr/>
            </w:pPr>
            <w:r>
              <w:rPr/>
              <w:t>Retirement (as defined in the award</w:t>
              <w:br/>
              <w:t>agreement) before PCD</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If Retirement occurs on or after December 31, 2026, payable in full on payment date based on actual results as if participant had remained an active employee through PCD. If Retirement occurs before December 31, 2026, payable on payment date based on actual results, prorated based on the number of days worked during 2026 (the first year of the performance period) divided by 365. </w:t>
            </w:r>
          </w:p>
        </w:tc>
      </w:tr>
      <w:tr>
        <w:trPr/>
        <w:tc>
          <w:tcPr>
            <w:tcW w:w="1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r>
      <w:tr>
        <w:trPr/>
        <w:tc>
          <w:tcPr>
            <w:tcW w:w="1680" w:type="dxa"/>
            <w:tcBorders/>
            <w:vAlign w:val="center"/>
          </w:tcPr>
          <w:p>
            <w:pPr>
              <w:pStyle w:val="TableContents"/>
              <w:bidi w:val="0"/>
              <w:spacing w:before="0" w:after="283"/>
              <w:jc w:val="both"/>
              <w:rPr/>
            </w:pPr>
            <w:r>
              <w:rPr/>
              <w:t>Change in Control before PCD</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Performance measured prior to the change in control and paid on a prorated basis based on actual results achieved up to such date.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Thereafter, participant also generally receives a replacement award of restricted stock units in the successor entity generally equal to the number of PSUs that would have been earned had no change in control occurred and target performance levels had been met from the time of the change of control through December 31, 2028, adjusted for any conversion factors in the change in control transaction. The new restricted stock units in the successor entity would vest on December 31, 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granted stock options to the Executives to purchase the following number of shares of the Company’s common stock: Mr. Fish – 57,034; Mr. Morris – 19,011; Mr. Reed – 10,806; Ms. Hemmer – 8,405 and Mr. Carrasco – 8,405. The material terms of the stock options are described below.</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345"/>
        <w:gridCol w:w="60"/>
        <w:gridCol w:w="3740"/>
      </w:tblGrid>
      <w:tr>
        <w:trPr/>
        <w:tc>
          <w:tcPr>
            <w:tcW w:w="234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Stock Options</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pPr>
            <w:r>
              <w:rPr/>
              <w:t> </w:t>
            </w:r>
          </w:p>
        </w:tc>
      </w:tr>
      <w:tr>
        <w:trPr/>
        <w:tc>
          <w:tcPr>
            <w:tcW w:w="23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pPr>
            <w:r>
              <w:rPr/>
              <w:t> </w:t>
            </w:r>
          </w:p>
        </w:tc>
      </w:tr>
      <w:tr>
        <w:trPr/>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Vesting Schedule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34% on first anniversary; </w:t>
              <w:br/>
              <w:t xml:space="preserve">33% on second anniversary; and </w:t>
              <w:br/>
              <w:t>33% on third anniversary.</w:t>
            </w:r>
          </w:p>
        </w:tc>
      </w:tr>
      <w:tr>
        <w:trPr/>
        <w:tc>
          <w:tcPr>
            <w:tcW w:w="23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pPr>
            <w:r>
              <w:rPr/>
              <w:t> </w:t>
            </w:r>
          </w:p>
        </w:tc>
      </w:tr>
      <w:tr>
        <w:trPr/>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Term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 years from date of grant.</w:t>
            </w:r>
          </w:p>
        </w:tc>
      </w:tr>
      <w:tr>
        <w:trPr/>
        <w:tc>
          <w:tcPr>
            <w:tcW w:w="23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pPr>
            <w:r>
              <w:rPr/>
              <w:t> </w:t>
            </w:r>
          </w:p>
        </w:tc>
      </w:tr>
      <w:tr>
        <w:trPr/>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Exercise Price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Market Value on date of grant – $241.55.</w:t>
            </w:r>
          </w:p>
        </w:tc>
      </w:tr>
      <w:tr>
        <w:trPr/>
        <w:tc>
          <w:tcPr>
            <w:tcW w:w="23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pPr>
            <w:r>
              <w:rPr/>
              <w:t> </w:t>
            </w:r>
          </w:p>
        </w:tc>
      </w:tr>
      <w:tr>
        <w:trPr/>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of Employment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27"/>
        <w:gridCol w:w="60"/>
        <w:gridCol w:w="7043"/>
      </w:tblGrid>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Death or Disability </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options immediately vest and remain exercisable for one year, but in no event later than the original term.</w:t>
            </w:r>
          </w:p>
        </w:tc>
      </w:tr>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Qualifying Retirement </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Continued vesting and exercisability for three years, but in no event later than the original term.  </w:t>
            </w:r>
          </w:p>
        </w:tc>
      </w:tr>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Involuntary Termination other than for Cause</w:t>
              <w:br/>
              <w:t xml:space="preserve">or Voluntary Resignation </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vested options remain exercisable for 90 days, but in no event later than the original term.</w:t>
            </w:r>
          </w:p>
        </w:tc>
      </w:tr>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Involuntary Termination for Cause </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options are forfeited, whether or not exercisable.</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Involuntary Termination or Resignation for </w:t>
              <w:br/>
              <w:t>Good Reason following a Change in Control</w:t>
            </w:r>
          </w:p>
        </w:tc>
        <w:tc>
          <w:tcPr>
            <w:tcW w:w="60" w:type="dxa"/>
            <w:tcBorders/>
            <w:vAlign w:val="center"/>
          </w:tcPr>
          <w:p>
            <w:pPr>
              <w:pStyle w:val="TableContents"/>
              <w:bidi w:val="0"/>
              <w:spacing w:before="0" w:after="283"/>
              <w:jc w:val="left"/>
              <w:rPr/>
            </w:pPr>
            <w:r>
              <w:rPr/>
              <w:t> </w:t>
            </w:r>
          </w:p>
        </w:tc>
        <w:tc>
          <w:tcPr>
            <w:tcW w:w="70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options immediately vest and remain exercisable for three years, but in no event later than the original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Executives was also granted an annual cash incentive award on March 3, 2026. Annual cash incentive awards are targeted at a percentage of the Executive’s base salary, and payouts can range from zero to 200% of the targeted amount based on achievement of performance measures. Performance measures for the 2026 annual cash incentive awards include operating EBITDA, income from operations margin, and internal revenue growth. Payouts of annual cash incentives based on the performance measures can be increased or decreased by up to 10%, depending on achievement calculated using a sustainability scorecard. The Committee has discretion to increase or decrease an Executive’s annual cash incentive award by up to 25% based on individual performance. Subject to the terms of any individual written employment, change in control or severance agreement, recipients must be employed by an affiliate of the Company on December 31, 2026 to be eligible to receive payment of an annual cash incentive award; provided, however, in the event of death, the recipient’s beneficiaries will receive a prorated award based on the number of days worked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descriptions of the material terms of the awards are qualified in their entirety by reference to the appropriate award agreement filed as an exhibit hereto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28" w:type="dxa"/>
          <w:right w:w="0" w:type="dxa"/>
        </w:tblCellMar>
      </w:tblPr>
      <w:tblGrid>
        <w:gridCol w:w="890"/>
        <w:gridCol w:w="60"/>
        <w:gridCol w:w="8585"/>
      </w:tblGrid>
      <w:tr>
        <w:trPr/>
        <w:tc>
          <w:tcPr>
            <w:tcW w:w="890" w:type="dxa"/>
            <w:tcBorders>
              <w:bottom w:val="single" w:sz="8" w:space="0" w:color="000000"/>
            </w:tcBorders>
            <w:vAlign w:val="center"/>
          </w:tcPr>
          <w:p>
            <w:pPr>
              <w:pStyle w:val="TableContents"/>
              <w:bidi w:val="0"/>
              <w:spacing w:before="0" w:after="283"/>
              <w:jc w:val="left"/>
              <w:rPr/>
            </w:pPr>
            <w:r>
              <w:rPr>
                <w:b/>
              </w:rPr>
              <w:t>Exhibit</w:t>
            </w:r>
            <w:r>
              <w:rPr/>
              <w:t xml:space="preserve"> </w:t>
            </w:r>
            <w:r>
              <w:rPr>
                <w:b/>
              </w:rPr>
              <w:br/>
              <w:t>Number</w:t>
            </w:r>
          </w:p>
        </w:tc>
        <w:tc>
          <w:tcPr>
            <w:tcW w:w="60" w:type="dxa"/>
            <w:tcBorders/>
            <w:tcMar>
              <w:bottom w:w="0" w:type="dxa"/>
            </w:tcMar>
            <w:vAlign w:val="center"/>
          </w:tcPr>
          <w:p>
            <w:pPr>
              <w:pStyle w:val="TableContents"/>
              <w:bidi w:val="0"/>
              <w:spacing w:before="0" w:after="283"/>
              <w:jc w:val="both"/>
              <w:rPr/>
            </w:pPr>
            <w:r>
              <w:rPr/>
              <w:t> </w:t>
            </w:r>
          </w:p>
        </w:tc>
        <w:tc>
          <w:tcPr>
            <w:tcW w:w="858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8015d1_ex10-1.htm">
              <w:r>
                <w:rPr>
                  <w:rStyle w:val="InternetLink"/>
                </w:rPr>
                <w:t>10.1</w:t>
              </w:r>
            </w:hyperlink>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hyperlink w:anchor="tm268015d1_ex10-1.htm">
              <w:r>
                <w:rPr>
                  <w:rStyle w:val="InternetLink"/>
                </w:rPr>
                <w:t>Form of 2026 Long Term Incentive Compensation PSU Award Agreement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8015d1_ex10-2.htm">
              <w:r>
                <w:rPr>
                  <w:rStyle w:val="InternetLink"/>
                </w:rPr>
                <w:t>10.2</w:t>
              </w:r>
            </w:hyperlink>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hyperlink w:anchor="tm268015d1_ex10-2.htm">
              <w:r>
                <w:rPr>
                  <w:rStyle w:val="InternetLink"/>
                </w:rPr>
                <w:t>Form of 2026 Long Term Incentive Compensation Stock Option Award Agreement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8015d1_ex10-3.htm">
              <w:r>
                <w:rPr>
                  <w:rStyle w:val="InternetLink"/>
                </w:rPr>
                <w:t>10.3</w:t>
              </w:r>
            </w:hyperlink>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hyperlink w:anchor="tm268015d1_ex10-3.htm">
              <w:r>
                <w:rPr>
                  <w:rStyle w:val="InternetLink"/>
                </w:rPr>
                <w:t>Form of 2026 Executive Officer Annual Incentive Award Agreement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both"/>
              <w:rPr/>
            </w:pPr>
            <w:r>
              <w:rPr/>
              <w:t> </w:t>
            </w:r>
          </w:p>
        </w:tc>
        <w:tc>
          <w:tcPr>
            <w:tcW w:w="8585"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1700"/>
        <w:gridCol w:w="320"/>
        <w:gridCol w:w="4025"/>
      </w:tblGrid>
      <w:tr>
        <w:trPr/>
        <w:tc>
          <w:tcPr>
            <w:tcW w:w="1700" w:type="dxa"/>
            <w:tcBorders/>
            <w:vAlign w:val="center"/>
          </w:tcPr>
          <w:p>
            <w:pPr>
              <w:pStyle w:val="TableContents"/>
              <w:bidi w:val="0"/>
              <w:spacing w:before="0" w:after="283"/>
              <w:jc w:val="righ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700" w:type="dxa"/>
            <w:tcBorders/>
            <w:vAlign w:val="center"/>
          </w:tcPr>
          <w:p>
            <w:pPr>
              <w:pStyle w:val="TableContents"/>
              <w:bidi w:val="0"/>
              <w:spacing w:before="0" w:after="283"/>
              <w:jc w:val="righ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700"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700"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6" w:space="1" w:color="00693C"/>
        </w:rPr>
      </w:pPr>
      <w:bookmarkStart w:id="23" w:name="tm268015d1_ex10-1.htm"/>
      <w:bookmarkStart w:id="24" w:name="kstm268015d1_ex101"/>
      <w:bookmarkEnd w:id="23"/>
      <w:bookmarkEnd w:id="24"/>
      <w:r>
        <w:rPr>
          <w:caps w:val="false"/>
          <w:smallCaps w:val="false"/>
          <w:bdr w:val="single" w:sz="16" w:space="1" w:color="00693C"/>
        </w:rPr>
        <w:t> </w:t>
      </w:r>
      <w:r>
        <w:br w:type="page"/>
      </w:r>
    </w:p>
    <w:p>
      <w:pPr>
        <w:pStyle w:val="TextBody"/>
        <w:bidi w:val="0"/>
        <w:spacing w:before="0" w:after="0"/>
        <w:ind w:left="80" w:right="80" w:hanging="0"/>
        <w:jc w:val="right"/>
        <w:rPr>
          <w:rFonts w:ascii="Arial;Helvetica;Sans-Serif" w:hAnsi="Arial;Helvetica;Sans-Serif"/>
          <w:b/>
          <w:i w:val="false"/>
          <w:caps w:val="false"/>
          <w:smallCaps w:val="false"/>
          <w:sz w:val="22"/>
          <w:bdr w:val="single" w:sz="16" w:space="1" w:color="00693C"/>
        </w:rPr>
      </w:pPr>
      <w:r>
        <w:rPr>
          <w:rFonts w:ascii="Arial;Helvetica;Sans-Serif" w:hAnsi="Arial;Helvetica;Sans-Serif"/>
          <w:b/>
          <w:i w:val="false"/>
          <w:caps w:val="false"/>
          <w:smallCaps w:val="false"/>
          <w:sz w:val="22"/>
          <w:bdr w:val="single" w:sz="16" w:space="1" w:color="00693C"/>
        </w:rPr>
        <w:t>EXHIBIT 10.1</w:t>
      </w:r>
    </w:p>
    <w:p>
      <w:pPr>
        <w:pStyle w:val="TextBody"/>
        <w:bidi w:val="0"/>
        <w:spacing w:before="0" w:after="0"/>
        <w:ind w:left="0" w:right="0" w:hanging="0"/>
        <w:jc w:val="righ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center"/>
        <w:rPr>
          <w:rFonts w:ascii="Arial;Helvetica;Sans-Serif" w:hAnsi="Arial;Helvetica;Sans-Serif"/>
          <w:b/>
          <w:i w:val="false"/>
          <w:caps w:val="false"/>
          <w:smallCaps w:val="false"/>
          <w:color w:val="00693C"/>
          <w:sz w:val="60"/>
          <w:bdr w:val="single" w:sz="16" w:space="1" w:color="00693C"/>
        </w:rPr>
      </w:pPr>
      <w:r>
        <w:rPr>
          <w:rFonts w:ascii="Arial;Helvetica;Sans-Serif" w:hAnsi="Arial;Helvetica;Sans-Serif"/>
          <w:b/>
          <w:i w:val="false"/>
          <w:caps w:val="false"/>
          <w:smallCaps w:val="false"/>
          <w:color w:val="00693C"/>
          <w:sz w:val="60"/>
          <w:bdr w:val="single" w:sz="16" w:space="1" w:color="00693C"/>
        </w:rPr>
        <w:t>Long Term Incentive Compensation</w:t>
      </w:r>
    </w:p>
    <w:p>
      <w:pPr>
        <w:pStyle w:val="TextBody"/>
        <w:bidi w:val="0"/>
        <w:spacing w:before="0" w:after="0"/>
        <w:ind w:left="0" w:right="0" w:hanging="0"/>
        <w:jc w:val="center"/>
        <w:rPr>
          <w:rFonts w:ascii="Arial;Helvetica;Sans-Serif" w:hAnsi="Arial;Helvetica;Sans-Serif"/>
          <w:b/>
          <w:i w:val="false"/>
          <w:caps w:val="false"/>
          <w:smallCaps w:val="false"/>
          <w:color w:val="00693C"/>
          <w:sz w:val="60"/>
          <w:bdr w:val="single" w:sz="16" w:space="1" w:color="00693C"/>
        </w:rPr>
      </w:pPr>
      <w:r>
        <w:rPr>
          <w:rFonts w:ascii="Arial;Helvetica;Sans-Serif" w:hAnsi="Arial;Helvetica;Sans-Serif"/>
          <w:b/>
          <w:i w:val="false"/>
          <w:caps w:val="false"/>
          <w:smallCaps w:val="false"/>
          <w:color w:val="00693C"/>
          <w:sz w:val="60"/>
          <w:bdr w:val="single" w:sz="16" w:space="1" w:color="00693C"/>
        </w:rPr>
        <w:t>PSU Award Agreement</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6" w:space="1" w:color="00693C"/>
        </w:rPr>
      </w:pPr>
      <w:r>
        <w:rPr>
          <w:rFonts w:ascii="Arial;Helvetica;Sans-Serif" w:hAnsi="Arial;Helvetica;Sans-Serif"/>
          <w:b/>
          <w:i w:val="false"/>
          <w:caps w:val="false"/>
          <w:smallCaps w:val="false"/>
          <w:color w:val="00693C"/>
          <w:sz w:val="32"/>
          <w:bdr w:val="single" w:sz="16" w:space="1" w:color="00693C"/>
        </w:rPr>
        <w:t>under the</w:t>
      </w:r>
    </w:p>
    <w:p>
      <w:pPr>
        <w:pStyle w:val="TextBody"/>
        <w:bidi w:val="0"/>
        <w:spacing w:before="0" w:after="0"/>
        <w:ind w:left="0" w:right="0" w:hanging="0"/>
        <w:jc w:val="center"/>
        <w:rPr>
          <w:rFonts w:ascii="Arial;Helvetica;Sans-Serif" w:hAnsi="Arial;Helvetica;Sans-Serif"/>
          <w:b/>
          <w:i w:val="false"/>
          <w:caps w:val="false"/>
          <w:smallCaps w:val="false"/>
          <w:color w:val="00693C"/>
          <w:sz w:val="48"/>
          <w:bdr w:val="single" w:sz="16" w:space="1" w:color="00693C"/>
        </w:rPr>
      </w:pPr>
      <w:r>
        <w:rPr>
          <w:rFonts w:ascii="Arial;Helvetica;Sans-Serif" w:hAnsi="Arial;Helvetica;Sans-Serif"/>
          <w:b/>
          <w:i w:val="false"/>
          <w:caps w:val="false"/>
          <w:smallCaps w:val="false"/>
          <w:color w:val="00693C"/>
          <w:sz w:val="48"/>
          <w:bdr w:val="single" w:sz="16" w:space="1" w:color="00693C"/>
        </w:rPr>
        <w:t>Waste Management, Inc. 2023 Stock Incentive Plan</w:t>
      </w:r>
    </w:p>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left"/>
        <w:rPr>
          <w:rFonts w:ascii="Arial;Helvetica;Sans-Serif" w:hAnsi="Arial;Helvetica;Sans-Serif"/>
          <w:b w:val="false"/>
          <w:i/>
          <w:caps w:val="false"/>
          <w:smallCaps w:val="false"/>
          <w:color w:val="4F6228"/>
          <w:sz w:val="22"/>
          <w:bdr w:val="single" w:sz="16" w:space="1" w:color="00693C"/>
        </w:rPr>
      </w:pPr>
      <w:r>
        <w:rPr>
          <w:rFonts w:ascii="Arial;Helvetica;Sans-Serif" w:hAnsi="Arial;Helvetica;Sans-Serif"/>
          <w:b w:val="false"/>
          <w:i w:val="false"/>
          <w:caps w:val="false"/>
          <w:smallCaps w:val="false"/>
          <w:color w:val="4F6228"/>
          <w:sz w:val="22"/>
          <w:bdr w:val="single" w:sz="16" w:space="1" w:color="00693C"/>
        </w:rPr>
        <w:t>This Award Agreement (this “</w:t>
      </w:r>
      <w:r>
        <w:rPr>
          <w:rFonts w:ascii="Arial;Helvetica;Sans-Serif" w:hAnsi="Arial;Helvetica;Sans-Serif"/>
          <w:b/>
          <w:i/>
          <w:caps w:val="false"/>
          <w:smallCaps w:val="false"/>
          <w:color w:val="4F6228"/>
          <w:sz w:val="22"/>
          <w:bdr w:val="single" w:sz="16" w:space="1" w:color="00693C"/>
        </w:rPr>
        <w:t>Agreement</w:t>
      </w:r>
      <w:r>
        <w:rPr>
          <w:rFonts w:ascii="Arial;Helvetica;Sans-Serif" w:hAnsi="Arial;Helvetica;Sans-Serif"/>
          <w:b w:val="false"/>
          <w:i/>
          <w:caps w:val="false"/>
          <w:smallCaps w:val="false"/>
          <w:color w:val="4F6228"/>
          <w:sz w:val="22"/>
          <w:bdr w:val="single" w:sz="16" w:space="1" w:color="00693C"/>
        </w:rPr>
        <w:t>”</w:t>
      </w:r>
      <w:r>
        <w:rPr>
          <w:rFonts w:ascii="Arial;Helvetica;Sans-Serif" w:hAnsi="Arial;Helvetica;Sans-Serif"/>
          <w:b w:val="false"/>
          <w:i w:val="false"/>
          <w:caps w:val="false"/>
          <w:smallCaps w:val="false"/>
          <w:color w:val="4F6228"/>
          <w:sz w:val="22"/>
          <w:bdr w:val="single" w:sz="16" w:space="1" w:color="00693C"/>
        </w:rPr>
        <w:t xml:space="preserve">) is entered into effective as of </w:t>
      </w:r>
      <w:r>
        <w:rPr>
          <w:rFonts w:ascii="Arial;Helvetica;Sans-Serif" w:hAnsi="Arial;Helvetica;Sans-Serif"/>
          <w:b w:val="false"/>
          <w:i w:val="false"/>
          <w:caps w:val="false"/>
          <w:smallCaps w:val="false"/>
          <w:color w:val="000000"/>
          <w:sz w:val="22"/>
          <w:bdr w:val="single" w:sz="16" w:space="1" w:color="00693C"/>
        </w:rPr>
        <w:t>[●]</w:t>
      </w:r>
      <w:r>
        <w:rPr>
          <w:rFonts w:ascii="Arial;Helvetica;Sans-Serif" w:hAnsi="Arial;Helvetica;Sans-Serif"/>
          <w:b w:val="false"/>
          <w:i/>
          <w:caps w:val="false"/>
          <w:smallCaps w:val="false"/>
          <w:color w:val="4F6228"/>
          <w:sz w:val="22"/>
          <w:bdr w:val="single" w:sz="16" w:space="1" w:color="00693C"/>
        </w:rPr>
        <w:t xml:space="preserve"> </w:t>
      </w:r>
      <w:r>
        <w:rPr>
          <w:rFonts w:ascii="Arial;Helvetica;Sans-Serif" w:hAnsi="Arial;Helvetica;Sans-Serif"/>
          <w:b w:val="false"/>
          <w:i w:val="false"/>
          <w:caps w:val="false"/>
          <w:smallCaps w:val="false"/>
          <w:color w:val="4F6228"/>
          <w:sz w:val="22"/>
          <w:bdr w:val="single" w:sz="16" w:space="1" w:color="00693C"/>
        </w:rPr>
        <w:t>(the “</w:t>
      </w:r>
      <w:r>
        <w:rPr>
          <w:rFonts w:ascii="Arial;Helvetica;Sans-Serif" w:hAnsi="Arial;Helvetica;Sans-Serif"/>
          <w:b/>
          <w:i/>
          <w:caps w:val="false"/>
          <w:smallCaps w:val="false"/>
          <w:color w:val="4F6228"/>
          <w:sz w:val="22"/>
          <w:bdr w:val="single" w:sz="16" w:space="1" w:color="00693C"/>
        </w:rPr>
        <w:t>Grant Date</w:t>
      </w:r>
      <w:r>
        <w:rPr>
          <w:rFonts w:ascii="Arial;Helvetica;Sans-Serif" w:hAnsi="Arial;Helvetica;Sans-Serif"/>
          <w:b w:val="false"/>
          <w:i/>
          <w:caps w:val="false"/>
          <w:smallCaps w:val="false"/>
          <w:color w:val="4F6228"/>
          <w:sz w:val="22"/>
          <w:bdr w:val="single" w:sz="16" w:space="1" w:color="00693C"/>
        </w:rPr>
        <w:t>”</w:t>
      </w:r>
      <w:r>
        <w:rPr>
          <w:rFonts w:ascii="Arial;Helvetica;Sans-Serif" w:hAnsi="Arial;Helvetica;Sans-Serif"/>
          <w:b w:val="false"/>
          <w:i w:val="false"/>
          <w:caps w:val="false"/>
          <w:smallCaps w:val="false"/>
          <w:color w:val="4F6228"/>
          <w:sz w:val="22"/>
          <w:bdr w:val="single" w:sz="16" w:space="1" w:color="00693C"/>
        </w:rPr>
        <w:t>), by and between Waste Management, Inc., a Delaware corporation (the “</w:t>
      </w:r>
      <w:r>
        <w:rPr>
          <w:rFonts w:ascii="Arial;Helvetica;Sans-Serif" w:hAnsi="Arial;Helvetica;Sans-Serif"/>
          <w:b/>
          <w:i/>
          <w:caps w:val="false"/>
          <w:smallCaps w:val="false"/>
          <w:color w:val="4F6228"/>
          <w:sz w:val="22"/>
          <w:bdr w:val="single" w:sz="16" w:space="1" w:color="00693C"/>
        </w:rPr>
        <w:t>Company</w:t>
      </w:r>
      <w:r>
        <w:rPr>
          <w:rFonts w:ascii="Arial;Helvetica;Sans-Serif" w:hAnsi="Arial;Helvetica;Sans-Serif"/>
          <w:b w:val="false"/>
          <w:i/>
          <w:caps w:val="false"/>
          <w:smallCaps w:val="false"/>
          <w:color w:val="4F6228"/>
          <w:sz w:val="22"/>
          <w:bdr w:val="single" w:sz="16" w:space="1" w:color="00693C"/>
        </w:rPr>
        <w:t>”</w:t>
      </w:r>
      <w:r>
        <w:rPr>
          <w:rFonts w:ascii="Arial;Helvetica;Sans-Serif" w:hAnsi="Arial;Helvetica;Sans-Serif"/>
          <w:b w:val="false"/>
          <w:i w:val="false"/>
          <w:caps w:val="false"/>
          <w:smallCaps w:val="false"/>
          <w:color w:val="4F6228"/>
          <w:sz w:val="22"/>
          <w:bdr w:val="single" w:sz="16" w:space="1" w:color="00693C"/>
        </w:rPr>
        <w:t>) (together with its Subsidiaries and Affiliates, “</w:t>
      </w:r>
      <w:r>
        <w:rPr>
          <w:rFonts w:ascii="Arial;Helvetica;Sans-Serif" w:hAnsi="Arial;Helvetica;Sans-Serif"/>
          <w:b/>
          <w:i/>
          <w:caps w:val="false"/>
          <w:smallCaps w:val="false"/>
          <w:color w:val="4F6228"/>
          <w:sz w:val="22"/>
          <w:bdr w:val="single" w:sz="16" w:space="1" w:color="00693C"/>
        </w:rPr>
        <w:t>WM</w:t>
      </w:r>
      <w:r>
        <w:rPr>
          <w:rFonts w:ascii="Arial;Helvetica;Sans-Serif" w:hAnsi="Arial;Helvetica;Sans-Serif"/>
          <w:b w:val="false"/>
          <w:i/>
          <w:caps w:val="false"/>
          <w:smallCaps w:val="false"/>
          <w:color w:val="4F6228"/>
          <w:sz w:val="22"/>
          <w:bdr w:val="single" w:sz="16" w:space="1" w:color="00693C"/>
        </w:rPr>
        <w:t>”</w:t>
      </w:r>
      <w:r>
        <w:rPr>
          <w:rFonts w:ascii="Arial;Helvetica;Sans-Serif" w:hAnsi="Arial;Helvetica;Sans-Serif"/>
          <w:b w:val="false"/>
          <w:i w:val="false"/>
          <w:caps w:val="false"/>
          <w:smallCaps w:val="false"/>
          <w:color w:val="4F6228"/>
          <w:sz w:val="22"/>
          <w:bdr w:val="single" w:sz="16" w:space="1" w:color="00693C"/>
        </w:rPr>
        <w:t xml:space="preserve">), and </w:t>
      </w:r>
      <w:r>
        <w:rPr>
          <w:rFonts w:ascii="Arial;Helvetica;Sans-Serif" w:hAnsi="Arial;Helvetica;Sans-Serif"/>
          <w:b w:val="false"/>
          <w:i w:val="false"/>
          <w:caps w:val="false"/>
          <w:smallCaps w:val="false"/>
          <w:color w:val="000000"/>
          <w:sz w:val="22"/>
          <w:bdr w:val="single" w:sz="16" w:space="1" w:color="00693C"/>
        </w:rPr>
        <w:t>[●]</w:t>
      </w:r>
      <w:r>
        <w:rPr>
          <w:rFonts w:ascii="Arial;Helvetica;Sans-Serif" w:hAnsi="Arial;Helvetica;Sans-Serif"/>
          <w:b w:val="false"/>
          <w:i/>
          <w:caps w:val="false"/>
          <w:smallCaps w:val="false"/>
          <w:color w:val="4F6228"/>
          <w:sz w:val="22"/>
          <w:bdr w:val="single" w:sz="16" w:space="1" w:color="00693C"/>
        </w:rPr>
        <w:t xml:space="preserve"> </w:t>
      </w:r>
      <w:r>
        <w:rPr>
          <w:rFonts w:ascii="Arial;Helvetica;Sans-Serif" w:hAnsi="Arial;Helvetica;Sans-Serif"/>
          <w:b w:val="false"/>
          <w:i w:val="false"/>
          <w:caps w:val="false"/>
          <w:smallCaps w:val="false"/>
          <w:color w:val="4F6228"/>
          <w:sz w:val="22"/>
          <w:bdr w:val="single" w:sz="16" w:space="1" w:color="00693C"/>
        </w:rPr>
        <w:t>(“</w:t>
      </w:r>
      <w:r>
        <w:rPr>
          <w:rFonts w:ascii="Arial;Helvetica;Sans-Serif" w:hAnsi="Arial;Helvetica;Sans-Serif"/>
          <w:b/>
          <w:i/>
          <w:caps w:val="false"/>
          <w:smallCaps w:val="false"/>
          <w:color w:val="4F6228"/>
          <w:sz w:val="22"/>
          <w:bdr w:val="single" w:sz="16" w:space="1" w:color="00693C"/>
        </w:rPr>
        <w:t>Employee</w:t>
      </w:r>
      <w:r>
        <w:rPr>
          <w:rFonts w:ascii="Arial;Helvetica;Sans-Serif" w:hAnsi="Arial;Helvetica;Sans-Serif"/>
          <w:b w:val="false"/>
          <w:i/>
          <w:caps w:val="false"/>
          <w:smallCaps w:val="false"/>
          <w:color w:val="4F6228"/>
          <w:sz w:val="22"/>
          <w:bdr w:val="single" w:sz="16" w:space="1" w:color="00693C"/>
        </w:rPr>
        <w:t>”</w:t>
      </w:r>
      <w:r>
        <w:rPr>
          <w:rFonts w:ascii="Arial;Helvetica;Sans-Serif" w:hAnsi="Arial;Helvetica;Sans-Serif"/>
          <w:b w:val="false"/>
          <w:i w:val="false"/>
          <w:caps w:val="false"/>
          <w:smallCaps w:val="false"/>
          <w:color w:val="4F6228"/>
          <w:sz w:val="22"/>
          <w:bdr w:val="single" w:sz="16" w:space="1" w:color="00693C"/>
        </w:rPr>
        <w:t>). At all times, the Awards under this Agreement are subject to the terms and conditions of the Waste Management, Inc. 2023 Stock Incentive Plan (the “</w:t>
      </w:r>
      <w:r>
        <w:rPr>
          <w:rFonts w:ascii="Arial;Helvetica;Sans-Serif" w:hAnsi="Arial;Helvetica;Sans-Serif"/>
          <w:b/>
          <w:i/>
          <w:caps w:val="false"/>
          <w:smallCaps w:val="false"/>
          <w:color w:val="4F6228"/>
          <w:sz w:val="22"/>
          <w:bdr w:val="single" w:sz="16" w:space="1" w:color="00693C"/>
        </w:rPr>
        <w:t>Plan</w:t>
      </w:r>
      <w:r>
        <w:rPr>
          <w:rFonts w:ascii="Arial;Helvetica;Sans-Serif" w:hAnsi="Arial;Helvetica;Sans-Serif"/>
          <w:b w:val="false"/>
          <w:i/>
          <w:caps w:val="false"/>
          <w:smallCaps w:val="false"/>
          <w:color w:val="4F6228"/>
          <w:sz w:val="22"/>
          <w:bdr w:val="single" w:sz="16" w:space="1" w:color="00693C"/>
        </w:rPr>
        <w:t>”</w:t>
      </w:r>
      <w:r>
        <w:rPr>
          <w:rFonts w:ascii="Arial;Helvetica;Sans-Serif" w:hAnsi="Arial;Helvetica;Sans-Serif"/>
          <w:b w:val="false"/>
          <w:i w:val="false"/>
          <w:caps w:val="false"/>
          <w:smallCaps w:val="false"/>
          <w:color w:val="4F6228"/>
          <w:sz w:val="22"/>
          <w:bdr w:val="single" w:sz="16" w:space="1" w:color="00693C"/>
        </w:rPr>
        <w:t xml:space="preserve">), this Agreement, and all </w:t>
      </w:r>
      <w:r>
        <w:rPr>
          <w:rFonts w:ascii="Arial;Helvetica;Sans-Serif" w:hAnsi="Arial;Helvetica;Sans-Serif"/>
          <w:b w:val="false"/>
          <w:i w:val="false"/>
          <w:caps w:val="false"/>
          <w:smallCaps w:val="false"/>
          <w:color w:val="000000"/>
          <w:sz w:val="22"/>
          <w:bdr w:val="single" w:sz="16" w:space="1" w:color="00693C"/>
        </w:rPr>
        <w:t xml:space="preserve">applicable administrative interpretations and practices. A copy of the Plan and the Plan Prospectus is available online at </w:t>
      </w:r>
      <w:r>
        <w:rPr>
          <w:rFonts w:ascii="Arial;Helvetica;Sans-Serif" w:hAnsi="Arial;Helvetica;Sans-Serif"/>
          <w:b w:val="false"/>
          <w:i w:val="false"/>
          <w:caps w:val="false"/>
          <w:smallCaps w:val="false"/>
          <w:color w:val="4F6228"/>
          <w:sz w:val="22"/>
          <w:bdr w:val="single" w:sz="16" w:space="1" w:color="00693C"/>
        </w:rPr>
        <w:t>www.benefits.ml.com</w:t>
      </w:r>
      <w:r>
        <w:rPr>
          <w:rFonts w:ascii="Arial;Helvetica;Sans-Serif" w:hAnsi="Arial;Helvetica;Sans-Serif"/>
          <w:b w:val="false"/>
          <w:i w:val="false"/>
          <w:caps w:val="false"/>
          <w:smallCaps w:val="false"/>
          <w:color w:val="000000"/>
          <w:sz w:val="22"/>
          <w:bdr w:val="single" w:sz="16" w:space="1" w:color="00693C"/>
        </w:rPr>
        <w:t xml:space="preserve">. Please also see the Company’s Form 10-K included in its most recent Annual Report, available on the Investor Relations page of </w:t>
      </w:r>
      <w:r>
        <w:rPr>
          <w:rFonts w:ascii="Arial;Helvetica;Sans-Serif" w:hAnsi="Arial;Helvetica;Sans-Serif"/>
          <w:b w:val="false"/>
          <w:i w:val="false"/>
          <w:caps w:val="false"/>
          <w:smallCaps w:val="false"/>
          <w:color w:val="4F6228"/>
          <w:sz w:val="22"/>
          <w:bdr w:val="single" w:sz="16" w:space="1" w:color="00693C"/>
        </w:rPr>
        <w:t>www.wm.com</w:t>
      </w:r>
      <w:r>
        <w:rPr>
          <w:rFonts w:ascii="Arial;Helvetica;Sans-Serif" w:hAnsi="Arial;Helvetica;Sans-Serif"/>
          <w:b w:val="false"/>
          <w:i/>
          <w:caps w:val="false"/>
          <w:smallCaps w:val="false"/>
          <w:color w:val="4F6228"/>
          <w:sz w:val="22"/>
          <w:bdr w:val="single" w:sz="16" w:space="1" w:color="00693C"/>
        </w:rPr>
        <w:t xml:space="preserve"> </w:t>
      </w:r>
      <w:r>
        <w:rPr>
          <w:rFonts w:ascii="Arial;Helvetica;Sans-Serif" w:hAnsi="Arial;Helvetica;Sans-Serif"/>
          <w:b w:val="false"/>
          <w:i w:val="false"/>
          <w:caps w:val="false"/>
          <w:smallCaps w:val="false"/>
          <w:color w:val="000000"/>
          <w:sz w:val="22"/>
          <w:bdr w:val="single" w:sz="16" w:space="1" w:color="00693C"/>
        </w:rPr>
        <w:t>under Financial Reporting – Annual Reports, for information about the Company. By executing this Agreement, you consent to receipt of the Plan, the Prospectus, and the Annual Reports by electronic</w:t>
      </w:r>
      <w:r>
        <w:rPr>
          <w:rFonts w:ascii="Arial;Helvetica;Sans-Serif" w:hAnsi="Arial;Helvetica;Sans-Serif"/>
          <w:b w:val="false"/>
          <w:i/>
          <w:caps w:val="false"/>
          <w:smallCaps w:val="false"/>
          <w:color w:val="4F6228"/>
          <w:sz w:val="22"/>
          <w:bdr w:val="single" w:sz="16" w:space="1" w:color="00693C"/>
        </w:rPr>
        <w:t xml:space="preserve"> </w:t>
      </w:r>
      <w:r>
        <w:rPr>
          <w:rFonts w:ascii="Arial;Helvetica;Sans-Serif" w:hAnsi="Arial;Helvetica;Sans-Serif"/>
          <w:b w:val="false"/>
          <w:i w:val="false"/>
          <w:caps w:val="false"/>
          <w:smallCaps w:val="false"/>
          <w:color w:val="4F6228"/>
          <w:sz w:val="22"/>
          <w:bdr w:val="single" w:sz="16" w:space="1" w:color="00693C"/>
        </w:rPr>
        <w:t xml:space="preserve">access as set forth in this paragraph. </w:t>
      </w:r>
    </w:p>
    <w:p>
      <w:pPr>
        <w:pStyle w:val="TextBody"/>
        <w:bidi w:val="0"/>
        <w:spacing w:before="0" w:after="0"/>
        <w:ind w:left="0" w:right="0" w:hanging="0"/>
        <w:jc w:val="center"/>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i w:val="false"/>
          <w:caps w:val="false"/>
          <w:smallCaps w:val="false"/>
          <w:sz w:val="22"/>
          <w:u w:val="single"/>
          <w:bdr w:val="single" w:sz="16" w:space="1" w:color="00693C"/>
        </w:rPr>
        <w:t>You must execute this Agreement in full, online in accordance with the instructions below, prior to [●], in order for this Agreement to become effective.</w:t>
      </w:r>
      <w:r>
        <w:rPr>
          <w:rFonts w:ascii="Arial;Helvetica;Sans-Serif" w:hAnsi="Arial;Helvetica;Sans-Serif"/>
          <w:b w:val="false"/>
          <w:i w:val="false"/>
          <w:caps w:val="false"/>
          <w:smallCaps w:val="false"/>
          <w:sz w:val="22"/>
          <w:bdr w:val="single" w:sz="16" w:space="1" w:color="00693C"/>
        </w:rPr>
        <w:t xml:space="preserve"> </w:t>
      </w:r>
      <w:r>
        <w:rPr>
          <w:rFonts w:ascii="Arial;Helvetica;Sans-Serif" w:hAnsi="Arial;Helvetica;Sans-Serif"/>
          <w:b/>
          <w:i w:val="false"/>
          <w:caps w:val="false"/>
          <w:smallCaps w:val="false"/>
          <w:sz w:val="22"/>
          <w:bdr w:val="single" w:sz="16" w:space="1" w:color="00693C"/>
        </w:rPr>
        <w:t>If you do not execute this Agreement by correctly following the instructions below, your Awards may be cancelled.</w:t>
      </w:r>
    </w:p>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6" w:space="1" w:color="00693C"/>
        </w:rPr>
      </w:pPr>
      <w:r>
        <w:rPr>
          <w:rFonts w:ascii="Arial;Helvetica;Sans-Serif" w:hAnsi="Arial;Helvetica;Sans-Serif"/>
          <w:b/>
          <w:i w:val="false"/>
          <w:caps w:val="false"/>
          <w:smallCaps w:val="false"/>
          <w:color w:val="00693C"/>
          <w:sz w:val="32"/>
          <w:bdr w:val="single" w:sz="16" w:space="1" w:color="00693C"/>
        </w:rPr>
        <w:t>Important Instructions for Executing this Agreement</w:t>
      </w:r>
    </w:p>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If you are a new equity award participant, you must open a Limited Individual Investor Account (LIIA) before you can accept your awards. To open your LIIA, log in to www.benefits.ml.com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If you have previously received a stock-based incentive award, log on to www.benefits.ml.com at the secure website maintained by the third-party stock administrator. Follow the online instructions and complete all the steps required to accept the award.</w:t>
      </w:r>
    </w:p>
    <w:p>
      <w:pPr>
        <w:pStyle w:val="TextBody"/>
        <w:bidi w:val="0"/>
        <w:spacing w:before="0" w:after="0"/>
        <w:ind w:left="0" w:right="0" w:hanging="0"/>
        <w:jc w:val="left"/>
        <w:rPr>
          <w:caps w:val="false"/>
          <w:smallCaps w:val="false"/>
          <w:color w:val="00B050"/>
          <w:bdr w:val="single" w:sz="16" w:space="1" w:color="00693C"/>
        </w:rPr>
      </w:pPr>
      <w:r>
        <w:rPr>
          <w:caps w:val="false"/>
          <w:smallCaps w:val="false"/>
          <w:color w:val="00B050"/>
          <w:bdr w:val="single" w:sz="16" w:space="1"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6" w:space="1" w:color="00693C"/>
        </w:rPr>
      </w:pPr>
      <w:r>
        <w:rPr>
          <w:rFonts w:ascii="Arial;Helvetica;Sans-Serif" w:hAnsi="Arial;Helvetica;Sans-Serif"/>
          <w:b/>
          <w:i w:val="false"/>
          <w:caps w:val="false"/>
          <w:smallCaps w:val="false"/>
          <w:color w:val="00693C"/>
          <w:sz w:val="32"/>
          <w:bdr w:val="single" w:sz="16" w:space="1" w:color="00693C"/>
        </w:rPr>
        <w:t>Performance Share Units</w:t>
      </w:r>
    </w:p>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left"/>
              <w:rPr/>
            </w:pPr>
            <w:r>
              <w:rPr>
                <w:u w:val="single"/>
              </w:rPr>
              <w:t>PSU Grant</w:t>
            </w:r>
            <w:r>
              <w:rPr/>
              <w:t>. The Company hereby grants to Employee a Performance-based Restricted Stock Unit Award of [●] units subject to performance-based vesting conditions (a “</w:t>
            </w:r>
            <w:r>
              <w:rPr>
                <w:b/>
                <w:i/>
              </w:rPr>
              <w:t>PSU Award</w:t>
            </w:r>
            <w:r>
              <w:rPr/>
              <w:t>”). Each Restricted Stock Unit subject to performance-based vesting conditions (a “</w:t>
            </w:r>
            <w:r>
              <w:rPr>
                <w:b/>
                <w:i/>
              </w:rPr>
              <w:t>Performance Share Unit</w:t>
            </w:r>
            <w:r>
              <w:rPr/>
              <w:t>” or “</w:t>
            </w:r>
            <w:r>
              <w:rPr>
                <w:b/>
                <w:i/>
              </w:rPr>
              <w:t>PSU</w:t>
            </w:r>
            <w:r>
              <w:rPr/>
              <w:t>”) is a notational unit of measurement denominated in Common Stock.</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548" w:type="dxa"/>
        <w:jc w:val="center"/>
        <w:tblInd w:w="0" w:type="dxa"/>
        <w:tblLayout w:type="fixed"/>
        <w:tblCellMar>
          <w:top w:w="0" w:type="dxa"/>
          <w:left w:w="0" w:type="dxa"/>
          <w:bottom w:w="0" w:type="dxa"/>
          <w:right w:w="0" w:type="dxa"/>
        </w:tblCellMar>
      </w:tblPr>
      <w:tblGrid>
        <w:gridCol w:w="38"/>
        <w:gridCol w:w="20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310" w:type="dxa"/>
            <w:tcBorders/>
            <w:vAlign w:val="center"/>
          </w:tcPr>
          <w:p>
            <w:pPr>
              <w:pStyle w:val="TableContents"/>
              <w:bidi w:val="0"/>
              <w:spacing w:before="0" w:after="283"/>
              <w:jc w:val="left"/>
              <w:rPr>
                <w:u w:val="single"/>
              </w:rPr>
            </w:pPr>
            <w:r>
              <w:rPr>
                <w:u w:val="single"/>
              </w:rPr>
              <w:t>PSU Metrics.</w:t>
            </w:r>
          </w:p>
        </w:tc>
      </w:tr>
    </w:tbl>
    <w:p>
      <w:pPr>
        <w:pStyle w:val="TextBody"/>
        <w:bidi w:val="0"/>
        <w:spacing w:before="0" w:after="0"/>
        <w:ind w:left="360" w:right="0" w:hanging="0"/>
        <w:jc w:val="center"/>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 xml:space="preserve">The </w:t>
            </w:r>
            <w:r>
              <w:rPr>
                <w:b/>
                <w:i/>
              </w:rPr>
              <w:t>Performance Period</w:t>
            </w:r>
            <w:r>
              <w:rPr/>
              <w:t xml:space="preserve"> for this PSU Award is the 36-month period beginning January 1, 2026, and ending on December 31, 2028. Vesting and payout of your PSU Award is based upon the level of achievement of the </w:t>
            </w:r>
            <w:r>
              <w:rPr>
                <w:b/>
                <w:i/>
              </w:rPr>
              <w:t>Performance Goals</w:t>
            </w:r>
            <w:r>
              <w:rPr/>
              <w:t xml:space="preserve"> that have been set by the Committee. The Performance Goals set by the Committee for your PSU Awards are described in paragraph 3 below.</w:t>
            </w:r>
          </w:p>
        </w:tc>
      </w:tr>
    </w:tbl>
    <w:p>
      <w:pPr>
        <w:pStyle w:val="TextBody"/>
        <w:bidi w:val="0"/>
        <w:ind w:left="0" w:right="0" w:hanging="0"/>
        <w:jc w:val="center"/>
        <w:rPr>
          <w:bdr w:val="single" w:sz="16" w:space="1" w:color="00693C"/>
        </w:rPr>
      </w:pPr>
      <w:r>
        <w:rPr>
          <w:bdr w:val="single" w:sz="16" w:space="1" w:color="00693C"/>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 xml:space="preserve">The performance measure selected by the Committee to serve as the Performance Goal for half (50%) of your Target PSU Award is </w:t>
            </w:r>
            <w:r>
              <w:rPr>
                <w:b/>
                <w:i/>
              </w:rPr>
              <w:t>Cash Flow Generation</w:t>
            </w:r>
            <w:r>
              <w:rPr/>
              <w:t xml:space="preserve"> (as defined below). The performance measure selected by the Committee to serve as the Performance Goal for the other half (50%) of your Target PSU Award is </w:t>
            </w:r>
            <w:r>
              <w:rPr>
                <w:b/>
                <w:i/>
              </w:rPr>
              <w:t>Total Shareholder Return Relative to the S&amp;P 500</w:t>
            </w:r>
            <w:r>
              <w:rPr/>
              <w:t xml:space="preserve">, or </w:t>
            </w:r>
            <w:r>
              <w:rPr>
                <w:b/>
                <w:i/>
              </w:rPr>
              <w:t>TSR</w:t>
            </w:r>
            <w:r>
              <w:rPr/>
              <w:t xml:space="preserve"> (as defined below). To determine the payout (if any) under your PSU Award, the Committee will determine the level of the Performance Goal reached (“</w:t>
            </w:r>
            <w:r>
              <w:rPr>
                <w:b/>
                <w:i/>
              </w:rPr>
              <w:t>Achievement</w:t>
            </w:r>
            <w:r>
              <w:rPr/>
              <w:t>”) and the corresponding payout percentage applicable to each half of your Target PSU Award under paragraph 3 below. The Committee’s determinations, and the related calculations, including the calculation of Cash Flow Generation and TSR, are made by, and in the sole discretion of, the Committee, and are final and not subject to appeal.</w:t>
            </w:r>
          </w:p>
        </w:tc>
      </w:tr>
    </w:tbl>
    <w:p>
      <w:pPr>
        <w:pStyle w:val="TextBody"/>
        <w:bidi w:val="0"/>
        <w:spacing w:before="0" w:after="0"/>
        <w:ind w:left="360" w:right="0" w:hanging="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b/>
                <w:i/>
              </w:rPr>
              <w:t>Cash Flow Generation</w:t>
            </w:r>
            <w:r>
              <w:rPr/>
              <w:t xml:space="preserve"> is the net cash flow provided by operating activities of WM for the Performance Period, less capital expenditures, with the following adjustments:</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left"/>
              <w:rPr/>
            </w:pPr>
            <w:r>
              <w:rPr/>
              <w:t>Strategic acquisition, restructuring, transformation and reorganization costs are excluded in recognition of WM’s goals to increase customer and business base while minimizing operating costs;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left"/>
              <w:rPr/>
            </w:pPr>
            <w:r>
              <w:rPr/>
              <w:t>If any accounting rule or tax law change occurs that was not anticipated in setting the Cash Flow Generation target, any material impact of that change will be disregarded in calculating the Cash Flow Generation result.</w:t>
            </w:r>
          </w:p>
        </w:tc>
      </w:tr>
    </w:tbl>
    <w:p>
      <w:pPr>
        <w:pStyle w:val="TextBody"/>
        <w:bidi w:val="0"/>
        <w:spacing w:before="0" w:after="0"/>
        <w:ind w:left="1080"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In addition to the above, the following adjustments will be made when the aggregate impact of the following items has a greater than 5% impact on attainment:</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left"/>
              <w:rPr/>
            </w:pPr>
            <w:r>
              <w:rPr/>
              <w:t>Impacts from strategic acquisitions or divestitures of assets or businesses are excluded (EBITDA, capital expenditures, working capital, and proceeds from divestitures) (Impacts from normal course of business acquisitions and divestitures are included);</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283"/>
              <w:jc w:val="left"/>
              <w:rPr/>
            </w:pPr>
            <w:r>
              <w:rPr/>
              <w:t>Impacts from discrete growth capital investment projects made to support the long-term organic growth of the business that were not specifically planned for in setting the Cash Flow Generation target are excluded;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7" w:type="dxa"/>
            <w:tcBorders/>
            <w:vAlign w:val="center"/>
          </w:tcPr>
          <w:p>
            <w:pPr>
              <w:pStyle w:val="TableContents"/>
              <w:bidi w:val="0"/>
              <w:spacing w:before="0" w:after="283"/>
              <w:jc w:val="left"/>
              <w:rPr/>
            </w:pPr>
            <w:r>
              <w:rPr/>
              <w:t>Material changes in the realization of earnings and cash flow contributions for growth capital investments caused by items outside of WM’s control will be excluded.</w:t>
            </w:r>
          </w:p>
        </w:tc>
      </w:tr>
    </w:tbl>
    <w:p>
      <w:pPr>
        <w:pStyle w:val="TextBody"/>
        <w:bidi w:val="0"/>
        <w:spacing w:before="0" w:after="0"/>
        <w:ind w:left="1080"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The Committee, solely in its discretion, is permitted to make other adjustments to reflect management’s performance consistent with maximizing shareholder value; </w:t>
      </w:r>
      <w:r>
        <w:rPr>
          <w:rFonts w:ascii="Arial;Helvetica;Sans-Serif" w:hAnsi="Arial;Helvetica;Sans-Serif"/>
          <w:b w:val="false"/>
          <w:i w:val="false"/>
          <w:caps w:val="false"/>
          <w:smallCaps w:val="false"/>
          <w:sz w:val="22"/>
          <w:u w:val="single"/>
          <w:bdr w:val="single" w:sz="16" w:space="1" w:color="00693C"/>
        </w:rPr>
        <w:t>provided</w:t>
      </w:r>
      <w:r>
        <w:rPr>
          <w:rFonts w:ascii="Arial;Helvetica;Sans-Serif" w:hAnsi="Arial;Helvetica;Sans-Serif"/>
          <w:b w:val="false"/>
          <w:i w:val="false"/>
          <w:caps w:val="false"/>
          <w:smallCaps w:val="false"/>
          <w:sz w:val="22"/>
          <w:bdr w:val="single" w:sz="16" w:space="1" w:color="00693C"/>
        </w:rPr>
        <w:t> that such other adjustments shall not reduce the Cash Flow Generation amount.</w:t>
      </w:r>
    </w:p>
    <w:p>
      <w:pPr>
        <w:pStyle w:val="TextBody"/>
        <w:bidi w:val="0"/>
        <w:spacing w:before="0" w:after="0"/>
        <w:ind w:left="720" w:right="0" w:hanging="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b/>
                <w:i/>
              </w:rPr>
              <w:t xml:space="preserve">TSR </w:t>
            </w:r>
            <w:r>
              <w:rPr/>
              <w:t>is the percentile performance of the Company as compared to the other S&amp;P 500 Companies for the Performance Period. For these purposes:</w:t>
            </w:r>
          </w:p>
        </w:tc>
      </w:tr>
    </w:tbl>
    <w:p>
      <w:pPr>
        <w:pStyle w:val="TextBody"/>
        <w:bidi w:val="0"/>
        <w:spacing w:before="0" w:after="0"/>
        <w:ind w:left="1800" w:right="108" w:hanging="187"/>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 xml:space="preserve">i. </w:t>
      </w:r>
      <w:r>
        <w:rPr>
          <w:rFonts w:ascii="Arial;Helvetica;Sans-Serif" w:hAnsi="Arial;Helvetica;Sans-Serif"/>
          <w:b/>
          <w:i/>
          <w:caps w:val="false"/>
          <w:smallCaps w:val="false"/>
          <w:sz w:val="22"/>
          <w:bdr w:val="single" w:sz="16" w:space="1" w:color="00693C"/>
        </w:rPr>
        <w:t xml:space="preserve">S&amp;P 500 Companies </w:t>
      </w:r>
      <w:r>
        <w:rPr>
          <w:rFonts w:ascii="Arial;Helvetica;Sans-Serif" w:hAnsi="Arial;Helvetica;Sans-Serif"/>
          <w:b w:val="false"/>
          <w:i w:val="false"/>
          <w:caps w:val="false"/>
          <w:smallCaps w:val="false"/>
          <w:sz w:val="22"/>
          <w:bdr w:val="single" w:sz="16" w:space="1" w:color="00693C"/>
        </w:rPr>
        <w:t>means all the entities listed on the Standard &amp; Poor’s 500 Composite Index, including the Company, on the date which is 30 trading days prior to the commencement of the Performance Period, with the following modifications:</w:t>
      </w:r>
    </w:p>
    <w:p>
      <w:pPr>
        <w:pStyle w:val="TextBody"/>
        <w:bidi w:val="0"/>
        <w:spacing w:before="0" w:after="0"/>
        <w:ind w:left="1800" w:right="108" w:firstLine="216"/>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 xml:space="preserve">A. except as provided below, only those entities that continue to trade throughout the Performance Period without interruption on a </w:t>
      </w:r>
      <w:r>
        <w:rPr>
          <w:rFonts w:ascii="Arial;Helvetica;Sans-Serif" w:hAnsi="Arial;Helvetica;Sans-Serif"/>
          <w:b/>
          <w:i/>
          <w:caps w:val="false"/>
          <w:smallCaps w:val="false"/>
          <w:sz w:val="22"/>
          <w:bdr w:val="single" w:sz="16" w:space="1" w:color="00693C"/>
        </w:rPr>
        <w:t>National Exchange</w:t>
      </w:r>
      <w:r>
        <w:rPr>
          <w:rFonts w:ascii="Arial;Helvetica;Sans-Serif" w:hAnsi="Arial;Helvetica;Sans-Serif"/>
          <w:b w:val="false"/>
          <w:i w:val="false"/>
          <w:caps w:val="false"/>
          <w:smallCaps w:val="false"/>
          <w:sz w:val="22"/>
          <w:bdr w:val="single" w:sz="16" w:space="1" w:color="00693C"/>
        </w:rPr>
        <w:t xml:space="preserve"> shall be included; and</w:t>
      </w:r>
    </w:p>
    <w:p>
      <w:pPr>
        <w:pStyle w:val="TextBody"/>
        <w:bidi w:val="0"/>
        <w:spacing w:before="0" w:after="0"/>
        <w:ind w:left="1800" w:right="108" w:firstLine="216"/>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B. any such entity that files for bankruptcy (“</w:t>
      </w:r>
      <w:r>
        <w:rPr>
          <w:rFonts w:ascii="Arial;Helvetica;Sans-Serif" w:hAnsi="Arial;Helvetica;Sans-Serif"/>
          <w:b/>
          <w:i/>
          <w:caps w:val="false"/>
          <w:smallCaps w:val="false"/>
          <w:sz w:val="22"/>
          <w:bdr w:val="single" w:sz="16" w:space="1" w:color="00693C"/>
        </w:rPr>
        <w:t>Bankrupt Peer</w:t>
      </w:r>
      <w:r>
        <w:rPr>
          <w:rFonts w:ascii="Arial;Helvetica;Sans-Serif" w:hAnsi="Arial;Helvetica;Sans-Serif"/>
          <w:b w:val="false"/>
          <w:i w:val="false"/>
          <w:caps w:val="false"/>
          <w:smallCaps w:val="false"/>
          <w:sz w:val="22"/>
          <w:bdr w:val="single" w:sz="16" w:space="1" w:color="00693C"/>
        </w:rPr>
        <w:t>”) during the Performance Period shall continue to be included.</w:t>
      </w:r>
    </w:p>
    <w:p>
      <w:pPr>
        <w:pStyle w:val="TextBody"/>
        <w:bidi w:val="0"/>
        <w:spacing w:before="0" w:after="0"/>
        <w:ind w:left="1800"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 xml:space="preserve">For these purposes </w:t>
      </w:r>
      <w:r>
        <w:rPr>
          <w:rFonts w:ascii="Arial;Helvetica;Sans-Serif" w:hAnsi="Arial;Helvetica;Sans-Serif"/>
          <w:b/>
          <w:i/>
          <w:caps w:val="false"/>
          <w:smallCaps w:val="false"/>
          <w:sz w:val="22"/>
          <w:bdr w:val="single" w:sz="16" w:space="1" w:color="00693C"/>
        </w:rPr>
        <w:t>National Exchange</w:t>
      </w:r>
      <w:r>
        <w:rPr>
          <w:rFonts w:ascii="Arial;Helvetica;Sans-Serif" w:hAnsi="Arial;Helvetica;Sans-Serif"/>
          <w:b w:val="false"/>
          <w:i w:val="false"/>
          <w:caps w:val="false"/>
          <w:smallCaps w:val="false"/>
          <w:sz w:val="22"/>
          <w:bdr w:val="single" w:sz="16" w:space="1" w:color="00693C"/>
        </w:rPr>
        <w:t xml:space="preserve"> shall mean a securities exchange that has registered with the SEC under Section 6 of the Securities Exchange Act of 1934.</w:t>
      </w:r>
    </w:p>
    <w:p>
      <w:pPr>
        <w:pStyle w:val="TextBody"/>
        <w:bidi w:val="0"/>
        <w:spacing w:before="0" w:after="0"/>
        <w:ind w:left="1800" w:right="108" w:hanging="187"/>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 xml:space="preserve">ii. </w:t>
      </w:r>
      <w:r>
        <w:rPr>
          <w:rFonts w:ascii="Arial;Helvetica;Sans-Serif" w:hAnsi="Arial;Helvetica;Sans-Serif"/>
          <w:b/>
          <w:i/>
          <w:caps w:val="false"/>
          <w:smallCaps w:val="false"/>
          <w:sz w:val="22"/>
          <w:bdr w:val="single" w:sz="16" w:space="1" w:color="00693C"/>
        </w:rPr>
        <w:t>Total Shareholder Return</w:t>
      </w:r>
      <w:r>
        <w:rPr>
          <w:rFonts w:ascii="Arial;Helvetica;Sans-Serif" w:hAnsi="Arial;Helvetica;Sans-Serif"/>
          <w:b w:val="false"/>
          <w:i w:val="false"/>
          <w:caps w:val="false"/>
          <w:smallCaps w:val="false"/>
          <w:sz w:val="22"/>
          <w:bdr w:val="single" w:sz="16" w:space="1" w:color="00693C"/>
        </w:rPr>
        <w:t xml:space="preserve"> is the result of dividing (1) the sum of the cumulative value of an entity’s dividends for the Performance 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w:t>
      </w:r>
    </w:p>
    <w:p>
      <w:pPr>
        <w:pStyle w:val="TextBody"/>
        <w:bidi w:val="0"/>
        <w:spacing w:before="0" w:after="0"/>
        <w:ind w:left="1267" w:right="0" w:hanging="187"/>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267" w:right="0" w:hanging="187"/>
        <w:jc w:val="left"/>
        <w:rPr>
          <w:caps w:val="false"/>
          <w:smallCaps w:val="false"/>
        </w:rPr>
      </w:pPr>
      <w:r>
        <w:rPr>
          <w:caps w:val="false"/>
          <w:smallCaps w:val="false"/>
        </w:rPr>
        <w:t> </w:t>
      </w:r>
    </w:p>
    <w:p>
      <w:pPr>
        <w:pStyle w:val="TextBody"/>
        <w:bidi w:val="0"/>
        <w:spacing w:before="0" w:after="0"/>
        <w:ind w:left="1267" w:right="0" w:hanging="187"/>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2</w:t>
      </w:r>
    </w:p>
    <w:p>
      <w:pPr>
        <w:pStyle w:val="TextBody"/>
        <w:bidi w:val="0"/>
        <w:spacing w:before="0" w:after="0"/>
        <w:ind w:left="0" w:right="0" w:hanging="0"/>
        <w:jc w:val="left"/>
        <w:rPr/>
      </w:pPr>
      <w:r>
        <w:rPr/>
        <w:t> </w:t>
      </w:r>
    </w:p>
    <w:p>
      <w:pPr>
        <w:pStyle w:val="TextBody"/>
        <w:bidi w:val="0"/>
        <w:spacing w:before="0" w:after="0"/>
        <w:ind w:left="1267" w:right="0" w:hanging="187"/>
        <w:jc w:val="left"/>
        <w:rPr>
          <w:caps w:val="false"/>
          <w:smallCaps w:val="false"/>
        </w:rPr>
      </w:pPr>
      <w:r>
        <w:rPr>
          <w:caps w:val="false"/>
          <w:smallCaps w:val="false"/>
        </w:rPr>
        <w:t> </w:t>
      </w:r>
    </w:p>
    <w:p>
      <w:pPr>
        <w:pStyle w:val="TextBody"/>
        <w:bidi w:val="0"/>
        <w:spacing w:before="0" w:after="0"/>
        <w:ind w:left="1267" w:right="0" w:hanging="187"/>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800" w:right="108" w:hanging="187"/>
        <w:jc w:val="left"/>
        <w:rPr>
          <w:caps w:val="false"/>
          <w:smallCaps w:val="false"/>
          <w:bdr w:val="single" w:sz="16" w:space="1" w:color="00693C"/>
        </w:rPr>
      </w:pPr>
      <w:r>
        <w:rPr>
          <w:caps w:val="false"/>
          <w:smallCaps w:val="false"/>
          <w:bdr w:val="single" w:sz="16" w:space="1" w:color="00693C"/>
        </w:rPr>
        <w:t>    </w:t>
      </w:r>
      <w:r>
        <w:rPr>
          <w:rFonts w:ascii="Arial;Helvetica;Sans-Serif" w:hAnsi="Arial;Helvetica;Sans-Serif"/>
          <w:b w:val="false"/>
          <w:i w:val="false"/>
          <w:caps w:val="false"/>
          <w:smallCaps w:val="false"/>
          <w:sz w:val="22"/>
          <w:bdr w:val="single" w:sz="16" w:space="1" w:color="00693C"/>
        </w:rPr>
        <w:t>purchased as part of the reinvestment calculation will be multiplied by the Ending Price to determine the cumulative value of an entity’s dividends for the Performance Period. For these purposes:</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left"/>
              <w:rPr/>
            </w:pPr>
            <w:r>
              <w:rPr>
                <w:b/>
                <w:i/>
              </w:rPr>
              <w:t xml:space="preserve">Price </w:t>
            </w:r>
            <w:r>
              <w:rPr/>
              <w:t>is the per share closing price, as reported by the Bloomberg L.P. (or any other publicly available reporting service that the Committee may designate from time to time) of a share or share equivalent on the applicable stock exchange.</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left"/>
              <w:rPr/>
            </w:pPr>
            <w:r>
              <w:rPr>
                <w:b/>
                <w:i/>
              </w:rPr>
              <w:t>Beginning Price</w:t>
            </w:r>
            <w:r>
              <w:rPr/>
              <w:t xml:space="preserve"> is the average Price for the period of 20 trading days immediately preceding the first day of the Performance Period.</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left"/>
              <w:rPr/>
            </w:pPr>
            <w:r>
              <w:rPr>
                <w:b/>
                <w:i/>
              </w:rPr>
              <w:t xml:space="preserve">Ending Price </w:t>
            </w:r>
            <w:r>
              <w:rPr/>
              <w:t>is the average Price for the period of 20 trading days immediately preceding and including the final day of the Performance Period.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left"/>
              <w:rPr/>
            </w:pPr>
            <w:r>
              <w:rPr>
                <w:b/>
                <w:i/>
              </w:rPr>
              <w:t>Bankrupt Peer</w:t>
            </w:r>
            <w:r>
              <w:rPr/>
              <w:t>: Notwithstanding anything in the foregoing to the contrary, any Bankrupt Peer shall have a Total Shareholder return of negative one hundred percent (-100%).</w:t>
            </w:r>
          </w:p>
        </w:tc>
      </w:tr>
    </w:tbl>
    <w:p>
      <w:pPr>
        <w:pStyle w:val="TextBody"/>
        <w:bidi w:val="0"/>
        <w:spacing w:before="0" w:after="0"/>
        <w:ind w:left="1800" w:right="108" w:hanging="187"/>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 xml:space="preserve">iii. </w:t>
      </w:r>
      <w:r>
        <w:rPr>
          <w:rFonts w:ascii="Arial;Helvetica;Sans-Serif" w:hAnsi="Arial;Helvetica;Sans-Serif"/>
          <w:b/>
          <w:i/>
          <w:caps w:val="false"/>
          <w:smallCaps w:val="false"/>
          <w:sz w:val="22"/>
          <w:bdr w:val="single" w:sz="16" w:space="1" w:color="00693C"/>
        </w:rPr>
        <w:t>Relative TSR Percentile Rank</w:t>
      </w:r>
      <w:r>
        <w:rPr>
          <w:rFonts w:ascii="Arial;Helvetica;Sans-Serif" w:hAnsi="Arial;Helvetica;Sans-Serif"/>
          <w:b w:val="false"/>
          <w:i w:val="false"/>
          <w:caps w:val="false"/>
          <w:smallCaps w:val="false"/>
          <w:sz w:val="22"/>
          <w:bdr w:val="single" w:sz="16" w:space="1" w:color="00693C"/>
        </w:rPr>
        <w:t xml:space="preserve"> is the percentile performance of the Company as compared to the S&amp;P 500 Companies. Relative TSR 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pStyle w:val="TextBody"/>
        <w:bidi w:val="0"/>
        <w:spacing w:before="0" w:after="0"/>
        <w:ind w:left="1267" w:right="0" w:hanging="187"/>
        <w:jc w:val="left"/>
        <w:rPr>
          <w:caps w:val="false"/>
          <w:smallCaps w:val="false"/>
          <w:bdr w:val="single" w:sz="16" w:space="1" w:color="00693C"/>
        </w:rPr>
      </w:pPr>
      <w:r>
        <w:rPr>
          <w:caps w:val="false"/>
          <w:smallCaps w:val="false"/>
          <w:bdr w:val="single" w:sz="16" w:space="1" w:color="00693C"/>
        </w:rPr>
        <w:t> </w:t>
      </w:r>
    </w:p>
    <w:tbl>
      <w:tblPr>
        <w:tblW w:w="2598" w:type="dxa"/>
        <w:jc w:val="center"/>
        <w:tblInd w:w="0" w:type="dxa"/>
        <w:tblLayout w:type="fixed"/>
        <w:tblCellMar>
          <w:top w:w="0" w:type="dxa"/>
          <w:left w:w="0" w:type="dxa"/>
          <w:bottom w:w="0" w:type="dxa"/>
          <w:right w:w="0" w:type="dxa"/>
        </w:tblCellMar>
      </w:tblPr>
      <w:tblGrid>
        <w:gridCol w:w="38"/>
        <w:gridCol w:w="20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2360" w:type="dxa"/>
            <w:tcBorders/>
            <w:vAlign w:val="center"/>
          </w:tcPr>
          <w:p>
            <w:pPr>
              <w:pStyle w:val="TableContents"/>
              <w:bidi w:val="0"/>
              <w:spacing w:before="0" w:after="283"/>
              <w:jc w:val="left"/>
              <w:rPr/>
            </w:pPr>
            <w:r>
              <w:rPr>
                <w:u w:val="single"/>
              </w:rPr>
              <w:t>PSU Payout Percentage</w:t>
            </w:r>
            <w:r>
              <w:rPr/>
              <w:t>.</w:t>
            </w:r>
          </w:p>
        </w:tc>
      </w:tr>
    </w:tbl>
    <w:p>
      <w:pPr>
        <w:pStyle w:val="TextBody"/>
        <w:bidi w:val="0"/>
        <w:spacing w:before="0" w:after="0"/>
        <w:ind w:left="72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 xml:space="preserve">The </w:t>
            </w:r>
            <w:r>
              <w:rPr>
                <w:b/>
                <w:i/>
              </w:rPr>
              <w:t>Performance Goals</w:t>
            </w:r>
            <w:r>
              <w:rPr/>
              <w:t xml:space="preserve"> are the levels of performance set by the Committee on the Grant Date with respect to each measure of performance.</w:t>
            </w:r>
          </w:p>
        </w:tc>
      </w:tr>
    </w:tbl>
    <w:p>
      <w:pPr>
        <w:pStyle w:val="TextBody"/>
        <w:bidi w:val="0"/>
        <w:spacing w:before="0" w:after="0"/>
        <w:ind w:left="72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 xml:space="preserve">The </w:t>
            </w:r>
            <w:r>
              <w:rPr>
                <w:b/>
                <w:i/>
              </w:rPr>
              <w:t>Target PSU Award</w:t>
            </w:r>
            <w:r>
              <w:rPr/>
              <w:t xml:space="preserve"> for this Agreement is based on the target number of PSUs granted by the Committee. If Achievement falls between two levels of Achievement, the resulting payout percentage will be straight line interpolated (rounding to the nearest 0.1 percent) between the payout percentages for those two levels of Achievement.</w:t>
            </w:r>
          </w:p>
        </w:tc>
      </w:tr>
    </w:tbl>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left"/>
        <w:rPr>
          <w:rFonts w:ascii="Arial;Helvetica;Sans-Serif" w:hAnsi="Arial;Helvetica;Sans-Serif"/>
          <w:b/>
          <w:i w:val="false"/>
          <w:caps w:val="false"/>
          <w:smallCaps w:val="false"/>
          <w:sz w:val="22"/>
          <w:u w:val="single"/>
          <w:bdr w:val="single" w:sz="16" w:space="1" w:color="00693C"/>
        </w:rPr>
      </w:pPr>
      <w:r>
        <w:rPr>
          <w:rFonts w:ascii="Arial;Helvetica;Sans-Serif" w:hAnsi="Arial;Helvetica;Sans-Serif"/>
          <w:b/>
          <w:i w:val="false"/>
          <w:caps w:val="false"/>
          <w:smallCaps w:val="false"/>
          <w:sz w:val="22"/>
          <w:u w:val="single"/>
          <w:bdr w:val="single" w:sz="16" w:space="1" w:color="00693C"/>
        </w:rPr>
        <w:t>Achievement Levels and Corresponding Payouts for PSUs Dependent on Cash Flow Generation Performance Measure</w:t>
      </w:r>
    </w:p>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29" w:type="dxa"/>
          <w:left w:w="144" w:type="dxa"/>
          <w:bottom w:w="29" w:type="dxa"/>
          <w:right w:w="130" w:type="dxa"/>
        </w:tblCellMar>
      </w:tblPr>
      <w:tblGrid>
        <w:gridCol w:w="6846"/>
        <w:gridCol w:w="1515"/>
        <w:gridCol w:w="1844"/>
      </w:tblGrid>
      <w:tr>
        <w:trPr/>
        <w:tc>
          <w:tcPr>
            <w:tcW w:w="68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Level of Achievement</w:t>
            </w:r>
          </w:p>
        </w:tc>
        <w:tc>
          <w:tcPr>
            <w:tcW w:w="15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Cash Flow</w:t>
              <w:br/>
              <w:t>Generation Over</w:t>
              <w:br/>
              <w:t>the Performance</w:t>
              <w:br/>
              <w:t>Period</w:t>
            </w:r>
          </w:p>
        </w:tc>
        <w:tc>
          <w:tcPr>
            <w:tcW w:w="184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Payout Percentage for the</w:t>
              <w:br/>
              <w:t>applicable half of your</w:t>
              <w:br/>
              <w:t xml:space="preserve">Target PSU Award </w:t>
            </w:r>
          </w:p>
        </w:tc>
      </w:tr>
      <w:tr>
        <w:trPr/>
        <w:tc>
          <w:tcPr>
            <w:tcW w:w="6846" w:type="dxa"/>
            <w:tcBorders>
              <w:left w:val="single" w:sz="8" w:space="0" w:color="000000"/>
              <w:bottom w:val="single" w:sz="8" w:space="0" w:color="000000"/>
              <w:right w:val="single" w:sz="8" w:space="0" w:color="000000"/>
            </w:tcBorders>
            <w:tcMar>
              <w:top w:w="0" w:type="dxa"/>
              <w:left w:w="108" w:type="dxa"/>
              <w:bottom w:w="40" w:type="dxa"/>
              <w:right w:w="28" w:type="dxa"/>
            </w:tcMar>
            <w:vAlign w:val="center"/>
          </w:tcPr>
          <w:p>
            <w:pPr>
              <w:pStyle w:val="TableContents"/>
              <w:bidi w:val="0"/>
              <w:spacing w:before="0" w:after="283"/>
              <w:jc w:val="left"/>
              <w:rPr/>
            </w:pPr>
            <w:r>
              <w:rPr>
                <w:b/>
                <w:i/>
              </w:rPr>
              <w:t>Threshold Performance</w:t>
            </w:r>
            <w:r>
              <w:rPr/>
              <w:t xml:space="preserve"> </w:t>
            </w:r>
            <w:r>
              <w:rPr>
                <w:sz w:val="18"/>
              </w:rPr>
              <w:t>(the minimum level of Achievement to qualify for any payout of the Cash Flow Generation half of your Target PSU Award.)</w:t>
            </w:r>
          </w:p>
        </w:tc>
        <w:tc>
          <w:tcPr>
            <w:tcW w:w="151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center"/>
              <w:rPr/>
            </w:pPr>
            <w:r>
              <w:rPr/>
              <w:t>$11.36 Billion</w:t>
            </w:r>
          </w:p>
        </w:tc>
        <w:tc>
          <w:tcPr>
            <w:tcW w:w="1844"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center"/>
              <w:rPr/>
            </w:pPr>
            <w:r>
              <w:rPr/>
              <w:t>50%</w:t>
            </w:r>
          </w:p>
        </w:tc>
      </w:tr>
      <w:tr>
        <w:trPr/>
        <w:tc>
          <w:tcPr>
            <w:tcW w:w="6846" w:type="dxa"/>
            <w:tcBorders>
              <w:left w:val="single" w:sz="8" w:space="0" w:color="000000"/>
              <w:bottom w:val="single" w:sz="8" w:space="0" w:color="000000"/>
              <w:right w:val="single" w:sz="8" w:space="0" w:color="000000"/>
            </w:tcBorders>
            <w:tcMar>
              <w:top w:w="0" w:type="dxa"/>
              <w:left w:w="108" w:type="dxa"/>
              <w:bottom w:w="40" w:type="dxa"/>
              <w:right w:w="28" w:type="dxa"/>
            </w:tcMar>
            <w:vAlign w:val="center"/>
          </w:tcPr>
          <w:p>
            <w:pPr>
              <w:pStyle w:val="TableContents"/>
              <w:bidi w:val="0"/>
              <w:spacing w:before="0" w:after="283"/>
              <w:jc w:val="left"/>
              <w:rPr/>
            </w:pPr>
            <w:r>
              <w:rPr>
                <w:b/>
                <w:i/>
              </w:rPr>
              <w:t>Target Performance</w:t>
            </w:r>
            <w:r>
              <w:rPr/>
              <w:t xml:space="preserve"> </w:t>
            </w:r>
            <w:r>
              <w:rPr>
                <w:sz w:val="18"/>
              </w:rPr>
              <w:t>(the level of Achievement to qualify for 100% payout of the Cash Flow Generation half of your Target PSU Award.)</w:t>
            </w:r>
          </w:p>
        </w:tc>
        <w:tc>
          <w:tcPr>
            <w:tcW w:w="151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center"/>
              <w:rPr/>
            </w:pPr>
            <w:r>
              <w:rPr/>
              <w:t>$12.36 Billion</w:t>
            </w:r>
          </w:p>
        </w:tc>
        <w:tc>
          <w:tcPr>
            <w:tcW w:w="1844"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center"/>
              <w:rPr/>
            </w:pPr>
            <w:r>
              <w:rPr/>
              <w:t>100%</w:t>
            </w:r>
          </w:p>
        </w:tc>
      </w:tr>
      <w:tr>
        <w:trPr/>
        <w:tc>
          <w:tcPr>
            <w:tcW w:w="6846" w:type="dxa"/>
            <w:tcBorders>
              <w:left w:val="single" w:sz="8" w:space="0" w:color="000000"/>
              <w:bottom w:val="single" w:sz="8" w:space="0" w:color="000000"/>
              <w:right w:val="single" w:sz="8" w:space="0" w:color="000000"/>
            </w:tcBorders>
            <w:tcMar>
              <w:top w:w="0" w:type="dxa"/>
              <w:left w:w="108" w:type="dxa"/>
              <w:bottom w:w="40" w:type="dxa"/>
              <w:right w:w="28" w:type="dxa"/>
            </w:tcMar>
            <w:vAlign w:val="center"/>
          </w:tcPr>
          <w:p>
            <w:pPr>
              <w:pStyle w:val="TableContents"/>
              <w:bidi w:val="0"/>
              <w:spacing w:before="0" w:after="283"/>
              <w:jc w:val="left"/>
              <w:rPr/>
            </w:pPr>
            <w:r>
              <w:rPr>
                <w:b/>
                <w:i/>
              </w:rPr>
              <w:t xml:space="preserve">Maximum Performance </w:t>
            </w:r>
            <w:r>
              <w:rPr>
                <w:sz w:val="18"/>
              </w:rPr>
              <w:t>(the maximum level of Achievement that results in an increased number of PSUs paid out under the Cash Flow Generation half of your Target PSU Award.)</w:t>
            </w:r>
          </w:p>
        </w:tc>
        <w:tc>
          <w:tcPr>
            <w:tcW w:w="151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center"/>
              <w:rPr/>
            </w:pPr>
            <w:r>
              <w:rPr/>
              <w:t>$13.36 Billion</w:t>
            </w:r>
          </w:p>
        </w:tc>
        <w:tc>
          <w:tcPr>
            <w:tcW w:w="1844"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center"/>
              <w:rPr/>
            </w:pPr>
            <w:r>
              <w:rPr/>
              <w:t>200%</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left"/>
        <w:rPr>
          <w:rFonts w:ascii="Arial;Helvetica;Sans-Serif" w:hAnsi="Arial;Helvetica;Sans-Serif"/>
          <w:b/>
          <w:i w:val="false"/>
          <w:caps w:val="false"/>
          <w:smallCaps w:val="false"/>
          <w:sz w:val="22"/>
          <w:u w:val="single"/>
          <w:bdr w:val="single" w:sz="16" w:space="1" w:color="00693C"/>
        </w:rPr>
      </w:pPr>
      <w:r>
        <w:rPr>
          <w:rFonts w:ascii="Arial;Helvetica;Sans-Serif" w:hAnsi="Arial;Helvetica;Sans-Serif"/>
          <w:b/>
          <w:i w:val="false"/>
          <w:caps w:val="false"/>
          <w:smallCaps w:val="false"/>
          <w:sz w:val="22"/>
          <w:u w:val="single"/>
          <w:bdr w:val="single" w:sz="16" w:space="1" w:color="00693C"/>
        </w:rPr>
        <w:t>Achievement Levels and Corresponding Payouts for PSUs Dependent on TSR</w:t>
      </w:r>
    </w:p>
    <w:p>
      <w:pPr>
        <w:pStyle w:val="TextBody"/>
        <w:bidi w:val="0"/>
        <w:spacing w:before="0" w:after="0"/>
        <w:ind w:left="108" w:right="108"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28" w:type="dxa"/>
          <w:left w:w="28" w:type="dxa"/>
          <w:bottom w:w="28" w:type="dxa"/>
          <w:right w:w="28" w:type="dxa"/>
        </w:tblCellMar>
      </w:tblPr>
      <w:tblGrid>
        <w:gridCol w:w="6348"/>
        <w:gridCol w:w="1440"/>
        <w:gridCol w:w="2417"/>
      </w:tblGrid>
      <w:tr>
        <w:trPr/>
        <w:tc>
          <w:tcPr>
            <w:tcW w:w="1020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Total Shareholder Return Relative to the S&amp;P 500 over the Performance Period</w:t>
            </w:r>
          </w:p>
        </w:tc>
      </w:tr>
      <w:tr>
        <w:trPr/>
        <w:tc>
          <w:tcPr>
            <w:tcW w:w="6348" w:type="dxa"/>
            <w:tcBorders>
              <w:left w:val="single" w:sz="8" w:space="0" w:color="000000"/>
              <w:bottom w:val="single" w:sz="8" w:space="0" w:color="000000"/>
              <w:right w:val="single" w:sz="8" w:space="0" w:color="000000"/>
            </w:tcBorders>
            <w:tcMar>
              <w:top w:w="0" w:type="dxa"/>
              <w:left w:w="144" w:type="dxa"/>
              <w:bottom w:w="29" w:type="dxa"/>
              <w:right w:w="144"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 xml:space="preserve">Level of Achievement </w:t>
            </w:r>
          </w:p>
        </w:tc>
        <w:tc>
          <w:tcPr>
            <w:tcW w:w="1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Relative TSR</w:t>
              <w:br/>
              <w:t>Percentile Rank</w:t>
            </w:r>
          </w:p>
        </w:tc>
        <w:tc>
          <w:tcPr>
            <w:tcW w:w="241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Payout Percentage for the</w:t>
              <w:br/>
              <w:t xml:space="preserve">applicable half of your Target </w:t>
              <w:br/>
              <w:t>PSU Award</w:t>
            </w:r>
          </w:p>
        </w:tc>
      </w:tr>
      <w:tr>
        <w:trPr/>
        <w:tc>
          <w:tcPr>
            <w:tcW w:w="6348" w:type="dxa"/>
            <w:tcBorders>
              <w:left w:val="single" w:sz="8" w:space="0" w:color="000000"/>
              <w:bottom w:val="single" w:sz="8" w:space="0" w:color="000000"/>
              <w:right w:val="single" w:sz="8" w:space="0" w:color="000000"/>
            </w:tcBorders>
            <w:tcMar>
              <w:top w:w="0" w:type="dxa"/>
              <w:left w:w="108" w:type="dxa"/>
              <w:bottom w:w="40" w:type="dxa"/>
            </w:tcMar>
            <w:vAlign w:val="center"/>
          </w:tcPr>
          <w:p>
            <w:pPr>
              <w:pStyle w:val="TableContents"/>
              <w:bidi w:val="0"/>
              <w:spacing w:before="0" w:after="283"/>
              <w:jc w:val="left"/>
              <w:rPr/>
            </w:pPr>
            <w:r>
              <w:rPr>
                <w:b/>
                <w:i/>
              </w:rPr>
              <w:t>Threshold Performance</w:t>
            </w:r>
            <w:r>
              <w:rPr/>
              <w:t xml:space="preserve"> </w:t>
            </w:r>
            <w:r>
              <w:rPr>
                <w:sz w:val="18"/>
              </w:rPr>
              <w:t xml:space="preserve">(the minimum level of Achievement to qualify for any payout of the TSR half of your Target PSU </w:t>
            </w:r>
          </w:p>
        </w:tc>
        <w:tc>
          <w:tcPr>
            <w:tcW w:w="1440"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25</w:t>
            </w:r>
            <w:r>
              <w:rPr>
                <w:rFonts w:ascii="Arial;Helvetica;Sans-Serif" w:hAnsi="Arial;Helvetica;Sans-Serif"/>
                <w:position w:val="7"/>
                <w:sz w:val="18"/>
                <w:sz w:val="22"/>
              </w:rPr>
              <w:t>th</w:t>
            </w:r>
          </w:p>
        </w:tc>
        <w:tc>
          <w:tcPr>
            <w:tcW w:w="2417"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center"/>
              <w:rPr/>
            </w:pPr>
            <w:r>
              <w:rPr/>
              <w:t>50%</w:t>
            </w:r>
          </w:p>
        </w:tc>
      </w:tr>
    </w:tbl>
    <w:p>
      <w:pPr>
        <w:pStyle w:val="TextBody"/>
        <w:bidi w:val="0"/>
        <w:jc w:val="left"/>
        <w:rPr>
          <w:bdr w:val="single" w:sz="16" w:space="1" w:color="00693C"/>
        </w:rPr>
      </w:pPr>
      <w:r>
        <w:rPr>
          <w:bdr w:val="single" w:sz="16" w:space="1" w:color="00693C"/>
        </w:rPr>
        <w:t> </w:t>
      </w:r>
    </w:p>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dr w:val="single" w:sz="16" w:space="1" w:color="00693C"/>
        </w:rPr>
      </w:pPr>
      <w:r>
        <w:rPr>
          <w:bdr w:val="single" w:sz="16" w:space="1" w:color="00693C"/>
        </w:rPr>
        <w:t> </w:t>
      </w:r>
    </w:p>
    <w:tbl>
      <w:tblPr>
        <w:tblW w:w="10205" w:type="dxa"/>
        <w:jc w:val="center"/>
        <w:tblInd w:w="0" w:type="dxa"/>
        <w:tblLayout w:type="fixed"/>
        <w:tblCellMar>
          <w:top w:w="29" w:type="dxa"/>
          <w:left w:w="144" w:type="dxa"/>
          <w:bottom w:w="29" w:type="dxa"/>
          <w:right w:w="144" w:type="dxa"/>
        </w:tblCellMar>
      </w:tblPr>
      <w:tblGrid>
        <w:gridCol w:w="9258"/>
        <w:gridCol w:w="410"/>
        <w:gridCol w:w="537"/>
      </w:tblGrid>
      <w:tr>
        <w:trPr/>
        <w:tc>
          <w:tcPr>
            <w:tcW w:w="1020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Total Shareholder Return Relative to the S&amp;P 500 over the Performance Period</w:t>
            </w:r>
          </w:p>
        </w:tc>
      </w:tr>
      <w:tr>
        <w:trPr/>
        <w:tc>
          <w:tcPr>
            <w:tcW w:w="92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Award.)</w:t>
            </w:r>
          </w:p>
        </w:tc>
        <w:tc>
          <w:tcPr>
            <w:tcW w:w="4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t> </w:t>
            </w:r>
          </w:p>
        </w:tc>
        <w:tc>
          <w:tcPr>
            <w:tcW w:w="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2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b/>
                <w:i/>
              </w:rPr>
              <w:t>Target Performance</w:t>
            </w:r>
            <w:r>
              <w:rPr/>
              <w:t xml:space="preserve"> </w:t>
            </w:r>
            <w:r>
              <w:rPr>
                <w:sz w:val="18"/>
              </w:rPr>
              <w:t>(the level of Achievement to qualify for 100% payout of the TSR half of your Target PSU Award.)</w:t>
            </w:r>
          </w:p>
        </w:tc>
        <w:tc>
          <w:tcPr>
            <w:tcW w:w="4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50</w:t>
            </w:r>
            <w:r>
              <w:rPr>
                <w:rFonts w:ascii="Arial;Helvetica;Sans-Serif" w:hAnsi="Arial;Helvetica;Sans-Serif"/>
                <w:position w:val="7"/>
                <w:sz w:val="18"/>
                <w:sz w:val="22"/>
              </w:rPr>
              <w:t>th</w:t>
            </w:r>
          </w:p>
        </w:tc>
        <w:tc>
          <w:tcPr>
            <w:tcW w:w="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92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240"/>
              <w:jc w:val="left"/>
              <w:rPr/>
            </w:pPr>
            <w:r>
              <w:rPr>
                <w:b/>
                <w:i/>
              </w:rPr>
              <w:t xml:space="preserve">Maximum Performance </w:t>
            </w:r>
            <w:r>
              <w:rPr>
                <w:sz w:val="18"/>
              </w:rPr>
              <w:t>(the maximum level of Achievement that results in an increased number of PSUs paid out under the TSR half of your Target PSU Award.)</w:t>
            </w:r>
          </w:p>
        </w:tc>
        <w:tc>
          <w:tcPr>
            <w:tcW w:w="4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75</w:t>
            </w:r>
            <w:r>
              <w:rPr>
                <w:rFonts w:ascii="Arial;Helvetica;Sans-Serif" w:hAnsi="Arial;Helvetica;Sans-Serif"/>
                <w:position w:val="7"/>
                <w:sz w:val="18"/>
                <w:sz w:val="22"/>
              </w:rPr>
              <w:t>th</w:t>
            </w:r>
          </w:p>
        </w:tc>
        <w:tc>
          <w:tcPr>
            <w:tcW w:w="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200%</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i w:val="false"/>
                <w:caps w:val="false"/>
                <w:smallCaps w:val="false"/>
                <w:sz w:val="22"/>
              </w:rPr>
            </w:pPr>
            <w:r>
              <w:rPr>
                <w:i w:val="false"/>
                <w:caps w:val="false"/>
                <w:smallCaps w:val="false"/>
                <w:sz w:val="22"/>
              </w:rPr>
              <w:t>4.</w:t>
            </w:r>
          </w:p>
        </w:tc>
        <w:tc>
          <w:tcPr>
            <w:tcW w:w="10022" w:type="dxa"/>
            <w:tcBorders/>
            <w:vAlign w:val="center"/>
          </w:tcPr>
          <w:p>
            <w:pPr>
              <w:pStyle w:val="TableContents"/>
              <w:bidi w:val="0"/>
              <w:spacing w:before="0" w:after="283"/>
              <w:jc w:val="left"/>
              <w:rPr/>
            </w:pPr>
            <w:r>
              <w:rPr>
                <w:i w:val="false"/>
                <w:caps w:val="false"/>
                <w:smallCaps w:val="false"/>
                <w:sz w:val="22"/>
                <w:u w:val="single"/>
              </w:rPr>
              <w:t>Timing and Form of Payment of PSU Award</w:t>
            </w:r>
            <w:r>
              <w:rPr>
                <w:i w:val="false"/>
                <w:caps w:val="false"/>
                <w:smallCaps w:val="false"/>
                <w:sz w:val="22"/>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b/>
                <w:sz w:val="22"/>
              </w:rPr>
              <w:t>PSU Awarded Shares</w:t>
            </w:r>
            <w:r>
              <w:rPr>
                <w:caps w:val="false"/>
                <w:smallCaps w:val="false"/>
                <w:sz w:val="22"/>
              </w:rPr>
              <w:t>”</w:t>
            </w:r>
            <w:r>
              <w:rPr>
                <w:i w:val="false"/>
                <w:caps w:val="false"/>
                <w:smallCaps w:val="false"/>
                <w:sz w:val="22"/>
              </w:rPr>
              <w:t>). Unless you have a valid deferral in place for your PSU Award (see paragraph 7 under “Important Award Details” for further information on permitted deferrals), the Company will deliver the PSU Awarded Shares and payment of the corresponding Dividend Equivalent as soon as administratively feasible (and no later than 74 days after the end of the Performance Period) after the Committee’s certification and determination.</w:t>
            </w:r>
          </w:p>
        </w:tc>
      </w:tr>
    </w:tbl>
    <w:p>
      <w:pPr>
        <w:pStyle w:val="TextBody"/>
        <w:bidi w:val="0"/>
        <w:spacing w:before="0" w:after="0"/>
        <w:ind w:left="0" w:right="0" w:hanging="0"/>
        <w:jc w:val="center"/>
        <w:rPr>
          <w:caps w:val="false"/>
          <w:smallCaps w:val="false"/>
          <w:bdr w:val="single" w:sz="16" w:space="1" w:color="00693C"/>
        </w:rPr>
      </w:pPr>
      <w:r>
        <w:rPr>
          <w:caps w:val="false"/>
          <w:smallCaps w:val="false"/>
          <w:bdr w:val="single" w:sz="16" w:space="1"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6" w:space="1" w:color="00693C"/>
        </w:rPr>
      </w:pPr>
      <w:r>
        <w:rPr>
          <w:rFonts w:ascii="Arial;Helvetica;Sans-Serif" w:hAnsi="Arial;Helvetica;Sans-Serif"/>
          <w:b/>
          <w:i w:val="false"/>
          <w:caps w:val="false"/>
          <w:smallCaps w:val="false"/>
          <w:color w:val="00693C"/>
          <w:sz w:val="32"/>
          <w:bdr w:val="single" w:sz="16" w:space="1" w:color="00693C"/>
        </w:rPr>
        <w:t>Important Award Details</w:t>
      </w:r>
    </w:p>
    <w:p>
      <w:pPr>
        <w:pStyle w:val="TextBody"/>
        <w:bidi w:val="0"/>
        <w:spacing w:before="0" w:after="0"/>
        <w:ind w:left="36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both"/>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Your Awards under this Agreement are subject to important terms and conditions set forth below. Please read them carefully and seek advice from your own legal and tax advisors before executing this Agreement.</w:t>
      </w:r>
    </w:p>
    <w:p>
      <w:pPr>
        <w:pStyle w:val="TextBody"/>
        <w:bidi w:val="0"/>
        <w:spacing w:before="0" w:after="0"/>
        <w:ind w:left="360" w:right="0" w:hanging="360"/>
        <w:jc w:val="both"/>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left"/>
              <w:rPr/>
            </w:pPr>
            <w:r>
              <w:rPr>
                <w:u w:val="single"/>
              </w:rPr>
              <w:t>Death or Disability</w:t>
            </w:r>
            <w:r>
              <w:rPr/>
              <w:t>. Upon Employee’s death or disability (as determined by the Committee and within the meaning of Section 409A of the Internal Revenue Code of 1986, as amended, and the Treasury Regulations issued thereunder (“</w:t>
            </w:r>
            <w:r>
              <w:rPr>
                <w:b/>
                <w:i/>
              </w:rPr>
              <w:t>Section 409A</w:t>
            </w:r>
            <w:r>
              <w:rPr/>
              <w:t>”) and specifically Section 409A(a)(2)(C) (“</w:t>
            </w:r>
            <w:r>
              <w:rPr>
                <w:b/>
                <w:i/>
              </w:rPr>
              <w:t>Disability</w:t>
            </w:r>
            <w:r>
              <w:rPr/>
              <w:t>”)), Employee (or in the case of Employee’s death, Employee’s beneficiary)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no later than 74 days following the end of the Performance Period.</w:t>
            </w:r>
          </w:p>
        </w:tc>
      </w:tr>
    </w:tbl>
    <w:p>
      <w:pPr>
        <w:pStyle w:val="TextBody"/>
        <w:bidi w:val="0"/>
        <w:spacing w:before="0" w:after="0"/>
        <w:ind w:left="72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2.</w:t>
            </w:r>
          </w:p>
        </w:tc>
        <w:tc>
          <w:tcPr>
            <w:tcW w:w="9972" w:type="dxa"/>
            <w:tcBorders/>
            <w:vAlign w:val="center"/>
          </w:tcPr>
          <w:p>
            <w:pPr>
              <w:pStyle w:val="TableContents"/>
              <w:bidi w:val="0"/>
              <w:spacing w:before="0" w:after="283"/>
              <w:jc w:val="left"/>
              <w:rPr/>
            </w:pPr>
            <w:r>
              <w:rPr>
                <w:u w:val="single"/>
              </w:rPr>
              <w:t>Treatment of PSU Awards Upon Retirement or Involuntary Termination of Employment Without Cause by WM</w:t>
            </w:r>
            <w:r>
              <w:rPr/>
              <w:t>.</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Upon an involuntary Termination of Employment by WM without Cause, Employee shall, subject to the requirements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1096 (which amount shall be issued and paid as soon as practicable and no later than 74 days following the end of the Performance Period).</w:t>
            </w:r>
          </w:p>
        </w:tc>
      </w:tr>
    </w:tbl>
    <w:p>
      <w:pPr>
        <w:pStyle w:val="TextBody"/>
        <w:bidi w:val="0"/>
        <w:spacing w:before="0" w:after="0"/>
        <w:ind w:left="72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Upon Employee’s Retirement, Employee shall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2026, he or she shall be eligible to receive a full payout at the end of the Performance Period (based upon actual Achievement).</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In the event Employee is employed by a subsidiary of the Company that is sold by the Company in a transaction (i) that would not constitute a Corporate Change, but (ii) that would constitute a Corporate Change with the subsidiary substituted for Company thereunder, such transaction shall be deemed to constitute an involuntary Termination of Employment by WM without Cause as of the effective date of such Transaction and Employee’s termination.</w:t>
            </w:r>
          </w:p>
        </w:tc>
      </w:tr>
    </w:tbl>
    <w:p>
      <w:pPr>
        <w:pStyle w:val="TextBody"/>
        <w:bidi w:val="0"/>
        <w:spacing w:before="0" w:after="0"/>
        <w:ind w:left="1080" w:right="0" w:hanging="360"/>
        <w:jc w:val="center"/>
        <w:rPr>
          <w:caps w:val="false"/>
          <w:smallCaps w:val="false"/>
          <w:bdr w:val="single" w:sz="16" w:space="1" w:color="00693C"/>
        </w:rPr>
      </w:pPr>
      <w:r>
        <w:rPr>
          <w:caps w:val="false"/>
          <w:smallCaps w:val="false"/>
          <w:bdr w:val="single" w:sz="16" w:space="1" w:color="00693C"/>
        </w:rPr>
        <w:t> </w:t>
      </w:r>
    </w:p>
    <w:tbl>
      <w:tblPr>
        <w:tblW w:w="9018" w:type="dxa"/>
        <w:jc w:val="center"/>
        <w:tblInd w:w="0" w:type="dxa"/>
        <w:tblLayout w:type="fixed"/>
        <w:tblCellMar>
          <w:top w:w="0" w:type="dxa"/>
          <w:left w:w="0" w:type="dxa"/>
          <w:bottom w:w="0" w:type="dxa"/>
          <w:right w:w="0" w:type="dxa"/>
        </w:tblCellMar>
      </w:tblPr>
      <w:tblGrid>
        <w:gridCol w:w="38"/>
        <w:gridCol w:w="20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8780" w:type="dxa"/>
            <w:tcBorders/>
            <w:vAlign w:val="center"/>
          </w:tcPr>
          <w:p>
            <w:pPr>
              <w:pStyle w:val="TableContents"/>
              <w:bidi w:val="0"/>
              <w:spacing w:before="0" w:after="283"/>
              <w:jc w:val="left"/>
              <w:rPr/>
            </w:pPr>
            <w:r>
              <w:rPr/>
              <w:t>The following terms shall have the meanings set forth below for purposes of this Agreement:</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b/>
                <w:i/>
              </w:rPr>
              <w:t xml:space="preserve">Retirement </w:t>
            </w:r>
            <w:r>
              <w:rPr/>
              <w:t xml:space="preserve">means Termination of Employment due to the voluntary resignation of employment by Employee, after Employee (1) has reached age 55 or greater; (2) has a sum of age plus years of Service (as defined in paragraph ii. below) with WM equal to 65 or greater; and (3) has completed at least 5 consecutive full years of Service with WM during the 5-year period immediately preceding the resignation; </w:t>
            </w:r>
            <w:r>
              <w:rPr>
                <w:u w:val="single"/>
              </w:rPr>
              <w:t>provided</w:t>
            </w:r>
            <w:r>
              <w:rPr/>
              <w:t>, that Employee is not receiving severance benefits pursuant to the severance pay plans of WM in connection with such Termination of Employment.</w:t>
            </w:r>
          </w:p>
        </w:tc>
      </w:tr>
    </w:tbl>
    <w:p>
      <w:pPr>
        <w:pStyle w:val="TextBody"/>
        <w:bidi w:val="0"/>
        <w:spacing w:before="0" w:after="0"/>
        <w:ind w:left="1080" w:right="0" w:hanging="36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left"/>
              <w:rPr/>
            </w:pPr>
            <w:r>
              <w:rPr>
                <w:b/>
                <w:i/>
              </w:rPr>
              <w:t>Service</w:t>
            </w:r>
            <w:r>
              <w:rPr/>
              <w:t xml:space="preserve"> is measured from Employee’s original date of hire by WM, except as provided below. In the case of a 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left"/>
              <w:rPr/>
            </w:pPr>
            <w:r>
              <w:rPr>
                <w:b/>
                <w:i/>
              </w:rPr>
              <w:t>Termination of Employment</w:t>
            </w:r>
            <w:r>
              <w:rPr/>
              <w:t xml:space="preserve"> means the termination of Employee’s employment or other service 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left"/>
              <w:rPr/>
            </w:pPr>
            <w:r>
              <w:rPr>
                <w:b/>
                <w:i/>
              </w:rPr>
              <w:t xml:space="preserve">Cause </w:t>
            </w:r>
            <w:r>
              <w:rPr/>
              <w:t xml:space="preserve">means any of the following: (1) willful or deliberate and continual refusal to materially perform 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i/>
              </w:rPr>
              <w:t>nolo contendre</w:t>
            </w:r>
            <w:r>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left"/>
              <w:rPr/>
            </w:pPr>
            <w:r>
              <w:rPr/>
              <w:t>In order to receive any of the vesting or exercisability benefits upon termination described in paragraphs 1, 2, and 3 (except resignation), Employee (or, if applicable, Employee’s estate) must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tc>
      </w:tr>
    </w:tbl>
    <w:p>
      <w:pPr>
        <w:pStyle w:val="TextBody"/>
        <w:bidi w:val="0"/>
        <w:spacing w:before="0" w:after="0"/>
        <w:ind w:left="0" w:right="0" w:hanging="0"/>
        <w:jc w:val="center"/>
        <w:rPr>
          <w:caps w:val="false"/>
          <w:smallCaps w:val="false"/>
          <w:bdr w:val="single" w:sz="16" w:space="1" w:color="00693C"/>
        </w:rPr>
      </w:pPr>
      <w:r>
        <w:rPr>
          <w:caps w:val="false"/>
          <w:smallCaps w:val="false"/>
          <w:bdr w:val="single" w:sz="16" w:space="1" w:color="00693C"/>
        </w:rPr>
        <w:t> </w:t>
      </w:r>
    </w:p>
    <w:tbl>
      <w:tblPr>
        <w:tblW w:w="4803" w:type="dxa"/>
        <w:jc w:val="center"/>
        <w:tblInd w:w="0" w:type="dxa"/>
        <w:tblLayout w:type="fixed"/>
        <w:tblCellMar>
          <w:top w:w="0" w:type="dxa"/>
          <w:left w:w="0" w:type="dxa"/>
          <w:bottom w:w="0" w:type="dxa"/>
          <w:right w:w="0" w:type="dxa"/>
        </w:tblCellMar>
      </w:tblPr>
      <w:tblGrid>
        <w:gridCol w:w="38"/>
        <w:gridCol w:w="20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4565" w:type="dxa"/>
            <w:tcBorders/>
            <w:vAlign w:val="center"/>
          </w:tcPr>
          <w:p>
            <w:pPr>
              <w:pStyle w:val="TableContents"/>
              <w:bidi w:val="0"/>
              <w:spacing w:before="0" w:after="283"/>
              <w:jc w:val="left"/>
              <w:rPr/>
            </w:pPr>
            <w:r>
              <w:rPr>
                <w:u w:val="single"/>
              </w:rPr>
              <w:t>Termination of Employment for Other Reasons</w:t>
            </w:r>
            <w:r>
              <w:rPr/>
              <w:t>.</w:t>
            </w:r>
          </w:p>
        </w:tc>
      </w:tr>
    </w:tbl>
    <w:p>
      <w:pPr>
        <w:pStyle w:val="TextBody"/>
        <w:bidi w:val="0"/>
        <w:spacing w:before="0" w:after="0"/>
        <w:ind w:left="108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u w:val="single"/>
              </w:rPr>
              <w:t>PSU Awards in the Event of Involuntary Termination with Cause or Resignation by Employee</w:t>
            </w:r>
            <w:r>
              <w:rPr/>
              <w:t xml:space="preserve">. Except as provided in paragraphs 1 through 2 above and 5 below, Employee must be an employee of WM continuously from the </w:t>
            </w:r>
          </w:p>
        </w:tc>
      </w:tr>
    </w:tbl>
    <w:p>
      <w:pPr>
        <w:pStyle w:val="TextBody"/>
        <w:bidi w:val="0"/>
        <w:jc w:val="left"/>
        <w:rPr>
          <w:bdr w:val="single" w:sz="16" w:space="1" w:color="00693C"/>
        </w:rPr>
      </w:pPr>
      <w:r>
        <w:rPr>
          <w:bdr w:val="single" w:sz="16" w:space="1" w:color="00693C"/>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left"/>
              <w:rPr/>
            </w:pPr>
            <w:r>
              <w:rPr/>
              <w:t>Grant Date through the close of business on last day of the Performance Period for PSUs to be entitled to receive payment of any PSU Award. Upon Termination of Employment on or before the last day of the Performance Period for PSUs, Employee shall immediately forfeit the PSU Award and any related Dividend Equivalents without payment of any consideration by WM.</w:t>
            </w:r>
          </w:p>
        </w:tc>
      </w:tr>
    </w:tbl>
    <w:p>
      <w:pPr>
        <w:pStyle w:val="TextBody"/>
        <w:bidi w:val="0"/>
        <w:spacing w:before="0" w:after="0"/>
        <w:ind w:left="720" w:right="0" w:hanging="360"/>
        <w:jc w:val="left"/>
        <w:rPr>
          <w:caps w:val="false"/>
          <w:smallCaps w:val="false"/>
          <w:bdr w:val="single" w:sz="16" w:space="1" w:color="00693C"/>
        </w:rPr>
      </w:pPr>
      <w:r>
        <w:rPr>
          <w:caps w:val="false"/>
          <w:smallCaps w:val="false"/>
          <w:bdr w:val="single" w:sz="16" w:space="1" w:color="00693C"/>
        </w:rPr>
        <w:t> </w:t>
      </w:r>
    </w:p>
    <w:tbl>
      <w:tblPr>
        <w:tblW w:w="2523" w:type="dxa"/>
        <w:jc w:val="center"/>
        <w:tblInd w:w="0" w:type="dxa"/>
        <w:tblLayout w:type="fixed"/>
        <w:tblCellMar>
          <w:top w:w="0" w:type="dxa"/>
          <w:left w:w="0" w:type="dxa"/>
          <w:bottom w:w="0" w:type="dxa"/>
          <w:right w:w="0" w:type="dxa"/>
        </w:tblCellMar>
      </w:tblPr>
      <w:tblGrid>
        <w:gridCol w:w="38"/>
        <w:gridCol w:w="20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2285" w:type="dxa"/>
            <w:tcBorders/>
            <w:vAlign w:val="center"/>
          </w:tcPr>
          <w:p>
            <w:pPr>
              <w:pStyle w:val="TableContents"/>
              <w:bidi w:val="0"/>
              <w:spacing w:before="0" w:after="283"/>
              <w:jc w:val="left"/>
              <w:rPr>
                <w:u w:val="single"/>
              </w:rPr>
            </w:pPr>
            <w:r>
              <w:rPr>
                <w:u w:val="single"/>
              </w:rPr>
              <w:t>Recoupment Provisions</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938" w:type="dxa"/>
        <w:jc w:val="center"/>
        <w:tblInd w:w="0" w:type="dxa"/>
        <w:tblLayout w:type="fixed"/>
        <w:tblCellMar>
          <w:top w:w="0" w:type="dxa"/>
          <w:left w:w="0" w:type="dxa"/>
          <w:bottom w:w="0" w:type="dxa"/>
          <w:right w:w="0" w:type="dxa"/>
        </w:tblCellMar>
      </w:tblPr>
      <w:tblGrid>
        <w:gridCol w:w="38"/>
        <w:gridCol w:w="185"/>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1715" w:type="dxa"/>
            <w:tcBorders/>
            <w:vAlign w:val="center"/>
          </w:tcPr>
          <w:p>
            <w:pPr>
              <w:pStyle w:val="TableContents"/>
              <w:bidi w:val="0"/>
              <w:spacing w:before="0" w:after="283"/>
              <w:jc w:val="left"/>
              <w:rPr>
                <w:u w:val="single"/>
              </w:rPr>
            </w:pPr>
            <w:r>
              <w:rPr>
                <w:u w:val="single"/>
              </w:rPr>
              <w:t>Clawback Policy.</w:t>
            </w:r>
          </w:p>
        </w:tc>
      </w:tr>
    </w:tbl>
    <w:p>
      <w:pPr>
        <w:pStyle w:val="TextBody"/>
        <w:bidi w:val="0"/>
        <w:spacing w:before="0" w:after="0"/>
        <w:ind w:left="810" w:right="0" w:hanging="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t>Notwithstanding any provisions in the Plan or this Agreement to the contrary, any portion of the payments and benefits provided under this Agreement or the sale of any shares of Common Stock issued hereunder shall be subject to the Waste Management, Inc. Clawback Policy, adopted by the Committee of the Board on August 21, 2023, (as may be amended from time to time, the “</w:t>
            </w:r>
            <w:r>
              <w:rPr>
                <w:b/>
                <w:i/>
              </w:rPr>
              <w:t>Clawback Policy</w:t>
            </w:r>
            <w:r>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 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b/>
                <w:i/>
              </w:rPr>
              <w:t>Clawback Proceeding</w:t>
            </w:r>
            <w:r>
              <w:rPr/>
              <w:t>”) or loss (including judgments, fines, taxes, penalties or amounts paid in settlement by or on behalf 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tc>
      </w:tr>
    </w:tbl>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tbl>
      <w:tblPr>
        <w:tblW w:w="5013" w:type="dxa"/>
        <w:jc w:val="center"/>
        <w:tblInd w:w="0" w:type="dxa"/>
        <w:tblLayout w:type="fixed"/>
        <w:tblCellMar>
          <w:top w:w="0" w:type="dxa"/>
          <w:left w:w="0" w:type="dxa"/>
          <w:bottom w:w="0" w:type="dxa"/>
          <w:right w:w="0" w:type="dxa"/>
        </w:tblCellMar>
      </w:tblPr>
      <w:tblGrid>
        <w:gridCol w:w="38"/>
        <w:gridCol w:w="20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4775" w:type="dxa"/>
            <w:tcBorders/>
            <w:vAlign w:val="center"/>
          </w:tcPr>
          <w:p>
            <w:pPr>
              <w:pStyle w:val="TableContents"/>
              <w:bidi w:val="0"/>
              <w:spacing w:before="0" w:after="283"/>
              <w:jc w:val="both"/>
              <w:rPr>
                <w:u w:val="single"/>
              </w:rPr>
            </w:pPr>
            <w:r>
              <w:rPr>
                <w:u w:val="single"/>
              </w:rPr>
              <w:t>Repayment of Award in the Event of Misconduct.</w:t>
            </w:r>
          </w:p>
        </w:tc>
      </w:tr>
    </w:tbl>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b/>
                <w:i/>
              </w:rPr>
              <w:t>Misconduct</w:t>
            </w:r>
            <w:r>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b/>
                <w:i/>
              </w:rPr>
              <w:t>Independent Third Party</w:t>
            </w:r>
            <w:r>
              <w:rPr/>
              <w:t>) appointed by the Committee.</w:t>
            </w:r>
          </w:p>
        </w:tc>
      </w:tr>
    </w:tbl>
    <w:p>
      <w:pPr>
        <w:pStyle w:val="TextBody"/>
        <w:bidi w:val="0"/>
        <w:jc w:val="left"/>
        <w:rPr>
          <w:bdr w:val="single" w:sz="16" w:space="1" w:color="00693C"/>
        </w:rPr>
      </w:pPr>
      <w:r>
        <w:rPr>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left"/>
              <w:rPr/>
            </w:pPr>
            <w:r>
              <w:rPr/>
              <w:t>Following a determination of Misconduct by Employee, Employee may dispute such determination pursuant to binding arbitration as set forth below under “General Terms” provided, however, that if Employee is determined to have benefited from, but not engaged in, Misconduct, Employee will have no right to dispute such determination and such determination shall be conclusive and binding.</w:t>
            </w:r>
          </w:p>
        </w:tc>
      </w:tr>
    </w:tbl>
    <w:p>
      <w:pPr>
        <w:pStyle w:val="TextBody"/>
        <w:bidi w:val="0"/>
        <w:spacing w:before="0" w:after="0"/>
        <w:ind w:left="144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1440" w:right="0" w:hanging="36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6</w:t>
      </w:r>
    </w:p>
    <w:p>
      <w:pPr>
        <w:pStyle w:val="TextBody"/>
        <w:bidi w:val="0"/>
        <w:spacing w:before="0" w:after="0"/>
        <w:ind w:left="0" w:right="0" w:hanging="0"/>
        <w:jc w:val="left"/>
        <w:rPr/>
      </w:pPr>
      <w:r>
        <w:rPr/>
        <w:t> </w:t>
      </w:r>
    </w:p>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1440" w:right="0" w:hanging="36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left"/>
              <w:rPr/>
            </w:pPr>
            <w:r>
              <w:rPr/>
              <w:t>WM must initiate recovery pursuant to this paragraph by the earliest of (i) one year after discovery of alleged Misconduct, or (ii) the second anniversary of Employee’s Termination of Employment.</w:t>
            </w:r>
          </w:p>
        </w:tc>
      </w:tr>
    </w:tbl>
    <w:p>
      <w:pPr>
        <w:pStyle w:val="TextBody"/>
        <w:bidi w:val="0"/>
        <w:spacing w:before="0" w:after="0"/>
        <w:ind w:left="1440" w:right="0" w:hanging="36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left"/>
              <w:rPr/>
            </w:pPr>
            <w:r>
              <w:rPr/>
              <w:t>The provisions of this paragraph, without any implication as to any other provision of this Agreement, shall survive the expiration or termination of this Agreement and Employee’s employment.</w:t>
            </w:r>
          </w:p>
        </w:tc>
      </w:tr>
    </w:tbl>
    <w:p>
      <w:pPr>
        <w:pStyle w:val="TextBody"/>
        <w:bidi w:val="0"/>
        <w:spacing w:before="0" w:after="0"/>
        <w:ind w:left="1800" w:right="0" w:hanging="0"/>
        <w:jc w:val="left"/>
        <w:rPr>
          <w:caps w:val="false"/>
          <w:smallCaps w:val="false"/>
          <w:bdr w:val="single" w:sz="16" w:space="1" w:color="00693C"/>
        </w:rPr>
      </w:pPr>
      <w:r>
        <w:rPr>
          <w:caps w:val="false"/>
          <w:smallCaps w:val="false"/>
          <w:bdr w:val="single" w:sz="16" w:space="1" w:color="00693C"/>
        </w:rPr>
        <w:t> </w:t>
      </w:r>
    </w:p>
    <w:tbl>
      <w:tblPr>
        <w:tblW w:w="9468" w:type="dxa"/>
        <w:jc w:val="center"/>
        <w:tblInd w:w="0" w:type="dxa"/>
        <w:tblLayout w:type="fixed"/>
        <w:tblCellMar>
          <w:top w:w="0" w:type="dxa"/>
          <w:left w:w="0" w:type="dxa"/>
          <w:bottom w:w="0" w:type="dxa"/>
          <w:right w:w="0" w:type="dxa"/>
        </w:tblCellMar>
      </w:tblPr>
      <w:tblGrid>
        <w:gridCol w:w="38"/>
        <w:gridCol w:w="20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9230" w:type="dxa"/>
            <w:tcBorders/>
            <w:vAlign w:val="center"/>
          </w:tcPr>
          <w:p>
            <w:pPr>
              <w:pStyle w:val="TableContents"/>
              <w:bidi w:val="0"/>
              <w:spacing w:before="0" w:after="283"/>
              <w:jc w:val="left"/>
              <w:rPr/>
            </w:pPr>
            <w:r>
              <w:rPr>
                <w:u w:val="single"/>
              </w:rPr>
              <w:t>Acceleration upon Corporate Change</w:t>
            </w:r>
            <w:r>
              <w:rPr/>
              <w:t>. Overriding any other inconsistent terms of this Agreement:</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u w:val="single"/>
              </w:rPr>
              <w:t>PSU Award</w:t>
            </w:r>
            <w:r>
              <w:rPr/>
              <w:t>. If there is a Corporate Change before the close of the Performance Period, Employee is entitled to receive both i. and ii., as follows:</w:t>
            </w:r>
          </w:p>
        </w:tc>
      </w:tr>
    </w:tbl>
    <w:p>
      <w:pPr>
        <w:pStyle w:val="TextBody"/>
        <w:bidi w:val="0"/>
        <w:spacing w:before="0" w:after="0"/>
        <w:ind w:left="720" w:right="0" w:hanging="0"/>
        <w:jc w:val="left"/>
        <w:rPr>
          <w:caps w:val="false"/>
          <w:smallCaps w:val="false"/>
          <w:bdr w:val="single" w:sz="16" w:space="1" w:color="00693C"/>
        </w:rPr>
      </w:pPr>
      <w:r>
        <w:rPr>
          <w:caps w:val="false"/>
          <w:smallCaps w:val="false"/>
          <w:bdr w:val="single" w:sz="16" w:space="1" w:color="00693C"/>
        </w:rPr>
        <w:t> </w:t>
      </w:r>
    </w:p>
    <w:tbl>
      <w:tblPr>
        <w:tblW w:w="7593" w:type="dxa"/>
        <w:jc w:val="left"/>
        <w:tblInd w:w="0" w:type="dxa"/>
        <w:tblLayout w:type="fixed"/>
        <w:tblCellMar>
          <w:top w:w="0" w:type="dxa"/>
          <w:left w:w="0" w:type="dxa"/>
          <w:bottom w:w="0" w:type="dxa"/>
          <w:right w:w="0" w:type="dxa"/>
        </w:tblCellMar>
      </w:tblPr>
      <w:tblGrid>
        <w:gridCol w:w="38"/>
        <w:gridCol w:w="14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7415" w:type="dxa"/>
            <w:tcBorders/>
            <w:vAlign w:val="center"/>
          </w:tcPr>
          <w:p>
            <w:pPr>
              <w:pStyle w:val="TableContents"/>
              <w:bidi w:val="0"/>
              <w:spacing w:before="0" w:after="283"/>
              <w:jc w:val="left"/>
              <w:rPr/>
            </w:pPr>
            <w:r>
              <w:rPr/>
              <w:t>For each half of the PSU Award, the result of an equation with a numerator of</w:t>
            </w:r>
          </w:p>
        </w:tc>
      </w:tr>
    </w:tbl>
    <w:p>
      <w:pPr>
        <w:pStyle w:val="TextBody"/>
        <w:bidi w:val="0"/>
        <w:spacing w:before="0" w:after="0"/>
        <w:ind w:left="1440" w:right="0" w:hanging="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(x)</w:t>
            </w:r>
          </w:p>
        </w:tc>
        <w:tc>
          <w:tcPr>
            <w:tcW w:w="9938" w:type="dxa"/>
            <w:tcBorders/>
            <w:vAlign w:val="center"/>
          </w:tcPr>
          <w:p>
            <w:pPr>
              <w:pStyle w:val="TableContents"/>
              <w:bidi w:val="0"/>
              <w:spacing w:before="0" w:after="283"/>
              <w:jc w:val="left"/>
              <w:rPr/>
            </w:pPr>
            <w:r>
              <w:rPr/>
              <w:t>the respective number of PSUs Employee would have otherwise received based upon achievement of the applicable Performance Goal after reducing the Performance Period so that it ends on the last day of the quarter preceding the Corporate Change (the “</w:t>
            </w:r>
            <w:r>
              <w:rPr>
                <w:b/>
                <w:i/>
              </w:rPr>
              <w:t>Early Measurement Date</w:t>
            </w:r>
            <w:r>
              <w:rPr/>
              <w:t>”) and, for the Cash Flow Generation half of the PSU Award, after adjusting the Threshold, Target and Maximum Achievement Levels to reflect budgeted performance in the shorter Performance Period, multiplied by</w:t>
            </w:r>
          </w:p>
        </w:tc>
      </w:tr>
    </w:tbl>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(y)</w:t>
            </w:r>
          </w:p>
        </w:tc>
        <w:tc>
          <w:tcPr>
            <w:tcW w:w="9915" w:type="dxa"/>
            <w:tcBorders/>
            <w:vAlign w:val="center"/>
          </w:tcPr>
          <w:p>
            <w:pPr>
              <w:pStyle w:val="TableContents"/>
              <w:bidi w:val="0"/>
              <w:spacing w:before="0" w:after="283"/>
              <w:jc w:val="left"/>
              <w:rPr/>
            </w:pPr>
            <w:r>
              <w:rPr/>
              <w:t>a fraction equal to (1) the number of days occurring between the beginning of the Performance Period and the Early Measurement Date (including the Early Measurement Date) divided by (2) 1096.</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440"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Payout of the PSUs shall be an immediate cash payment (in all events paid within 74 days following the Corporate Change) equal to the number of PSUs earned under this paragraph 5.a. multiplied by the closing stock price of the Common Stock on the Early Measurement Date and will be accompanied by a cash payment of the associated Dividend Equivalents through the Early Measurement Date; and</w:t>
      </w:r>
    </w:p>
    <w:p>
      <w:pPr>
        <w:pStyle w:val="TextBody"/>
        <w:bidi w:val="0"/>
        <w:spacing w:before="0" w:after="0"/>
        <w:ind w:left="2520" w:right="0" w:hanging="0"/>
        <w:jc w:val="left"/>
        <w:rPr>
          <w:caps w:val="false"/>
          <w:smallCaps w:val="false"/>
          <w:bdr w:val="single" w:sz="16" w:space="1" w:color="00693C"/>
        </w:rPr>
      </w:pPr>
      <w:r>
        <w:rPr>
          <w:caps w:val="false"/>
          <w:smallCaps w:val="false"/>
          <w:bdr w:val="single" w:sz="16" w:space="1"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As a substitute award for the lost opportunity to continue to earn PSUs for the entire length of the original Performance Period:</w:t>
            </w:r>
          </w:p>
        </w:tc>
      </w:tr>
    </w:tbl>
    <w:p>
      <w:pPr>
        <w:pStyle w:val="TextBody"/>
        <w:bidi w:val="0"/>
        <w:spacing w:before="0" w:after="0"/>
        <w:ind w:left="1800" w:right="0" w:hanging="36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left"/>
              <w:rPr/>
            </w:pPr>
            <w:r>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tc>
      </w:tr>
    </w:tbl>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p>
      <w:pPr>
        <w:pStyle w:val="TextBody"/>
        <w:bidi w:val="0"/>
        <w:spacing w:before="0" w:after="0"/>
        <w:jc w:val="center"/>
        <w:rPr>
          <w:rFonts w:ascii="Arial;Helvetica;Sans-Serif" w:hAnsi="Arial;Helvetica;Sans-Serif"/>
          <w:b/>
          <w:i w:val="false"/>
          <w:caps w:val="false"/>
          <w:smallCaps w:val="false"/>
          <w:sz w:val="22"/>
          <w:u w:val="single"/>
          <w:bdr w:val="single" w:sz="16" w:space="1" w:color="00693C"/>
        </w:rPr>
      </w:pPr>
      <w:r>
        <w:rPr>
          <w:rFonts w:ascii="Arial;Helvetica;Sans-Serif" w:hAnsi="Arial;Helvetica;Sans-Serif"/>
          <w:b/>
          <w:i w:val="false"/>
          <w:caps w:val="false"/>
          <w:smallCaps w:val="false"/>
          <w:sz w:val="22"/>
          <w:u w:val="single"/>
          <w:bdr w:val="single" w:sz="16" w:space="1" w:color="00693C"/>
        </w:rPr>
        <w:t>TAP X (1096 – EMD) x CP</w:t>
      </w:r>
    </w:p>
    <w:p>
      <w:pPr>
        <w:pStyle w:val="TextBody"/>
        <w:bidi w:val="0"/>
        <w:spacing w:before="0" w:after="0"/>
        <w:jc w:val="center"/>
        <w:rPr>
          <w:rFonts w:ascii="Arial;Helvetica;Sans-Serif" w:hAnsi="Arial;Helvetica;Sans-Serif"/>
          <w:b/>
          <w:i w:val="false"/>
          <w:caps w:val="false"/>
          <w:smallCaps w:val="false"/>
          <w:sz w:val="22"/>
          <w:bdr w:val="single" w:sz="16" w:space="1" w:color="00693C"/>
        </w:rPr>
      </w:pPr>
      <w:r>
        <w:rPr>
          <w:rFonts w:ascii="Arial;Helvetica;Sans-Serif" w:hAnsi="Arial;Helvetica;Sans-Serif"/>
          <w:b/>
          <w:i w:val="false"/>
          <w:caps w:val="false"/>
          <w:smallCaps w:val="false"/>
          <w:sz w:val="22"/>
          <w:bdr w:val="single" w:sz="16" w:space="1" w:color="00693C"/>
        </w:rPr>
        <w:t>1096</w:t>
      </w:r>
    </w:p>
    <w:p>
      <w:pPr>
        <w:pStyle w:val="TextBody"/>
        <w:bidi w:val="0"/>
        <w:spacing w:before="0" w:after="0"/>
        <w:ind w:left="1800" w:right="0" w:firstLine="72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where</w:t>
      </w:r>
    </w:p>
    <w:p>
      <w:pPr>
        <w:pStyle w:val="TextBody"/>
        <w:bidi w:val="0"/>
        <w:spacing w:before="0" w:after="0"/>
        <w:ind w:left="1800" w:right="0" w:firstLine="216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i w:val="false"/>
          <w:caps w:val="false"/>
          <w:smallCaps w:val="false"/>
          <w:sz w:val="22"/>
          <w:bdr w:val="single" w:sz="16" w:space="1" w:color="00693C"/>
        </w:rPr>
        <w:t>TAP</w:t>
      </w:r>
      <w:r>
        <w:rPr>
          <w:rFonts w:ascii="Arial;Helvetica;Sans-Serif" w:hAnsi="Arial;Helvetica;Sans-Serif"/>
          <w:b w:val="false"/>
          <w:i w:val="false"/>
          <w:caps w:val="false"/>
          <w:smallCaps w:val="false"/>
          <w:sz w:val="22"/>
          <w:bdr w:val="single" w:sz="16" w:space="1" w:color="00693C"/>
        </w:rPr>
        <w:t xml:space="preserve"> is the number of PSUs represented by the Target PSU Award;</w:t>
      </w:r>
    </w:p>
    <w:p>
      <w:pPr>
        <w:pStyle w:val="TextBody"/>
        <w:bidi w:val="0"/>
        <w:spacing w:before="0" w:after="0"/>
        <w:ind w:left="1800" w:right="0" w:firstLine="216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i w:val="false"/>
          <w:caps w:val="false"/>
          <w:smallCaps w:val="false"/>
          <w:sz w:val="22"/>
          <w:bdr w:val="single" w:sz="16" w:space="1" w:color="00693C"/>
        </w:rPr>
        <w:t>EMD</w:t>
      </w:r>
      <w:r>
        <w:rPr>
          <w:rFonts w:ascii="Arial;Helvetica;Sans-Serif" w:hAnsi="Arial;Helvetica;Sans-Serif"/>
          <w:b w:val="false"/>
          <w:i w:val="false"/>
          <w:caps w:val="false"/>
          <w:smallCaps w:val="false"/>
          <w:sz w:val="22"/>
          <w:bdr w:val="single" w:sz="16" w:space="1" w:color="00693C"/>
        </w:rPr>
        <w:t xml:space="preserve"> is the number of days during the Performance Period which occur prior to and including the Early Measurement Date; and</w:t>
      </w:r>
    </w:p>
    <w:p>
      <w:pPr>
        <w:pStyle w:val="TextBody"/>
        <w:bidi w:val="0"/>
        <w:spacing w:before="0" w:after="0"/>
        <w:ind w:left="1800" w:right="0" w:firstLine="216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i w:val="false"/>
          <w:caps w:val="false"/>
          <w:smallCaps w:val="false"/>
          <w:sz w:val="22"/>
          <w:bdr w:val="single" w:sz="16" w:space="1" w:color="00693C"/>
        </w:rPr>
        <w:t>CP</w:t>
      </w:r>
      <w:r>
        <w:rPr>
          <w:rFonts w:ascii="Arial;Helvetica;Sans-Serif" w:hAnsi="Arial;Helvetica;Sans-Serif"/>
          <w:b w:val="false"/>
          <w:i w:val="false"/>
          <w:caps w:val="false"/>
          <w:smallCaps w:val="false"/>
          <w:sz w:val="22"/>
          <w:bdr w:val="single" w:sz="16" w:space="1" w:color="00693C"/>
        </w:rPr>
        <w:t xml:space="preserve"> is the closing price of a share of Common Stock of the Company on the Early Measurement Date.</w:t>
      </w:r>
    </w:p>
    <w:p>
      <w:pPr>
        <w:pStyle w:val="TextBody"/>
        <w:bidi w:val="0"/>
        <w:spacing w:before="0" w:after="0"/>
        <w:ind w:left="180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800"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 xml:space="preserve">Any restricted stock units in the successor entity awarded under this paragraph 5.a.ii.1. will vest completely on December 31, 2027 (and be paid within 74 days thereof), provided that Employee remains continuously employed with the successor entity until then. Provided however, in the event of Employee’s involuntary Termination of Employment without Cause during the </w:t>
      </w:r>
      <w:r>
        <w:rPr>
          <w:rFonts w:ascii="Arial;Helvetica;Sans-Serif" w:hAnsi="Arial;Helvetica;Sans-Serif"/>
          <w:b/>
          <w:i/>
          <w:caps w:val="false"/>
          <w:smallCaps w:val="false"/>
          <w:sz w:val="22"/>
          <w:bdr w:val="single" w:sz="16" w:space="1" w:color="00693C"/>
        </w:rPr>
        <w:t>Window Period</w:t>
      </w:r>
      <w:r>
        <w:rPr>
          <w:rFonts w:ascii="Arial;Helvetica;Sans-Serif" w:hAnsi="Arial;Helvetica;Sans-Serif"/>
          <w:b w:val="false"/>
          <w:i w:val="false"/>
          <w:caps w:val="false"/>
          <w:smallCaps w:val="false"/>
          <w:sz w:val="22"/>
          <w:bdr w:val="single" w:sz="16" w:space="1" w:color="00693C"/>
        </w:rPr>
        <w:t xml:space="preserve"> (as defined in paragraph b. below) or upon Employee’s Retirement, death or Disability, Employee shall become immediately vested in full in the restricted stock units in the successor entity awarded pursuant to this paragraph 5.a.ii.1 and paid (i) in the case of death or Disability,</w:t>
      </w:r>
    </w:p>
    <w:p>
      <w:pPr>
        <w:pStyle w:val="TextBody"/>
        <w:bidi w:val="0"/>
        <w:spacing w:before="0" w:after="0"/>
        <w:ind w:left="180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7</w:t>
      </w:r>
    </w:p>
    <w:p>
      <w:pPr>
        <w:pStyle w:val="TextBody"/>
        <w:bidi w:val="0"/>
        <w:spacing w:before="0" w:after="0"/>
        <w:ind w:left="0" w:right="0" w:hanging="0"/>
        <w:jc w:val="left"/>
        <w:rPr/>
      </w:pPr>
      <w:r>
        <w:rPr/>
        <w:t> </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800" w:right="0"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within 74 days of such time or (ii) in the case of Retirement or involuntary Termination of Employment without Cause, within 74 days following December 31, 2027.</w:t>
      </w:r>
    </w:p>
    <w:p>
      <w:pPr>
        <w:pStyle w:val="TextBody"/>
        <w:bidi w:val="0"/>
        <w:spacing w:before="0" w:after="0"/>
        <w:ind w:left="1800" w:right="0" w:hanging="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6" w:type="dxa"/>
            <w:tcBorders/>
            <w:vAlign w:val="center"/>
          </w:tcPr>
          <w:p>
            <w:pPr>
              <w:pStyle w:val="TableContents"/>
              <w:bidi w:val="0"/>
              <w:spacing w:before="0" w:after="283"/>
              <w:jc w:val="left"/>
              <w:rPr/>
            </w:pPr>
            <w:r>
              <w:rPr/>
              <w:t>If the successor entity is not a publicly traded company as of the Early Measurement Date, an amount of cash equal to the quotient obtained from the equation in paragraph 5.a.ii.1. above.</w:t>
            </w:r>
          </w:p>
        </w:tc>
      </w:tr>
    </w:tbl>
    <w:p>
      <w:pPr>
        <w:pStyle w:val="TextBody"/>
        <w:bidi w:val="0"/>
        <w:spacing w:before="0" w:after="0"/>
        <w:ind w:left="180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800" w:right="108" w:hanging="0"/>
        <w:jc w:val="left"/>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val="false"/>
          <w:i w:val="false"/>
          <w:caps w:val="false"/>
          <w:smallCaps w:val="false"/>
          <w:sz w:val="22"/>
          <w:bdr w:val="single" w:sz="16" w:space="1" w:color="00693C"/>
        </w:rPr>
        <w:t>Any cash payment awarded under this paragraph 5.a.ii.2. will be paid to Employee as soon as administratively feasible (and no later than 74 days) following December 31, 2027,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2027.</w:t>
      </w:r>
    </w:p>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b/>
                <w:i/>
              </w:rPr>
              <w:t>Window Period</w:t>
            </w:r>
            <w:r>
              <w:rPr/>
              <w:t xml:space="preserve"> means the period beginning on the date occurring six (6) months immediately prior to the date on which a Corporate Change first occurs and ending on the second anniversary of the date on which a Corporate Change occurs.</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2388" w:type="dxa"/>
        <w:jc w:val="center"/>
        <w:tblInd w:w="0" w:type="dxa"/>
        <w:tblLayout w:type="fixed"/>
        <w:tblCellMar>
          <w:top w:w="0" w:type="dxa"/>
          <w:left w:w="0" w:type="dxa"/>
          <w:bottom w:w="0" w:type="dxa"/>
          <w:right w:w="0" w:type="dxa"/>
        </w:tblCellMar>
      </w:tblPr>
      <w:tblGrid>
        <w:gridCol w:w="38"/>
        <w:gridCol w:w="20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2150" w:type="dxa"/>
            <w:tcBorders/>
            <w:vAlign w:val="center"/>
          </w:tcPr>
          <w:p>
            <w:pPr>
              <w:pStyle w:val="TableContents"/>
              <w:bidi w:val="0"/>
              <w:spacing w:before="0" w:after="283"/>
              <w:jc w:val="left"/>
              <w:rPr/>
            </w:pPr>
            <w:r>
              <w:rPr>
                <w:u w:val="single"/>
              </w:rPr>
              <w:t>Dividend Equivalents</w:t>
            </w:r>
            <w:r>
              <w:rPr/>
              <w:t>.</w:t>
            </w:r>
          </w:p>
        </w:tc>
      </w:tr>
    </w:tbl>
    <w:p>
      <w:pPr>
        <w:pStyle w:val="TextBody"/>
        <w:bidi w:val="0"/>
        <w:spacing w:before="0" w:after="0"/>
        <w:ind w:left="360" w:right="0" w:hanging="0"/>
        <w:jc w:val="left"/>
        <w:rPr>
          <w:caps w:val="false"/>
          <w:smallCaps w:val="false"/>
          <w:bdr w:val="single" w:sz="16" w:space="1" w:color="00693C"/>
        </w:rPr>
      </w:pPr>
      <w:r>
        <w:rPr>
          <w:caps w:val="false"/>
          <w:smallCaps w:val="false"/>
          <w:bdr w:val="single" w:sz="16" w:space="1" w:color="00693C"/>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5.a.i.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tc>
      </w:tr>
    </w:tbl>
    <w:p>
      <w:pPr>
        <w:pStyle w:val="TextBody"/>
        <w:bidi w:val="0"/>
        <w:spacing w:before="0" w:after="0"/>
        <w:ind w:left="810" w:right="0" w:hanging="0"/>
        <w:jc w:val="left"/>
        <w:rPr>
          <w:caps w:val="false"/>
          <w:smallCaps w:val="false"/>
          <w:bdr w:val="single" w:sz="16" w:space="1" w:color="00693C"/>
        </w:rPr>
      </w:pPr>
      <w:r>
        <w:rPr>
          <w:caps w:val="false"/>
          <w:smallCaps w:val="false"/>
          <w:bdr w:val="single" w:sz="16" w:space="1" w:color="00693C"/>
        </w:rPr>
        <w:t> </w:t>
      </w:r>
    </w:p>
    <w:tbl>
      <w:tblPr>
        <w:tblW w:w="1113" w:type="dxa"/>
        <w:jc w:val="center"/>
        <w:tblInd w:w="0" w:type="dxa"/>
        <w:tblLayout w:type="fixed"/>
        <w:tblCellMar>
          <w:top w:w="0" w:type="dxa"/>
          <w:left w:w="0" w:type="dxa"/>
          <w:bottom w:w="0" w:type="dxa"/>
          <w:right w:w="0" w:type="dxa"/>
        </w:tblCellMar>
      </w:tblPr>
      <w:tblGrid>
        <w:gridCol w:w="38"/>
        <w:gridCol w:w="20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875" w:type="dxa"/>
            <w:tcBorders/>
            <w:vAlign w:val="center"/>
          </w:tcPr>
          <w:p>
            <w:pPr>
              <w:pStyle w:val="TableContents"/>
              <w:bidi w:val="0"/>
              <w:spacing w:before="0" w:after="283"/>
              <w:jc w:val="left"/>
              <w:rPr/>
            </w:pPr>
            <w:r>
              <w:rPr>
                <w:u w:val="single"/>
              </w:rPr>
              <w:t>Deferral</w:t>
            </w:r>
            <w:r>
              <w:rPr/>
              <w:t>.</w:t>
            </w:r>
          </w:p>
        </w:tc>
      </w:tr>
    </w:tbl>
    <w:p>
      <w:pPr>
        <w:pStyle w:val="TextBody"/>
        <w:bidi w:val="0"/>
        <w:spacing w:before="0" w:after="0"/>
        <w:ind w:left="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The Committee may establish procedures for Employee to elect for deferral, until a time or times later than the vesting of PSU Awards, receipt of all or a portion of the shares of Common Stock deliverable under the Awards. Any such deferral must be under the terms and conditions determined in the sole discretion of the Committee (or its designee) and the Waste Management, Inc. 409A Deferral Savings Plan (“</w:t>
            </w:r>
            <w:r>
              <w:rPr>
                <w:b/>
                <w:i/>
              </w:rPr>
              <w:t>WM 409A Plan</w:t>
            </w:r>
            <w:r>
              <w:rPr/>
              <w:t>”). The Committee further retains the authority and discretion to modify and/or terminate existing deferral elections, procedures, and distribution options. Common Stock subject to a deferral election does not confer any shareholder rights to Employee unless and until the date the deferral expires and certificates representing such shares are delivered to Employee.</w:t>
            </w:r>
          </w:p>
        </w:tc>
      </w:tr>
    </w:tbl>
    <w:p>
      <w:pPr>
        <w:pStyle w:val="TextBody"/>
        <w:bidi w:val="0"/>
        <w:spacing w:before="0" w:after="0"/>
        <w:ind w:left="72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No deferral of Dividend Equivalents is permitted. In the event shares of Common Stock received upon vesting of PSU Awards are deferred pursuant to a valid deferral, then the Company will pay Dividend Equivalents to Employee in cash on such deferred shares of Common Stock, as soon as administratively feasible following the payment of such dividends to stockholders of record.</w:t>
            </w:r>
          </w:p>
        </w:tc>
      </w:tr>
    </w:tbl>
    <w:p>
      <w:pPr>
        <w:pStyle w:val="TextBody"/>
        <w:bidi w:val="0"/>
        <w:jc w:val="left"/>
        <w:rPr>
          <w:bdr w:val="single" w:sz="16" w:space="1" w:color="00693C"/>
        </w:rPr>
      </w:pPr>
      <w:r>
        <w:rPr>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 xml:space="preserve">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w:t>
            </w:r>
          </w:p>
        </w:tc>
      </w:tr>
    </w:tbl>
    <w:p>
      <w:pPr>
        <w:pStyle w:val="TextBody"/>
        <w:bidi w:val="0"/>
        <w:spacing w:before="0" w:after="0"/>
        <w:ind w:left="72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8</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72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left"/>
              <w:rPr/>
            </w:pPr>
            <w:r>
              <w:rPr/>
              <w:t>Section 409A to this Agreement may require additional delay of payments otherwise payable under this Agreement or the WM 409A Plan. Employee and the Company agree to execute any instruments and take any action as reasonably may be necessary to comply with Section 409A.</w:t>
            </w:r>
          </w:p>
        </w:tc>
      </w:tr>
    </w:tbl>
    <w:p>
      <w:pPr>
        <w:pStyle w:val="TextBody"/>
        <w:bidi w:val="0"/>
        <w:spacing w:before="0" w:after="0"/>
        <w:ind w:left="72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6" w:space="1" w:color="00693C"/>
        </w:rPr>
      </w:pPr>
      <w:r>
        <w:rPr>
          <w:rFonts w:ascii="Arial;Helvetica;Sans-Serif" w:hAnsi="Arial;Helvetica;Sans-Serif"/>
          <w:b/>
          <w:i w:val="false"/>
          <w:caps w:val="false"/>
          <w:smallCaps w:val="false"/>
          <w:color w:val="00693C"/>
          <w:sz w:val="32"/>
          <w:bdr w:val="single" w:sz="16" w:space="1" w:color="00693C"/>
        </w:rPr>
        <w:t>General Terms</w:t>
      </w:r>
    </w:p>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2598" w:type="dxa"/>
        <w:jc w:val="center"/>
        <w:tblInd w:w="0" w:type="dxa"/>
        <w:tblLayout w:type="fixed"/>
        <w:tblCellMar>
          <w:top w:w="0" w:type="dxa"/>
          <w:left w:w="0" w:type="dxa"/>
          <w:bottom w:w="0" w:type="dxa"/>
          <w:right w:w="0" w:type="dxa"/>
        </w:tblCellMar>
      </w:tblPr>
      <w:tblGrid>
        <w:gridCol w:w="38"/>
        <w:gridCol w:w="20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360" w:type="dxa"/>
            <w:tcBorders/>
            <w:vAlign w:val="center"/>
          </w:tcPr>
          <w:p>
            <w:pPr>
              <w:pStyle w:val="TableContents"/>
              <w:bidi w:val="0"/>
              <w:spacing w:before="0" w:after="283"/>
              <w:jc w:val="left"/>
              <w:rPr/>
            </w:pPr>
            <w:r>
              <w:rPr>
                <w:u w:val="single"/>
              </w:rPr>
              <w:t>Restrictions on Transfer</w:t>
            </w:r>
            <w:r>
              <w:rPr/>
              <w:t>.</w:t>
            </w:r>
          </w:p>
        </w:tc>
      </w:tr>
    </w:tbl>
    <w:p>
      <w:pPr>
        <w:pStyle w:val="TextBody"/>
        <w:bidi w:val="0"/>
        <w:spacing w:before="0" w:after="0"/>
        <w:ind w:left="108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tc>
      </w:tr>
    </w:tbl>
    <w:p>
      <w:pPr>
        <w:pStyle w:val="TextBody"/>
        <w:bidi w:val="0"/>
        <w:spacing w:before="0" w:after="0"/>
        <w:ind w:left="72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left"/>
              <w:rPr/>
            </w:pPr>
            <w:r>
              <w:rPr>
                <w:u w:val="single"/>
              </w:rPr>
              <w:t>Fractional Shares</w:t>
            </w:r>
            <w:r>
              <w:rPr/>
              <w:t>. No fractional shares of Common Stock will be issued under the Plan or this Agreement.</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left"/>
              <w:rPr/>
            </w:pPr>
            <w:r>
              <w:rPr>
                <w:u w:val="single"/>
              </w:rPr>
              <w:t>Withholding Tax</w:t>
            </w:r>
            <w:r>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283"/>
              <w:jc w:val="left"/>
              <w:rPr/>
            </w:pPr>
            <w:r>
              <w:rPr>
                <w:u w:val="single"/>
              </w:rPr>
              <w:t>Compliance with Securities Laws.</w:t>
            </w:r>
            <w:r>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tc>
      </w:tr>
    </w:tbl>
    <w:p>
      <w:pPr>
        <w:pStyle w:val="TextBody"/>
        <w:bidi w:val="0"/>
        <w:jc w:val="left"/>
        <w:rPr>
          <w:bdr w:val="single" w:sz="16" w:space="1" w:color="00693C"/>
        </w:rPr>
      </w:pPr>
      <w:r>
        <w:rPr>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75"/>
        <w:gridCol w:w="23"/>
        <w:gridCol w:w="10107"/>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0107" w:type="dxa"/>
            <w:tcBorders/>
            <w:vAlign w:val="center"/>
          </w:tcPr>
          <w:p>
            <w:pPr>
              <w:pStyle w:val="TableContents"/>
              <w:bidi w:val="0"/>
              <w:spacing w:before="0" w:after="283"/>
              <w:jc w:val="left"/>
              <w:rPr/>
            </w:pPr>
            <w:r>
              <w:rPr/>
              <w:t>Further,WM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75"/>
        <w:gridCol w:w="23"/>
        <w:gridCol w:w="10107"/>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0107" w:type="dxa"/>
            <w:tcBorders/>
            <w:vAlign w:val="center"/>
          </w:tcPr>
          <w:p>
            <w:pPr>
              <w:pStyle w:val="TableContents"/>
              <w:bidi w:val="0"/>
              <w:spacing w:before="0" w:after="283"/>
              <w:jc w:val="left"/>
              <w:rPr/>
            </w:pPr>
            <w:r>
              <w:rPr/>
              <w:t>establishment of Employee’s compliance with any necessary representations or terms and conditions of the Plan or this Agreement, or (d) compliance with any federal, state, or local tax withholding obligations.</w:t>
            </w:r>
          </w:p>
        </w:tc>
      </w:tr>
    </w:tbl>
    <w:p>
      <w:pPr>
        <w:pStyle w:val="TextBody"/>
        <w:bidi w:val="0"/>
        <w:spacing w:before="0" w:after="0"/>
        <w:ind w:left="720" w:right="0" w:hanging="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5.</w:t>
            </w:r>
          </w:p>
        </w:tc>
        <w:tc>
          <w:tcPr>
            <w:tcW w:w="10018" w:type="dxa"/>
            <w:tcBorders/>
            <w:vAlign w:val="center"/>
          </w:tcPr>
          <w:p>
            <w:pPr>
              <w:pStyle w:val="TableContents"/>
              <w:bidi w:val="0"/>
              <w:spacing w:before="0" w:after="283"/>
              <w:jc w:val="left"/>
              <w:rPr/>
            </w:pPr>
            <w:r>
              <w:rPr>
                <w:u w:val="single"/>
              </w:rPr>
              <w:t>Employee to Have no Rights as a Stockholder.</w:t>
            </w:r>
            <w:r>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6 under “Important Award Details.”</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1" w:type="dxa"/>
            <w:tcBorders/>
            <w:vAlign w:val="center"/>
          </w:tcPr>
          <w:p>
            <w:pPr>
              <w:pStyle w:val="TableContents"/>
              <w:bidi w:val="0"/>
              <w:spacing w:before="0" w:after="283"/>
              <w:jc w:val="both"/>
              <w:rPr/>
            </w:pPr>
            <w:r>
              <w:rPr>
                <w:u w:val="single"/>
              </w:rPr>
              <w:t>Successors and Assigns</w:t>
            </w:r>
            <w:r>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under “Important Award Details.”</w:t>
            </w:r>
          </w:p>
        </w:tc>
      </w:tr>
    </w:tbl>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tbl>
      <w:tblPr>
        <w:tblW w:w="7923" w:type="dxa"/>
        <w:jc w:val="center"/>
        <w:tblInd w:w="0" w:type="dxa"/>
        <w:tblLayout w:type="fixed"/>
        <w:tblCellMar>
          <w:top w:w="0" w:type="dxa"/>
          <w:left w:w="0" w:type="dxa"/>
          <w:bottom w:w="0" w:type="dxa"/>
          <w:right w:w="0" w:type="dxa"/>
        </w:tblCellMar>
      </w:tblPr>
      <w:tblGrid>
        <w:gridCol w:w="38"/>
        <w:gridCol w:w="20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7685" w:type="dxa"/>
            <w:tcBorders/>
            <w:vAlign w:val="center"/>
          </w:tcPr>
          <w:p>
            <w:pPr>
              <w:pStyle w:val="TableContents"/>
              <w:bidi w:val="0"/>
              <w:spacing w:before="0" w:after="283"/>
              <w:jc w:val="both"/>
              <w:rPr/>
            </w:pPr>
            <w:r>
              <w:rPr>
                <w:u w:val="single"/>
              </w:rPr>
              <w:t>Limitation of Rights</w:t>
            </w:r>
            <w:r>
              <w:rPr/>
              <w:t>. Nothing in this Agreement or the Plan may be construed to:</w:t>
            </w:r>
          </w:p>
        </w:tc>
      </w:tr>
    </w:tbl>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give Employee any right to be awarded any further Awards other than in the sole discretion of the Committee;</w:t>
            </w:r>
          </w:p>
        </w:tc>
      </w:tr>
    </w:tbl>
    <w:p>
      <w:pPr>
        <w:pStyle w:val="TextBody"/>
        <w:bidi w:val="0"/>
        <w:spacing w:before="0" w:after="0"/>
        <w:ind w:left="720" w:right="0" w:hanging="360"/>
        <w:jc w:val="both"/>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tc>
      </w:tr>
    </w:tbl>
    <w:p>
      <w:pPr>
        <w:pStyle w:val="TextBody"/>
        <w:bidi w:val="0"/>
        <w:spacing w:before="0" w:after="0"/>
        <w:jc w:val="left"/>
        <w:rPr>
          <w:caps w:val="false"/>
          <w:smallCaps w:val="false"/>
          <w:bdr w:val="single" w:sz="16" w:space="1" w:color="00693C"/>
        </w:rPr>
      </w:pPr>
      <w:r>
        <w:rPr>
          <w:caps w:val="false"/>
          <w:smallCaps w:val="false"/>
          <w:bdr w:val="single" w:sz="16" w:space="1" w:color="00693C"/>
        </w:rPr>
        <w:t> </w:t>
      </w:r>
    </w:p>
    <w:tbl>
      <w:tblPr>
        <w:tblW w:w="7968" w:type="dxa"/>
        <w:jc w:val="center"/>
        <w:tblInd w:w="0" w:type="dxa"/>
        <w:tblLayout w:type="fixed"/>
        <w:tblCellMar>
          <w:top w:w="0" w:type="dxa"/>
          <w:left w:w="0" w:type="dxa"/>
          <w:bottom w:w="0" w:type="dxa"/>
          <w:right w:w="0" w:type="dxa"/>
        </w:tblCellMar>
      </w:tblPr>
      <w:tblGrid>
        <w:gridCol w:w="38"/>
        <w:gridCol w:w="185"/>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7745" w:type="dxa"/>
            <w:tcBorders/>
            <w:vAlign w:val="center"/>
          </w:tcPr>
          <w:p>
            <w:pPr>
              <w:pStyle w:val="TableContents"/>
              <w:bidi w:val="0"/>
              <w:spacing w:before="0" w:after="283"/>
              <w:jc w:val="both"/>
              <w:rPr/>
            </w:pPr>
            <w:r>
              <w:rPr/>
              <w:t>confer upon Employee the right to continue in the employment or service of WM.</w:t>
            </w:r>
          </w:p>
        </w:tc>
      </w:tr>
    </w:tbl>
    <w:p>
      <w:pPr>
        <w:pStyle w:val="TextBody"/>
        <w:bidi w:val="0"/>
        <w:spacing w:before="0" w:after="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8.</w:t>
            </w:r>
          </w:p>
        </w:tc>
        <w:tc>
          <w:tcPr>
            <w:tcW w:w="9994" w:type="dxa"/>
            <w:tcBorders/>
            <w:vAlign w:val="center"/>
          </w:tcPr>
          <w:p>
            <w:pPr>
              <w:pStyle w:val="TableContents"/>
              <w:bidi w:val="0"/>
              <w:spacing w:before="0" w:after="283"/>
              <w:jc w:val="left"/>
              <w:rPr/>
            </w:pPr>
            <w:r>
              <w:rPr>
                <w:u w:val="single"/>
              </w:rPr>
              <w:t>Governing Law</w:t>
            </w:r>
            <w:r>
              <w:rPr/>
              <w:t>. This Agreement shall be governed by and construed in accordance with the internal laws of the State of Texas, without reference to principles of conflict of laws.</w:t>
            </w:r>
          </w:p>
        </w:tc>
      </w:tr>
    </w:tbl>
    <w:p>
      <w:pPr>
        <w:pStyle w:val="TextBody"/>
        <w:bidi w:val="0"/>
        <w:spacing w:before="0" w:after="0"/>
        <w:ind w:left="360" w:right="0" w:hanging="360"/>
        <w:jc w:val="both"/>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9.</w:t>
            </w:r>
          </w:p>
        </w:tc>
        <w:tc>
          <w:tcPr>
            <w:tcW w:w="9996" w:type="dxa"/>
            <w:tcBorders/>
            <w:vAlign w:val="center"/>
          </w:tcPr>
          <w:p>
            <w:pPr>
              <w:pStyle w:val="TableContents"/>
              <w:bidi w:val="0"/>
              <w:spacing w:before="0" w:after="283"/>
              <w:jc w:val="left"/>
              <w:rPr/>
            </w:pPr>
            <w:r>
              <w:rPr>
                <w:u w:val="single"/>
              </w:rPr>
              <w:t>Severability/Entire Agreement</w:t>
            </w:r>
            <w:r>
              <w:rPr/>
              <w:t>. The invalidity or unenforceability of any provision of this Agreement shall not affect the validity or enforceability of any other provision of this Agreement.</w:t>
            </w:r>
          </w:p>
        </w:tc>
      </w:tr>
    </w:tbl>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 the Clawback Policy.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tc>
      </w:tr>
    </w:tbl>
    <w:p>
      <w:pPr>
        <w:pStyle w:val="TextBody"/>
        <w:bidi w:val="0"/>
        <w:spacing w:before="0" w:after="0"/>
        <w:ind w:left="72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Employee understands and agrees that he or she is to consult with and rely upon only Employee’s own tax, legal, and financial advisors regarding the consequences and risks of this Agreement and the awards made under this Agreement.</w:t>
            </w:r>
          </w:p>
        </w:tc>
      </w:tr>
    </w:tbl>
    <w:p>
      <w:pPr>
        <w:pStyle w:val="TextBody"/>
        <w:bidi w:val="0"/>
        <w:jc w:val="left"/>
        <w:rPr>
          <w:bdr w:val="single" w:sz="16" w:space="1" w:color="00693C"/>
        </w:rPr>
      </w:pPr>
      <w:r>
        <w:rPr>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tc>
      </w:tr>
    </w:tbl>
    <w:p>
      <w:pPr>
        <w:pStyle w:val="TextBody"/>
        <w:bidi w:val="0"/>
        <w:spacing w:before="0" w:after="0"/>
        <w:ind w:left="720" w:right="0" w:hanging="360"/>
        <w:jc w:val="center"/>
        <w:rPr>
          <w:caps w:val="false"/>
          <w:smallCaps w:val="false"/>
          <w:bdr w:val="single" w:sz="16" w:space="1" w:color="00693C"/>
        </w:rPr>
      </w:pPr>
      <w:r>
        <w:rPr>
          <w:caps w:val="false"/>
          <w:smallCaps w:val="false"/>
          <w:bdr w:val="single" w:sz="16" w:space="1" w:color="00693C"/>
        </w:rPr>
        <w:t> </w:t>
      </w:r>
    </w:p>
    <w:p>
      <w:pPr>
        <w:pStyle w:val="TextBody"/>
        <w:bidi w:val="0"/>
        <w:spacing w:before="0" w:after="0"/>
        <w:ind w:left="720" w:right="0" w:hanging="360"/>
        <w:jc w:val="center"/>
        <w:rPr>
          <w:caps w:val="false"/>
          <w:smallCaps w:val="false"/>
        </w:rPr>
      </w:pPr>
      <w:r>
        <w:rPr>
          <w:caps w:val="false"/>
          <w:smallCaps w:val="false"/>
        </w:rPr>
        <w:t> </w:t>
      </w:r>
    </w:p>
    <w:p>
      <w:pPr>
        <w:pStyle w:val="TextBody"/>
        <w:bidi w:val="0"/>
        <w:spacing w:before="0" w:after="0"/>
        <w:ind w:left="720" w:right="0" w:hanging="36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10</w:t>
      </w:r>
    </w:p>
    <w:p>
      <w:pPr>
        <w:pStyle w:val="TextBody"/>
        <w:bidi w:val="0"/>
        <w:spacing w:before="0" w:after="0"/>
        <w:ind w:left="0" w:right="0" w:hanging="0"/>
        <w:jc w:val="left"/>
        <w:rPr/>
      </w:pPr>
      <w:r>
        <w:rPr/>
        <w:t> </w:t>
      </w:r>
    </w:p>
    <w:p>
      <w:pPr>
        <w:pStyle w:val="TextBody"/>
        <w:bidi w:val="0"/>
        <w:spacing w:before="0" w:after="0"/>
        <w:ind w:left="720" w:right="0" w:hanging="360"/>
        <w:jc w:val="center"/>
        <w:rPr>
          <w:caps w:val="false"/>
          <w:smallCaps w:val="false"/>
        </w:rPr>
      </w:pPr>
      <w:r>
        <w:rPr>
          <w:caps w:val="false"/>
          <w:smallCaps w:val="false"/>
        </w:rPr>
        <w:t> </w:t>
      </w:r>
    </w:p>
    <w:p>
      <w:pPr>
        <w:pStyle w:val="TextBody"/>
        <w:bidi w:val="0"/>
        <w:spacing w:before="0" w:after="0"/>
        <w:ind w:left="720" w:right="0" w:hanging="360"/>
        <w:jc w:val="center"/>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10.</w:t>
            </w:r>
          </w:p>
        </w:tc>
        <w:tc>
          <w:tcPr>
            <w:tcW w:w="9882" w:type="dxa"/>
            <w:tcBorders/>
            <w:vAlign w:val="center"/>
          </w:tcPr>
          <w:p>
            <w:pPr>
              <w:pStyle w:val="TableContents"/>
              <w:bidi w:val="0"/>
              <w:spacing w:before="0" w:after="283"/>
              <w:jc w:val="left"/>
              <w:rPr/>
            </w:pPr>
            <w:r>
              <w:rPr>
                <w:u w:val="single"/>
              </w:rPr>
              <w:t>No Waiver</w:t>
            </w:r>
            <w:r>
              <w:rPr/>
              <w:t>. In the event the Employee or WM fails to insist on strict compliance with any term or condition of this Agreement or fails to assert any right under this Agreement, such failure is not a waiver of that term, condition or right.</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11.</w:t>
            </w:r>
          </w:p>
        </w:tc>
        <w:tc>
          <w:tcPr>
            <w:tcW w:w="9895" w:type="dxa"/>
            <w:tcBorders/>
            <w:vAlign w:val="center"/>
          </w:tcPr>
          <w:p>
            <w:pPr>
              <w:pStyle w:val="TableContents"/>
              <w:bidi w:val="0"/>
              <w:spacing w:before="0" w:after="283"/>
              <w:jc w:val="left"/>
              <w:rPr/>
            </w:pPr>
            <w:r>
              <w:rPr>
                <w:u w:val="single"/>
              </w:rPr>
              <w:t>Covenant Requirement Essential Part of Award</w:t>
            </w:r>
            <w:r>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tc>
      </w:tr>
    </w:tbl>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tbl>
      <w:tblPr>
        <w:tblW w:w="10038" w:type="dxa"/>
        <w:jc w:val="center"/>
        <w:tblInd w:w="0" w:type="dxa"/>
        <w:tblLayout w:type="fixed"/>
        <w:tblCellMar>
          <w:top w:w="0" w:type="dxa"/>
          <w:left w:w="0" w:type="dxa"/>
          <w:bottom w:w="0" w:type="dxa"/>
          <w:right w:w="0" w:type="dxa"/>
        </w:tblCellMar>
      </w:tblPr>
      <w:tblGrid>
        <w:gridCol w:w="38"/>
        <w:gridCol w:w="32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680" w:type="dxa"/>
            <w:tcBorders/>
            <w:vAlign w:val="center"/>
          </w:tcPr>
          <w:p>
            <w:pPr>
              <w:pStyle w:val="TableContents"/>
              <w:bidi w:val="0"/>
              <w:spacing w:before="0" w:after="283"/>
              <w:jc w:val="left"/>
              <w:rPr/>
            </w:pPr>
            <w:r>
              <w:rPr>
                <w:u w:val="single"/>
              </w:rPr>
              <w:t>Definitions</w:t>
            </w:r>
            <w:r>
              <w:rPr/>
              <w:t>. If not defined in this Agreement, capitalized terms have the meanings set forth in the Plan.</w:t>
            </w:r>
          </w:p>
        </w:tc>
      </w:tr>
    </w:tbl>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13.</w:t>
            </w:r>
          </w:p>
        </w:tc>
        <w:tc>
          <w:tcPr>
            <w:tcW w:w="9905" w:type="dxa"/>
            <w:tcBorders/>
            <w:vAlign w:val="center"/>
          </w:tcPr>
          <w:p>
            <w:pPr>
              <w:pStyle w:val="TableContents"/>
              <w:bidi w:val="0"/>
              <w:spacing w:before="0" w:after="283"/>
              <w:jc w:val="left"/>
              <w:rPr/>
            </w:pPr>
            <w:r>
              <w:rPr>
                <w:u w:val="single"/>
              </w:rPr>
              <w:t>Compliance with Section 409A</w:t>
            </w:r>
            <w:r>
              <w:rPr/>
              <w:t>.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tc>
      </w:tr>
    </w:tbl>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14.</w:t>
            </w:r>
          </w:p>
        </w:tc>
        <w:tc>
          <w:tcPr>
            <w:tcW w:w="9904" w:type="dxa"/>
            <w:tcBorders/>
            <w:vAlign w:val="center"/>
          </w:tcPr>
          <w:p>
            <w:pPr>
              <w:pStyle w:val="TableContents"/>
              <w:bidi w:val="0"/>
              <w:spacing w:before="0" w:after="283"/>
              <w:jc w:val="left"/>
              <w:rPr/>
            </w:pPr>
            <w:r>
              <w:rPr>
                <w:u w:val="single"/>
              </w:rPr>
              <w:t>Use of Personal Data</w:t>
            </w:r>
            <w:r>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b/>
                <w:i/>
              </w:rPr>
              <w:t>Data</w:t>
            </w:r>
            <w:r>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tc>
      </w:tr>
    </w:tbl>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15.</w:t>
            </w:r>
          </w:p>
        </w:tc>
        <w:tc>
          <w:tcPr>
            <w:tcW w:w="9894" w:type="dxa"/>
            <w:tcBorders/>
            <w:vAlign w:val="center"/>
          </w:tcPr>
          <w:p>
            <w:pPr>
              <w:pStyle w:val="TableContents"/>
              <w:bidi w:val="0"/>
              <w:spacing w:before="0" w:after="283"/>
              <w:jc w:val="left"/>
              <w:rPr/>
            </w:pPr>
            <w:r>
              <w:rPr>
                <w:u w:val="single"/>
              </w:rPr>
              <w:t>Notices</w:t>
            </w:r>
            <w:r>
              <w:rPr/>
              <w:t xml:space="preserve">. Any notice given by one party under this Agreement to the other shall be in writing and may be delivered personally or by mail, postage prepaid, addressed to the Secretary of the Company, at its then corporate </w:t>
            </w:r>
            <w:r>
              <w:rPr>
                <w:rFonts w:ascii="Arial;Helvetica;Sans-Serif" w:hAnsi="Arial;Helvetica;Sans-Serif"/>
                <w:sz w:val="22"/>
              </w:rPr>
              <w:t>headquarters, and Employee at Employee’s address as shown on WM’s records, or to such other address as Employee, by notice to the Company, may designate in writing from time to time.</w:t>
            </w:r>
          </w:p>
        </w:tc>
      </w:tr>
    </w:tbl>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11</w:t>
      </w:r>
    </w:p>
    <w:p>
      <w:pPr>
        <w:pStyle w:val="TextBody"/>
        <w:bidi w:val="0"/>
        <w:spacing w:before="0" w:after="0"/>
        <w:ind w:left="0" w:right="0" w:hanging="0"/>
        <w:jc w:val="left"/>
        <w:rPr/>
      </w:pPr>
      <w:r>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16.</w:t>
            </w:r>
          </w:p>
        </w:tc>
        <w:tc>
          <w:tcPr>
            <w:tcW w:w="9898" w:type="dxa"/>
            <w:tcBorders/>
            <w:vAlign w:val="center"/>
          </w:tcPr>
          <w:p>
            <w:pPr>
              <w:pStyle w:val="TableContents"/>
              <w:bidi w:val="0"/>
              <w:spacing w:before="0" w:after="283"/>
              <w:jc w:val="left"/>
              <w:rPr/>
            </w:pPr>
            <w:r>
              <w:rPr>
                <w:u w:val="single"/>
              </w:rPr>
              <w:t>Electronic Delivery</w:t>
            </w:r>
            <w:r>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tc>
      </w:tr>
    </w:tbl>
    <w:p>
      <w:pPr>
        <w:pStyle w:val="TextBody"/>
        <w:bidi w:val="0"/>
        <w:spacing w:before="0" w:after="0"/>
        <w:ind w:left="0" w:right="0" w:hanging="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17.</w:t>
            </w:r>
          </w:p>
        </w:tc>
        <w:tc>
          <w:tcPr>
            <w:tcW w:w="9903" w:type="dxa"/>
            <w:tcBorders/>
            <w:vAlign w:val="center"/>
          </w:tcPr>
          <w:p>
            <w:pPr>
              <w:pStyle w:val="TableContents"/>
              <w:bidi w:val="0"/>
              <w:spacing w:before="0" w:after="283"/>
              <w:jc w:val="left"/>
              <w:rPr/>
            </w:pPr>
            <w:r>
              <w:rPr>
                <w:u w:val="single"/>
              </w:rPr>
              <w:t>Binding Arbitration</w:t>
            </w:r>
            <w:r>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or a matter directly relating to this Award under the Clawback Policy, the Company and Employee agree that such dispute shall be settled exclusively by final and binding arbitration, as governed by the Federal Arbitration Act (9 U.S.C. 1 </w:t>
            </w:r>
            <w:r>
              <w:rPr>
                <w:i/>
              </w:rPr>
              <w:t xml:space="preserve">et seq.). </w:t>
            </w:r>
            <w:r>
              <w:rPr/>
              <w:t xml:space="preserve">The arbitration proceeding, including the rendering of an award, if any, shall be administered by JAMS pursuant to its Employment Arbitration Rules and Procedures, which may be found on the JAMS Website </w:t>
            </w:r>
            <w:r>
              <w:rPr>
                <w:b/>
              </w:rPr>
              <w:t>www.jamsadr.com</w:t>
            </w:r>
            <w:r>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tc>
      </w:tr>
    </w:tbl>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tbl>
      <w:tblPr>
        <w:tblW w:w="10205" w:type="dxa"/>
        <w:jc w:val="center"/>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18.</w:t>
            </w:r>
          </w:p>
        </w:tc>
        <w:tc>
          <w:tcPr>
            <w:tcW w:w="9857" w:type="dxa"/>
            <w:tcBorders/>
            <w:vAlign w:val="center"/>
          </w:tcPr>
          <w:p>
            <w:pPr>
              <w:pStyle w:val="TableContents"/>
              <w:bidi w:val="0"/>
              <w:spacing w:before="0" w:after="283"/>
              <w:jc w:val="left"/>
              <w:rPr/>
            </w:pPr>
            <w:r>
              <w:rPr>
                <w:u w:val="single"/>
              </w:rPr>
              <w:t>Counterparts</w:t>
            </w:r>
            <w:r>
              <w:rPr/>
              <w:t>. This Agreement may be executed in counterparts, which together shall constitute one and the same original.</w:t>
            </w:r>
          </w:p>
        </w:tc>
      </w:tr>
    </w:tbl>
    <w:p>
      <w:pPr>
        <w:pStyle w:val="TextBody"/>
        <w:bidi w:val="0"/>
        <w:spacing w:before="0" w:after="0"/>
        <w:ind w:left="0" w:right="0" w:hanging="0"/>
        <w:jc w:val="center"/>
        <w:rPr>
          <w:caps w:val="false"/>
          <w:smallCaps w:val="false"/>
          <w:bdr w:val="single" w:sz="16" w:space="1" w:color="00693C"/>
        </w:rPr>
      </w:pPr>
      <w:r>
        <w:rPr>
          <w:caps w:val="false"/>
          <w:smallCaps w:val="false"/>
          <w:bdr w:val="single" w:sz="16" w:space="1" w:color="00693C"/>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6" w:space="1" w:color="00693C"/>
        </w:rPr>
      </w:pPr>
      <w:r>
        <w:rPr>
          <w:rFonts w:ascii="Arial;Helvetica;Sans-Serif" w:hAnsi="Arial;Helvetica;Sans-Serif"/>
          <w:b/>
          <w:i w:val="false"/>
          <w:caps w:val="false"/>
          <w:smallCaps w:val="false"/>
          <w:color w:val="00693C"/>
          <w:sz w:val="32"/>
          <w:bdr w:val="single" w:sz="16" w:space="1" w:color="00693C"/>
        </w:rPr>
        <w:t>Execution</w:t>
      </w:r>
    </w:p>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108" w:right="108" w:hanging="0"/>
        <w:jc w:val="both"/>
        <w:rPr>
          <w:rFonts w:ascii="Arial;Helvetica;Sans-Serif" w:hAnsi="Arial;Helvetica;Sans-Serif"/>
          <w:b w:val="false"/>
          <w:i w:val="false"/>
          <w:caps w:val="false"/>
          <w:smallCaps w:val="false"/>
          <w:sz w:val="22"/>
          <w:bdr w:val="single" w:sz="16" w:space="1" w:color="00693C"/>
        </w:rPr>
      </w:pPr>
      <w:r>
        <w:rPr>
          <w:rFonts w:ascii="Arial;Helvetica;Sans-Serif" w:hAnsi="Arial;Helvetica;Sans-Serif"/>
          <w:b/>
          <w:i w:val="false"/>
          <w:caps w:val="false"/>
          <w:smallCaps w:val="false"/>
          <w:sz w:val="22"/>
          <w:bdr w:val="single" w:sz="16" w:space="1" w:color="00693C"/>
        </w:rPr>
        <w:t>IN WITNESS WHEREOF</w:t>
      </w:r>
      <w:r>
        <w:rPr>
          <w:rFonts w:ascii="Arial;Helvetica;Sans-Serif" w:hAnsi="Arial;Helvetica;Sans-Serif"/>
          <w:b w:val="false"/>
          <w:i w:val="false"/>
          <w:caps w:val="false"/>
          <w:smallCaps w:val="false"/>
          <w:sz w:val="22"/>
          <w:bdr w:val="single" w:sz="16" w:space="1" w:color="00693C"/>
        </w:rPr>
        <w:t>, the Company has caused this Agreement to be duly executed by one of its officers thereunto duly authorized and Employee has executed this Agreement, effective as of [●].</w:t>
      </w:r>
    </w:p>
    <w:p>
      <w:pPr>
        <w:pStyle w:val="TextBody"/>
        <w:bidi w:val="0"/>
        <w:spacing w:before="0" w:after="0"/>
        <w:ind w:left="0" w:right="0" w:hanging="0"/>
        <w:jc w:val="both"/>
        <w:rPr>
          <w:caps w:val="false"/>
          <w:smallCaps w:val="false"/>
          <w:bdr w:val="single" w:sz="16" w:space="1" w:color="00693C"/>
        </w:rPr>
      </w:pPr>
      <w:r>
        <w:rPr>
          <w:caps w:val="false"/>
          <w:smallCaps w:val="false"/>
          <w:bdr w:val="single" w:sz="16" w:space="1" w:color="00693C"/>
        </w:rPr>
        <w:t> </w:t>
      </w:r>
    </w:p>
    <w:tbl>
      <w:tblPr>
        <w:tblW w:w="4285" w:type="dxa"/>
        <w:jc w:val="center"/>
        <w:tblInd w:w="0" w:type="dxa"/>
        <w:tblLayout w:type="fixed"/>
        <w:tblCellMar>
          <w:top w:w="0" w:type="dxa"/>
          <w:left w:w="0" w:type="dxa"/>
          <w:bottom w:w="0" w:type="dxa"/>
          <w:right w:w="0" w:type="dxa"/>
        </w:tblCellMar>
      </w:tblPr>
      <w:tblGrid>
        <w:gridCol w:w="3215"/>
        <w:gridCol w:w="1070"/>
      </w:tblGrid>
      <w:tr>
        <w:trPr/>
        <w:tc>
          <w:tcPr>
            <w:tcW w:w="3215" w:type="dxa"/>
            <w:tcBorders/>
            <w:vAlign w:val="center"/>
          </w:tcPr>
          <w:p>
            <w:pPr>
              <w:pStyle w:val="TableContents"/>
              <w:bidi w:val="0"/>
              <w:spacing w:before="0" w:after="283"/>
              <w:jc w:val="both"/>
              <w:rPr>
                <w:b/>
                <w:sz w:val="22"/>
              </w:rPr>
            </w:pPr>
            <w:r>
              <w:rPr>
                <w:b/>
                <w:sz w:val="22"/>
              </w:rPr>
              <w:t>WASTE MANAGEMENT, INC.</w:t>
            </w:r>
          </w:p>
        </w:tc>
        <w:tc>
          <w:tcPr>
            <w:tcW w:w="1070"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Employee</w:t>
            </w:r>
          </w:p>
        </w:tc>
      </w:tr>
      <w:tr>
        <w:trPr/>
        <w:tc>
          <w:tcPr>
            <w:tcW w:w="3215" w:type="dxa"/>
            <w:tcBorders/>
            <w:vAlign w:val="center"/>
          </w:tcPr>
          <w:p>
            <w:pPr>
              <w:pStyle w:val="TableContents"/>
              <w:bidi w:val="0"/>
              <w:spacing w:before="0" w:after="283"/>
              <w:jc w:val="both"/>
              <w:rPr/>
            </w:pPr>
            <w:r>
              <w:rPr/>
              <w:t> </w:t>
            </w:r>
          </w:p>
        </w:tc>
        <w:tc>
          <w:tcPr>
            <w:tcW w:w="1070"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bdr w:val="single" w:sz="16" w:space="1" w:color="00693C"/>
        </w:rPr>
      </w:pPr>
      <w:r>
        <w:rPr>
          <w:caps w:val="false"/>
          <w:smallCaps w:val="false"/>
          <w:bdr w:val="single" w:sz="16" w:space="1" w:color="00693C"/>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13</w:t>
      </w:r>
    </w:p>
    <w:p>
      <w:pPr>
        <w:pStyle w:val="TextBody"/>
        <w:bidi w:val="0"/>
        <w:spacing w:before="0" w:after="0"/>
        <w:ind w:left="0" w:right="0" w:hanging="0"/>
        <w:jc w:val="left"/>
        <w:rPr/>
      </w:pPr>
      <w:r>
        <w:rPr/>
        <w:t> </w:t>
      </w:r>
    </w:p>
    <w:p>
      <w:pPr>
        <w:pStyle w:val="TextBody"/>
        <w:bidi w:val="0"/>
        <w:ind w:left="0" w:right="0" w:hanging="0"/>
        <w:jc w:val="right"/>
        <w:rPr>
          <w:rFonts w:ascii="Arial;Helvetica;Sans-Serif" w:hAnsi="Arial;Helvetica;Sans-Serif"/>
          <w:b/>
          <w:sz w:val="20"/>
          <w:bdr w:val="threeDEngrave" w:sz="6" w:space="18" w:color="00693C"/>
        </w:rPr>
      </w:pPr>
      <w:bookmarkStart w:id="25" w:name="tm268015d1_ex10-2.htm"/>
      <w:bookmarkStart w:id="26" w:name="kstm268015d1_ex102"/>
      <w:bookmarkEnd w:id="25"/>
      <w:bookmarkEnd w:id="26"/>
      <w:r>
        <w:rPr>
          <w:rFonts w:ascii="Arial;Helvetica;Sans-Serif" w:hAnsi="Arial;Helvetica;Sans-Serif"/>
          <w:b/>
          <w:sz w:val="20"/>
          <w:bdr w:val="threeDEngrave" w:sz="6" w:space="18" w:color="00693C"/>
        </w:rPr>
        <w:t>Exhibit 10.2</w:t>
      </w:r>
      <w:r>
        <w:br w:type="page"/>
      </w:r>
    </w:p>
    <w:p>
      <w:pPr>
        <w:pStyle w:val="TextBody"/>
        <w:bidi w:val="0"/>
        <w:jc w:val="right"/>
        <w:rPr>
          <w:bdr w:val="threeDEngrave" w:sz="6" w:space="18" w:color="00693C"/>
        </w:rPr>
      </w:pPr>
      <w:r>
        <w:rPr>
          <w:bdr w:val="threeDEngrave" w:sz="6" w:space="18"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60"/>
          <w:bdr w:val="threeDEngrave" w:sz="6" w:space="18" w:color="00693C"/>
        </w:rPr>
      </w:pPr>
      <w:r>
        <w:rPr>
          <w:rFonts w:ascii="Arial;Helvetica;Sans-Serif" w:hAnsi="Arial;Helvetica;Sans-Serif"/>
          <w:b/>
          <w:i w:val="false"/>
          <w:caps w:val="false"/>
          <w:smallCaps w:val="false"/>
          <w:color w:val="00693C"/>
          <w:sz w:val="60"/>
          <w:bdr w:val="threeDEngrave" w:sz="6" w:space="18" w:color="00693C"/>
        </w:rPr>
        <w:t>Long Term Incentive Compensation</w:t>
      </w:r>
    </w:p>
    <w:p>
      <w:pPr>
        <w:pStyle w:val="TextBody"/>
        <w:bidi w:val="0"/>
        <w:spacing w:before="0" w:after="0"/>
        <w:ind w:left="0" w:right="0" w:hanging="0"/>
        <w:jc w:val="center"/>
        <w:rPr>
          <w:rFonts w:ascii="Arial;Helvetica;Sans-Serif" w:hAnsi="Arial;Helvetica;Sans-Serif"/>
          <w:b/>
          <w:i w:val="false"/>
          <w:caps w:val="false"/>
          <w:smallCaps w:val="false"/>
          <w:color w:val="00693C"/>
          <w:sz w:val="60"/>
          <w:bdr w:val="threeDEngrave" w:sz="6" w:space="18" w:color="00693C"/>
        </w:rPr>
      </w:pPr>
      <w:r>
        <w:rPr>
          <w:rFonts w:ascii="Arial;Helvetica;Sans-Serif" w:hAnsi="Arial;Helvetica;Sans-Serif"/>
          <w:b/>
          <w:i w:val="false"/>
          <w:caps w:val="false"/>
          <w:smallCaps w:val="false"/>
          <w:color w:val="00693C"/>
          <w:sz w:val="60"/>
          <w:bdr w:val="threeDEngrave" w:sz="6" w:space="18" w:color="00693C"/>
        </w:rPr>
        <w:t>Stock Option Award Agreement</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threeDEngrave" w:sz="6" w:space="18" w:color="00693C"/>
        </w:rPr>
      </w:pPr>
      <w:r>
        <w:rPr>
          <w:rFonts w:ascii="Arial;Helvetica;Sans-Serif" w:hAnsi="Arial;Helvetica;Sans-Serif"/>
          <w:b/>
          <w:i w:val="false"/>
          <w:caps w:val="false"/>
          <w:smallCaps w:val="false"/>
          <w:color w:val="00693C"/>
          <w:sz w:val="32"/>
          <w:bdr w:val="threeDEngrave" w:sz="6" w:space="18" w:color="00693C"/>
        </w:rPr>
        <w:t>under the</w:t>
      </w:r>
    </w:p>
    <w:p>
      <w:pPr>
        <w:pStyle w:val="TextBody"/>
        <w:bidi w:val="0"/>
        <w:spacing w:before="0" w:after="0"/>
        <w:ind w:left="0" w:right="0" w:hanging="0"/>
        <w:jc w:val="center"/>
        <w:rPr>
          <w:rFonts w:ascii="Arial;Helvetica;Sans-Serif" w:hAnsi="Arial;Helvetica;Sans-Serif"/>
          <w:b/>
          <w:i w:val="false"/>
          <w:caps w:val="false"/>
          <w:smallCaps w:val="false"/>
          <w:color w:val="00693C"/>
          <w:sz w:val="48"/>
          <w:bdr w:val="threeDEngrave" w:sz="6" w:space="18" w:color="00693C"/>
        </w:rPr>
      </w:pPr>
      <w:r>
        <w:rPr>
          <w:rFonts w:ascii="Arial;Helvetica;Sans-Serif" w:hAnsi="Arial;Helvetica;Sans-Serif"/>
          <w:b/>
          <w:i w:val="false"/>
          <w:caps w:val="false"/>
          <w:smallCaps w:val="false"/>
          <w:color w:val="00693C"/>
          <w:sz w:val="48"/>
          <w:bdr w:val="threeDEngrave" w:sz="6" w:space="18" w:color="00693C"/>
        </w:rPr>
        <w:t>Waste Management, Inc. 2023 Stock Incentive Plan</w:t>
      </w:r>
    </w:p>
    <w:p>
      <w:pPr>
        <w:pStyle w:val="TextBody"/>
        <w:bidi w:val="0"/>
        <w:spacing w:before="0" w:after="0"/>
        <w:ind w:left="0" w:right="0" w:hanging="0"/>
        <w:jc w:val="both"/>
        <w:rPr>
          <w:caps w:val="false"/>
          <w:smallCaps w:val="false"/>
          <w:bdr w:val="threeDEngrave" w:sz="6" w:space="18" w:color="00693C"/>
        </w:rPr>
      </w:pPr>
      <w:r>
        <w:rPr>
          <w:caps w:val="false"/>
          <w:smallCaps w:val="false"/>
          <w:bdr w:val="threeDEngrave" w:sz="6" w:space="18" w:color="00693C"/>
        </w:rPr>
        <w:t> </w:t>
      </w:r>
    </w:p>
    <w:p>
      <w:pPr>
        <w:pStyle w:val="TextBody"/>
        <w:bidi w:val="0"/>
        <w:ind w:left="0" w:right="0" w:hanging="0"/>
        <w:jc w:val="both"/>
        <w:rPr>
          <w:rFonts w:ascii="Arial;Helvetica;Sans-Serif" w:hAnsi="Arial;Helvetica;Sans-Serif"/>
          <w:b w:val="false"/>
          <w:i/>
          <w:caps w:val="false"/>
          <w:smallCaps w:val="false"/>
          <w:color w:val="4F6228"/>
          <w:sz w:val="22"/>
          <w:bdr w:val="threeDEngrave" w:sz="6" w:space="18" w:color="00693C"/>
        </w:rPr>
      </w:pPr>
      <w:r>
        <w:rPr>
          <w:rFonts w:ascii="Arial;Helvetica;Sans-Serif" w:hAnsi="Arial;Helvetica;Sans-Serif"/>
          <w:b w:val="false"/>
          <w:i w:val="false"/>
          <w:caps w:val="false"/>
          <w:smallCaps w:val="false"/>
          <w:color w:val="4F6228"/>
          <w:sz w:val="22"/>
          <w:bdr w:val="threeDEngrave" w:sz="6" w:space="18" w:color="00693C"/>
        </w:rPr>
        <w:t>This Award Agreement (this “</w:t>
      </w:r>
      <w:r>
        <w:rPr>
          <w:rFonts w:ascii="Arial;Helvetica;Sans-Serif" w:hAnsi="Arial;Helvetica;Sans-Serif"/>
          <w:b/>
          <w:i/>
          <w:caps w:val="false"/>
          <w:smallCaps w:val="false"/>
          <w:color w:val="4F6228"/>
          <w:sz w:val="22"/>
          <w:bdr w:val="threeDEngrave" w:sz="6" w:space="18" w:color="00693C"/>
        </w:rPr>
        <w:t>Agreement</w:t>
      </w:r>
      <w:r>
        <w:rPr>
          <w:rFonts w:ascii="Arial;Helvetica;Sans-Serif" w:hAnsi="Arial;Helvetica;Sans-Serif"/>
          <w:b w:val="false"/>
          <w:i/>
          <w:caps w:val="false"/>
          <w:smallCaps w:val="false"/>
          <w:color w:val="4F6228"/>
          <w:sz w:val="22"/>
          <w:bdr w:val="threeDEngrave" w:sz="6" w:space="18" w:color="00693C"/>
        </w:rPr>
        <w:t>”</w:t>
      </w:r>
      <w:r>
        <w:rPr>
          <w:rFonts w:ascii="Arial;Helvetica;Sans-Serif" w:hAnsi="Arial;Helvetica;Sans-Serif"/>
          <w:b w:val="false"/>
          <w:i w:val="false"/>
          <w:caps w:val="false"/>
          <w:smallCaps w:val="false"/>
          <w:color w:val="4F6228"/>
          <w:sz w:val="22"/>
          <w:bdr w:val="threeDEngrave" w:sz="6" w:space="18" w:color="00693C"/>
        </w:rPr>
        <w:t xml:space="preserve">) is entered into effective as of </w:t>
      </w:r>
      <w:r>
        <w:rPr>
          <w:rFonts w:ascii="Arial;Helvetica;Sans-Serif" w:hAnsi="Arial;Helvetica;Sans-Serif"/>
          <w:b w:val="false"/>
          <w:i w:val="false"/>
          <w:caps w:val="false"/>
          <w:smallCaps w:val="false"/>
          <w:color w:val="000000"/>
          <w:sz w:val="22"/>
          <w:bdr w:val="threeDEngrave" w:sz="6" w:space="18" w:color="00693C"/>
        </w:rPr>
        <w:t>[●]</w:t>
      </w:r>
      <w:r>
        <w:rPr>
          <w:rFonts w:ascii="Arial;Helvetica;Sans-Serif" w:hAnsi="Arial;Helvetica;Sans-Serif"/>
          <w:b w:val="false"/>
          <w:i/>
          <w:caps w:val="false"/>
          <w:smallCaps w:val="false"/>
          <w:color w:val="4F6228"/>
          <w:sz w:val="22"/>
          <w:bdr w:val="threeDEngrave" w:sz="6" w:space="18" w:color="00693C"/>
        </w:rPr>
        <w:t xml:space="preserve"> </w:t>
      </w:r>
      <w:r>
        <w:rPr>
          <w:rFonts w:ascii="Arial;Helvetica;Sans-Serif" w:hAnsi="Arial;Helvetica;Sans-Serif"/>
          <w:b w:val="false"/>
          <w:i w:val="false"/>
          <w:caps w:val="false"/>
          <w:smallCaps w:val="false"/>
          <w:color w:val="4F6228"/>
          <w:sz w:val="22"/>
          <w:bdr w:val="threeDEngrave" w:sz="6" w:space="18" w:color="00693C"/>
        </w:rPr>
        <w:t>(the “</w:t>
      </w:r>
      <w:r>
        <w:rPr>
          <w:rFonts w:ascii="Arial;Helvetica;Sans-Serif" w:hAnsi="Arial;Helvetica;Sans-Serif"/>
          <w:b/>
          <w:i/>
          <w:caps w:val="false"/>
          <w:smallCaps w:val="false"/>
          <w:color w:val="4F6228"/>
          <w:sz w:val="22"/>
          <w:bdr w:val="threeDEngrave" w:sz="6" w:space="18" w:color="00693C"/>
        </w:rPr>
        <w:t>Grant Date</w:t>
      </w:r>
      <w:r>
        <w:rPr>
          <w:rFonts w:ascii="Arial;Helvetica;Sans-Serif" w:hAnsi="Arial;Helvetica;Sans-Serif"/>
          <w:b w:val="false"/>
          <w:i/>
          <w:caps w:val="false"/>
          <w:smallCaps w:val="false"/>
          <w:color w:val="4F6228"/>
          <w:sz w:val="22"/>
          <w:bdr w:val="threeDEngrave" w:sz="6" w:space="18" w:color="00693C"/>
        </w:rPr>
        <w:t>”</w:t>
      </w:r>
      <w:r>
        <w:rPr>
          <w:rFonts w:ascii="Arial;Helvetica;Sans-Serif" w:hAnsi="Arial;Helvetica;Sans-Serif"/>
          <w:b w:val="false"/>
          <w:i w:val="false"/>
          <w:caps w:val="false"/>
          <w:smallCaps w:val="false"/>
          <w:color w:val="4F6228"/>
          <w:sz w:val="22"/>
          <w:bdr w:val="threeDEngrave" w:sz="6" w:space="18" w:color="00693C"/>
        </w:rPr>
        <w:t>), by and between Waste Management, Inc., a Delaware corporation (the “</w:t>
      </w:r>
      <w:r>
        <w:rPr>
          <w:rFonts w:ascii="Arial;Helvetica;Sans-Serif" w:hAnsi="Arial;Helvetica;Sans-Serif"/>
          <w:b/>
          <w:i/>
          <w:caps w:val="false"/>
          <w:smallCaps w:val="false"/>
          <w:color w:val="4F6228"/>
          <w:sz w:val="22"/>
          <w:bdr w:val="threeDEngrave" w:sz="6" w:space="18" w:color="00693C"/>
        </w:rPr>
        <w:t>Company</w:t>
      </w:r>
      <w:r>
        <w:rPr>
          <w:rFonts w:ascii="Arial;Helvetica;Sans-Serif" w:hAnsi="Arial;Helvetica;Sans-Serif"/>
          <w:b w:val="false"/>
          <w:i/>
          <w:caps w:val="false"/>
          <w:smallCaps w:val="false"/>
          <w:color w:val="4F6228"/>
          <w:sz w:val="22"/>
          <w:bdr w:val="threeDEngrave" w:sz="6" w:space="18" w:color="00693C"/>
        </w:rPr>
        <w:t>”</w:t>
      </w:r>
      <w:r>
        <w:rPr>
          <w:rFonts w:ascii="Arial;Helvetica;Sans-Serif" w:hAnsi="Arial;Helvetica;Sans-Serif"/>
          <w:b w:val="false"/>
          <w:i w:val="false"/>
          <w:caps w:val="false"/>
          <w:smallCaps w:val="false"/>
          <w:color w:val="4F6228"/>
          <w:sz w:val="22"/>
          <w:bdr w:val="threeDEngrave" w:sz="6" w:space="18" w:color="00693C"/>
        </w:rPr>
        <w:t>) (together with its Subsidiaries and Affiliates, “</w:t>
      </w:r>
      <w:r>
        <w:rPr>
          <w:rFonts w:ascii="Arial;Helvetica;Sans-Serif" w:hAnsi="Arial;Helvetica;Sans-Serif"/>
          <w:b/>
          <w:i/>
          <w:caps w:val="false"/>
          <w:smallCaps w:val="false"/>
          <w:color w:val="4F6228"/>
          <w:sz w:val="22"/>
          <w:bdr w:val="threeDEngrave" w:sz="6" w:space="18" w:color="00693C"/>
        </w:rPr>
        <w:t>WM</w:t>
      </w:r>
      <w:r>
        <w:rPr>
          <w:rFonts w:ascii="Arial;Helvetica;Sans-Serif" w:hAnsi="Arial;Helvetica;Sans-Serif"/>
          <w:b w:val="false"/>
          <w:i/>
          <w:caps w:val="false"/>
          <w:smallCaps w:val="false"/>
          <w:color w:val="4F6228"/>
          <w:sz w:val="22"/>
          <w:bdr w:val="threeDEngrave" w:sz="6" w:space="18" w:color="00693C"/>
        </w:rPr>
        <w:t>”</w:t>
      </w:r>
      <w:r>
        <w:rPr>
          <w:rFonts w:ascii="Arial;Helvetica;Sans-Serif" w:hAnsi="Arial;Helvetica;Sans-Serif"/>
          <w:b w:val="false"/>
          <w:i w:val="false"/>
          <w:caps w:val="false"/>
          <w:smallCaps w:val="false"/>
          <w:color w:val="4F6228"/>
          <w:sz w:val="22"/>
          <w:bdr w:val="threeDEngrave" w:sz="6" w:space="18" w:color="00693C"/>
        </w:rPr>
        <w:t xml:space="preserve">), and </w:t>
      </w:r>
      <w:r>
        <w:rPr>
          <w:rFonts w:ascii="Arial;Helvetica;Sans-Serif" w:hAnsi="Arial;Helvetica;Sans-Serif"/>
          <w:b w:val="false"/>
          <w:i w:val="false"/>
          <w:caps w:val="false"/>
          <w:smallCaps w:val="false"/>
          <w:color w:val="000000"/>
          <w:sz w:val="22"/>
          <w:bdr w:val="threeDEngrave" w:sz="6" w:space="18" w:color="00693C"/>
        </w:rPr>
        <w:t>[●]</w:t>
      </w:r>
      <w:r>
        <w:rPr>
          <w:rFonts w:ascii="Arial;Helvetica;Sans-Serif" w:hAnsi="Arial;Helvetica;Sans-Serif"/>
          <w:b w:val="false"/>
          <w:i/>
          <w:caps w:val="false"/>
          <w:smallCaps w:val="false"/>
          <w:color w:val="4F6228"/>
          <w:sz w:val="22"/>
          <w:bdr w:val="threeDEngrave" w:sz="6" w:space="18" w:color="00693C"/>
        </w:rPr>
        <w:t xml:space="preserve"> </w:t>
      </w:r>
      <w:r>
        <w:rPr>
          <w:rFonts w:ascii="Arial;Helvetica;Sans-Serif" w:hAnsi="Arial;Helvetica;Sans-Serif"/>
          <w:b w:val="false"/>
          <w:i w:val="false"/>
          <w:caps w:val="false"/>
          <w:smallCaps w:val="false"/>
          <w:color w:val="4F6228"/>
          <w:sz w:val="22"/>
          <w:bdr w:val="threeDEngrave" w:sz="6" w:space="18" w:color="00693C"/>
        </w:rPr>
        <w:t>(“</w:t>
      </w:r>
      <w:r>
        <w:rPr>
          <w:rFonts w:ascii="Arial;Helvetica;Sans-Serif" w:hAnsi="Arial;Helvetica;Sans-Serif"/>
          <w:b/>
          <w:i/>
          <w:caps w:val="false"/>
          <w:smallCaps w:val="false"/>
          <w:color w:val="4F6228"/>
          <w:sz w:val="22"/>
          <w:bdr w:val="threeDEngrave" w:sz="6" w:space="18" w:color="00693C"/>
        </w:rPr>
        <w:t>Employee</w:t>
      </w:r>
      <w:r>
        <w:rPr>
          <w:rFonts w:ascii="Arial;Helvetica;Sans-Serif" w:hAnsi="Arial;Helvetica;Sans-Serif"/>
          <w:b w:val="false"/>
          <w:i/>
          <w:caps w:val="false"/>
          <w:smallCaps w:val="false"/>
          <w:color w:val="4F6228"/>
          <w:sz w:val="22"/>
          <w:bdr w:val="threeDEngrave" w:sz="6" w:space="18" w:color="00693C"/>
        </w:rPr>
        <w:t>”</w:t>
      </w:r>
      <w:r>
        <w:rPr>
          <w:rFonts w:ascii="Arial;Helvetica;Sans-Serif" w:hAnsi="Arial;Helvetica;Sans-Serif"/>
          <w:b w:val="false"/>
          <w:i w:val="false"/>
          <w:caps w:val="false"/>
          <w:smallCaps w:val="false"/>
          <w:color w:val="4F6228"/>
          <w:sz w:val="22"/>
          <w:bdr w:val="threeDEngrave" w:sz="6" w:space="18" w:color="00693C"/>
        </w:rPr>
        <w:t>). At all times, the Awards under this Agreement are subject to the terms and conditions of the Waste Management, Inc. 2023 Stock Incentive Plan (the “</w:t>
      </w:r>
      <w:r>
        <w:rPr>
          <w:rFonts w:ascii="Arial;Helvetica;Sans-Serif" w:hAnsi="Arial;Helvetica;Sans-Serif"/>
          <w:b/>
          <w:i/>
          <w:caps w:val="false"/>
          <w:smallCaps w:val="false"/>
          <w:color w:val="4F6228"/>
          <w:sz w:val="22"/>
          <w:bdr w:val="threeDEngrave" w:sz="6" w:space="18" w:color="00693C"/>
        </w:rPr>
        <w:t>Plan</w:t>
      </w:r>
      <w:r>
        <w:rPr>
          <w:rFonts w:ascii="Arial;Helvetica;Sans-Serif" w:hAnsi="Arial;Helvetica;Sans-Serif"/>
          <w:b w:val="false"/>
          <w:i/>
          <w:caps w:val="false"/>
          <w:smallCaps w:val="false"/>
          <w:color w:val="4F6228"/>
          <w:sz w:val="22"/>
          <w:bdr w:val="threeDEngrave" w:sz="6" w:space="18" w:color="00693C"/>
        </w:rPr>
        <w:t>”</w:t>
      </w:r>
      <w:r>
        <w:rPr>
          <w:rFonts w:ascii="Arial;Helvetica;Sans-Serif" w:hAnsi="Arial;Helvetica;Sans-Serif"/>
          <w:b w:val="false"/>
          <w:i w:val="false"/>
          <w:caps w:val="false"/>
          <w:smallCaps w:val="false"/>
          <w:color w:val="4F6228"/>
          <w:sz w:val="22"/>
          <w:bdr w:val="threeDEngrave" w:sz="6" w:space="18" w:color="00693C"/>
        </w:rPr>
        <w:t>), this Agreement, and all applicable administrative interpretations and practices. A copy of the Plan and the Plan Prospectus is available online at www.benefits.ml.com. Please also see the Company’s Form 10-K included in its most recent Annual Report, available on the Investor Relations page of www.wm.com</w:t>
      </w:r>
      <w:r>
        <w:rPr>
          <w:rFonts w:ascii="Arial;Helvetica;Sans-Serif" w:hAnsi="Arial;Helvetica;Sans-Serif"/>
          <w:b w:val="false"/>
          <w:i/>
          <w:caps w:val="false"/>
          <w:smallCaps w:val="false"/>
          <w:color w:val="4F6228"/>
          <w:sz w:val="22"/>
          <w:bdr w:val="threeDEngrave" w:sz="6" w:space="18" w:color="00693C"/>
        </w:rPr>
        <w:t xml:space="preserve"> </w:t>
      </w:r>
      <w:r>
        <w:rPr>
          <w:rFonts w:ascii="Arial;Helvetica;Sans-Serif" w:hAnsi="Arial;Helvetica;Sans-Serif"/>
          <w:b w:val="false"/>
          <w:i w:val="false"/>
          <w:caps w:val="false"/>
          <w:smallCaps w:val="false"/>
          <w:color w:val="4F6228"/>
          <w:sz w:val="22"/>
          <w:bdr w:val="threeDEngrave" w:sz="6" w:space="18" w:color="00693C"/>
        </w:rPr>
        <w:t>under Financial Reporting – Annual Reports, for information about the Company. By executing this Agreement, you consent to receipt of the Plan, the Prospectus, and the Annual Reports by electronic access as set forth in this paragraph.</w:t>
      </w:r>
    </w:p>
    <w:p>
      <w:pPr>
        <w:pStyle w:val="TextBody"/>
        <w:bidi w:val="0"/>
        <w:spacing w:before="0" w:after="0"/>
        <w:ind w:left="0" w:right="0" w:hanging="0"/>
        <w:jc w:val="center"/>
        <w:rPr>
          <w:caps w:val="false"/>
          <w:smallCaps w:val="false"/>
          <w:bdr w:val="threeDEngrave" w:sz="6" w:space="18" w:color="00693C"/>
        </w:rPr>
      </w:pPr>
      <w:r>
        <w:rPr>
          <w:caps w:val="false"/>
          <w:smallCaps w:val="false"/>
          <w:bdr w:val="threeDEngrave" w:sz="6" w:space="18" w:color="00693C"/>
        </w:rPr>
        <w:t> </w:t>
      </w:r>
    </w:p>
    <w:p>
      <w:pPr>
        <w:pStyle w:val="TextBody"/>
        <w:bidi w:val="0"/>
        <w:spacing w:before="0" w:after="0"/>
        <w:ind w:left="0" w:right="0" w:hanging="0"/>
        <w:jc w:val="left"/>
        <w:rPr>
          <w:rFonts w:ascii="Arial;Helvetica;Sans-Serif" w:hAnsi="Arial;Helvetica;Sans-Serif"/>
          <w:b w:val="false"/>
          <w:i w:val="false"/>
          <w:caps w:val="false"/>
          <w:smallCaps w:val="false"/>
          <w:sz w:val="22"/>
          <w:bdr w:val="threeDEngrave" w:sz="6" w:space="18" w:color="00693C"/>
        </w:rPr>
      </w:pPr>
      <w:r>
        <w:rPr>
          <w:rFonts w:ascii="Arial;Helvetica;Sans-Serif" w:hAnsi="Arial;Helvetica;Sans-Serif"/>
          <w:b/>
          <w:i w:val="false"/>
          <w:caps w:val="false"/>
          <w:smallCaps w:val="false"/>
          <w:sz w:val="22"/>
          <w:u w:val="single"/>
          <w:bdr w:val="threeDEngrave" w:sz="6" w:space="18" w:color="00693C"/>
        </w:rPr>
        <w:t>You must execute this Agreement in full, online in accordance with the instructions below, prior to</w:t>
      </w:r>
      <w:r>
        <w:rPr>
          <w:rFonts w:ascii="Arial;Helvetica;Sans-Serif" w:hAnsi="Arial;Helvetica;Sans-Serif"/>
          <w:b w:val="false"/>
          <w:i w:val="false"/>
          <w:caps w:val="false"/>
          <w:smallCaps w:val="false"/>
          <w:sz w:val="22"/>
          <w:u w:val="single"/>
          <w:bdr w:val="threeDEngrave" w:sz="6" w:space="18" w:color="00693C"/>
        </w:rPr>
        <w:t xml:space="preserve"> </w:t>
      </w:r>
      <w:r>
        <w:rPr>
          <w:rFonts w:ascii="Arial;Helvetica;Sans-Serif" w:hAnsi="Arial;Helvetica;Sans-Serif"/>
          <w:b w:val="false"/>
          <w:i w:val="false"/>
          <w:caps w:val="false"/>
          <w:smallCaps w:val="false"/>
          <w:sz w:val="22"/>
          <w:bdr w:val="threeDEngrave" w:sz="6" w:space="18" w:color="00693C"/>
        </w:rPr>
        <w:t xml:space="preserve">[●], </w:t>
      </w:r>
      <w:r>
        <w:rPr>
          <w:rFonts w:ascii="Arial;Helvetica;Sans-Serif" w:hAnsi="Arial;Helvetica;Sans-Serif"/>
          <w:b/>
          <w:i w:val="false"/>
          <w:caps w:val="false"/>
          <w:smallCaps w:val="false"/>
          <w:sz w:val="22"/>
          <w:u w:val="single"/>
          <w:bdr w:val="threeDEngrave" w:sz="6" w:space="18" w:color="00693C"/>
        </w:rPr>
        <w:t>in order for this Agreement to become effective.</w:t>
      </w:r>
      <w:r>
        <w:rPr>
          <w:rFonts w:ascii="Arial;Helvetica;Sans-Serif" w:hAnsi="Arial;Helvetica;Sans-Serif"/>
          <w:b w:val="false"/>
          <w:i w:val="false"/>
          <w:caps w:val="false"/>
          <w:smallCaps w:val="false"/>
          <w:sz w:val="22"/>
          <w:bdr w:val="threeDEngrave" w:sz="6" w:space="18" w:color="00693C"/>
        </w:rPr>
        <w:t xml:space="preserve"> </w:t>
      </w:r>
      <w:r>
        <w:rPr>
          <w:rFonts w:ascii="Arial;Helvetica;Sans-Serif" w:hAnsi="Arial;Helvetica;Sans-Serif"/>
          <w:b/>
          <w:i w:val="false"/>
          <w:caps w:val="false"/>
          <w:smallCaps w:val="false"/>
          <w:sz w:val="22"/>
          <w:bdr w:val="threeDEngrave" w:sz="6" w:space="18" w:color="00693C"/>
        </w:rPr>
        <w:t xml:space="preserve">If you do not execute this Agreement by correctly following the instructions below, your Awards may be cancelled. </w:t>
      </w:r>
    </w:p>
    <w:p>
      <w:pPr>
        <w:pStyle w:val="TextBody"/>
        <w:bidi w:val="0"/>
        <w:spacing w:before="0" w:after="0"/>
        <w:ind w:left="0" w:right="0" w:hanging="0"/>
        <w:jc w:val="left"/>
        <w:rPr>
          <w:caps w:val="false"/>
          <w:smallCaps w:val="false"/>
          <w:bdr w:val="threeDEngrave" w:sz="6" w:space="18" w:color="00693C"/>
        </w:rPr>
      </w:pPr>
      <w:r>
        <w:rPr>
          <w:caps w:val="false"/>
          <w:smallCaps w:val="false"/>
          <w:bdr w:val="threeDEngrave" w:sz="6" w:space="18"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threeDEngrave" w:sz="6" w:space="18" w:color="00693C"/>
        </w:rPr>
      </w:pPr>
      <w:r>
        <w:rPr>
          <w:rFonts w:ascii="Arial;Helvetica;Sans-Serif" w:hAnsi="Arial;Helvetica;Sans-Serif"/>
          <w:b/>
          <w:i w:val="false"/>
          <w:caps w:val="false"/>
          <w:smallCaps w:val="false"/>
          <w:color w:val="00693C"/>
          <w:sz w:val="32"/>
          <w:bdr w:val="threeDEngrave" w:sz="6" w:space="18" w:color="00693C"/>
        </w:rPr>
        <w:t>Important Instructions for Executing this Agreement</w:t>
      </w:r>
    </w:p>
    <w:p>
      <w:pPr>
        <w:pStyle w:val="TextBody"/>
        <w:bidi w:val="0"/>
        <w:spacing w:before="0" w:after="0"/>
        <w:ind w:left="0" w:right="0" w:hanging="0"/>
        <w:jc w:val="left"/>
        <w:rPr>
          <w:caps w:val="false"/>
          <w:smallCaps w:val="false"/>
          <w:bdr w:val="threeDEngrave" w:sz="6" w:space="18" w:color="00693C"/>
        </w:rPr>
      </w:pPr>
      <w:r>
        <w:rPr>
          <w:caps w:val="false"/>
          <w:smallCaps w:val="false"/>
          <w:bdr w:val="threeDEngrave" w:sz="6" w:space="18" w:color="00693C"/>
        </w:rPr>
        <w:t> </w:t>
      </w:r>
    </w:p>
    <w:p>
      <w:pPr>
        <w:pStyle w:val="TextBody"/>
        <w:bidi w:val="0"/>
        <w:spacing w:before="0" w:after="0"/>
        <w:ind w:left="0" w:right="0" w:hanging="0"/>
        <w:jc w:val="left"/>
        <w:rPr>
          <w:rFonts w:ascii="Arial;Helvetica;Sans-Serif" w:hAnsi="Arial;Helvetica;Sans-Serif"/>
          <w:b w:val="false"/>
          <w:i w:val="false"/>
          <w:caps w:val="false"/>
          <w:smallCaps w:val="false"/>
          <w:sz w:val="22"/>
          <w:bdr w:val="threeDEngrave" w:sz="6" w:space="18" w:color="00693C"/>
        </w:rPr>
      </w:pPr>
      <w:r>
        <w:rPr>
          <w:rFonts w:ascii="Arial;Helvetica;Sans-Serif" w:hAnsi="Arial;Helvetica;Sans-Serif"/>
          <w:b w:val="false"/>
          <w:i w:val="false"/>
          <w:caps w:val="false"/>
          <w:smallCaps w:val="false"/>
          <w:sz w:val="22"/>
          <w:bdr w:val="threeDEngrave" w:sz="6" w:space="18" w:color="00693C"/>
        </w:rPr>
        <w:t>If you are a new equity award participant, you must open a Limited Individual Investor Account (LIIA) before you can accept your awards. To open your LIIA, log in to www.benefits.ml.com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pStyle w:val="TextBody"/>
        <w:bidi w:val="0"/>
        <w:spacing w:before="0" w:after="0"/>
        <w:ind w:left="0" w:right="0" w:hanging="0"/>
        <w:jc w:val="left"/>
        <w:rPr>
          <w:caps w:val="false"/>
          <w:smallCaps w:val="false"/>
          <w:bdr w:val="threeDEngrave" w:sz="6" w:space="18" w:color="00693C"/>
        </w:rPr>
      </w:pPr>
      <w:r>
        <w:rPr>
          <w:caps w:val="false"/>
          <w:smallCaps w:val="false"/>
          <w:bdr w:val="threeDEngrave" w:sz="6" w:space="18" w:color="00693C"/>
        </w:rPr>
        <w:t> </w:t>
      </w:r>
    </w:p>
    <w:p>
      <w:pPr>
        <w:pStyle w:val="TextBody"/>
        <w:bidi w:val="0"/>
        <w:spacing w:before="0" w:after="0"/>
        <w:ind w:left="0" w:right="0" w:hanging="0"/>
        <w:jc w:val="left"/>
        <w:rPr>
          <w:rFonts w:ascii="Arial;Helvetica;Sans-Serif" w:hAnsi="Arial;Helvetica;Sans-Serif"/>
          <w:b w:val="false"/>
          <w:i w:val="false"/>
          <w:caps w:val="false"/>
          <w:smallCaps w:val="false"/>
          <w:sz w:val="22"/>
          <w:bdr w:val="threeDEngrave" w:sz="6" w:space="18" w:color="00693C"/>
        </w:rPr>
      </w:pPr>
      <w:r>
        <w:rPr>
          <w:rFonts w:ascii="Arial;Helvetica;Sans-Serif" w:hAnsi="Arial;Helvetica;Sans-Serif"/>
          <w:b w:val="false"/>
          <w:i w:val="false"/>
          <w:caps w:val="false"/>
          <w:smallCaps w:val="false"/>
          <w:sz w:val="22"/>
          <w:bdr w:val="threeDEngrave" w:sz="6" w:space="18" w:color="00693C"/>
        </w:rPr>
        <w:t>If you have previously received a stock-based incentive award, log on to www.benefits.ml.com at the secure website maintained by the third-party stock administrator. Follow the online instructions and complete all the steps required to accept the award.</w:t>
      </w:r>
    </w:p>
    <w:p>
      <w:pPr>
        <w:pStyle w:val="TextBody"/>
        <w:bidi w:val="0"/>
        <w:spacing w:before="0" w:after="0"/>
        <w:ind w:left="0" w:right="0" w:hanging="0"/>
        <w:jc w:val="left"/>
        <w:rPr>
          <w:caps w:val="false"/>
          <w:smallCaps w:val="false"/>
          <w:color w:val="00B050"/>
          <w:bdr w:val="threeDEngrave" w:sz="6" w:space="18" w:color="00693C"/>
        </w:rPr>
      </w:pPr>
      <w:r>
        <w:rPr>
          <w:caps w:val="false"/>
          <w:smallCaps w:val="false"/>
          <w:color w:val="00B050"/>
          <w:bdr w:val="threeDEngrave" w:sz="6" w:space="18"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threeDEngrave" w:sz="6" w:space="18" w:color="00693C"/>
        </w:rPr>
      </w:pPr>
      <w:r>
        <w:rPr>
          <w:rFonts w:ascii="Arial;Helvetica;Sans-Serif" w:hAnsi="Arial;Helvetica;Sans-Serif"/>
          <w:b/>
          <w:i w:val="false"/>
          <w:caps w:val="false"/>
          <w:smallCaps w:val="false"/>
          <w:color w:val="00693C"/>
          <w:sz w:val="32"/>
          <w:bdr w:val="threeDEngrave" w:sz="6" w:space="18" w:color="00693C"/>
        </w:rPr>
        <w:t>Stock Options</w:t>
      </w:r>
    </w:p>
    <w:p>
      <w:pPr>
        <w:pStyle w:val="TextBody"/>
        <w:bidi w:val="0"/>
        <w:spacing w:before="0" w:after="0"/>
        <w:ind w:left="0" w:right="0" w:hanging="0"/>
        <w:jc w:val="center"/>
        <w:rPr>
          <w:caps w:val="false"/>
          <w:smallCaps w:val="false"/>
          <w:bdr w:val="threeDEngrave" w:sz="6" w:space="18" w:color="00693C"/>
        </w:rPr>
      </w:pPr>
      <w:r>
        <w:rPr>
          <w:caps w:val="false"/>
          <w:smallCaps w:val="false"/>
          <w:bdr w:val="threeDEngrave" w:sz="6" w:space="18" w:color="00693C"/>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1.</w:t>
            </w:r>
          </w:p>
        </w:tc>
        <w:tc>
          <w:tcPr>
            <w:tcW w:w="10035" w:type="dxa"/>
            <w:tcBorders/>
            <w:vAlign w:val="center"/>
          </w:tcPr>
          <w:p>
            <w:pPr>
              <w:pStyle w:val="TableContents"/>
              <w:bidi w:val="0"/>
              <w:spacing w:before="0" w:after="283"/>
              <w:jc w:val="left"/>
              <w:rPr/>
            </w:pPr>
            <w:r>
              <w:rPr>
                <w:u w:val="single"/>
              </w:rPr>
              <w:t>Stock Option Grant</w:t>
            </w:r>
            <w:r>
              <w:rPr/>
              <w:t>. The Company hereby grants to Employee a stock option award (the “</w:t>
            </w:r>
            <w:r>
              <w:rPr>
                <w:b/>
                <w:i/>
              </w:rPr>
              <w:t>Stock Option Award</w:t>
            </w:r>
            <w:r>
              <w:rPr/>
              <w:t>”) for [●] shares (“</w:t>
            </w:r>
            <w:r>
              <w:rPr>
                <w:b/>
                <w:i/>
              </w:rPr>
              <w:t>Stock Options</w:t>
            </w:r>
            <w:r>
              <w:rPr/>
              <w:t>”) of Common Stock. This Stock Option Award grants Employee the right to purchase shares of Common Stock at the Grant Price. The “</w:t>
            </w:r>
            <w:r>
              <w:rPr>
                <w:b/>
                <w:i/>
              </w:rPr>
              <w:t>Grant Price</w:t>
            </w:r>
            <w:r>
              <w:rPr/>
              <w:t>” is the Fair Market Value of a share of Common Stock on the Grant Date.</w:t>
            </w:r>
          </w:p>
        </w:tc>
      </w:tr>
    </w:tbl>
    <w:p>
      <w:pPr>
        <w:pStyle w:val="TextBody"/>
        <w:bidi w:val="0"/>
        <w:spacing w:before="0" w:after="0"/>
        <w:ind w:left="360" w:right="0" w:hanging="0"/>
        <w:jc w:val="left"/>
        <w:rPr>
          <w:caps w:val="false"/>
          <w:smallCaps w:val="false"/>
          <w:bdr w:val="threeDEngrave" w:sz="6" w:space="18" w:color="00693C"/>
        </w:rPr>
      </w:pPr>
      <w:r>
        <w:rPr>
          <w:caps w:val="false"/>
          <w:smallCaps w:val="false"/>
          <w:bdr w:val="threeDEngrave" w:sz="6" w:space="18" w:color="00693C"/>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2.</w:t>
            </w:r>
          </w:p>
        </w:tc>
        <w:tc>
          <w:tcPr>
            <w:tcW w:w="10011" w:type="dxa"/>
            <w:tcBorders/>
            <w:vAlign w:val="center"/>
          </w:tcPr>
          <w:p>
            <w:pPr>
              <w:pStyle w:val="TableContents"/>
              <w:bidi w:val="0"/>
              <w:spacing w:before="0" w:after="283"/>
              <w:jc w:val="left"/>
              <w:rPr/>
            </w:pPr>
            <w:r>
              <w:rPr>
                <w:u w:val="single"/>
              </w:rPr>
              <w:t>Term</w:t>
            </w:r>
            <w:r>
              <w:rPr/>
              <w:t>. Notwithstanding any other provisions of this Agreement, the maximum term of the Stock Option Award is the 10</w:t>
            </w:r>
            <w:r>
              <w:rPr>
                <w:position w:val="8"/>
                <w:sz w:val="19"/>
              </w:rPr>
              <w:t>th</w:t>
            </w:r>
            <w:r>
              <w:rPr/>
              <w:t xml:space="preserve"> anniversary of the Grant Date.</w:t>
            </w:r>
          </w:p>
        </w:tc>
      </w:tr>
    </w:tbl>
    <w:p>
      <w:pPr>
        <w:pStyle w:val="TextBody"/>
        <w:bidi w:val="0"/>
        <w:spacing w:before="0" w:after="0"/>
        <w:ind w:left="720" w:right="0" w:hanging="0"/>
        <w:jc w:val="center"/>
        <w:rPr>
          <w:caps w:val="false"/>
          <w:smallCaps w:val="false"/>
          <w:bdr w:val="threeDEngrave" w:sz="6" w:space="18" w:color="00693C"/>
        </w:rPr>
      </w:pPr>
      <w:r>
        <w:rPr>
          <w:caps w:val="false"/>
          <w:smallCaps w:val="false"/>
          <w:bdr w:val="threeDEngrave" w:sz="6" w:space="18" w:color="00693C"/>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283"/>
              <w:jc w:val="left"/>
              <w:rPr/>
            </w:pPr>
            <w:r>
              <w:rPr>
                <w:u w:val="single"/>
              </w:rPr>
              <w:t>Right to Exercise</w:t>
            </w:r>
            <w:r>
              <w:rPr/>
              <w:t>. Provided Employee remains employed by WM continuously through the applicable exercise dates, the Stock Option Award will become vested and exercisable as follows:</w:t>
            </w:r>
          </w:p>
        </w:tc>
      </w:tr>
    </w:tbl>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8" w:color="00693C"/>
        </w:rPr>
      </w:pPr>
      <w:r>
        <w:rPr>
          <w:caps w:val="false"/>
          <w:smallCaps w:val="false"/>
          <w:bdr w:val="single" w:sz="12" w:space="18" w:color="00693C"/>
        </w:rPr>
        <w:t> </w:t>
      </w:r>
    </w:p>
    <w:tbl>
      <w:tblPr>
        <w:tblW w:w="8395" w:type="dxa"/>
        <w:jc w:val="center"/>
        <w:tblInd w:w="0" w:type="dxa"/>
        <w:tblLayout w:type="fixed"/>
        <w:tblCellMar>
          <w:top w:w="28" w:type="dxa"/>
          <w:left w:w="100" w:type="dxa"/>
          <w:bottom w:w="28" w:type="dxa"/>
          <w:right w:w="28" w:type="dxa"/>
        </w:tblCellMar>
      </w:tblPr>
      <w:tblGrid>
        <w:gridCol w:w="5000"/>
        <w:gridCol w:w="3395"/>
      </w:tblGrid>
      <w:tr>
        <w:trPr/>
        <w:tc>
          <w:tcPr>
            <w:tcW w:w="50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i/>
              </w:rPr>
            </w:pPr>
            <w:r>
              <w:rPr>
                <w:b/>
                <w:i/>
              </w:rPr>
              <w:t>Exercise Date</w:t>
            </w:r>
          </w:p>
        </w:tc>
        <w:tc>
          <w:tcPr>
            <w:tcW w:w="33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Arial;Helvetica;Sans-Serif" w:hAnsi="Arial;Helvetica;Sans-Serif"/>
                <w:b/>
                <w:i/>
                <w:caps w:val="false"/>
                <w:smallCaps w:val="false"/>
                <w:sz w:val="22"/>
              </w:rPr>
            </w:pPr>
            <w:r>
              <w:rPr>
                <w:rFonts w:ascii="Arial;Helvetica;Sans-Serif" w:hAnsi="Arial;Helvetica;Sans-Serif"/>
                <w:b/>
                <w:i/>
                <w:caps w:val="false"/>
                <w:smallCaps w:val="false"/>
                <w:sz w:val="22"/>
              </w:rPr>
              <w:t>Cumulative Percentage of Stock</w:t>
            </w:r>
          </w:p>
          <w:p>
            <w:pPr>
              <w:pStyle w:val="TableContents"/>
              <w:bidi w:val="0"/>
              <w:spacing w:before="0" w:after="0"/>
              <w:ind w:left="0" w:right="0" w:hanging="0"/>
              <w:jc w:val="left"/>
              <w:rPr>
                <w:rFonts w:ascii="Arial;Helvetica;Sans-Serif" w:hAnsi="Arial;Helvetica;Sans-Serif"/>
                <w:b/>
                <w:i/>
                <w:caps w:val="false"/>
                <w:smallCaps w:val="false"/>
                <w:sz w:val="22"/>
              </w:rPr>
            </w:pPr>
            <w:r>
              <w:rPr>
                <w:rFonts w:ascii="Arial;Helvetica;Sans-Serif" w:hAnsi="Arial;Helvetica;Sans-Serif"/>
                <w:b/>
                <w:i/>
                <w:caps w:val="false"/>
                <w:smallCaps w:val="false"/>
                <w:sz w:val="22"/>
              </w:rPr>
              <w:t>Option Award Exercisable</w:t>
            </w:r>
          </w:p>
        </w:tc>
      </w:tr>
      <w:tr>
        <w:trPr/>
        <w:tc>
          <w:tcPr>
            <w:tcW w:w="50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Prior to the first anniversary of the Grant Date</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w:t>
            </w:r>
          </w:p>
        </w:tc>
      </w:tr>
      <w:tr>
        <w:trPr/>
        <w:tc>
          <w:tcPr>
            <w:tcW w:w="50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On or after the first anniversary of the Grant Date</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w:t>
            </w:r>
          </w:p>
        </w:tc>
      </w:tr>
      <w:tr>
        <w:trPr/>
        <w:tc>
          <w:tcPr>
            <w:tcW w:w="50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On or after the second anniversary of the Grant Date</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67%</w:t>
            </w:r>
          </w:p>
        </w:tc>
      </w:tr>
      <w:tr>
        <w:trPr/>
        <w:tc>
          <w:tcPr>
            <w:tcW w:w="50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On or after the third anniversary of the Grant Date</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100%</w:t>
            </w:r>
          </w:p>
        </w:tc>
      </w:tr>
    </w:tbl>
    <w:p>
      <w:pPr>
        <w:pStyle w:val="TextBody"/>
        <w:bidi w:val="0"/>
        <w:spacing w:before="0" w:after="0"/>
        <w:ind w:left="36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left"/>
              <w:rPr/>
            </w:pPr>
            <w:r>
              <w:rPr>
                <w:u w:val="single"/>
              </w:rPr>
              <w:t>Manner of Exercise</w:t>
            </w:r>
            <w:r>
              <w:rPr/>
              <w:t>. To exercise all or a portion of the Stock Option Award, Employee must contact (either by phone or online) the third-party stock plan administrator designated by the Company and follow the procedures established by the Company for exercising a Stock Option Award.</w:t>
            </w:r>
          </w:p>
        </w:tc>
      </w:tr>
    </w:tbl>
    <w:p>
      <w:pPr>
        <w:pStyle w:val="TextBody"/>
        <w:bidi w:val="0"/>
        <w:spacing w:before="0" w:after="0"/>
        <w:ind w:left="36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left"/>
              <w:rPr/>
            </w:pPr>
            <w:r>
              <w:rPr>
                <w:u w:val="single"/>
              </w:rPr>
              <w:t>Payment of Grant Price</w:t>
            </w:r>
            <w:r>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b/>
                <w:i/>
              </w:rPr>
              <w:t>Trading Day</w:t>
            </w:r>
            <w:r>
              <w:rPr/>
              <w:t xml:space="preserve"> prior to the 10th anniversary of the Grant Date. Payment by cashless exercise shall not be considered to have occurred until the broker has issued confirmation of the transaction. For these purposes, </w:t>
            </w:r>
            <w:r>
              <w:rPr>
                <w:b/>
                <w:i/>
              </w:rPr>
              <w:t>Trading Day</w:t>
            </w:r>
            <w:r>
              <w:rPr/>
              <w:t xml:space="preserve"> means a day on which the New York Stock Exchange is open for trading for its regular trading sessions.</w:t>
            </w:r>
          </w:p>
        </w:tc>
      </w:tr>
    </w:tbl>
    <w:p>
      <w:pPr>
        <w:pStyle w:val="TextBody"/>
        <w:bidi w:val="0"/>
        <w:spacing w:before="0" w:after="0"/>
        <w:ind w:left="360" w:right="0" w:hanging="0"/>
        <w:jc w:val="left"/>
        <w:rPr>
          <w:caps w:val="false"/>
          <w:smallCaps w:val="false"/>
          <w:bdr w:val="single" w:sz="12" w:space="18" w:color="00693C"/>
        </w:rPr>
      </w:pPr>
      <w:r>
        <w:rPr>
          <w:caps w:val="false"/>
          <w:smallCaps w:val="false"/>
          <w:bdr w:val="single" w:sz="12" w:space="18"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2" w:space="18" w:color="00693C"/>
        </w:rPr>
      </w:pPr>
      <w:r>
        <w:rPr>
          <w:rFonts w:ascii="Arial;Helvetica;Sans-Serif" w:hAnsi="Arial;Helvetica;Sans-Serif"/>
          <w:b/>
          <w:i w:val="false"/>
          <w:caps w:val="false"/>
          <w:smallCaps w:val="false"/>
          <w:color w:val="00693C"/>
          <w:sz w:val="32"/>
          <w:bdr w:val="single" w:sz="12" w:space="18" w:color="00693C"/>
        </w:rPr>
        <w:t>Important Award Details</w:t>
      </w:r>
    </w:p>
    <w:p>
      <w:pPr>
        <w:pStyle w:val="TextBody"/>
        <w:bidi w:val="0"/>
        <w:spacing w:before="0" w:after="0"/>
        <w:ind w:left="360" w:right="0" w:hanging="0"/>
        <w:jc w:val="left"/>
        <w:rPr>
          <w:caps w:val="false"/>
          <w:smallCaps w:val="false"/>
          <w:bdr w:val="single" w:sz="12" w:space="18" w:color="00693C"/>
        </w:rPr>
      </w:pPr>
      <w:r>
        <w:rPr>
          <w:caps w:val="false"/>
          <w:smallCaps w:val="false"/>
          <w:bdr w:val="single" w:sz="12" w:space="18" w:color="00693C"/>
        </w:rPr>
        <w:t> </w:t>
      </w:r>
    </w:p>
    <w:p>
      <w:pPr>
        <w:pStyle w:val="TextBody"/>
        <w:bidi w:val="0"/>
        <w:spacing w:before="0" w:after="0"/>
        <w:ind w:left="0" w:right="0" w:hanging="0"/>
        <w:jc w:val="both"/>
        <w:rPr>
          <w:rFonts w:ascii="Arial;Helvetica;Sans-Serif" w:hAnsi="Arial;Helvetica;Sans-Serif"/>
          <w:b w:val="false"/>
          <w:i w:val="false"/>
          <w:caps w:val="false"/>
          <w:smallCaps w:val="false"/>
          <w:sz w:val="22"/>
          <w:bdr w:val="single" w:sz="12" w:space="18" w:color="00693C"/>
        </w:rPr>
      </w:pPr>
      <w:r>
        <w:rPr>
          <w:rFonts w:ascii="Arial;Helvetica;Sans-Serif" w:hAnsi="Arial;Helvetica;Sans-Serif"/>
          <w:b w:val="false"/>
          <w:i w:val="false"/>
          <w:caps w:val="false"/>
          <w:smallCaps w:val="false"/>
          <w:sz w:val="22"/>
          <w:bdr w:val="single" w:sz="12" w:space="18" w:color="00693C"/>
        </w:rPr>
        <w:t>Your Awards under this Agreement are subject to important terms and conditions set forth below. Please read them carefully and seek advice from your own legal and tax advisors before executing this Agreement.</w:t>
      </w:r>
    </w:p>
    <w:p>
      <w:pPr>
        <w:pStyle w:val="TextBody"/>
        <w:bidi w:val="0"/>
        <w:spacing w:before="0" w:after="0"/>
        <w:ind w:left="360" w:right="0" w:hanging="360"/>
        <w:jc w:val="both"/>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left"/>
              <w:rPr/>
            </w:pPr>
            <w:r>
              <w:rPr>
                <w:u w:val="single"/>
              </w:rPr>
              <w:t>Death or Disability</w:t>
            </w:r>
            <w:r>
              <w:rPr/>
              <w:t>. Upon Employee’s death or disability (as determined by the Committee and within the meaning of Section 409A of the Internal Revenue Code of 1986, as amended, and the Treasury Regulations issued thereunder (“</w:t>
            </w:r>
            <w:r>
              <w:rPr>
                <w:b/>
                <w:i/>
              </w:rPr>
              <w:t>Section 409A</w:t>
            </w:r>
            <w:r>
              <w:rPr/>
              <w:t>”) and specifically Section 409A(a)(2)(C) (“</w:t>
            </w:r>
            <w:r>
              <w:rPr>
                <w:b/>
                <w:i/>
              </w:rPr>
              <w:t>Disability</w:t>
            </w:r>
            <w:r>
              <w:rPr/>
              <w:t>”)), Employee (or in the case of Employee’s death, Employee’s beneficiary) shall, subject to paragraph 2.e below, be entitled to:</w:t>
            </w:r>
          </w:p>
        </w:tc>
      </w:tr>
    </w:tbl>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74"/>
        <w:gridCol w:w="185"/>
        <w:gridCol w:w="9946"/>
      </w:tblGrid>
      <w:tr>
        <w:trPr/>
        <w:tc>
          <w:tcPr>
            <w:tcW w:w="7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left"/>
              <w:rPr/>
            </w:pPr>
            <w:r>
              <w:rPr/>
              <w:t xml:space="preserve">exercise all Stock Options outstanding under the Stock Option Award (whether previously exercisable) for one year following such event. Provided however, if Employee was eligible for </w:t>
            </w:r>
            <w:r>
              <w:rPr>
                <w:b/>
                <w:i/>
              </w:rPr>
              <w:t>Retirement</w:t>
            </w:r>
            <w:r>
              <w:rPr/>
              <w:t xml:space="preserve"> (as defined below) at the time of his death or Disability, the Stock Option Award will remain exercisable for three years following the date of such event.</w:t>
            </w:r>
          </w:p>
        </w:tc>
      </w:tr>
      <w:tr>
        <w:trPr/>
        <w:tc>
          <w:tcPr>
            <w:tcW w:w="7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6"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3"/>
        <w:gridCol w:w="229"/>
        <w:gridCol w:w="9933"/>
      </w:tblGrid>
      <w:tr>
        <w:trPr/>
        <w:tc>
          <w:tcPr>
            <w:tcW w:w="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left"/>
              <w:rPr/>
            </w:pPr>
            <w:r>
              <w:rPr>
                <w:u w:val="single"/>
              </w:rPr>
              <w:t>Treatment of Stock Option Award upon Involuntary Termination; Resignation; Retirement</w:t>
            </w:r>
            <w:r>
              <w:rPr/>
              <w:t>.</w:t>
            </w:r>
          </w:p>
        </w:tc>
      </w:tr>
    </w:tbl>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u w:val="single"/>
              </w:rPr>
              <w:t>Involuntary Termination of Employment Without Cause or Resignation by Employee</w:t>
            </w:r>
            <w:r>
              <w:rPr/>
              <w:t>. Upon an involuntary Termination of Employment without Cause by WM or a Termination of Employment due to a voluntary resignation by Employee that is accepted by WM that is not a Retirement, for a period of 90 days following such Termination of Employment, Employee shall be entitled to exercise all the Stock Options then outstanding and exercisable under the Stock Option Award. Any Stock Options that are not outstanding and exercisable at the time of the applicable termination shall be forfeited without the payment of any consideration by WM, and any Stock Options that were eligible to be exercised pursuant to this paragraph 3.a but were not exercised during the 90-day exercise period shall also be forfeited without the payment of any consideration by WM.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u w:val="single"/>
              </w:rPr>
              <w:t>Retirement</w:t>
            </w:r>
            <w:r>
              <w:rPr/>
              <w:t>. Upon Employee’s Retirement, the Stock Option Award shall continue to become exercisable under the applicable exercise schedule for three years following Employee’s Retirement and once exercisable shall remain exercisable for the three-year period following Employee’s Retirement</w:t>
            </w:r>
          </w:p>
        </w:tc>
      </w:tr>
    </w:tbl>
    <w:p>
      <w:pPr>
        <w:pStyle w:val="TextBody"/>
        <w:bidi w:val="0"/>
        <w:spacing w:before="0" w:after="0"/>
        <w:ind w:left="108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42"/>
        <w:gridCol w:w="210"/>
        <w:gridCol w:w="9953"/>
      </w:tblGrid>
      <w:tr>
        <w:trPr/>
        <w:tc>
          <w:tcPr>
            <w:tcW w:w="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left"/>
              <w:rPr/>
            </w:pPr>
            <w:r>
              <w:rPr/>
              <w:t>The following terms shall have the meanings set forth below for purposes of this Agreement:</w:t>
            </w:r>
          </w:p>
        </w:tc>
      </w:tr>
    </w:tbl>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b/>
                <w:i/>
              </w:rPr>
              <w:t xml:space="preserve">Retirement </w:t>
            </w:r>
            <w:r>
              <w:rPr/>
              <w:t xml:space="preserve">means Termination of Employment due to the voluntary resignation of employment by Employee, after Employee (1) has reached age 55 or greater; (2) has a sum of age plus years of Service (as defined in paragraph ii. below) with WM equal to 65 or greater; and (3) has completed at least 5 consecutive full years of Service with WM during the 5-year period immediately preceding the resignation; </w:t>
            </w:r>
            <w:r>
              <w:rPr>
                <w:u w:val="single"/>
              </w:rPr>
              <w:t>provided</w:t>
            </w:r>
            <w:r>
              <w:rPr/>
              <w:t>, that Employee is not receiving severance benefits pursuant to the severance pay plans of WM in connection with such Termination of Employment.</w:t>
            </w:r>
          </w:p>
        </w:tc>
      </w:tr>
    </w:tbl>
    <w:p>
      <w:pPr>
        <w:pStyle w:val="TextBody"/>
        <w:bidi w:val="0"/>
        <w:spacing w:before="0" w:after="0"/>
        <w:ind w:left="1080" w:right="0" w:hanging="36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b/>
                <w:i/>
              </w:rPr>
              <w:t>Service</w:t>
            </w:r>
            <w:r>
              <w:rPr/>
              <w:t xml:space="preserve"> is measured from Employee’s original date of hire by WM, except as provided below. In the case of a 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tc>
      </w:tr>
    </w:tbl>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b/>
                <w:i/>
              </w:rPr>
              <w:t>Termination of Employment</w:t>
            </w:r>
            <w:r>
              <w:rPr/>
              <w:t xml:space="preserve"> means the termination of Employee’s employment or other service 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tc>
      </w:tr>
    </w:tbl>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left"/>
              <w:rPr/>
            </w:pPr>
            <w:r>
              <w:rPr>
                <w:b/>
                <w:i/>
              </w:rPr>
              <w:t xml:space="preserve">Cause </w:t>
            </w:r>
            <w:r>
              <w:rPr/>
              <w:t xml:space="preserve">means any of the following: (1) willful or deliberate and continual refusal to materially perform 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i/>
              </w:rPr>
              <w:t>nolo contendre</w:t>
            </w:r>
            <w:r>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tc>
      </w:tr>
    </w:tbl>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In order to receive any of the vesting or exercisability benefits upon termination described in paragraphs 1 and 2 (except resignation), Employee (or, if applicable, Employee’s estate) must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tc>
      </w:tr>
    </w:tbl>
    <w:p>
      <w:pPr>
        <w:pStyle w:val="TextBody"/>
        <w:bidi w:val="0"/>
        <w:spacing w:before="0" w:after="0"/>
        <w:ind w:left="0" w:right="0" w:hanging="0"/>
        <w:jc w:val="both"/>
        <w:rPr>
          <w:caps w:val="false"/>
          <w:smallCaps w:val="false"/>
          <w:bdr w:val="single" w:sz="12" w:space="18" w:color="00693C"/>
        </w:rPr>
      </w:pPr>
      <w:r>
        <w:rPr>
          <w:caps w:val="false"/>
          <w:smallCaps w:val="false"/>
          <w:bdr w:val="single" w:sz="12" w:space="18" w:color="00693C"/>
        </w:rPr>
        <w:t> </w:t>
      </w:r>
    </w:p>
    <w:tbl>
      <w:tblPr>
        <w:tblW w:w="4780" w:type="dxa"/>
        <w:jc w:val="left"/>
        <w:tblInd w:w="0" w:type="dxa"/>
        <w:tblLayout w:type="fixed"/>
        <w:tblCellMar>
          <w:top w:w="0" w:type="dxa"/>
          <w:left w:w="0" w:type="dxa"/>
          <w:bottom w:w="0" w:type="dxa"/>
          <w:right w:w="0" w:type="dxa"/>
        </w:tblCellMar>
      </w:tblPr>
      <w:tblGrid>
        <w:gridCol w:w="215"/>
        <w:gridCol w:w="4565"/>
      </w:tblGrid>
      <w:tr>
        <w:trPr/>
        <w:tc>
          <w:tcPr>
            <w:tcW w:w="215" w:type="dxa"/>
            <w:tcBorders/>
            <w:vAlign w:val="center"/>
          </w:tcPr>
          <w:p>
            <w:pPr>
              <w:pStyle w:val="TableContents"/>
              <w:bidi w:val="0"/>
              <w:spacing w:before="0" w:after="283"/>
              <w:jc w:val="left"/>
              <w:rPr/>
            </w:pPr>
            <w:r>
              <w:rPr/>
              <w:t>3.</w:t>
            </w:r>
          </w:p>
        </w:tc>
        <w:tc>
          <w:tcPr>
            <w:tcW w:w="4565" w:type="dxa"/>
            <w:tcBorders/>
            <w:vAlign w:val="center"/>
          </w:tcPr>
          <w:p>
            <w:pPr>
              <w:pStyle w:val="TableContents"/>
              <w:bidi w:val="0"/>
              <w:spacing w:before="0" w:after="283"/>
              <w:jc w:val="left"/>
              <w:rPr/>
            </w:pPr>
            <w:r>
              <w:rPr>
                <w:u w:val="single"/>
              </w:rPr>
              <w:t>Termination of Employment for Other Reasons</w:t>
            </w:r>
            <w:r>
              <w:rPr/>
              <w:t>.</w:t>
            </w:r>
          </w:p>
        </w:tc>
      </w:tr>
    </w:tbl>
    <w:p>
      <w:pPr>
        <w:pStyle w:val="TextBody"/>
        <w:bidi w:val="0"/>
        <w:spacing w:before="0" w:after="0"/>
        <w:ind w:left="108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u w:val="single"/>
              </w:rPr>
              <w:t>Stock Option Award in the Event of Involuntary Termination with Cause</w:t>
            </w:r>
            <w:r>
              <w:rPr/>
              <w:t>. Upon Termination of Employment by WM with Cause, Employee shall forfeit all Stock Options under the Stock Option Award, whether exercisable, without the payment of any consideration by WM.</w:t>
            </w:r>
          </w:p>
        </w:tc>
      </w:tr>
    </w:tbl>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153"/>
        <w:gridCol w:w="809"/>
        <w:gridCol w:w="9243"/>
      </w:tblGrid>
      <w:tr>
        <w:trPr/>
        <w:tc>
          <w:tcPr>
            <w:tcW w:w="1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4.</w:t>
            </w:r>
          </w:p>
        </w:tc>
        <w:tc>
          <w:tcPr>
            <w:tcW w:w="9243" w:type="dxa"/>
            <w:tcBorders/>
            <w:vAlign w:val="center"/>
          </w:tcPr>
          <w:p>
            <w:pPr>
              <w:pStyle w:val="TableContents"/>
              <w:bidi w:val="0"/>
              <w:spacing w:before="0" w:after="283"/>
              <w:jc w:val="left"/>
              <w:rPr>
                <w:u w:val="single"/>
              </w:rPr>
            </w:pPr>
            <w:r>
              <w:rPr>
                <w:u w:val="single"/>
              </w:rPr>
              <w:t>Recoupment Provisions</w:t>
            </w:r>
          </w:p>
        </w:tc>
      </w:tr>
    </w:tbl>
    <w:p>
      <w:pPr>
        <w:pStyle w:val="TextBody"/>
        <w:bidi w:val="0"/>
        <w:spacing w:before="0" w:after="0"/>
        <w:ind w:left="36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206"/>
        <w:gridCol w:w="1005"/>
        <w:gridCol w:w="8994"/>
      </w:tblGrid>
      <w:tr>
        <w:trPr/>
        <w:tc>
          <w:tcPr>
            <w:tcW w:w="20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pPr>
            <w:r>
              <w:rPr/>
              <w:t>a.</w:t>
            </w:r>
          </w:p>
        </w:tc>
        <w:tc>
          <w:tcPr>
            <w:tcW w:w="8994" w:type="dxa"/>
            <w:tcBorders/>
            <w:vAlign w:val="center"/>
          </w:tcPr>
          <w:p>
            <w:pPr>
              <w:pStyle w:val="TableContents"/>
              <w:bidi w:val="0"/>
              <w:spacing w:before="0" w:after="283"/>
              <w:jc w:val="left"/>
              <w:rPr>
                <w:u w:val="single"/>
              </w:rPr>
            </w:pPr>
            <w:r>
              <w:rPr>
                <w:u w:val="single"/>
              </w:rPr>
              <w:t>Clawback Policy</w:t>
            </w:r>
          </w:p>
        </w:tc>
      </w:tr>
    </w:tbl>
    <w:p>
      <w:pPr>
        <w:pStyle w:val="TextBody"/>
        <w:bidi w:val="0"/>
        <w:spacing w:before="0" w:after="0"/>
        <w:ind w:left="81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Notwithstanding any provisions in the Plan or this Agreement to the contrary, any portion of the payments and benefits provided under this Agreement or the sale of any shares of Common Stock issued hereunder shall be subject to the Waste Management, Inc. Clawback Policy, adopted by the Committee of the Board on August 21, 2023, (as may be amended from time to time, the “</w:t>
            </w:r>
            <w:r>
              <w:rPr>
                <w:b/>
                <w:i/>
              </w:rPr>
              <w:t>Clawback Policy</w:t>
            </w:r>
            <w:r>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 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b/>
                <w:i/>
              </w:rPr>
              <w:t>Clawback Proceeding</w:t>
            </w:r>
            <w:r>
              <w:rPr/>
              <w:t>”) or loss (including judgments, fines, taxes, penalties or amounts paid in settlement by or on behalf 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tc>
      </w:tr>
    </w:tbl>
    <w:p>
      <w:pPr>
        <w:pStyle w:val="TextBody"/>
        <w:bidi w:val="0"/>
        <w:spacing w:before="0" w:after="0"/>
        <w:ind w:left="144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77"/>
        <w:gridCol w:w="407"/>
        <w:gridCol w:w="9721"/>
      </w:tblGrid>
      <w:tr>
        <w:trPr/>
        <w:tc>
          <w:tcPr>
            <w:tcW w:w="7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b.</w:t>
            </w:r>
          </w:p>
        </w:tc>
        <w:tc>
          <w:tcPr>
            <w:tcW w:w="9721" w:type="dxa"/>
            <w:tcBorders/>
            <w:vAlign w:val="center"/>
          </w:tcPr>
          <w:p>
            <w:pPr>
              <w:pStyle w:val="TableContents"/>
              <w:bidi w:val="0"/>
              <w:spacing w:before="0" w:after="283"/>
              <w:jc w:val="left"/>
              <w:rPr/>
            </w:pPr>
            <w:r>
              <w:rPr>
                <w:u w:val="single"/>
              </w:rPr>
              <w:t>Repayment of Award in the Event of Misconduct</w:t>
            </w:r>
            <w:r>
              <w:rPr/>
              <w:t>.</w:t>
            </w:r>
          </w:p>
        </w:tc>
      </w:tr>
    </w:tbl>
    <w:p>
      <w:pPr>
        <w:pStyle w:val="TextBody"/>
        <w:bidi w:val="0"/>
        <w:spacing w:before="0" w:after="0"/>
        <w:ind w:left="720" w:right="0" w:hanging="360"/>
        <w:jc w:val="center"/>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b/>
                <w:i/>
              </w:rPr>
              <w:t>Misconduct</w:t>
            </w:r>
            <w:r>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b/>
                <w:i/>
              </w:rPr>
              <w:t>Independent Third Party</w:t>
            </w:r>
            <w:r>
              <w:rPr/>
              <w:t>) appointed by the Committee.</w:t>
            </w:r>
          </w:p>
        </w:tc>
      </w:tr>
    </w:tbl>
    <w:p>
      <w:pPr>
        <w:pStyle w:val="TextBody"/>
        <w:bidi w:val="0"/>
        <w:spacing w:before="0" w:after="0"/>
        <w:ind w:left="1440" w:right="0" w:hanging="36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Following a determination of Misconduct by Employee, Employee may dispute such determination pursuant to binding arbitration as set forth below under “General Terms” provided, however, that if Employee is determined to have benefited from, but not engaged in, Misconduct, Employee will have no right to dispute such determination and such determination shall be conclusive and binding.</w:t>
            </w:r>
          </w:p>
        </w:tc>
      </w:tr>
    </w:tbl>
    <w:p>
      <w:pPr>
        <w:pStyle w:val="TextBody"/>
        <w:bidi w:val="0"/>
        <w:spacing w:before="0" w:after="0"/>
        <w:ind w:left="1440" w:right="0" w:hanging="36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t>WM must initiate recovery pursuant to this paragraph by the earliest of (i) one year after discovery of alleged Misconduct, or (ii) the second anniversary of Employee’s Termination of Employment.</w:t>
            </w:r>
          </w:p>
        </w:tc>
      </w:tr>
    </w:tbl>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1440" w:right="0" w:hanging="36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left"/>
              <w:rPr/>
            </w:pPr>
            <w:r>
              <w:rPr/>
              <w:t>The provisions of this paragraph, without any implication as to any other provision of this Agreement, shall survive the expiration or termination of this Agreement and Employee’s employment.</w:t>
            </w:r>
          </w:p>
        </w:tc>
      </w:tr>
    </w:tbl>
    <w:p>
      <w:pPr>
        <w:pStyle w:val="TextBody"/>
        <w:bidi w:val="0"/>
        <w:spacing w:before="0" w:after="0"/>
        <w:ind w:left="1800" w:right="0" w:hanging="0"/>
        <w:jc w:val="left"/>
        <w:rPr>
          <w:caps w:val="false"/>
          <w:smallCaps w:val="false"/>
          <w:bdr w:val="single" w:sz="12" w:space="18" w:color="00693C"/>
        </w:rPr>
      </w:pPr>
      <w:r>
        <w:rPr>
          <w:caps w:val="false"/>
          <w:smallCaps w:val="false"/>
          <w:bdr w:val="single" w:sz="12" w:space="18" w:color="00693C"/>
        </w:rPr>
        <w:t> </w:t>
      </w:r>
    </w:p>
    <w:tbl>
      <w:tblPr>
        <w:tblW w:w="9445" w:type="dxa"/>
        <w:jc w:val="left"/>
        <w:tblInd w:w="0" w:type="dxa"/>
        <w:tblLayout w:type="fixed"/>
        <w:tblCellMar>
          <w:top w:w="0" w:type="dxa"/>
          <w:left w:w="0" w:type="dxa"/>
          <w:bottom w:w="0" w:type="dxa"/>
          <w:right w:w="0" w:type="dxa"/>
        </w:tblCellMar>
      </w:tblPr>
      <w:tblGrid>
        <w:gridCol w:w="215"/>
        <w:gridCol w:w="9230"/>
      </w:tblGrid>
      <w:tr>
        <w:trPr/>
        <w:tc>
          <w:tcPr>
            <w:tcW w:w="215" w:type="dxa"/>
            <w:tcBorders/>
            <w:vAlign w:val="center"/>
          </w:tcPr>
          <w:p>
            <w:pPr>
              <w:pStyle w:val="TableContents"/>
              <w:bidi w:val="0"/>
              <w:spacing w:before="0" w:after="283"/>
              <w:jc w:val="left"/>
              <w:rPr/>
            </w:pPr>
            <w:r>
              <w:rPr/>
              <w:t>5.</w:t>
            </w:r>
          </w:p>
        </w:tc>
        <w:tc>
          <w:tcPr>
            <w:tcW w:w="9230" w:type="dxa"/>
            <w:tcBorders/>
            <w:vAlign w:val="center"/>
          </w:tcPr>
          <w:p>
            <w:pPr>
              <w:pStyle w:val="TableContents"/>
              <w:bidi w:val="0"/>
              <w:spacing w:before="0" w:after="283"/>
              <w:jc w:val="left"/>
              <w:rPr/>
            </w:pPr>
            <w:r>
              <w:rPr>
                <w:u w:val="single"/>
              </w:rPr>
              <w:t>Acceleration upon Corporate Change</w:t>
            </w:r>
            <w:r>
              <w:rPr/>
              <w:t>. Overriding any other inconsistent terms of this Agreement:</w:t>
            </w:r>
          </w:p>
        </w:tc>
      </w:tr>
    </w:tbl>
    <w:p>
      <w:pPr>
        <w:pStyle w:val="TextBody"/>
        <w:bidi w:val="0"/>
        <w:spacing w:before="0" w:after="0"/>
        <w:ind w:left="1080" w:right="0" w:hanging="0"/>
        <w:jc w:val="left"/>
        <w:rPr>
          <w:caps w:val="false"/>
          <w:smallCaps w:val="false"/>
          <w:bdr w:val="single" w:sz="12" w:space="18" w:color="00693C"/>
        </w:rPr>
      </w:pPr>
      <w:r>
        <w:rPr>
          <w:caps w:val="false"/>
          <w:smallCaps w:val="false"/>
          <w:bdr w:val="single" w:sz="12" w:space="18" w:color="00693C"/>
        </w:rPr>
        <w:t> </w:t>
      </w:r>
    </w:p>
    <w:p>
      <w:pPr>
        <w:pStyle w:val="TextBody"/>
        <w:bidi w:val="0"/>
        <w:spacing w:before="0" w:after="0"/>
        <w:ind w:left="180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u w:val="single"/>
              </w:rPr>
              <w:t>Stock Option Award</w:t>
            </w:r>
            <w:r>
              <w:rPr/>
              <w:t>. In the event of Employee’s involuntary Termination of Employment without Cause or Termination of Employment due to a resignation by Employee for Good Reason that, in either case, occurs on or before the second anniversary of a Corporate Change, the Stock Option Award shall become exercisable immediately (whether previously exercisable) and shall remain exercisable for the three-year period following such Termination of Employment. For this purpose, “</w:t>
            </w:r>
            <w:r>
              <w:rPr>
                <w:b/>
                <w:i/>
              </w:rPr>
              <w:t>Good Reason</w:t>
            </w:r>
            <w:r>
              <w:rPr/>
              <w:t>” has the same meaning as within the Waste Management Holding, Inc. Executive Severance Plan (“</w:t>
            </w:r>
            <w:r>
              <w:rPr>
                <w:b/>
                <w:i/>
              </w:rPr>
              <w:t>Executive Severance Plan</w:t>
            </w:r>
            <w:r>
              <w:rPr/>
              <w:t xml:space="preserve">”). In the event Employee is not a participant in the Executive Severance Plan, then Good Reason means the initial existence of one or more of the following conditions, arising without the consent of the Employee: (1) a material diminution in Employee’s base compensation; (2) a material diminution in Employee’s authority, duties, or responsibilities; (3) the relocation of the geographic location of the Employee’s principal place of employment by more than 50 miles from the location Employee’s immediately prior principal place of employment; </w:t>
            </w:r>
            <w:r>
              <w:rPr>
                <w:i/>
              </w:rPr>
              <w:t>provided</w:t>
            </w:r>
            <w:r>
              <w:rPr/>
              <w:t xml:space="preserve">, </w:t>
            </w:r>
            <w:r>
              <w:rPr>
                <w:i/>
              </w:rPr>
              <w:t>that</w:t>
            </w:r>
            <w:r>
              <w:rPr/>
              <w:t>, Employee cannot terminate Employee’s employment for “Good Reason” unless Employee has provided written notice to the Company of the existence of the condition providing grounds for termination for Good Reason within ninety (90) days of the initial existence of the condition, the written notice must provide for a date of termination not less than thirty (3) nor more than sixty (60) days after the date such notice is given, and the condition specified in the notice must remain uncorrected through the date of termination set forth in the notice.</w:t>
            </w:r>
          </w:p>
        </w:tc>
      </w:tr>
    </w:tbl>
    <w:p>
      <w:pPr>
        <w:pStyle w:val="TextBody"/>
        <w:bidi w:val="0"/>
        <w:spacing w:before="0" w:after="0"/>
        <w:ind w:left="81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42"/>
        <w:gridCol w:w="227"/>
        <w:gridCol w:w="9936"/>
      </w:tblGrid>
      <w:tr>
        <w:trPr/>
        <w:tc>
          <w:tcPr>
            <w:tcW w:w="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left"/>
              <w:rPr/>
            </w:pPr>
            <w:r>
              <w:rPr/>
              <w:t>The following terms shall have the meanings set forth below for purposes of this Agreement:</w:t>
            </w:r>
          </w:p>
        </w:tc>
      </w:tr>
    </w:tbl>
    <w:p>
      <w:pPr>
        <w:pStyle w:val="TextBody"/>
        <w:bidi w:val="0"/>
        <w:spacing w:before="0" w:after="0"/>
        <w:ind w:left="180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b/>
                <w:i/>
              </w:rPr>
              <w:t>Window Period</w:t>
            </w:r>
            <w:r>
              <w:rPr/>
              <w:t xml:space="preserve"> means the period beginning on the date occurring six (6) months immediately prior to the date on which a Corporate Change first occurs and ending on the second anniversary of the date on which a Corporate Change occurs.</w:t>
            </w:r>
          </w:p>
        </w:tc>
      </w:tr>
    </w:tbl>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2" w:space="18" w:color="00693C"/>
        </w:rPr>
      </w:pPr>
      <w:r>
        <w:rPr>
          <w:rFonts w:ascii="Arial;Helvetica;Sans-Serif" w:hAnsi="Arial;Helvetica;Sans-Serif"/>
          <w:b/>
          <w:i w:val="false"/>
          <w:caps w:val="false"/>
          <w:smallCaps w:val="false"/>
          <w:color w:val="00693C"/>
          <w:sz w:val="32"/>
          <w:bdr w:val="single" w:sz="12" w:space="18" w:color="00693C"/>
        </w:rPr>
        <w:t>General Terms</w:t>
      </w:r>
    </w:p>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pPr>
            <w:r>
              <w:rPr/>
              <w:t>1.</w:t>
            </w:r>
          </w:p>
        </w:tc>
        <w:tc>
          <w:tcPr>
            <w:tcW w:w="2360" w:type="dxa"/>
            <w:tcBorders/>
            <w:vAlign w:val="center"/>
          </w:tcPr>
          <w:p>
            <w:pPr>
              <w:pStyle w:val="TableContents"/>
              <w:bidi w:val="0"/>
              <w:spacing w:before="0" w:after="283"/>
              <w:jc w:val="left"/>
              <w:rPr/>
            </w:pPr>
            <w:r>
              <w:rPr>
                <w:u w:val="single"/>
              </w:rPr>
              <w:t>Restrictions on Transfer</w:t>
            </w:r>
            <w:r>
              <w:rPr/>
              <w:t>.</w:t>
            </w:r>
          </w:p>
        </w:tc>
      </w:tr>
    </w:tbl>
    <w:p>
      <w:pPr>
        <w:pStyle w:val="TextBody"/>
        <w:bidi w:val="0"/>
        <w:spacing w:before="0" w:after="0"/>
        <w:ind w:left="1080" w:right="0" w:hanging="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tc>
      </w:tr>
    </w:tbl>
    <w:p>
      <w:pPr>
        <w:pStyle w:val="TextBody"/>
        <w:bidi w:val="0"/>
        <w:spacing w:before="0" w:after="0"/>
        <w:ind w:left="720" w:right="0" w:hanging="36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tc>
      </w:tr>
    </w:tbl>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t>2.</w:t>
            </w:r>
          </w:p>
        </w:tc>
        <w:tc>
          <w:tcPr>
            <w:tcW w:w="9991" w:type="dxa"/>
            <w:tcBorders/>
            <w:vAlign w:val="center"/>
          </w:tcPr>
          <w:p>
            <w:pPr>
              <w:pStyle w:val="TableContents"/>
              <w:bidi w:val="0"/>
              <w:spacing w:before="0" w:after="283"/>
              <w:jc w:val="left"/>
              <w:rPr/>
            </w:pPr>
            <w:r>
              <w:rPr>
                <w:u w:val="single"/>
              </w:rPr>
              <w:t>Fractional Shares</w:t>
            </w:r>
            <w:r>
              <w:rPr/>
              <w:t>. No fractional shares of Common Stock will be issued under the Plan or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3.</w:t>
            </w:r>
          </w:p>
        </w:tc>
        <w:tc>
          <w:tcPr>
            <w:tcW w:w="10044" w:type="dxa"/>
            <w:tcBorders/>
            <w:vAlign w:val="center"/>
          </w:tcPr>
          <w:p>
            <w:pPr>
              <w:pStyle w:val="TableContents"/>
              <w:bidi w:val="0"/>
              <w:spacing w:before="0" w:after="283"/>
              <w:jc w:val="left"/>
              <w:rPr/>
            </w:pPr>
            <w:r>
              <w:rPr>
                <w:u w:val="single"/>
              </w:rPr>
              <w:t>Withholding Tax</w:t>
            </w:r>
            <w:r>
              <w:rPr/>
              <w:t>. Employee agrees that Employee is responsible for federal, state, and local tax consequences associated with the Awards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tc>
      </w:tr>
    </w:tbl>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4.</w:t>
            </w:r>
          </w:p>
        </w:tc>
        <w:tc>
          <w:tcPr>
            <w:tcW w:w="10044" w:type="dxa"/>
            <w:tcBorders/>
            <w:vAlign w:val="center"/>
          </w:tcPr>
          <w:p>
            <w:pPr>
              <w:pStyle w:val="TableContents"/>
              <w:bidi w:val="0"/>
              <w:spacing w:before="0" w:after="283"/>
              <w:jc w:val="left"/>
              <w:rPr/>
            </w:pPr>
            <w:r>
              <w:rPr>
                <w:u w:val="single"/>
              </w:rPr>
              <w:t>Compliance with Securities Laws.</w:t>
            </w:r>
            <w:r>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tc>
      </w:tr>
    </w:tbl>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p>
      <w:pPr>
        <w:pStyle w:val="TextBody"/>
        <w:bidi w:val="0"/>
        <w:spacing w:before="0" w:after="0"/>
        <w:ind w:left="360" w:right="0" w:hanging="0"/>
        <w:jc w:val="left"/>
        <w:rPr>
          <w:rFonts w:ascii="Arial;Helvetica;Sans-Serif" w:hAnsi="Arial;Helvetica;Sans-Serif"/>
          <w:b w:val="false"/>
          <w:i w:val="false"/>
          <w:caps w:val="false"/>
          <w:smallCaps w:val="false"/>
          <w:sz w:val="22"/>
          <w:bdr w:val="single" w:sz="12" w:space="18" w:color="00693C"/>
        </w:rPr>
      </w:pPr>
      <w:r>
        <w:rPr>
          <w:rFonts w:ascii="Arial;Helvetica;Sans-Serif" w:hAnsi="Arial;Helvetica;Sans-Serif"/>
          <w:b w:val="false"/>
          <w:i w:val="false"/>
          <w:caps w:val="false"/>
          <w:smallCaps w:val="false"/>
          <w:sz w:val="22"/>
          <w:bdr w:val="single" w:sz="12" w:space="18" w:color="00693C"/>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pStyle w:val="TextBody"/>
        <w:bidi w:val="0"/>
        <w:spacing w:before="0" w:after="0"/>
        <w:ind w:left="720" w:right="0" w:hanging="0"/>
        <w:jc w:val="center"/>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5.</w:t>
            </w:r>
          </w:p>
        </w:tc>
        <w:tc>
          <w:tcPr>
            <w:tcW w:w="10035" w:type="dxa"/>
            <w:tcBorders/>
            <w:vAlign w:val="center"/>
          </w:tcPr>
          <w:p>
            <w:pPr>
              <w:pStyle w:val="TableContents"/>
              <w:bidi w:val="0"/>
              <w:spacing w:before="0" w:after="283"/>
              <w:jc w:val="left"/>
              <w:rPr/>
            </w:pPr>
            <w:r>
              <w:rPr>
                <w:u w:val="single"/>
              </w:rPr>
              <w:t>Employee to Have no Rights as a Stockholder.</w:t>
            </w:r>
            <w:r>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w:t>
            </w:r>
          </w:p>
        </w:tc>
      </w:tr>
    </w:tbl>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6.</w:t>
            </w:r>
          </w:p>
        </w:tc>
        <w:tc>
          <w:tcPr>
            <w:tcW w:w="10044" w:type="dxa"/>
            <w:tcBorders/>
            <w:vAlign w:val="center"/>
          </w:tcPr>
          <w:p>
            <w:pPr>
              <w:pStyle w:val="TableContents"/>
              <w:bidi w:val="0"/>
              <w:spacing w:before="0" w:after="283"/>
              <w:jc w:val="both"/>
              <w:rPr/>
            </w:pPr>
            <w:r>
              <w:rPr>
                <w:u w:val="single"/>
              </w:rPr>
              <w:t>Successors and Assigns</w:t>
            </w:r>
            <w:r>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5.a. under “Important Award Details.”</w:t>
            </w:r>
          </w:p>
        </w:tc>
      </w:tr>
    </w:tbl>
    <w:p>
      <w:pPr>
        <w:pStyle w:val="TextBody"/>
        <w:bidi w:val="0"/>
        <w:spacing w:before="0" w:after="0"/>
        <w:ind w:left="0" w:right="0" w:hanging="0"/>
        <w:jc w:val="both"/>
        <w:rPr>
          <w:caps w:val="false"/>
          <w:smallCaps w:val="false"/>
          <w:bdr w:val="single" w:sz="12" w:space="18" w:color="00693C"/>
        </w:rPr>
      </w:pPr>
      <w:r>
        <w:rPr>
          <w:caps w:val="false"/>
          <w:smallCaps w:val="false"/>
          <w:bdr w:val="single" w:sz="12" w:space="18" w:color="00693C"/>
        </w:rPr>
        <w:t> </w:t>
      </w:r>
    </w:p>
    <w:tbl>
      <w:tblPr>
        <w:tblW w:w="7900" w:type="dxa"/>
        <w:jc w:val="left"/>
        <w:tblInd w:w="0" w:type="dxa"/>
        <w:tblLayout w:type="fixed"/>
        <w:tblCellMar>
          <w:top w:w="0" w:type="dxa"/>
          <w:left w:w="0" w:type="dxa"/>
          <w:bottom w:w="0" w:type="dxa"/>
          <w:right w:w="0" w:type="dxa"/>
        </w:tblCellMar>
      </w:tblPr>
      <w:tblGrid>
        <w:gridCol w:w="215"/>
        <w:gridCol w:w="7685"/>
      </w:tblGrid>
      <w:tr>
        <w:trPr/>
        <w:tc>
          <w:tcPr>
            <w:tcW w:w="215" w:type="dxa"/>
            <w:tcBorders/>
            <w:vAlign w:val="center"/>
          </w:tcPr>
          <w:p>
            <w:pPr>
              <w:pStyle w:val="TableContents"/>
              <w:bidi w:val="0"/>
              <w:spacing w:before="0" w:after="283"/>
              <w:jc w:val="left"/>
              <w:rPr/>
            </w:pPr>
            <w:r>
              <w:rPr/>
              <w:t>7.</w:t>
            </w:r>
          </w:p>
        </w:tc>
        <w:tc>
          <w:tcPr>
            <w:tcW w:w="7685" w:type="dxa"/>
            <w:tcBorders/>
            <w:vAlign w:val="center"/>
          </w:tcPr>
          <w:p>
            <w:pPr>
              <w:pStyle w:val="TableContents"/>
              <w:bidi w:val="0"/>
              <w:spacing w:before="0" w:after="283"/>
              <w:jc w:val="both"/>
              <w:rPr/>
            </w:pPr>
            <w:r>
              <w:rPr>
                <w:u w:val="single"/>
              </w:rPr>
              <w:t>Limitation of Rights</w:t>
            </w:r>
            <w:r>
              <w:rPr/>
              <w:t>. Nothing in this Agreement or the Plan may be construed to:</w:t>
            </w:r>
          </w:p>
        </w:tc>
      </w:tr>
    </w:tbl>
    <w:p>
      <w:pPr>
        <w:pStyle w:val="TextBody"/>
        <w:bidi w:val="0"/>
        <w:spacing w:before="0" w:after="0"/>
        <w:ind w:left="0" w:right="0" w:hanging="0"/>
        <w:jc w:val="both"/>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give Employee any right to be awarded any further Awards other than in the sole discretion of the Committee;</w:t>
            </w:r>
          </w:p>
        </w:tc>
      </w:tr>
    </w:tbl>
    <w:p>
      <w:pPr>
        <w:pStyle w:val="TextBody"/>
        <w:bidi w:val="0"/>
        <w:spacing w:before="0" w:after="0"/>
        <w:ind w:left="720" w:right="0" w:hanging="360"/>
        <w:jc w:val="both"/>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tc>
      </w:tr>
    </w:tbl>
    <w:p>
      <w:pPr>
        <w:pStyle w:val="TextBody"/>
        <w:bidi w:val="0"/>
        <w:spacing w:before="0" w:after="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48"/>
        <w:gridCol w:w="237"/>
        <w:gridCol w:w="9920"/>
      </w:tblGrid>
      <w:tr>
        <w:trPr/>
        <w:tc>
          <w:tcPr>
            <w:tcW w:w="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20" w:type="dxa"/>
            <w:tcBorders/>
            <w:vAlign w:val="center"/>
          </w:tcPr>
          <w:p>
            <w:pPr>
              <w:pStyle w:val="TableContents"/>
              <w:bidi w:val="0"/>
              <w:spacing w:before="0" w:after="283"/>
              <w:jc w:val="both"/>
              <w:rPr/>
            </w:pPr>
            <w:r>
              <w:rPr/>
              <w:t>confer upon Employee the right to continue in the employment or service of WM.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8.</w:t>
            </w:r>
          </w:p>
        </w:tc>
        <w:tc>
          <w:tcPr>
            <w:tcW w:w="10017" w:type="dxa"/>
            <w:tcBorders/>
            <w:vAlign w:val="center"/>
          </w:tcPr>
          <w:p>
            <w:pPr>
              <w:pStyle w:val="TableContents"/>
              <w:bidi w:val="0"/>
              <w:spacing w:before="0" w:after="283"/>
              <w:jc w:val="left"/>
              <w:rPr/>
            </w:pPr>
            <w:r>
              <w:rPr>
                <w:u w:val="single"/>
              </w:rPr>
              <w:t>Governing Law</w:t>
            </w:r>
            <w:r>
              <w:rPr/>
              <w:t>. This Agreement shall be governed by and construed in accordance with the internal laws of the State of Texas, without reference to principles of conflict of laws.</w:t>
            </w:r>
          </w:p>
        </w:tc>
      </w:tr>
    </w:tbl>
    <w:p>
      <w:pPr>
        <w:pStyle w:val="TextBody"/>
        <w:bidi w:val="0"/>
        <w:spacing w:before="0" w:after="0"/>
        <w:ind w:left="360" w:right="0" w:hanging="360"/>
        <w:jc w:val="both"/>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9.</w:t>
            </w:r>
          </w:p>
        </w:tc>
        <w:tc>
          <w:tcPr>
            <w:tcW w:w="10019" w:type="dxa"/>
            <w:tcBorders/>
            <w:vAlign w:val="center"/>
          </w:tcPr>
          <w:p>
            <w:pPr>
              <w:pStyle w:val="TableContents"/>
              <w:bidi w:val="0"/>
              <w:spacing w:before="0" w:after="283"/>
              <w:jc w:val="left"/>
              <w:rPr/>
            </w:pPr>
            <w:r>
              <w:rPr>
                <w:u w:val="single"/>
              </w:rPr>
              <w:t>Severability/Entire Agreement</w:t>
            </w:r>
            <w:r>
              <w:rPr/>
              <w:t>. The invalidity or unenforceability of any provision of this Agreement shall not affect the validity or enforceability of any other provision of this Agreement.</w:t>
            </w:r>
          </w:p>
        </w:tc>
      </w:tr>
    </w:tbl>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 the Clawback Policy.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tc>
      </w:tr>
    </w:tbl>
    <w:p>
      <w:pPr>
        <w:pStyle w:val="TextBody"/>
        <w:bidi w:val="0"/>
        <w:spacing w:before="0" w:after="0"/>
        <w:ind w:left="720" w:right="0" w:hanging="360"/>
        <w:jc w:val="left"/>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Employee understands and agrees that he or she is to consult with and rely upon only Employee’s own tax, legal, and financial advisors regarding the consequences and risks of this Agreement and the awards made under this Agreement.</w:t>
            </w:r>
          </w:p>
        </w:tc>
      </w:tr>
    </w:tbl>
    <w:p>
      <w:pPr>
        <w:pStyle w:val="TextBody"/>
        <w:bidi w:val="0"/>
        <w:spacing w:before="0" w:after="0"/>
        <w:ind w:left="720" w:right="0" w:hanging="360"/>
        <w:jc w:val="center"/>
        <w:rPr>
          <w:caps w:val="false"/>
          <w:smallCaps w:val="false"/>
          <w:bdr w:val="single" w:sz="12" w:space="18" w:color="00693C"/>
        </w:rPr>
      </w:pPr>
      <w:r>
        <w:rPr>
          <w:caps w:val="false"/>
          <w:smallCaps w:val="false"/>
          <w:bdr w:val="single" w:sz="12" w:space="18" w:color="00693C"/>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tc>
      </w:tr>
    </w:tbl>
    <w:p>
      <w:pPr>
        <w:pStyle w:val="TextBody"/>
        <w:bidi w:val="0"/>
        <w:spacing w:before="0" w:after="0"/>
        <w:ind w:left="0" w:right="0" w:hanging="0"/>
        <w:jc w:val="both"/>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10.</w:t>
            </w:r>
          </w:p>
        </w:tc>
        <w:tc>
          <w:tcPr>
            <w:tcW w:w="9905" w:type="dxa"/>
            <w:tcBorders/>
            <w:vAlign w:val="center"/>
          </w:tcPr>
          <w:p>
            <w:pPr>
              <w:pStyle w:val="TableContents"/>
              <w:bidi w:val="0"/>
              <w:spacing w:before="0" w:after="283"/>
              <w:jc w:val="left"/>
              <w:rPr/>
            </w:pPr>
            <w:r>
              <w:rPr>
                <w:u w:val="single"/>
              </w:rPr>
              <w:t>No Waiver</w:t>
            </w:r>
            <w:r>
              <w:rPr/>
              <w:t>. In the event the Employee or WM fails to insist on strict compliance with any term or condition of this Agreement or fails to assert any right under this Agreement, such failure is not a waiver of that term, condition or right.</w:t>
            </w:r>
          </w:p>
        </w:tc>
      </w:tr>
    </w:tbl>
    <w:p>
      <w:pPr>
        <w:pStyle w:val="TextBody"/>
        <w:bidi w:val="0"/>
        <w:spacing w:before="0" w:after="0"/>
        <w:ind w:left="0" w:right="0" w:hanging="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11.</w:t>
            </w:r>
          </w:p>
        </w:tc>
        <w:tc>
          <w:tcPr>
            <w:tcW w:w="9918" w:type="dxa"/>
            <w:tcBorders/>
            <w:vAlign w:val="center"/>
          </w:tcPr>
          <w:p>
            <w:pPr>
              <w:pStyle w:val="TableContents"/>
              <w:bidi w:val="0"/>
              <w:spacing w:before="0" w:after="283"/>
              <w:jc w:val="left"/>
              <w:rPr/>
            </w:pPr>
            <w:r>
              <w:rPr>
                <w:u w:val="single"/>
              </w:rPr>
              <w:t>Covenant Requirement Essential Part of Award</w:t>
            </w:r>
            <w:r>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tc>
      </w:tr>
    </w:tbl>
    <w:p>
      <w:pPr>
        <w:pStyle w:val="TextBody"/>
        <w:bidi w:val="0"/>
        <w:spacing w:before="0" w:after="0"/>
        <w:ind w:left="0" w:right="0" w:hanging="0"/>
        <w:jc w:val="both"/>
        <w:rPr>
          <w:caps w:val="false"/>
          <w:smallCaps w:val="false"/>
          <w:bdr w:val="single" w:sz="12" w:space="18" w:color="00693C"/>
        </w:rPr>
      </w:pPr>
      <w:r>
        <w:rPr>
          <w:caps w:val="false"/>
          <w:smallCaps w:val="false"/>
          <w:bdr w:val="single" w:sz="12" w:space="18" w:color="00693C"/>
        </w:rPr>
        <w:t> </w:t>
      </w:r>
    </w:p>
    <w:tbl>
      <w:tblPr>
        <w:tblW w:w="10015" w:type="dxa"/>
        <w:jc w:val="left"/>
        <w:tblInd w:w="0" w:type="dxa"/>
        <w:tblLayout w:type="fixed"/>
        <w:tblCellMar>
          <w:top w:w="0" w:type="dxa"/>
          <w:left w:w="0" w:type="dxa"/>
          <w:bottom w:w="0" w:type="dxa"/>
          <w:right w:w="0" w:type="dxa"/>
        </w:tblCellMar>
      </w:tblPr>
      <w:tblGrid>
        <w:gridCol w:w="335"/>
        <w:gridCol w:w="9680"/>
      </w:tblGrid>
      <w:tr>
        <w:trPr/>
        <w:tc>
          <w:tcPr>
            <w:tcW w:w="335" w:type="dxa"/>
            <w:tcBorders/>
            <w:vAlign w:val="center"/>
          </w:tcPr>
          <w:p>
            <w:pPr>
              <w:pStyle w:val="TableContents"/>
              <w:bidi w:val="0"/>
              <w:spacing w:before="0" w:after="283"/>
              <w:jc w:val="left"/>
              <w:rPr/>
            </w:pPr>
            <w:r>
              <w:rPr/>
              <w:t>12.</w:t>
            </w:r>
          </w:p>
        </w:tc>
        <w:tc>
          <w:tcPr>
            <w:tcW w:w="9680" w:type="dxa"/>
            <w:tcBorders/>
            <w:vAlign w:val="center"/>
          </w:tcPr>
          <w:p>
            <w:pPr>
              <w:pStyle w:val="TableContents"/>
              <w:bidi w:val="0"/>
              <w:spacing w:before="0" w:after="283"/>
              <w:jc w:val="left"/>
              <w:rPr/>
            </w:pPr>
            <w:r>
              <w:rPr>
                <w:u w:val="single"/>
              </w:rPr>
              <w:t>Definitions</w:t>
            </w:r>
            <w:r>
              <w:rPr/>
              <w:t>. If not defined in this Agreement, capitalized terms have the meanings set forth in the Plan.</w:t>
            </w:r>
          </w:p>
        </w:tc>
      </w:tr>
    </w:tbl>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13.</w:t>
            </w:r>
          </w:p>
        </w:tc>
        <w:tc>
          <w:tcPr>
            <w:tcW w:w="9927" w:type="dxa"/>
            <w:tcBorders/>
            <w:vAlign w:val="center"/>
          </w:tcPr>
          <w:p>
            <w:pPr>
              <w:pStyle w:val="TableContents"/>
              <w:bidi w:val="0"/>
              <w:spacing w:before="0" w:after="283"/>
              <w:jc w:val="left"/>
              <w:rPr/>
            </w:pPr>
            <w:r>
              <w:rPr>
                <w:u w:val="single"/>
              </w:rPr>
              <w:t>Compliance with Section 409A</w:t>
            </w:r>
            <w:r>
              <w:rPr/>
              <w:t xml:space="preserve">.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are not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7</w:t>
      </w:r>
    </w:p>
    <w:p>
      <w:pPr>
        <w:pStyle w:val="TextBody"/>
        <w:bidi w:val="0"/>
        <w:spacing w:before="0" w:after="0"/>
        <w:ind w:left="0" w:right="0" w:hanging="0"/>
        <w:jc w:val="left"/>
        <w:rPr/>
      </w:pPr>
      <w:r>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tc>
      </w:tr>
      <w:tr>
        <w:trPr/>
        <w:tc>
          <w:tcPr>
            <w:tcW w:w="278"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278" w:type="dxa"/>
            <w:tcBorders/>
            <w:vAlign w:val="center"/>
          </w:tcPr>
          <w:p>
            <w:pPr>
              <w:pStyle w:val="TableContents"/>
              <w:bidi w:val="0"/>
              <w:spacing w:before="0" w:after="283"/>
              <w:jc w:val="left"/>
              <w:rPr/>
            </w:pPr>
            <w:r>
              <w:rPr/>
              <w:t>14.</w:t>
            </w:r>
          </w:p>
        </w:tc>
        <w:tc>
          <w:tcPr>
            <w:tcW w:w="9927" w:type="dxa"/>
            <w:tcBorders/>
            <w:vAlign w:val="center"/>
          </w:tcPr>
          <w:p>
            <w:pPr>
              <w:pStyle w:val="TableContents"/>
              <w:bidi w:val="0"/>
              <w:spacing w:before="0" w:after="283"/>
              <w:jc w:val="left"/>
              <w:rPr/>
            </w:pPr>
            <w:r>
              <w:rPr>
                <w:u w:val="single"/>
              </w:rPr>
              <w:t>Use of Personal Data</w:t>
            </w:r>
            <w:r>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b/>
                <w:i/>
              </w:rPr>
              <w:t>Data</w:t>
            </w:r>
            <w:r>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tc>
      </w:tr>
    </w:tbl>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15.</w:t>
            </w:r>
          </w:p>
        </w:tc>
        <w:tc>
          <w:tcPr>
            <w:tcW w:w="9917" w:type="dxa"/>
            <w:tcBorders/>
            <w:vAlign w:val="center"/>
          </w:tcPr>
          <w:p>
            <w:pPr>
              <w:pStyle w:val="TableContents"/>
              <w:bidi w:val="0"/>
              <w:spacing w:before="0" w:after="283"/>
              <w:jc w:val="left"/>
              <w:rPr/>
            </w:pPr>
            <w:r>
              <w:rPr>
                <w:u w:val="single"/>
              </w:rPr>
              <w:t>Notices</w:t>
            </w:r>
            <w:r>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tc>
      </w:tr>
    </w:tbl>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16.</w:t>
            </w:r>
          </w:p>
        </w:tc>
        <w:tc>
          <w:tcPr>
            <w:tcW w:w="9920" w:type="dxa"/>
            <w:tcBorders/>
            <w:vAlign w:val="center"/>
          </w:tcPr>
          <w:p>
            <w:pPr>
              <w:pStyle w:val="TableContents"/>
              <w:bidi w:val="0"/>
              <w:spacing w:before="0" w:after="283"/>
              <w:jc w:val="left"/>
              <w:rPr/>
            </w:pPr>
            <w:r>
              <w:rPr>
                <w:u w:val="single"/>
              </w:rPr>
              <w:t>Electronic Delivery</w:t>
            </w:r>
            <w:r>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tc>
      </w:tr>
    </w:tbl>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17.</w:t>
            </w:r>
          </w:p>
        </w:tc>
        <w:tc>
          <w:tcPr>
            <w:tcW w:w="9926" w:type="dxa"/>
            <w:tcBorders/>
            <w:vAlign w:val="center"/>
          </w:tcPr>
          <w:p>
            <w:pPr>
              <w:pStyle w:val="TableContents"/>
              <w:bidi w:val="0"/>
              <w:spacing w:before="0" w:after="283"/>
              <w:jc w:val="left"/>
              <w:rPr/>
            </w:pPr>
            <w:r>
              <w:rPr>
                <w:u w:val="single"/>
              </w:rPr>
              <w:t>Binding Arbitration</w:t>
            </w:r>
            <w:r>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or a matter directly relating to this Award under the Clawback Policy, the Company and Employee agree that such dispute shall be settled exclusively by final and binding arbitration, as governed by the Federal Arbitration Act (9 U.S.C. 1 </w:t>
            </w:r>
            <w:r>
              <w:rPr>
                <w:i/>
              </w:rPr>
              <w:t xml:space="preserve">et seq.). </w:t>
            </w:r>
            <w:r>
              <w:rPr/>
              <w:t xml:space="preserve">The arbitration proceeding, including the rendering of an award, if any, shall be administered by JAMS pursuant to its Employment Arbitration Rules and Procedures, which may be found on the JAMS Website </w:t>
            </w:r>
            <w:r>
              <w:rPr>
                <w:b/>
              </w:rPr>
              <w:t>www.jamsadr.com</w:t>
            </w:r>
            <w:r>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tc>
      </w:tr>
    </w:tbl>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18.</w:t>
            </w:r>
          </w:p>
        </w:tc>
        <w:tc>
          <w:tcPr>
            <w:tcW w:w="9880" w:type="dxa"/>
            <w:tcBorders/>
            <w:vAlign w:val="center"/>
          </w:tcPr>
          <w:p>
            <w:pPr>
              <w:pStyle w:val="TableContents"/>
              <w:bidi w:val="0"/>
              <w:spacing w:before="0" w:after="283"/>
              <w:jc w:val="left"/>
              <w:rPr/>
            </w:pPr>
            <w:r>
              <w:rPr>
                <w:u w:val="single"/>
              </w:rPr>
              <w:t>Counterparts</w:t>
            </w:r>
            <w:r>
              <w:rPr/>
              <w:t>. This Agreement may be executed in counterparts, which together shall constitute one and the same original.</w:t>
            </w:r>
          </w:p>
        </w:tc>
      </w:tr>
    </w:tbl>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00693C"/>
          <w:sz w:val="32"/>
          <w:bdr w:val="single" w:sz="12" w:space="18" w:color="00693C"/>
        </w:rPr>
      </w:pPr>
      <w:r>
        <w:rPr>
          <w:rFonts w:ascii="Arial;Helvetica;Sans-Serif" w:hAnsi="Arial;Helvetica;Sans-Serif"/>
          <w:b/>
          <w:i w:val="false"/>
          <w:caps w:val="false"/>
          <w:smallCaps w:val="false"/>
          <w:color w:val="00693C"/>
          <w:sz w:val="32"/>
          <w:bdr w:val="single" w:sz="12" w:space="18" w:color="00693C"/>
        </w:rPr>
        <w:t>Execution</w:t>
      </w:r>
    </w:p>
    <w:p>
      <w:pPr>
        <w:pStyle w:val="TextBody"/>
        <w:bidi w:val="0"/>
        <w:spacing w:before="0" w:after="0"/>
        <w:ind w:left="360" w:right="0" w:hanging="360"/>
        <w:jc w:val="left"/>
        <w:rPr>
          <w:caps w:val="false"/>
          <w:smallCaps w:val="false"/>
          <w:bdr w:val="single" w:sz="12" w:space="18" w:color="00693C"/>
        </w:rPr>
      </w:pPr>
      <w:r>
        <w:rPr>
          <w:caps w:val="false"/>
          <w:smallCaps w:val="false"/>
          <w:bdr w:val="single" w:sz="12" w:space="18" w:color="00693C"/>
        </w:rPr>
        <w:t> </w:t>
      </w:r>
    </w:p>
    <w:p>
      <w:pPr>
        <w:pStyle w:val="TextBody"/>
        <w:bidi w:val="0"/>
        <w:spacing w:before="0" w:after="0"/>
        <w:ind w:left="0" w:right="0" w:hanging="0"/>
        <w:jc w:val="both"/>
        <w:rPr>
          <w:rFonts w:ascii="Arial;Helvetica;Sans-Serif" w:hAnsi="Arial;Helvetica;Sans-Serif"/>
          <w:b w:val="false"/>
          <w:i w:val="false"/>
          <w:caps w:val="false"/>
          <w:smallCaps w:val="false"/>
          <w:sz w:val="22"/>
          <w:bdr w:val="single" w:sz="12" w:space="18" w:color="00693C"/>
        </w:rPr>
      </w:pPr>
      <w:r>
        <w:rPr>
          <w:rFonts w:ascii="Arial;Helvetica;Sans-Serif" w:hAnsi="Arial;Helvetica;Sans-Serif"/>
          <w:b/>
          <w:i w:val="false"/>
          <w:caps w:val="false"/>
          <w:smallCaps w:val="false"/>
          <w:sz w:val="22"/>
          <w:bdr w:val="single" w:sz="12" w:space="18" w:color="00693C"/>
        </w:rPr>
        <w:t>IN WITNESS WHEREOF</w:t>
      </w:r>
      <w:r>
        <w:rPr>
          <w:rFonts w:ascii="Arial;Helvetica;Sans-Serif" w:hAnsi="Arial;Helvetica;Sans-Serif"/>
          <w:b w:val="false"/>
          <w:i w:val="false"/>
          <w:caps w:val="false"/>
          <w:smallCaps w:val="false"/>
          <w:sz w:val="22"/>
          <w:bdr w:val="single" w:sz="12" w:space="18" w:color="00693C"/>
        </w:rPr>
        <w:t>, the Company has caused this Agreement to be duly executed by one of its officers thereunto duly authorized and Employee has executed this Agreement, effective as of [●].</w:t>
      </w:r>
    </w:p>
    <w:p>
      <w:pPr>
        <w:pStyle w:val="TextBody"/>
        <w:bidi w:val="0"/>
        <w:spacing w:before="0" w:after="0"/>
        <w:ind w:left="0" w:right="0" w:hanging="0"/>
        <w:jc w:val="both"/>
        <w:rPr>
          <w:caps w:val="false"/>
          <w:smallCaps w:val="false"/>
          <w:bdr w:val="single" w:sz="12" w:space="18" w:color="00693C"/>
        </w:rPr>
      </w:pPr>
      <w:r>
        <w:rPr>
          <w:caps w:val="false"/>
          <w:smallCaps w:val="false"/>
          <w:bdr w:val="single" w:sz="12" w:space="18" w:color="00693C"/>
        </w:rPr>
        <w:t> </w:t>
      </w:r>
    </w:p>
    <w:p>
      <w:pPr>
        <w:pStyle w:val="TextBody"/>
        <w:bidi w:val="0"/>
        <w:spacing w:before="0" w:after="0"/>
        <w:ind w:left="0" w:right="0" w:hanging="0"/>
        <w:jc w:val="both"/>
        <w:rPr>
          <w:caps w:val="false"/>
          <w:smallCaps w:val="false"/>
          <w:bdr w:val="single" w:sz="12" w:space="18" w:color="00693C"/>
        </w:rPr>
      </w:pPr>
      <w:r>
        <w:rPr>
          <w:caps w:val="false"/>
          <w:smallCaps w:val="false"/>
          <w:bdr w:val="single" w:sz="12" w:space="18" w:color="00693C"/>
        </w:rPr>
        <w:t> </w:t>
      </w:r>
    </w:p>
    <w:tbl>
      <w:tblPr>
        <w:tblW w:w="4375" w:type="dxa"/>
        <w:jc w:val="left"/>
        <w:tblInd w:w="0" w:type="dxa"/>
        <w:tblLayout w:type="fixed"/>
        <w:tblCellMar>
          <w:top w:w="0" w:type="dxa"/>
          <w:left w:w="0" w:type="dxa"/>
          <w:bottom w:w="0" w:type="dxa"/>
          <w:right w:w="0" w:type="dxa"/>
        </w:tblCellMar>
      </w:tblPr>
      <w:tblGrid>
        <w:gridCol w:w="3215"/>
        <w:gridCol w:w="1160"/>
      </w:tblGrid>
      <w:tr>
        <w:trPr/>
        <w:tc>
          <w:tcPr>
            <w:tcW w:w="3215" w:type="dxa"/>
            <w:tcBorders/>
            <w:vAlign w:val="center"/>
          </w:tcPr>
          <w:p>
            <w:pPr>
              <w:pStyle w:val="TableContents"/>
              <w:bidi w:val="0"/>
              <w:spacing w:before="0" w:after="283"/>
              <w:jc w:val="both"/>
              <w:rPr>
                <w:b/>
                <w:sz w:val="22"/>
              </w:rPr>
            </w:pPr>
            <w:r>
              <w:rPr>
                <w:b/>
                <w:sz w:val="22"/>
              </w:rPr>
              <w:t>WASTE MANAGEMENT, INC.</w:t>
            </w:r>
          </w:p>
        </w:tc>
        <w:tc>
          <w:tcPr>
            <w:tcW w:w="1160" w:type="dxa"/>
            <w:tcBorders/>
            <w:vAlign w:val="center"/>
          </w:tcPr>
          <w:p>
            <w:pPr>
              <w:pStyle w:val="TableContents"/>
              <w:bidi w:val="0"/>
              <w:spacing w:before="0" w:after="283"/>
              <w:jc w:val="left"/>
              <w:rPr/>
            </w:pPr>
            <w:r>
              <w:rPr>
                <w:b/>
              </w:rPr>
              <w:t>Employee</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bdr w:val="single" w:sz="8" w:space="1" w:color="000000"/>
        </w:rPr>
      </w:pPr>
      <w:r>
        <w:rPr>
          <w:rFonts w:ascii="Arial;Helvetica;Sans-Serif" w:hAnsi="Arial;Helvetica;Sans-Serif"/>
          <w:b w:val="false"/>
          <w:i w:val="false"/>
          <w:caps w:val="false"/>
          <w:smallCaps w:val="false"/>
          <w:sz w:val="22"/>
          <w:bdr w:val="single" w:sz="8"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7" w:name="tm268015d1_ex10-3.htm"/>
      <w:bookmarkStart w:id="28" w:name="kstm268015d1_ex103"/>
      <w:bookmarkEnd w:id="27"/>
      <w:bookmarkEnd w:id="28"/>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ANNUAL INCENTIVE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Executive Officer Annual Incentive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Officer Annual Incentive Award (the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is granted on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Award Date</w:t>
      </w:r>
      <w:r>
        <w:rPr>
          <w:rFonts w:ascii="Times New Roman;Times;Serif" w:hAnsi="Times New Roman;Times;Serif"/>
          <w:b w:val="false"/>
          <w:i w:val="false"/>
          <w:caps w:val="false"/>
          <w:smallCaps w:val="false"/>
          <w:sz w:val="20"/>
        </w:rPr>
        <w:t>”), by USA Waste-Management Resources, LLC, for itself and on behalf of Waste Management, Inc. (“WMI”) and its applicable subsidiaries and affiliated entities (collectively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to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Awardee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Management Development and Compensation Committee (the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of WMI’s Board of Directors approved and adopted an annual cash-based incentive program for Executive Officers of WMI, as further described in the minutes of such Committee meeting (the “</w:t>
      </w:r>
      <w:r>
        <w:rPr>
          <w:rFonts w:ascii="Times New Roman;Times;Serif" w:hAnsi="Times New Roman;Times;Serif"/>
          <w:b/>
          <w:i/>
          <w:caps w:val="false"/>
          <w:smallCaps w:val="false"/>
          <w:sz w:val="20"/>
        </w:rPr>
        <w:t>Program</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and conditions of this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and the Program, you are receiving an opportunity to accept this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mutual covenants set forth herein and for other valuable consideration hereinafter set forth, the Award is hereby granted on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 The Award is subject to all the terms and conditions of this Agreement and the Program. All capitalized terms not defined in this Agreement shall have the meaning stated in the Program. If there is any inconsistency between the terms of this Agreement and the terms of the Program, the terms of the Program shall control unless this Agreement expressly states that an exception to the Program is being made. All decisions or interpretations of the Agreement and the Program by the Committee are binding, conclusive and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 the following terms shall have the meanings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AIP Target Percentage</w:t>
      </w:r>
      <w:r>
        <w:rPr>
          <w:rFonts w:ascii="Times New Roman;Times;Serif" w:hAnsi="Times New Roman;Times;Serif"/>
          <w:b w:val="false"/>
          <w:i w:val="false"/>
          <w:caps w:val="false"/>
          <w:smallCaps w:val="false"/>
          <w:sz w:val="20"/>
        </w:rPr>
        <w:t>” means the percentage of your Base Salary, as approved by the Committee, used to calculate the actual payout of the Award. The actual payout under this Award can range from 0% to 200% of your AIP Target Percentage based on the Company’s achievement on the Performance Goals and any Individual Performance Modifier. Your AIP Target Percentage may change if your position changes during the Program Year but is otherwise set on the Award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Base Salary</w:t>
      </w:r>
      <w:r>
        <w:rPr>
          <w:rFonts w:ascii="Times New Roman;Times;Serif" w:hAnsi="Times New Roman;Times;Serif"/>
          <w:b w:val="false"/>
          <w:i w:val="false"/>
          <w:caps w:val="false"/>
          <w:smallCaps w:val="false"/>
          <w:sz w:val="20"/>
        </w:rPr>
        <w:t>” means the base salary you received as an employee as of the last day of the Program Year on which you were eligible for the Program, (i) including any amounts deferred pursuant to an election under any 401(k) plan, pre-tax premium plan, deferred compensation plan, or flexible spending account sponsored by the Company, but (ii) excluding any incentive compensation, employee benefit, or other benefit paid or provided under any incentive, bonus or employee benefit plan sponsored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Individual Agreement</w:t>
      </w:r>
      <w:r>
        <w:rPr>
          <w:rFonts w:ascii="Times New Roman;Times;Serif" w:hAnsi="Times New Roman;Times;Serif"/>
          <w:b w:val="false"/>
          <w:i w:val="false"/>
          <w:caps w:val="false"/>
          <w:smallCaps w:val="false"/>
          <w:sz w:val="20"/>
        </w:rPr>
        <w:t>” means any written employment, change in control or severance agreement signed by both parties, if any, between you and the Company.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Individual Performance Modifier.</w:t>
      </w:r>
      <w:r>
        <w:rPr>
          <w:rFonts w:ascii="Times New Roman;Times;Serif" w:hAnsi="Times New Roman;Times;Serif"/>
          <w:b w:val="false"/>
          <w:i w:val="false"/>
          <w:caps w:val="false"/>
          <w:smallCaps w:val="false"/>
          <w:sz w:val="20"/>
        </w:rPr>
        <w:t>” The Committee has retained discretion to increase or decrease an individual’s payout under the Program based on individual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Payout Target</w:t>
      </w:r>
      <w:r>
        <w:rPr>
          <w:rFonts w:ascii="Times New Roman;Times;Serif" w:hAnsi="Times New Roman;Times;Serif"/>
          <w:b w:val="false"/>
          <w:i w:val="false"/>
          <w:caps w:val="false"/>
          <w:smallCaps w:val="false"/>
          <w:sz w:val="20"/>
        </w:rPr>
        <w:t>” means the dollar value obtained by multiplying (i) your Base Salary and (ii) your AIP Target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Performance Goals</w:t>
      </w:r>
      <w:r>
        <w:rPr>
          <w:rFonts w:ascii="Times New Roman;Times;Serif" w:hAnsi="Times New Roman;Times;Serif"/>
          <w:b w:val="false"/>
          <w:i w:val="false"/>
          <w:caps w:val="false"/>
          <w:smallCaps w:val="false"/>
          <w:sz w:val="20"/>
        </w:rPr>
        <w:t>” means the performance criteria approved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Program Year</w:t>
      </w:r>
      <w:r>
        <w:rPr>
          <w:rFonts w:ascii="Times New Roman;Times;Serif" w:hAnsi="Times New Roman;Times;Serif"/>
          <w:b w:val="false"/>
          <w:i w:val="false"/>
          <w:caps w:val="false"/>
          <w:smallCaps w:val="false"/>
          <w:sz w:val="20"/>
        </w:rPr>
        <w:t>” means January 1, 2026, through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u w:val="single"/>
        </w:rPr>
        <w:t>Grant Date Award Value Components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u w:val="single"/>
        </w:rPr>
        <w:t>Target Award Percentage</w:t>
      </w:r>
      <w:r>
        <w:rPr>
          <w:rFonts w:ascii="Times New Roman;Times;Serif" w:hAnsi="Times New Roman;Times;Serif"/>
          <w:b w:val="false"/>
          <w:i w:val="false"/>
          <w:caps w:val="false"/>
          <w:smallCaps w:val="false"/>
          <w:sz w:val="20"/>
        </w:rPr>
        <w:t>. Your AIP Target Percentage for the Program Year is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u w:val="single"/>
        </w:rPr>
        <w:t>Maximum Performance Levels</w:t>
      </w:r>
      <w:r>
        <w:rPr>
          <w:rFonts w:ascii="Times New Roman;Times;Serif" w:hAnsi="Times New Roman;Times;Serif"/>
          <w:b w:val="false"/>
          <w:i w:val="false"/>
          <w:caps w:val="false"/>
          <w:smallCaps w:val="false"/>
          <w:sz w:val="20"/>
        </w:rPr>
        <w:t>. The maximum value of the Award shall not exceed 200% of your Payout Target, subject to the application of any Individual Performance Modifier.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u w:val="single"/>
        </w:rPr>
        <w:t>Award Calculation</w:t>
      </w:r>
      <w:r>
        <w:rPr>
          <w:rFonts w:ascii="Times New Roman;Times;Serif" w:hAnsi="Times New Roman;Times;Serif"/>
          <w:b w:val="false"/>
          <w:i w:val="false"/>
          <w:caps w:val="false"/>
          <w:smallCaps w:val="false"/>
          <w:sz w:val="20"/>
        </w:rPr>
        <w:t>. Subject to the terms and conditions set forth in the Program and this Agreement, including, without limitation, Sections 3(b) and 6, the final amount of your Award shall be equal to the dollar amount obtained by multiplying your Payout Target (expressed as dollar amount) by the Company’s achievements on the Performance Goals This amount shall then be increased or decreased by application of the Individual Performance Modifier, if any. Any Award that is earned will be paid in a lump-sum cash payment no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year following the Program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u w:val="single"/>
        </w:rPr>
        <w:t>Effect of Termination of Employment</w:t>
      </w:r>
      <w:r>
        <w:rPr>
          <w:rFonts w:ascii="Times New Roman;Times;Serif" w:hAnsi="Times New Roman;Times;Serif"/>
          <w:b w:val="false"/>
          <w:i w:val="false"/>
          <w:caps w:val="false"/>
          <w:smallCaps w:val="false"/>
          <w:sz w:val="20"/>
        </w:rPr>
        <w:t>. Notwithstanding any provisions to the contrary below in the remainder of this Section 5, in the event of any inconsistency between this Section 5 and any written Individual Agreement you may have, the terms of the Individual Agreement will control. In the event your employment is terminated at any time on or after the Award Date and prior to the last day of the Program Year, your Award will be treated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u w:val="single"/>
        </w:rPr>
        <w:t>Death</w:t>
      </w:r>
      <w:r>
        <w:rPr>
          <w:rFonts w:ascii="Times New Roman;Times;Serif" w:hAnsi="Times New Roman;Times;Serif"/>
          <w:b w:val="false"/>
          <w:i w:val="false"/>
          <w:caps w:val="false"/>
          <w:smallCaps w:val="false"/>
          <w:sz w:val="20"/>
        </w:rPr>
        <w:t>. If your termination of employment is a result of your death you will receive a pro-rata Award based solely on your Base Salary and AIP Target Percentage at the time of your death, prorated by the number of days worked during the Program Year prior to the date of death (the “</w:t>
      </w:r>
      <w:r>
        <w:rPr>
          <w:rFonts w:ascii="Times New Roman;Times;Serif" w:hAnsi="Times New Roman;Times;Serif"/>
          <w:b/>
          <w:i/>
          <w:caps w:val="false"/>
          <w:smallCaps w:val="false"/>
          <w:sz w:val="20"/>
        </w:rPr>
        <w:t>Pro-Rata Award</w:t>
      </w:r>
      <w:r>
        <w:rPr>
          <w:rFonts w:ascii="Times New Roman;Times;Serif" w:hAnsi="Times New Roman;Times;Serif"/>
          <w:b w:val="false"/>
          <w:i w:val="false"/>
          <w:caps w:val="false"/>
          <w:smallCaps w:val="false"/>
          <w:sz w:val="20"/>
        </w:rPr>
        <w:t>”). Subject to Section 4, your beneficiaries or your estate, as applicable, will be paid in cash as soon as practicable following your termination date,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year following the Program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u w:val="single"/>
        </w:rPr>
        <w:t>Terminations other than Death</w:t>
      </w:r>
      <w:r>
        <w:rPr>
          <w:rFonts w:ascii="Times New Roman;Times;Serif" w:hAnsi="Times New Roman;Times;Serif"/>
          <w:b w:val="false"/>
          <w:i w:val="false"/>
          <w:caps w:val="false"/>
          <w:smallCaps w:val="false"/>
          <w:sz w:val="20"/>
        </w:rPr>
        <w:t>. Unless your termination of employment is a result of your death, you must be employed by the Company on the last day of the Program Year to be eligible to receive payment of an Award. You have no vested interest in the Award prior to the last day of the Program Year. If your employment with the Company terminates for any reason other than your death, whether your termination is voluntary or involuntary, with or without cause, you will not be eligible to receive payment of any Award for the Program Year.</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val="false"/>
          <w:i w:val="false"/>
          <w:caps w:val="false"/>
          <w:smallCaps w:val="false"/>
          <w:sz w:val="20"/>
          <w:u w:val="single"/>
        </w:rPr>
        <w:t>Right of the Committee</w:t>
      </w:r>
      <w:r>
        <w:rPr>
          <w:rFonts w:ascii="Times New Roman;Times;Serif" w:hAnsi="Times New Roman;Times;Serif"/>
          <w:b w:val="false"/>
          <w:i w:val="false"/>
          <w:caps w:val="false"/>
          <w:smallCaps w:val="false"/>
          <w:sz w:val="20"/>
        </w:rPr>
        <w:t>. The Committee retains the right to interpret or amend the Program in its sole authority and discretion. The Committee has stipulated that the Program is subject to the terms of the Committee’s AIP/LTIP Adjustments Policy approved May 12,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val="false"/>
          <w:i w:val="false"/>
          <w:caps w:val="false"/>
          <w:smallCaps w:val="false"/>
          <w:sz w:val="20"/>
          <w:u w:val="single"/>
        </w:rPr>
        <w:t>Right of the Company to Terminate Services</w:t>
      </w:r>
      <w:r>
        <w:rPr>
          <w:rFonts w:ascii="Times New Roman;Times;Serif" w:hAnsi="Times New Roman;Times;Serif"/>
          <w:b w:val="false"/>
          <w:i w:val="false"/>
          <w:caps w:val="false"/>
          <w:smallCaps w:val="false"/>
          <w:sz w:val="20"/>
        </w:rPr>
        <w:t>. Nothing in this Agreement confers upon you the right to continue in the employ of the Company or interfere in any way with the rights of the Company to terminate your employment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Awardee understands and agrees that the Award granted under this Agreement is granted under the authority of the Program and the Award and this Agreement are in all ways governed by the terms and conditions of the Program and its administrative practices and interpretations. This award is explicitly subject to the Waste Management, Inc. Clawback Policy, adopted by the Committee on August 21, 2023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as well as the Committee’s clawback guidelines adopted on August 23, 2007. Regardless of the terms of any Individual Agreement or any organizational documents of the Company, you understand and agree that you will not be entitled to indemnification for any liability or loss, or advancement of expenses, incurred by you in connection with a claim under the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val="false"/>
          <w:i w:val="false"/>
          <w:caps w:val="false"/>
          <w:smallCaps w:val="false"/>
          <w:sz w:val="20"/>
          <w:u w:val="single"/>
        </w:rPr>
        <w:t>Nontransferability</w:t>
      </w:r>
      <w:r>
        <w:rPr>
          <w:rFonts w:ascii="Times New Roman;Times;Serif" w:hAnsi="Times New Roman;Times;Serif"/>
          <w:b w:val="false"/>
          <w:i w:val="false"/>
          <w:caps w:val="false"/>
          <w:smallCaps w:val="false"/>
          <w:sz w:val="20"/>
        </w:rPr>
        <w:t>. Neither this Agreement nor this Award subject to this Agreement shall be subject in any manner to anticipation, alienation, sale, exchange, transfer, assignment, pledge, encumbrance or garnishment by your creditors or your beneficiary, except transfer by will or by the laws of descent and distribution. All rights with respect to this Agreement shall be exercisable during your lifetime only by yourself or, if necessary, your guardian or legal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bind and inure to the benefit of and be enforceable by Awardee, the Company and their respective permitted successors or assigns (including personal representatives, heirs and legatees), except that Awardee may not assign any rights or obligations under this Agreement except to the extent, and in the manner, expressly permitted herein. The Company shall require any successor (whether direct or indirect, by purchase, merger, consolidation or otherwise) to all or substantially all the business and/or assets of the Company to assume expressly and agree to perform this Agreement in the same manner and to the same extent that the Company would be required to perform it if no such succession had taken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State of Texas, without reference to principles of conflict of laws.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val="false"/>
          <w:i w:val="false"/>
          <w:caps w:val="false"/>
          <w:smallCaps w:val="false"/>
          <w:sz w:val="20"/>
          <w:u w:val="single"/>
        </w:rPr>
        <w:t>Compliance with Section 409A</w:t>
      </w:r>
      <w:r>
        <w:rPr>
          <w:rFonts w:ascii="Times New Roman;Times;Serif" w:hAnsi="Times New Roman;Times;Serif"/>
          <w:b w:val="false"/>
          <w:i w:val="false"/>
          <w:caps w:val="false"/>
          <w:smallCaps w:val="false"/>
          <w:sz w:val="20"/>
        </w:rPr>
        <w:t>. Both the Company and Awardee intend that this Agreement does not result in unfavorable tax consequences to Awardee under Section 409A of the Internal Revenue Code of 1986, as amended, and the Treasury Regulations issued thereunder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Accordingly, Awardee consents to any amendment of this Agreement the Company may reasonably make consistent to achieve that intention and the Company may, disregarding any other provision in this Agreement to the contrary, unilaterally execute such amendment to this Agreement. The Company shall promptly provide, or make available to, Awardee a copy of any such amendment. The Company agrees to make any such amendments to preserve the intended benefits to Awardee to the maximum extent possible. This Section 21 does not create an obligation on the part of the Company to modify this Agreement and does not guarantee that the amounts or benefits owed under this Agreement will not be subject to interest and penalties under Section 409A. Each cash and/or stock payment and/or benefit provided under the Program and this Agreement and/or pursuant to the terms of the Company’s benefit plans, programs and policies shall be considered a separate payment for purposes of Section 409A. For purposes of Section 409A, to the extent that Awardee is a “specified employee” within the meaning of the Treasury Regulations issued pursuant to Section 409A as of Awardee’s separation from service and to the limited extent necessary to avoid the imputation of any tax, penalty or interest pursuant to Section 409A, notwithstanding anything to the contrary in this Agreement, no amount which is subject to Section 409A and is payable on account of Awardee’s separation from service shall be paid to Awardee before the date (the “</w:t>
      </w:r>
      <w:r>
        <w:rPr>
          <w:rFonts w:ascii="Times New Roman;Times;Serif" w:hAnsi="Times New Roman;Times;Serif"/>
          <w:b/>
          <w:i/>
          <w:caps w:val="false"/>
          <w:smallCaps w:val="false"/>
          <w:sz w:val="20"/>
        </w:rPr>
        <w:t>Delayed Payment Date</w:t>
      </w:r>
      <w:r>
        <w:rPr>
          <w:rFonts w:ascii="Times New Roman;Times;Serif" w:hAnsi="Times New Roman;Times;Serif"/>
          <w:b w:val="false"/>
          <w:i w:val="false"/>
          <w:caps w:val="false"/>
          <w:smallCaps w:val="false"/>
          <w:sz w:val="20"/>
        </w:rPr>
        <w:t>”) which is the first day of the seventh month after Awardee’s separation from service or, if earlier, the date of Awardee’s death following such separation from service. All such amounts that would, but for the immediately preceding sentence, become payable prior to the Delayed Payment Date will be accumulated and paid without interest on the Delayed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given by one party under this Agreement to the other shall be in writing and may be delivered personally or by mail, postage prepaid, addressed to the Secretary of the Company, at its then corporate headquarters, and Awardee at Awardee’s address as shown on the Company’s records, or to such other address as Awardee, by notice to the Company, may designate in writing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The Company may, in its sole discretion, deliver any documents related to the Award under this Agreement or the Program, by electronic means or request Awardee’s consent to participate in the administration of this Agreement or the Program by electronic means. Awardee hereby consents to receive such documents by electronic delivery and agrees to participate in the Program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val="false"/>
          <w:i w:val="false"/>
          <w:caps w:val="false"/>
          <w:smallCaps w:val="false"/>
          <w:sz w:val="20"/>
          <w:u w:val="single"/>
        </w:rPr>
        <w:t>Binding Arbitration</w:t>
      </w:r>
      <w:r>
        <w:rPr>
          <w:rFonts w:ascii="Times New Roman;Times;Serif" w:hAnsi="Times New Roman;Times;Serif"/>
          <w:b w:val="false"/>
          <w:i w:val="false"/>
          <w:caps w:val="false"/>
          <w:smallCaps w:val="false"/>
          <w:sz w:val="20"/>
        </w:rPr>
        <w:t xml:space="preserve">. Except as otherwise specifically provided herein, the Committee’s findings, calculations and determinations under this Agreement are made in the sole discretion of the Committee, and Awardee expressly agrees that such determinations shall be final and not subject to dispute. In the event, however, that Awardee has a right to dispute a matter hereunder or a matter directly relating to this Award under the Clawback Policy, the Company and Awardee agree that such dispute shall be settled exclusively by final and binding arbitration, as governed by the Federal Arbitration Act (9 U.S.C.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arbitration proceeding, including the rendering of an award, if any, shall be administered by JAMS pursuant to its Employment Arbitration Rules and Procedures, which may be found on the JAMS Website </w:t>
      </w:r>
      <w:r>
        <w:rPr>
          <w:rFonts w:ascii="Times New Roman;Times;Serif" w:hAnsi="Times New Roman;Times;Serif"/>
          <w:b/>
          <w:i w:val="false"/>
          <w:caps w:val="false"/>
          <w:smallCaps w:val="false"/>
          <w:sz w:val="20"/>
        </w:rPr>
        <w:t>www.jamsadr.com</w:t>
      </w:r>
      <w:r>
        <w:rPr>
          <w:rFonts w:ascii="Times New Roman;Times;Serif" w:hAnsi="Times New Roman;Times;Serif"/>
          <w:b w:val="false"/>
          <w:i w:val="false"/>
          <w:caps w:val="false"/>
          <w:smallCaps w:val="false"/>
          <w:sz w:val="20"/>
        </w:rPr>
        <w:t>. All expenses associated with the arbitration shall be borne by the Company; provided however, that such arbitration expenses will not include attorney fees incurred by the respective parties. Judgment on any arbitration award may be entered in any court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and headings of Sections are included for convenience of reference only and are not to be considered in construction of the provisions hereof.</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USA Waste-Management Resources, LLC has caused this Agreement to be duly executed by one of its officers thereunto duly authorized and Awardee has executed this Agreement, effective as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48" w:type="dxa"/>
        <w:jc w:val="left"/>
        <w:tblInd w:w="0" w:type="dxa"/>
        <w:tblLayout w:type="fixed"/>
        <w:tblCellMar>
          <w:top w:w="0" w:type="dxa"/>
          <w:left w:w="0" w:type="dxa"/>
          <w:bottom w:w="0" w:type="dxa"/>
          <w:right w:w="0" w:type="dxa"/>
        </w:tblCellMar>
      </w:tblPr>
      <w:tblGrid>
        <w:gridCol w:w="2509"/>
        <w:gridCol w:w="1427"/>
        <w:gridCol w:w="312"/>
        <w:gridCol w:w="60"/>
        <w:gridCol w:w="1040"/>
      </w:tblGrid>
      <w:tr>
        <w:trPr/>
        <w:tc>
          <w:tcPr>
            <w:tcW w:w="4248"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WASTE-MANGEMENT RESOURCES, LLC</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AWARDEE</w:t>
            </w:r>
          </w:p>
        </w:tc>
      </w:tr>
      <w:tr>
        <w:trPr/>
        <w:tc>
          <w:tcPr>
            <w:tcW w:w="424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283"/>
              <w:jc w:val="left"/>
              <w:rPr/>
            </w:pPr>
            <w:r>
              <w:rPr/>
              <w:t>Date:</w:t>
            </w:r>
          </w:p>
        </w:tc>
        <w:tc>
          <w:tcPr>
            <w:tcW w:w="1427" w:type="dxa"/>
            <w:tcBorders>
              <w:bottom w:val="single" w:sz="8" w:space="0" w:color="000000"/>
            </w:tcBorders>
            <w:tcMar>
              <w:bottom w:w="28" w:type="dxa"/>
            </w:tcMar>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15752</Words>
  <Characters>83165</Characters>
  <CharactersWithSpaces>99235</CharactersWithSpaces>
  <Paragraphs>1023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