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4560"/>
        <w:spacing w:after="0"/>
        <w:rPr>
          <w:sz w:val="20"/>
          <w:szCs w:val="20"/>
          <w:color w:val="auto"/>
        </w:rPr>
      </w:pPr>
      <w:r>
        <w:rPr>
          <w:rFonts w:ascii="Courier New" w:cs="Courier New" w:eastAsia="Courier New" w:hAnsi="Courier New"/>
          <w:sz w:val="17"/>
          <w:szCs w:val="17"/>
          <w:color w:val="auto"/>
        </w:rPr>
        <w:t>Filed pursuant to Rule 424(B)(2)</w:t>
      </w:r>
    </w:p>
    <w:p>
      <w:pPr>
        <w:spacing w:after="0" w:line="2" w:lineRule="exact"/>
        <w:rPr>
          <w:sz w:val="24"/>
          <w:szCs w:val="24"/>
          <w:color w:val="auto"/>
        </w:rPr>
      </w:pPr>
    </w:p>
    <w:p>
      <w:pPr>
        <w:ind w:left="4560"/>
        <w:spacing w:after="0"/>
        <w:rPr>
          <w:sz w:val="20"/>
          <w:szCs w:val="20"/>
          <w:color w:val="auto"/>
        </w:rPr>
      </w:pPr>
      <w:r>
        <w:rPr>
          <w:rFonts w:ascii="Courier New" w:cs="Courier New" w:eastAsia="Courier New" w:hAnsi="Courier New"/>
          <w:sz w:val="17"/>
          <w:szCs w:val="17"/>
          <w:color w:val="auto"/>
        </w:rPr>
        <w:t>Registration No. 333-32471</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DECEMBER 12, 1997</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AUGUST 14, 1997)</w:t>
      </w:r>
    </w:p>
    <w:p>
      <w:pPr>
        <w:spacing w:after="0" w:line="196" w:lineRule="exact"/>
        <w:rPr>
          <w:sz w:val="24"/>
          <w:szCs w:val="24"/>
          <w:color w:val="auto"/>
        </w:rPr>
      </w:pPr>
    </w:p>
    <w:p>
      <w:pPr>
        <w:jc w:val="center"/>
        <w:ind w:right="3220"/>
        <w:spacing w:after="0"/>
        <w:rPr>
          <w:sz w:val="20"/>
          <w:szCs w:val="20"/>
          <w:color w:val="auto"/>
        </w:rPr>
      </w:pPr>
      <w:r>
        <w:rPr>
          <w:rFonts w:ascii="Courier New" w:cs="Courier New" w:eastAsia="Courier New" w:hAnsi="Courier New"/>
          <w:sz w:val="17"/>
          <w:szCs w:val="17"/>
          <w:color w:val="auto"/>
        </w:rPr>
        <w:t>$500,000,000</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USA WASTE SERVICES, INC.</w:t>
      </w:r>
    </w:p>
    <w:p>
      <w:pPr>
        <w:spacing w:after="0" w:line="196"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$350,000,000 6 1/2% SENIOR NOTES DUE 2002</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$150,000,000 7 1/8% SENIOR NOTES DUE 2017</w:t>
      </w:r>
    </w:p>
    <w:p>
      <w:pPr>
        <w:spacing w:after="0" w:line="199" w:lineRule="exact"/>
        <w:rPr>
          <w:sz w:val="24"/>
          <w:szCs w:val="24"/>
          <w:color w:val="auto"/>
        </w:rPr>
      </w:pPr>
    </w:p>
    <w:p>
      <w:pPr>
        <w:ind w:right="3220" w:firstLine="505"/>
        <w:spacing w:after="0" w:line="241" w:lineRule="auto"/>
        <w:rPr>
          <w:sz w:val="20"/>
          <w:szCs w:val="20"/>
          <w:color w:val="auto"/>
        </w:rPr>
      </w:pPr>
      <w:r>
        <w:rPr>
          <w:rFonts w:ascii="Courier New" w:cs="Courier New" w:eastAsia="Courier New" w:hAnsi="Courier New"/>
          <w:sz w:val="17"/>
          <w:szCs w:val="17"/>
          <w:color w:val="auto"/>
        </w:rPr>
        <w:t>The 6 1/2% Senior Notes due 2002 and the 7 1/8% Senior Notes due 2017 are being issued by USA Waste Services, Inc., a Delaware corporation. Interest on the 6 1/2% Senior Notes due 2002 and the 7 1/8% Senior Notes due 2017 is payable semi-annually on December 15 and June 15 of each year commencing on June 15, 1998. The 6 1/2% Senior Notes due 2002 and the 7 1/8% Senior Notes due 2017 constitute senior and unsecured obligations of the Company, ranking pari passu in right of payment with all other senior and unsecured obligations of the Company. See "Description of Notes -- General."</w:t>
      </w:r>
    </w:p>
    <w:p>
      <w:pPr>
        <w:spacing w:after="0" w:line="201" w:lineRule="exact"/>
        <w:rPr>
          <w:sz w:val="24"/>
          <w:szCs w:val="24"/>
          <w:color w:val="auto"/>
        </w:rPr>
      </w:pPr>
    </w:p>
    <w:p>
      <w:pPr>
        <w:jc w:val="center"/>
        <w:ind w:right="3220"/>
        <w:spacing w:after="0"/>
        <w:rPr>
          <w:sz w:val="20"/>
          <w:szCs w:val="20"/>
          <w:color w:val="auto"/>
        </w:rPr>
      </w:pPr>
      <w:r>
        <w:rPr>
          <w:rFonts w:ascii="Courier New" w:cs="Courier New" w:eastAsia="Courier New" w:hAnsi="Courier New"/>
          <w:sz w:val="17"/>
          <w:szCs w:val="17"/>
          <w:color w:val="auto"/>
        </w:rPr>
        <w:t>The 6 1/2% Senior Notes due 2002 are not redeemable. The 7 1/8% Senior</w:t>
      </w:r>
    </w:p>
    <w:p>
      <w:pPr>
        <w:spacing w:after="0" w:line="4" w:lineRule="exact"/>
        <w:rPr>
          <w:sz w:val="24"/>
          <w:szCs w:val="24"/>
          <w:color w:val="auto"/>
        </w:rPr>
      </w:pPr>
    </w:p>
    <w:p>
      <w:pPr>
        <w:jc w:val="center"/>
        <w:ind w:right="3220"/>
        <w:spacing w:after="0"/>
        <w:rPr>
          <w:sz w:val="20"/>
          <w:szCs w:val="20"/>
          <w:color w:val="auto"/>
        </w:rPr>
      </w:pPr>
      <w:r>
        <w:rPr>
          <w:rFonts w:ascii="Courier New" w:cs="Courier New" w:eastAsia="Courier New" w:hAnsi="Courier New"/>
          <w:sz w:val="16"/>
          <w:szCs w:val="16"/>
          <w:color w:val="auto"/>
        </w:rPr>
        <w:t>Notes due 2017 are redeemable, in whole or in part, at the option of the Company</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at any time and</w:t>
            </w:r>
          </w:p>
        </w:tc>
        <w:tc>
          <w:tcPr>
            <w:tcW w:w="3420" w:type="dxa"/>
            <w:vAlign w:val="bottom"/>
          </w:tcPr>
          <w:p>
            <w:pPr>
              <w:ind w:left="40"/>
              <w:spacing w:after="0"/>
              <w:rPr>
                <w:sz w:val="20"/>
                <w:szCs w:val="20"/>
                <w:color w:val="auto"/>
              </w:rPr>
            </w:pPr>
            <w:r>
              <w:rPr>
                <w:rFonts w:ascii="Courier New" w:cs="Courier New" w:eastAsia="Courier New" w:hAnsi="Courier New"/>
                <w:sz w:val="17"/>
                <w:szCs w:val="17"/>
                <w:color w:val="auto"/>
                <w:w w:val="99"/>
              </w:rPr>
              <w:t>from time to time at a redemption</w:t>
            </w:r>
          </w:p>
        </w:tc>
        <w:tc>
          <w:tcPr>
            <w:tcW w:w="31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price equal to the Make-Whole</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Price set forth</w:t>
            </w:r>
          </w:p>
        </w:tc>
        <w:tc>
          <w:tcPr>
            <w:tcW w:w="3420" w:type="dxa"/>
            <w:vAlign w:val="bottom"/>
          </w:tcPr>
          <w:p>
            <w:pPr>
              <w:ind w:left="40"/>
              <w:spacing w:after="0"/>
              <w:rPr>
                <w:sz w:val="20"/>
                <w:szCs w:val="20"/>
                <w:color w:val="auto"/>
              </w:rPr>
            </w:pPr>
            <w:r>
              <w:rPr>
                <w:rFonts w:ascii="Courier New" w:cs="Courier New" w:eastAsia="Courier New" w:hAnsi="Courier New"/>
                <w:sz w:val="17"/>
                <w:szCs w:val="17"/>
                <w:color w:val="auto"/>
                <w:w w:val="99"/>
              </w:rPr>
              <w:t>herein. See "Description of Notes</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 Redemption</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at the Company's</w:t>
            </w:r>
          </w:p>
        </w:tc>
      </w:tr>
      <w:tr>
        <w:trPr>
          <w:trHeight w:val="194"/>
        </w:trPr>
        <w:tc>
          <w:tcPr>
            <w:tcW w:w="5000" w:type="dxa"/>
            <w:vAlign w:val="bottom"/>
            <w:gridSpan w:val="2"/>
          </w:tcPr>
          <w:p>
            <w:pPr>
              <w:spacing w:after="0"/>
              <w:rPr>
                <w:sz w:val="20"/>
                <w:szCs w:val="20"/>
                <w:color w:val="auto"/>
              </w:rPr>
            </w:pPr>
            <w:r>
              <w:rPr>
                <w:rFonts w:ascii="Courier New" w:cs="Courier New" w:eastAsia="Courier New" w:hAnsi="Courier New"/>
                <w:sz w:val="17"/>
                <w:szCs w:val="17"/>
                <w:color w:val="auto"/>
                <w:w w:val="99"/>
              </w:rPr>
              <w:t>Option." The 6 1/2% Senior Notes due 2002 and the</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7 1/8% Senior</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Notes due 2017</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are not subject</w:t>
            </w:r>
          </w:p>
        </w:tc>
        <w:tc>
          <w:tcPr>
            <w:tcW w:w="3420" w:type="dxa"/>
            <w:vAlign w:val="bottom"/>
          </w:tcPr>
          <w:p>
            <w:pPr>
              <w:ind w:left="40"/>
              <w:spacing w:after="0"/>
              <w:rPr>
                <w:sz w:val="20"/>
                <w:szCs w:val="20"/>
                <w:color w:val="auto"/>
              </w:rPr>
            </w:pPr>
            <w:r>
              <w:rPr>
                <w:rFonts w:ascii="Courier New" w:cs="Courier New" w:eastAsia="Courier New" w:hAnsi="Courier New"/>
                <w:sz w:val="17"/>
                <w:szCs w:val="17"/>
                <w:color w:val="auto"/>
              </w:rPr>
              <w:t>to any sinking fund.</w:t>
            </w:r>
          </w:p>
        </w:tc>
        <w:tc>
          <w:tcPr>
            <w:tcW w:w="142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199" w:lineRule="exact"/>
        <w:rPr>
          <w:sz w:val="24"/>
          <w:szCs w:val="24"/>
          <w:color w:val="auto"/>
        </w:rPr>
      </w:pPr>
    </w:p>
    <w:p>
      <w:pPr>
        <w:jc w:val="both"/>
        <w:ind w:right="3320" w:firstLine="505"/>
        <w:spacing w:after="0" w:line="257" w:lineRule="auto"/>
        <w:rPr>
          <w:sz w:val="20"/>
          <w:szCs w:val="20"/>
          <w:color w:val="auto"/>
        </w:rPr>
      </w:pPr>
      <w:r>
        <w:rPr>
          <w:rFonts w:ascii="Courier New" w:cs="Courier New" w:eastAsia="Courier New" w:hAnsi="Courier New"/>
          <w:sz w:val="16"/>
          <w:szCs w:val="16"/>
          <w:color w:val="auto"/>
        </w:rPr>
        <w:t>The 6 1/2% Senior Notes due 2002 and the 7 1/8% Senior Notes due 2017 will each be represented by a Global Security registered in the name of the nominee of The Depository Trust Company, which will act as securities depositary.</w:t>
      </w:r>
    </w:p>
    <w:p>
      <w:pPr>
        <w:spacing w:after="0" w:line="1" w:lineRule="exact"/>
        <w:rPr>
          <w:sz w:val="24"/>
          <w:szCs w:val="24"/>
          <w:color w:val="auto"/>
        </w:rPr>
      </w:pPr>
    </w:p>
    <w:p>
      <w:pPr>
        <w:ind w:right="3320"/>
        <w:spacing w:after="0" w:line="241" w:lineRule="auto"/>
        <w:rPr>
          <w:sz w:val="20"/>
          <w:szCs w:val="20"/>
          <w:color w:val="auto"/>
        </w:rPr>
      </w:pPr>
      <w:r>
        <w:rPr>
          <w:rFonts w:ascii="Courier New" w:cs="Courier New" w:eastAsia="Courier New" w:hAnsi="Courier New"/>
          <w:sz w:val="17"/>
          <w:szCs w:val="17"/>
          <w:color w:val="auto"/>
        </w:rPr>
        <w:t>Beneficial interests in such Global Securities will be shown on, and transfers thereof will be effected only through, records maintained by The Depository Trust Company and its direct and indirect participants. Except as described herein, the 6 1/2% Senior Notes due 2002 and the 7 1/8% Senior Notes due 2017 will not be issued in definitive form. See "Description of Notes -- Book-Entry, Delivery and Form."</w:t>
      </w:r>
    </w:p>
    <w:p>
      <w:pPr>
        <w:spacing w:after="0" w:line="199"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THESE SECURITIES HAVE NOT BEEN APPROVED OR DISAPPROVED BY THE SECURITIES AND</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EXCHANGE COMMISSION OR ANY STATE SECURITIES COMMISSION NOR HAS THE SECURITIES</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AND EXCHANGE COMMISSION OR ANY STATE SECURITIES COMMISSION PASSED UPON THE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ACCURACY OR ADEQUACY OF THIS PROSPECTUS. ANY REPRESENTATION TO THE CONTRARY IS A</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CRIMINAL OFFENSE.</w:t>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3" w:lineRule="exact"/>
        <w:rPr>
          <w:sz w:val="24"/>
          <w:szCs w:val="24"/>
          <w:color w:val="auto"/>
        </w:rPr>
      </w:pPr>
    </w:p>
    <w:p>
      <w:pPr>
        <w:jc w:val="both"/>
        <w:ind w:left="4360" w:right="900" w:firstLine="101"/>
        <w:spacing w:after="0" w:line="239" w:lineRule="auto"/>
        <w:rPr>
          <w:sz w:val="20"/>
          <w:szCs w:val="20"/>
          <w:color w:val="auto"/>
        </w:rPr>
      </w:pPr>
      <w:r>
        <w:rPr>
          <w:rFonts w:ascii="Courier New" w:cs="Courier New" w:eastAsia="Courier New" w:hAnsi="Courier New"/>
          <w:sz w:val="17"/>
          <w:szCs w:val="17"/>
          <w:color w:val="auto"/>
        </w:rPr>
        <w:t>PRICE TO UNDERWRITING PROCEEDS TO PUBLIC(1) DISCOUNT(2) COMPANY(3)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Senior</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Note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due</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2002...</w:t>
            </w:r>
          </w:p>
        </w:tc>
        <w:tc>
          <w:tcPr>
            <w:tcW w:w="234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99.963%</w:t>
            </w: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w w:val="97"/>
              </w:rPr>
              <w:t>0.600%</w:t>
            </w:r>
          </w:p>
        </w:tc>
        <w:tc>
          <w:tcPr>
            <w:tcW w:w="1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99.363%</w:t>
            </w:r>
          </w:p>
        </w:tc>
      </w:tr>
      <w:tr>
        <w:trPr>
          <w:trHeight w:val="194"/>
        </w:trPr>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Total</w:t>
            </w:r>
          </w:p>
        </w:tc>
        <w:tc>
          <w:tcPr>
            <w:tcW w:w="1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80"/>
              </w:rPr>
              <w: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4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$349,870,500</w:t>
            </w: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w w:val="99"/>
              </w:rPr>
              <w:t>$2,100,000</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$347,770,500</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Per</w:t>
            </w:r>
          </w:p>
        </w:tc>
        <w:tc>
          <w:tcPr>
            <w:tcW w:w="14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4"/>
              </w:rPr>
              <w:t>Senior</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Note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due</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2017...</w:t>
            </w:r>
          </w:p>
        </w:tc>
        <w:tc>
          <w:tcPr>
            <w:tcW w:w="2340" w:type="dxa"/>
            <w:vAlign w:val="bottom"/>
          </w:tcPr>
          <w:p>
            <w:pPr>
              <w:jc w:val="right"/>
              <w:ind w:right="936"/>
              <w:spacing w:after="0"/>
              <w:rPr>
                <w:sz w:val="20"/>
                <w:szCs w:val="20"/>
                <w:color w:val="auto"/>
              </w:rPr>
            </w:pPr>
            <w:r>
              <w:rPr>
                <w:rFonts w:ascii="Courier New" w:cs="Courier New" w:eastAsia="Courier New" w:hAnsi="Courier New"/>
                <w:sz w:val="17"/>
                <w:szCs w:val="17"/>
                <w:color w:val="auto"/>
              </w:rPr>
              <w:t>99.853%</w:t>
            </w: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w w:val="97"/>
              </w:rPr>
              <w:t>0.875%</w:t>
            </w:r>
          </w:p>
        </w:tc>
        <w:tc>
          <w:tcPr>
            <w:tcW w:w="19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98.978%</w:t>
            </w:r>
          </w:p>
        </w:tc>
      </w:tr>
      <w:tr>
        <w:trPr>
          <w:trHeight w:val="194"/>
        </w:trPr>
        <w:tc>
          <w:tcPr>
            <w:tcW w:w="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4"/>
              </w:rPr>
              <w:t>Total</w:t>
            </w:r>
          </w:p>
        </w:tc>
        <w:tc>
          <w:tcPr>
            <w:tcW w:w="1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80"/>
              </w:rPr>
              <w:t>.............................</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40" w:type="dxa"/>
            <w:vAlign w:val="bottom"/>
          </w:tcPr>
          <w:p>
            <w:pPr>
              <w:jc w:val="right"/>
              <w:ind w:right="636"/>
              <w:spacing w:after="0"/>
              <w:rPr>
                <w:sz w:val="20"/>
                <w:szCs w:val="20"/>
                <w:color w:val="auto"/>
              </w:rPr>
            </w:pPr>
            <w:r>
              <w:rPr>
                <w:rFonts w:ascii="Courier New" w:cs="Courier New" w:eastAsia="Courier New" w:hAnsi="Courier New"/>
                <w:sz w:val="17"/>
                <w:szCs w:val="17"/>
                <w:color w:val="auto"/>
              </w:rPr>
              <w:t>$149,779,500</w:t>
            </w:r>
          </w:p>
        </w:tc>
        <w:tc>
          <w:tcPr>
            <w:tcW w:w="2420" w:type="dxa"/>
            <w:vAlign w:val="bottom"/>
          </w:tcPr>
          <w:p>
            <w:pPr>
              <w:jc w:val="center"/>
              <w:spacing w:after="0"/>
              <w:rPr>
                <w:sz w:val="20"/>
                <w:szCs w:val="20"/>
                <w:color w:val="auto"/>
              </w:rPr>
            </w:pPr>
            <w:r>
              <w:rPr>
                <w:rFonts w:ascii="Courier New" w:cs="Courier New" w:eastAsia="Courier New" w:hAnsi="Courier New"/>
                <w:sz w:val="17"/>
                <w:szCs w:val="17"/>
                <w:color w:val="auto"/>
                <w:w w:val="99"/>
              </w:rPr>
              <w:t>$1,312,500</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$148,467,000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00" w:lineRule="exact"/>
        <w:rPr>
          <w:sz w:val="24"/>
          <w:szCs w:val="24"/>
          <w:color w:val="auto"/>
        </w:rPr>
      </w:pPr>
    </w:p>
    <w:p>
      <w:pPr>
        <w:ind w:left="400" w:hanging="396"/>
        <w:spacing w:after="0"/>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Plus accrued interest, if any, from the date of issuance.</w:t>
      </w:r>
    </w:p>
    <w:p>
      <w:pPr>
        <w:spacing w:after="0" w:line="4" w:lineRule="exact"/>
        <w:rPr>
          <w:rFonts w:ascii="Courier New" w:cs="Courier New" w:eastAsia="Courier New" w:hAnsi="Courier New"/>
          <w:sz w:val="17"/>
          <w:szCs w:val="17"/>
          <w:color w:val="auto"/>
        </w:rPr>
      </w:pPr>
    </w:p>
    <w:p>
      <w:pPr>
        <w:ind w:left="400" w:right="3740" w:hanging="396"/>
        <w:spacing w:after="0"/>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agreed to indemnify the Underwriters against certain liabilities, including liabilities under the Securities Act of 1933, as amended. See "Underwriting."</w:t>
      </w:r>
    </w:p>
    <w:p>
      <w:pPr>
        <w:spacing w:after="0" w:line="3"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expenses payable by the Company estimated at $300,000.</w:t>
      </w:r>
    </w:p>
    <w:p>
      <w:pPr>
        <w:spacing w:after="0" w:line="199" w:lineRule="exact"/>
        <w:rPr>
          <w:sz w:val="24"/>
          <w:szCs w:val="24"/>
          <w:color w:val="auto"/>
        </w:rPr>
      </w:pPr>
    </w:p>
    <w:p>
      <w:pPr>
        <w:ind w:right="3220" w:firstLine="505"/>
        <w:spacing w:after="0" w:line="241" w:lineRule="auto"/>
        <w:rPr>
          <w:sz w:val="20"/>
          <w:szCs w:val="20"/>
          <w:color w:val="auto"/>
        </w:rPr>
      </w:pPr>
      <w:r>
        <w:rPr>
          <w:rFonts w:ascii="Courier New" w:cs="Courier New" w:eastAsia="Courier New" w:hAnsi="Courier New"/>
          <w:sz w:val="17"/>
          <w:szCs w:val="17"/>
          <w:color w:val="auto"/>
        </w:rPr>
        <w:t>The 6 1/2% Senior Notes due 2002 and the 7 1/8% Senior Notes due 2017 are offered by the several Underwriters when, as and if delivered to and accepted by them, subject to certain conditions, including their rights to withdraw, cancel or reject orders in whole or in part. It is expected that delivery of the 6 1/2% Senior Notes due 2002 and the 7 1/8% Senior Notes due 2017 will be made in New York, New York, on or about December 17, 1997, in book-entry form through the facilities of The Depository Trust Company against payment therefor in immediately available funds.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DONALDSON, LUFKIN &amp; JENRETTE</w:t>
      </w:r>
    </w:p>
    <w:p>
      <w:pPr>
        <w:spacing w:after="0" w:line="2"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SECURITIES CORPORATION</w:t>
      </w:r>
    </w:p>
    <w:p>
      <w:pPr>
        <w:spacing w:after="0" w:line="196"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MERRILL LYNCH &amp; CO.</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J. P. MORGAN &amp; CO.</w:t>
      </w:r>
    </w:p>
    <w:p>
      <w:pPr>
        <w:spacing w:after="0" w:line="196" w:lineRule="exact"/>
        <w:rPr>
          <w:sz w:val="24"/>
          <w:szCs w:val="24"/>
          <w:color w:val="auto"/>
        </w:rPr>
      </w:pPr>
    </w:p>
    <w:p>
      <w:pPr>
        <w:ind w:left="4860"/>
        <w:spacing w:after="0"/>
        <w:rPr>
          <w:sz w:val="20"/>
          <w:szCs w:val="20"/>
          <w:color w:val="auto"/>
        </w:rPr>
      </w:pPr>
      <w:r>
        <w:rPr>
          <w:rFonts w:ascii="Courier New" w:cs="Courier New" w:eastAsia="Courier New" w:hAnsi="Courier New"/>
          <w:sz w:val="17"/>
          <w:szCs w:val="17"/>
          <w:color w:val="auto"/>
        </w:rPr>
        <w:t>DEUTSCHE MORGAN GRENFELL</w:t>
      </w:r>
    </w:p>
    <w:p>
      <w:pPr>
        <w:sectPr>
          <w:pgSz w:w="11900" w:h="16838" w:orient="portrait"/>
          <w:cols w:equalWidth="0" w:num="1">
            <w:col w:w="11320"/>
          </w:cols>
          <w:pgMar w:left="240" w:top="243" w:right="339" w:bottom="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CERTAIN PERSONS PARTICIPATING IN THIS OFFERING MAY ENGAGE IN TRANSACTIONS THAT STABILIZE, MAINTAIN OR OTHERWISE AFFECT THE PRICE OF THE OFFERED SECURITIES. SPECIFICALLY, THE UNDERWRITERS MAY OVERALLOT IN CONNECTION WITH THE OFFERING AND MAY BID FOR AND PURCHASE THE OFFERED SECURITIES IN THE OPEN MARKET. FOR A DESCRIPTION OF THESE ACTIVITIES, SEE "UNDERWRITING".</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S-2</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PROSPECTUS SUPPLEMENT SUMMARY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following summary is qualified in its entirety by the more detailed information, including the Selected Consolidated Financial Data and the Consolidated Financial Statements and Notes thereto, incorporated by reference in this Prospectus Supplement and the accompanying Prospectus. The "Company" and "USA Waste" refer to USA Waste Services, Inc. and its subsidiaries and predecessors, unless otherwise indicated or the context requires otherwise.</w:t>
      </w:r>
    </w:p>
    <w:p>
      <w:pPr>
        <w:spacing w:after="0" w:line="19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commercial, industrial, municipal and residential customers in various locations in the United States, Canada, Puerto Rico and Mexico. The Company's solid waste management services include collection, transfer and disposal operations and, to a lesser extent, recycling and certain other waste management services. As of September 30, 1997, USA Waste owned or operated 164 landfills, 159 transfer stations and 381 collection companies and served more than 7.5 million commercial, industrial, municipal and residential customers.</w:t>
      </w:r>
    </w:p>
    <w:p>
      <w:pPr>
        <w:spacing w:after="0" w:line="204"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Company believes that providing fully-integrated waste management services gives it a competitive advantage in its markets and allows for a relatively higher level of waste internalization and profitability. For the nine months ended September 30, 1997, approximately 62% of the Company's revenues were attributable to collection operations, approximately 24% was attributable to landfill operations, approximately 10% was attributable to transfer operations, and approximately 4% was attributable to recycling and other waste management services. In addition, approximately 55% of the waste collected by the Company was disposed of at the Company's landfills during such period.</w:t>
      </w:r>
    </w:p>
    <w:p>
      <w:pPr>
        <w:spacing w:after="0" w:line="19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operates on a decentralized basis through five geographic regions with a diversified customer base. Based on collection revenues for the nine months ended September 30, 1997, the Company's customers were approximately 40% commercial, 30% industrial and 30% municipal and residential.</w:t>
      </w:r>
    </w:p>
    <w:p>
      <w:pPr>
        <w:spacing w:after="0" w:line="199" w:lineRule="exact"/>
        <w:rPr>
          <w:sz w:val="20"/>
          <w:szCs w:val="20"/>
          <w:color w:val="auto"/>
        </w:rPr>
      </w:pPr>
    </w:p>
    <w:p>
      <w:pPr>
        <w:ind w:right="2219" w:firstLine="505"/>
        <w:spacing w:after="0" w:line="257" w:lineRule="auto"/>
        <w:rPr>
          <w:sz w:val="20"/>
          <w:szCs w:val="20"/>
          <w:color w:val="auto"/>
        </w:rPr>
      </w:pPr>
      <w:r>
        <w:rPr>
          <w:rFonts w:ascii="Courier New" w:cs="Courier New" w:eastAsia="Courier New" w:hAnsi="Courier New"/>
          <w:sz w:val="16"/>
          <w:szCs w:val="16"/>
          <w:color w:val="auto"/>
        </w:rPr>
        <w:t>The Company's strategy includes the following key elements: (i) increasing productivity and operating efficiencies in existing and acquired operations,</w:t>
      </w:r>
    </w:p>
    <w:p>
      <w:pPr>
        <w:spacing w:after="0" w:line="1" w:lineRule="exact"/>
        <w:rPr>
          <w:sz w:val="20"/>
          <w:szCs w:val="20"/>
          <w:color w:val="auto"/>
        </w:rPr>
      </w:pPr>
    </w:p>
    <w:p>
      <w:pPr>
        <w:ind w:right="2219" w:firstLine="4"/>
        <w:spacing w:after="0" w:line="242" w:lineRule="auto"/>
        <w:tabs>
          <w:tab w:leader="none" w:pos="5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In addition, the Company regularly pursues merger or acquisition transactions, some of which are significant, in new markets where the Company believes it can strengthen its overall competitive position as a national provider of integrated solid waste management services.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98"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RECENT DEVELOPMENTS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Consistent with the Company's continuing acquisition strategy, on December 9, 1997, the Company executed a definitive agreement to acquire the waste divisions of City Management Holdings Trust ("City Management"), with closing expected to occur in early 1998 subject to customary closing conditions and regulatory approvals. City Management, headquartered in Detroit, is a comprehensive provider of waste management services primarily in Michigan, with some operations in Alabama and Florida. City Management</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S-3</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operates 12 landfills, 12 transfer stations and 20 collection companies serving over 500,000 customers. City Management's current annualized revenues are approximately $230 million.</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THE OFFERING</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$350,000,000 aggregate principal amount of 6 1/2% Senior Notes due 2002 ("2002 Notes"); and $150,000,000 aggregate principal amount of 7 1/8% Senior Notes due 2017 ("2017 Notes") (collectively, the "Notes").</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ind w:right="2439"/>
        <w:spacing w:after="0"/>
        <w:rPr>
          <w:sz w:val="20"/>
          <w:szCs w:val="20"/>
          <w:color w:val="auto"/>
        </w:rPr>
      </w:pPr>
      <w:r>
        <w:rPr>
          <w:rFonts w:ascii="Courier New" w:cs="Courier New" w:eastAsia="Courier New" w:hAnsi="Courier New"/>
          <w:sz w:val="17"/>
          <w:szCs w:val="17"/>
          <w:color w:val="auto"/>
        </w:rPr>
        <w:t>December 15, 2002 with respect to the 2002 Notes, and December 15, 2017 with respect to the 2017 Notes.</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ind w:right="3139"/>
        <w:spacing w:after="0" w:line="239" w:lineRule="auto"/>
        <w:rPr>
          <w:sz w:val="20"/>
          <w:szCs w:val="20"/>
          <w:color w:val="auto"/>
        </w:rPr>
      </w:pPr>
      <w:r>
        <w:rPr>
          <w:rFonts w:ascii="Courier New" w:cs="Courier New" w:eastAsia="Courier New" w:hAnsi="Courier New"/>
          <w:sz w:val="17"/>
          <w:szCs w:val="17"/>
          <w:color w:val="auto"/>
        </w:rPr>
        <w:t>December 15 and June 15 of each year, commencing June 15, 1998.</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2119"/>
        <w:spacing w:after="0" w:line="241" w:lineRule="auto"/>
        <w:rPr>
          <w:sz w:val="20"/>
          <w:szCs w:val="20"/>
          <w:color w:val="auto"/>
        </w:rPr>
      </w:pPr>
      <w:r>
        <w:rPr>
          <w:rFonts w:ascii="Courier New" w:cs="Courier New" w:eastAsia="Courier New" w:hAnsi="Courier New"/>
          <w:sz w:val="17"/>
          <w:szCs w:val="17"/>
          <w:color w:val="auto"/>
        </w:rPr>
        <w:t>The 2002 Notes are not redeemable. The 2017 Notes are redeemable, in whole or in part, at the option of the Company at any time and from time to time at a redemption price equal to the Make-Whole Price (as defined herein). See "Description of Notes -- Redemption at the Company's Option."</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2219"/>
        <w:spacing w:after="0" w:line="260" w:lineRule="auto"/>
        <w:rPr>
          <w:sz w:val="20"/>
          <w:szCs w:val="20"/>
          <w:color w:val="auto"/>
        </w:rPr>
      </w:pPr>
      <w:r>
        <w:rPr>
          <w:rFonts w:ascii="Courier New" w:cs="Courier New" w:eastAsia="Courier New" w:hAnsi="Courier New"/>
          <w:sz w:val="16"/>
          <w:szCs w:val="16"/>
          <w:color w:val="auto"/>
        </w:rPr>
        <w:t>The Notes constitute senior and unsecured obligations of the Company, ranking pari passu in right of payment with all other senior and unsecured obligations of the Company. See "Description of Notes -- General."</w:t>
      </w:r>
    </w:p>
    <w:p>
      <w:pPr>
        <w:spacing w:after="0" w:line="185"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ind w:right="2219"/>
        <w:spacing w:after="0" w:line="241" w:lineRule="auto"/>
        <w:rPr>
          <w:sz w:val="20"/>
          <w:szCs w:val="20"/>
          <w:color w:val="auto"/>
        </w:rPr>
      </w:pPr>
      <w:r>
        <w:rPr>
          <w:rFonts w:ascii="Courier New" w:cs="Courier New" w:eastAsia="Courier New" w:hAnsi="Courier New"/>
          <w:sz w:val="17"/>
          <w:szCs w:val="17"/>
          <w:color w:val="auto"/>
        </w:rPr>
        <w:t>The indenture governing the Notes will contain covenants, including, but not limited to, covenants limiting (i) the creation of liens securing indebtedness, and (ii) sale and leaseback transactions.</w:t>
      </w:r>
    </w:p>
    <w:p>
      <w:pPr>
        <w:spacing w:after="0" w:line="200" w:lineRule="exact"/>
        <w:rPr>
          <w:sz w:val="20"/>
          <w:szCs w:val="20"/>
          <w:color w:val="auto"/>
        </w:rPr>
      </w:pPr>
    </w:p>
    <w:p>
      <w:pPr>
        <w:sectPr>
          <w:pgSz w:w="11900" w:h="16838" w:orient="portrait"/>
          <w:cols w:equalWidth="0" w:num="2">
            <w:col w:w="3040" w:space="300"/>
            <w:col w:w="68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2119"/>
        <w:spacing w:after="0" w:line="241" w:lineRule="auto"/>
        <w:rPr>
          <w:sz w:val="20"/>
          <w:szCs w:val="20"/>
          <w:color w:val="auto"/>
        </w:rPr>
      </w:pPr>
      <w:r>
        <w:rPr>
          <w:rFonts w:ascii="Courier New" w:cs="Courier New" w:eastAsia="Courier New" w:hAnsi="Courier New"/>
          <w:sz w:val="17"/>
          <w:szCs w:val="17"/>
          <w:color w:val="auto"/>
        </w:rPr>
        <w:t>The net proceeds from the sale of the Notes in this offering (the "Offering") are expected to be used to repay outstanding indebtedness under the Credit Facility. Amounts repaid on the Credit Facility may be reborrowed from time to time for capital expenditures and other general corporate purposes, including possible future acquisitions. See "Use of Proceeds." S-4</w:t>
      </w:r>
    </w:p>
    <w:p>
      <w:pPr>
        <w:sectPr>
          <w:pgSz w:w="11900" w:h="16838" w:orient="portrait"/>
          <w:cols w:equalWidth="0" w:num="2">
            <w:col w:w="3040" w:space="300"/>
            <w:col w:w="6879"/>
          </w:cols>
          <w:pgMar w:left="240" w:top="308"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7"/>
          <w:szCs w:val="17"/>
          <w:color w:val="auto"/>
        </w:rPr>
        <w:t>USE OF PROCEEDS</w:t>
      </w:r>
    </w:p>
    <w:p>
      <w:pPr>
        <w:spacing w:after="0" w:line="199" w:lineRule="exact"/>
        <w:rPr>
          <w:sz w:val="20"/>
          <w:szCs w:val="20"/>
          <w:color w:val="auto"/>
        </w:rPr>
      </w:pPr>
    </w:p>
    <w:p>
      <w:pPr>
        <w:jc w:val="both"/>
        <w:ind w:right="3740" w:firstLine="505"/>
        <w:spacing w:after="0"/>
        <w:rPr>
          <w:sz w:val="20"/>
          <w:szCs w:val="20"/>
          <w:color w:val="auto"/>
        </w:rPr>
      </w:pPr>
      <w:r>
        <w:rPr>
          <w:rFonts w:ascii="Courier New" w:cs="Courier New" w:eastAsia="Courier New" w:hAnsi="Courier New"/>
          <w:sz w:val="17"/>
          <w:szCs w:val="17"/>
          <w:color w:val="auto"/>
        </w:rPr>
        <w:t>The proceeds to the Company from the sale of the Notes in this Offering, after deducting underwriting discounts and commissions and estimated offering expenses, are $495.9 million.</w:t>
      </w:r>
    </w:p>
    <w:p>
      <w:pPr>
        <w:spacing w:after="0" w:line="200" w:lineRule="exact"/>
        <w:rPr>
          <w:sz w:val="20"/>
          <w:szCs w:val="20"/>
          <w:color w:val="auto"/>
        </w:rPr>
      </w:pPr>
    </w:p>
    <w:p>
      <w:pPr>
        <w:ind w:right="3420" w:firstLine="505"/>
        <w:spacing w:after="0" w:line="242" w:lineRule="auto"/>
        <w:rPr>
          <w:sz w:val="20"/>
          <w:szCs w:val="20"/>
          <w:color w:val="auto"/>
        </w:rPr>
      </w:pPr>
      <w:r>
        <w:rPr>
          <w:rFonts w:ascii="Courier New" w:cs="Courier New" w:eastAsia="Courier New" w:hAnsi="Courier New"/>
          <w:sz w:val="17"/>
          <w:szCs w:val="17"/>
          <w:color w:val="auto"/>
        </w:rPr>
        <w:t>The net proceeds of this Offering are expected to be used to repay outstanding indebtedness under the Credit Facility. At November 30, 1997, the aggregate outstanding balance of loans and letters of credit under the Credit Facility was $1.4 billion ($455.9 million of which were letters of credit). Borrowings under the Credit Facility bear interest at a rate (currently 6.0%) equal to the Eurodollar rate plus an amount not in excess of 0.575% per annum and mature on August 7, 2002. Morgan Guaranty Trust Company of New York, an affiliate of J.P. Morgan Securities Inc., expects to receive up to $25.0 million of repayment under the Credit Facility from the proceeds of this Offering. Deutsche Bank AG New York Branch, an affiliate of Deutsche Morgan Grenfell Inc., expects to receive up to $21.2 million of repayment under the Credit Facility from the proceeds of this Offering. See "Underwriting." Amounts currently outstanding under the Credit Facility were incurred to refinance existing indebtedness and for capital expenditures and other general corporate purposes, including acquisitions. Amounts repaid on the Credit Facility may be reborrowed from time to time for capital expenditures and other general corporate purposes, including possible future acquisitions.</w:t>
      </w:r>
    </w:p>
    <w:p>
      <w:pPr>
        <w:spacing w:after="0" w:line="197"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199" w:lineRule="exact"/>
        <w:rPr>
          <w:sz w:val="20"/>
          <w:szCs w:val="20"/>
          <w:color w:val="auto"/>
        </w:rPr>
      </w:pPr>
    </w:p>
    <w:p>
      <w:pPr>
        <w:ind w:right="4240" w:firstLine="505"/>
        <w:spacing w:after="0" w:line="239"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shown:</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NINE MONTHS</w:t>
            </w:r>
          </w:p>
        </w:tc>
      </w:tr>
      <w:tr>
        <w:trPr>
          <w:trHeight w:val="194"/>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w w:val="98"/>
              </w:rPr>
              <w:t>YEAR ENDED DECEMBER 31,</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ENDED</w:t>
            </w:r>
          </w:p>
        </w:tc>
      </w:tr>
      <w:tr>
        <w:trPr>
          <w:trHeight w:val="194"/>
        </w:trPr>
        <w:tc>
          <w:tcPr>
            <w:tcW w:w="32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SEPTEMBER 30,</w:t>
            </w:r>
          </w:p>
        </w:tc>
      </w:tr>
      <w:tr>
        <w:trPr>
          <w:trHeight w:val="194"/>
        </w:trPr>
        <w:tc>
          <w:tcPr>
            <w:tcW w:w="324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7"/>
                <w:szCs w:val="17"/>
                <w:color w:val="auto"/>
              </w:rPr>
              <w:t>1992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1993</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3240" w:type="dxa"/>
            <w:vAlign w:val="bottom"/>
          </w:tcPr>
          <w:p>
            <w:pPr>
              <w:spacing w:after="0"/>
              <w:rPr>
                <w:sz w:val="16"/>
                <w:szCs w:val="16"/>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240" w:type="dxa"/>
            <w:vAlign w:val="bottom"/>
          </w:tcPr>
          <w:p>
            <w:pPr>
              <w:spacing w:after="0"/>
              <w:rPr>
                <w:sz w:val="20"/>
                <w:szCs w:val="20"/>
                <w:color w:val="auto"/>
              </w:rPr>
            </w:pPr>
            <w:r>
              <w:rPr>
                <w:rFonts w:ascii="Courier New" w:cs="Courier New" w:eastAsia="Courier New" w:hAnsi="Courier New"/>
                <w:sz w:val="17"/>
                <w:szCs w:val="17"/>
                <w:color w:val="auto"/>
              </w:rPr>
              <w:t>Actual.........................</w:t>
            </w:r>
          </w:p>
        </w:tc>
        <w:tc>
          <w:tcPr>
            <w:tcW w:w="1720" w:type="dxa"/>
            <w:vAlign w:val="bottom"/>
          </w:tcPr>
          <w:p>
            <w:pPr>
              <w:ind w:left="300"/>
              <w:spacing w:after="0"/>
              <w:rPr>
                <w:sz w:val="20"/>
                <w:szCs w:val="20"/>
                <w:color w:val="auto"/>
              </w:rPr>
            </w:pPr>
            <w:r>
              <w:rPr>
                <w:rFonts w:ascii="Courier New" w:cs="Courier New" w:eastAsia="Courier New" w:hAnsi="Courier New"/>
                <w:sz w:val="17"/>
                <w:szCs w:val="17"/>
                <w:color w:val="auto"/>
              </w:rPr>
              <w:t>(0.1)x</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1.9x</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1.1x</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2.4x</w:t>
            </w: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2.3x</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3.9x</w:t>
            </w:r>
          </w:p>
        </w:tc>
      </w:tr>
    </w:tbl>
    <w:p>
      <w:pPr>
        <w:spacing w:after="0" w:line="393" w:lineRule="exact"/>
        <w:rPr>
          <w:sz w:val="20"/>
          <w:szCs w:val="20"/>
          <w:color w:val="auto"/>
        </w:rPr>
      </w:pPr>
    </w:p>
    <w:p>
      <w:pPr>
        <w:ind w:right="3520" w:firstLine="505"/>
        <w:spacing w:after="0" w:line="242" w:lineRule="auto"/>
        <w:rPr>
          <w:sz w:val="20"/>
          <w:szCs w:val="20"/>
          <w:color w:val="auto"/>
        </w:rPr>
      </w:pPr>
      <w:r>
        <w:rPr>
          <w:rFonts w:ascii="Courier New" w:cs="Courier New" w:eastAsia="Courier New" w:hAnsi="Courier New"/>
          <w:sz w:val="17"/>
          <w:szCs w:val="17"/>
          <w:color w:val="auto"/>
        </w:rPr>
        <w:t>The Company's consolidated ratios of earnings to fixed charges were computed by dividing earnings by fixed charges. For this purpose, earnings are the sum of income (loss) from continuing operations, taxes, and fixed charges, excluding capitalized interest. Fixed charges are interest, whether expensed or capitalized, amortization of debt expense and discount on premium relating to indebtedness, whether expensed or capitalized, and such portion of rental expense that can be demonstrated to be representative of the interest factor in the particular case. For the year ended December 31, 1992, earnings were insufficient to cover fixed charges (as evidenced by a less than one-to-one coverage ratio) due to certain non-recurring costs as discussed below. Additional earnings of $75.4 million were necessary for the year ended December 31, 1992 to provide a one-to-one coverage ratio.</w:t>
      </w:r>
    </w:p>
    <w:p>
      <w:pPr>
        <w:spacing w:after="0" w:line="198" w:lineRule="exact"/>
        <w:rPr>
          <w:sz w:val="20"/>
          <w:szCs w:val="20"/>
          <w:color w:val="auto"/>
        </w:rPr>
      </w:pPr>
    </w:p>
    <w:p>
      <w:pPr>
        <w:jc w:val="both"/>
        <w:ind w:right="4240" w:firstLine="505"/>
        <w:spacing w:after="0"/>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NINE MONTHS</w:t>
            </w:r>
          </w:p>
        </w:tc>
      </w:tr>
      <w:tr>
        <w:trPr>
          <w:trHeight w:val="194"/>
        </w:trPr>
        <w:tc>
          <w:tcPr>
            <w:tcW w:w="3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w w:val="98"/>
              </w:rPr>
              <w:t>YEAR ENDED DECEMBER 31,</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7"/>
              </w:rPr>
              <w:t>ENDED</w:t>
            </w:r>
          </w:p>
        </w:tc>
      </w:tr>
      <w:tr>
        <w:trPr>
          <w:trHeight w:val="194"/>
        </w:trPr>
        <w:tc>
          <w:tcPr>
            <w:tcW w:w="334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2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SEPTEMBER 30,</w:t>
            </w:r>
          </w:p>
        </w:tc>
      </w:tr>
      <w:tr>
        <w:trPr>
          <w:trHeight w:val="194"/>
        </w:trPr>
        <w:tc>
          <w:tcPr>
            <w:tcW w:w="3340" w:type="dxa"/>
            <w:vAlign w:val="bottom"/>
          </w:tcPr>
          <w:p>
            <w:pPr>
              <w:spacing w:after="0"/>
              <w:rPr>
                <w:sz w:val="16"/>
                <w:szCs w:val="16"/>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7"/>
                <w:szCs w:val="17"/>
                <w:color w:val="auto"/>
              </w:rPr>
              <w:t>1992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1993</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1994</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1996</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3340" w:type="dxa"/>
            <w:vAlign w:val="bottom"/>
          </w:tcPr>
          <w:p>
            <w:pPr>
              <w:spacing w:after="0"/>
              <w:rPr>
                <w:sz w:val="16"/>
                <w:szCs w:val="16"/>
                <w:color w:val="auto"/>
              </w:rPr>
            </w:pPr>
          </w:p>
        </w:tc>
        <w:tc>
          <w:tcPr>
            <w:tcW w:w="1720" w:type="dxa"/>
            <w:vAlign w:val="bottom"/>
          </w:tcPr>
          <w:p>
            <w:pPr>
              <w:jc w:val="right"/>
              <w:ind w:right="948"/>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center"/>
              <w:ind w:left="176"/>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3340" w:type="dxa"/>
            <w:vAlign w:val="bottom"/>
          </w:tcPr>
          <w:p>
            <w:pPr>
              <w:spacing w:after="0"/>
              <w:rPr>
                <w:sz w:val="20"/>
                <w:szCs w:val="20"/>
                <w:color w:val="auto"/>
              </w:rPr>
            </w:pPr>
            <w:r>
              <w:rPr>
                <w:rFonts w:ascii="Courier New" w:cs="Courier New" w:eastAsia="Courier New" w:hAnsi="Courier New"/>
                <w:sz w:val="17"/>
                <w:szCs w:val="17"/>
                <w:color w:val="auto"/>
              </w:rPr>
              <w:t>Supplemental....................</w:t>
            </w:r>
          </w:p>
        </w:tc>
        <w:tc>
          <w:tcPr>
            <w:tcW w:w="1720" w:type="dxa"/>
            <w:vAlign w:val="bottom"/>
          </w:tcPr>
          <w:p>
            <w:pPr>
              <w:jc w:val="right"/>
              <w:ind w:right="948"/>
              <w:spacing w:after="0"/>
              <w:rPr>
                <w:sz w:val="20"/>
                <w:szCs w:val="20"/>
                <w:color w:val="auto"/>
              </w:rPr>
            </w:pPr>
            <w:r>
              <w:rPr>
                <w:rFonts w:ascii="Courier New" w:cs="Courier New" w:eastAsia="Courier New" w:hAnsi="Courier New"/>
                <w:sz w:val="17"/>
                <w:szCs w:val="17"/>
                <w:color w:val="auto"/>
              </w:rPr>
              <w:t>1.1X</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1.9X</w:t>
            </w:r>
          </w:p>
        </w:tc>
        <w:tc>
          <w:tcPr>
            <w:tcW w:w="238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2.4X</w:t>
            </w:r>
          </w:p>
        </w:tc>
        <w:tc>
          <w:tcPr>
            <w:tcW w:w="9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3.2X</w:t>
            </w:r>
          </w:p>
        </w:tc>
        <w:tc>
          <w:tcPr>
            <w:tcW w:w="116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4.5X</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5.4X</w:t>
            </w:r>
          </w:p>
        </w:tc>
      </w:tr>
    </w:tbl>
    <w:p>
      <w:pPr>
        <w:spacing w:after="0" w:line="393" w:lineRule="exact"/>
        <w:rPr>
          <w:sz w:val="20"/>
          <w:szCs w:val="20"/>
          <w:color w:val="auto"/>
        </w:rPr>
      </w:pPr>
    </w:p>
    <w:p>
      <w:pPr>
        <w:ind w:right="3420" w:firstLine="505"/>
        <w:spacing w:after="0" w:line="258" w:lineRule="auto"/>
        <w:rPr>
          <w:sz w:val="20"/>
          <w:szCs w:val="20"/>
          <w:color w:val="auto"/>
        </w:rPr>
      </w:pPr>
      <w:r>
        <w:rPr>
          <w:rFonts w:ascii="Courier New" w:cs="Courier New" w:eastAsia="Courier New" w:hAnsi="Courier New"/>
          <w:sz w:val="16"/>
          <w:szCs w:val="16"/>
          <w:color w:val="auto"/>
        </w:rPr>
        <w:t>Nonrecurring items for the nine months ended September 30, 1997 represent merger costs, primarily related to the Company's merger with United Waste Systems, Inc. ("United")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("Sanifill")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w:t>
      </w:r>
    </w:p>
    <w:p>
      <w:pPr>
        <w:spacing w:after="0" w:line="18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S-5</w:t>
      </w:r>
    </w:p>
    <w:p>
      <w:pPr>
        <w:sectPr>
          <w:pgSz w:w="11900" w:h="16838" w:orient="portrait"/>
          <w:cols w:equalWidth="0" w:num="1">
            <w:col w:w="11520"/>
          </w:cols>
          <w:pgMar w:left="240" w:top="308" w:right="139" w:bottom="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6</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 Nonrecurring items in 1992 primarily represent various restructuring charges and charges to asset reserves by Western and Chambers.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S-6</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DESCRIPTION OF NOTES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2002 Notes and the 2017 Notes each constitute a series of Senior Debt Securities described in the accompanying Prospectus that will be issued under an indenture, dated as of September 10, 1997 (the "Senior Indenture"), between the Company and Texas Commerce Bank National Association, as trustee (the "Trustee"). The following description of the particular terms of the Notes offered hereby supplements, and to the extent inconsistent therewith replaces, the description of the general terms and provisions of the Senior Debt Securities set forth in the accompanying Prospectus, to which reference is hereby made. Capitalized terms used but not defined herein or in the accompanying Prospectus have the meanings given to them in the Senior Indenture. As used in this section, the "Company" means USA Waste Services, Inc., but not any of its Subsidiaries, unless the context otherwise requires. The following summary of the Senior Indenture and the Notes does not purport to be complete and such summary is subject to the detailed provisions of the Senior Indenture and the Notes to which reference is hereby made for a full description of such provisions.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Notes offered by this Prospectus Supplement will be limited in aggregate principal amount to $500,000,000. The Notes constitute senior and unsecured obligations of the Company, ranking pari passu in right of payment with all other senior and unsecured obligations of the Company. The Notes are not guaranteed by any subsidiaries of the Company; however, the Company's obligations under the Credit Facility are guaranteed by United and Sanifill, both wholly-owned subsidiaries of the Company.</w:t>
      </w:r>
    </w:p>
    <w:p>
      <w:pPr>
        <w:spacing w:after="0" w:line="202"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Substantially all of the Company's operating income and cash flow is generated by its subsidiaries. As a result, funds necessary to meet the Company's debt service obligations are provided in part by distributions or advances from its subsidiaries. Under certain circumstances, contractual and legal restrictions, as well as the financial condition and operating requirements of the Company's subsidiaries, could limit the Company's ability to obtain cash from its subsidiaries for the purpose of meeting its debt service obligations, including the payment of principal and interest on the Notes. The claims of creditors of the Company's subsidiaries (including holders of the $150.0 million aggregate principal amount of outstanding 4 1/2% Convertible Subordinated Notes due June 1, 2001 of United and $115.0 million aggregate principal amount of outstanding 5% Convertible Subordinated Debentures due March 1, 2006 of Sanifill, and the lenders under the Company's current Credit Facility) will effectively have priority with respect to the assets and earnings of such subsidiaries, over the claims of creditors of the Company, including the holders of the Notes. The Credit Facility has certain limitations on additional indebtedness that can be incurred at the subsidiary level. As of September 30, 1997, the Company's aggregate subsidiary indebtedness was approximately $602 million, including approximately $265 million of convertible subordinated notes and approximately $262 million of tax exempt bonds.</w:t>
      </w:r>
    </w:p>
    <w:p>
      <w:pPr>
        <w:spacing w:after="0" w:line="3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2002 Notes will mature December 15, 2002 and will be limited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$350,000,000 aggregate principal amount; and the 2017 Notes will mature December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2017 and will be limited to $150,000,000 aggregate principal amount.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series of Notes will bear interest at the respective rates per annum set forth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front cover of this Prospectus Supplement. Interest on the 2002 Notes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2017 Notes will be payable semiannually on December 15 and June 15 of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commencing June 15, 1998, to the persons in whose names such 2002 Notes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2017 Notes are registered at the close of business on the November 30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31 immediately preceding such Interest Payment Date. Interest will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calculated on the basis of a 360-day year consisting of twelve 30-day months.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Notes will be issued only in fully registered form, without coupons,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denominations of $1,000 and integral multiples thereof. There is no sinking fund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applicable to the Notes.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AT THE COMPANY'S OPTION</w:t>
      </w:r>
    </w:p>
    <w:p>
      <w:pPr>
        <w:spacing w:after="0" w:line="199" w:lineRule="exact"/>
        <w:rPr>
          <w:sz w:val="20"/>
          <w:szCs w:val="20"/>
          <w:color w:val="auto"/>
        </w:rPr>
      </w:pPr>
    </w:p>
    <w:p>
      <w:pPr>
        <w:ind w:right="2119" w:firstLine="505"/>
        <w:spacing w:after="0" w:line="261" w:lineRule="auto"/>
        <w:rPr>
          <w:sz w:val="20"/>
          <w:szCs w:val="20"/>
          <w:color w:val="auto"/>
        </w:rPr>
      </w:pPr>
      <w:r>
        <w:rPr>
          <w:rFonts w:ascii="Courier New" w:cs="Courier New" w:eastAsia="Courier New" w:hAnsi="Courier New"/>
          <w:sz w:val="16"/>
          <w:szCs w:val="16"/>
          <w:color w:val="auto"/>
        </w:rPr>
        <w:t>The 2002 Notes are not redeemable. The 2017 Notes will be redeemable at the option of the Company at any time and from time to time, in whole or in part, upon not less than 30 nor more than 60 days notice to each Holder of 2017 Notes, at a redemption price equal to the Make-Whole Price. "Make-Whole Price" means an</w:t>
      </w:r>
    </w:p>
    <w:p>
      <w:pPr>
        <w:spacing w:after="0" w:line="18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S-7</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amount equal to the greater of (i) 100% of the principal amount of such 2017 Notes and (ii) as determined by an Independent Investment Banker, the sum of the present values of the remaining scheduled payments of principal and interest thereon discounted to the date of redemption on a semi-annual basis (assuming a 360-day year consisting of twelve 30-day months) at the Adjusted Treasury Rate, plus, in each case, accrued and unpaid interest thereon to the date of redemption. Unless the Company defaults in payment of the redemption price, on and after the date of redemption, interest will cease to accrue on the 2017 Notes or portions thereof called for redemption.</w:t>
      </w:r>
    </w:p>
    <w:p>
      <w:pPr>
        <w:spacing w:after="0" w:line="204"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such date of redemption, plus 0.20%.</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"Comparable Treasury Issue" means the United States Treasury security selected by an Independent Investment Banker as having a maturity comparable to the remaining term of the 2017 Notes to be redeemed that would be utilized, at the time of selection and in accordance with customary financial practice, in pricing new issues of corporate debt securities of comparable maturity to the remaining term of such 2017 Notes.</w:t>
      </w:r>
    </w:p>
    <w:p>
      <w:pPr>
        <w:spacing w:after="0" w:line="19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"Comparable Treasury Price" means, with respect to any date of redemption,</w:t>
      </w:r>
    </w:p>
    <w:p>
      <w:pPr>
        <w:spacing w:after="0" w:line="4" w:lineRule="exact"/>
        <w:rPr>
          <w:sz w:val="20"/>
          <w:szCs w:val="20"/>
          <w:color w:val="auto"/>
        </w:rPr>
      </w:pPr>
    </w:p>
    <w:p>
      <w:pPr>
        <w:ind w:right="2119" w:firstLine="4"/>
        <w:spacing w:after="0" w:line="242" w:lineRule="auto"/>
        <w:tabs>
          <w:tab w:leader="none" w:pos="4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(ii)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98" w:lineRule="exact"/>
        <w:rPr>
          <w:sz w:val="20"/>
          <w:szCs w:val="20"/>
          <w:color w:val="auto"/>
        </w:rPr>
      </w:pPr>
    </w:p>
    <w:p>
      <w:pPr>
        <w:ind w:right="2119" w:firstLine="505"/>
        <w:spacing w:after="0" w:line="239" w:lineRule="auto"/>
        <w:rPr>
          <w:sz w:val="20"/>
          <w:szCs w:val="20"/>
          <w:color w:val="auto"/>
        </w:rPr>
      </w:pPr>
      <w:r>
        <w:rPr>
          <w:rFonts w:ascii="Courier New" w:cs="Courier New" w:eastAsia="Courier New" w:hAnsi="Courier New"/>
          <w:sz w:val="17"/>
          <w:szCs w:val="17"/>
          <w:color w:val="auto"/>
        </w:rPr>
        <w:t>"Independent Investment Banker" means one of the Reference Treasury Dealers appointed by the Trustee after consultation with the Company.</w:t>
      </w:r>
    </w:p>
    <w:p>
      <w:pPr>
        <w:spacing w:after="0" w:line="200"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"Reference Treasury Dealer" means each of Donaldson, Lufkin &amp; Jenrette Securities Corporation, Merrill Lynch, Pierce, Fenner &amp; Smith Incorporated, J.P. Morgan Securities Inc. and Deutsche Morgan Grenfell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8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may purchase the Notes in the open market, by tender or otherwise. The Notes so purchased may be held, resold or surrendered to the Trustee for cancellation. If applicable, the Company will comply with the requirements of Rule 14e-1 under the Securities Exchange Act of 1934, as amended (the "Exchange Act"), and other securities laws and regulations in connection with any such purchase. The Notes may be defeased in the manner provided in the Senior Indenture.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BOOK-ENTRY, DELIVERY AND FORM</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S-8</w:t>
      </w:r>
    </w:p>
    <w:p>
      <w:pPr>
        <w:sectPr>
          <w:pgSz w:w="11900" w:h="16838" w:orient="portrait"/>
          <w:cols w:equalWidth="0" w:num="1">
            <w:col w:w="10219"/>
          </w:cols>
          <w:pgMar w:left="240" w:top="308"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9</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Depositary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38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So long as the Depositary or its nominee is the registered owner of a Note, the Depositary or such nominee, as the case may be, will be considered the sole owner or holder of the Notes represented by the Global Note for all purposes under the Senior Indenture. Except as provided below, owners of beneficial interests in a Global Note will not be entitled to have Notes represented by such Global Note registered in their names, will not receive or be entitled to receive physical delivery of certificated notes (the "Certificated Notes"), and will not be considered the owners or holders thereof under the Senior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 entitled to give or take under the Senior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such Notes.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such Notes under the Senior Indenture. Under the terms of the Senior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 as shown on the records of the Depositary. Payments by the Participants and the Indirect</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S-9</w:t>
      </w:r>
    </w:p>
    <w:p>
      <w:pPr>
        <w:sectPr>
          <w:pgSz w:w="11900" w:h="16838" w:orient="portrait"/>
          <w:cols w:equalWidth="0" w:num="1">
            <w:col w:w="10219"/>
          </w:cols>
          <w:pgMar w:left="240" w:top="308" w:right="1440" w:bottom="995"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10</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Participants to the beneficial owners of Notes will be governed by standing instructions and customary practice and will be the sole responsibility of the Participants or the Indirect Participants.</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Because transactions in any Note which is represented by a Global Note (a "Book-Entry Security") can be effected only through the Depositary, Participants and Indirect Participants, the ability of a beneficial owner of Book-Entry Securities to pledge such Book-Entry Security to persons or entities that do not participate in the Depositary, or otherwise to take action in respect of such Book-Entry Security, may be limited due to the lack of a physical certificate representing such Book-Entry Security. Issuance of the Book-Entry Securities in book-entry form may reduce the liquidity of such Book-Entry Securities in the secondary trading market because investors may be unwilling to purchase Book-Entry Securities for which they cannot obtain physical certificates.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CERTIFICATED NOTES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(i) the Company notifies the Trustee in writing that the Depositary is no longer willing or able to act as a depositary and the Company is unable to locate a qualified successor, (ii) the Company, at its option, notifies the Trustee in writing that it elects to cause the issuance of Notes in definitive form under the Senior Indenture or (iii) there shall have occurred and be continuing an Event of Default with respect to a series of Notes, then, upon surrender by the Depositary of the Global Notes, Certificated Notes will be issued to each person that the Depositary identifies as the beneficial owner of the Notes represented by a Global Note. Upon any such issuance, the Trustee is required to register such Certificated Notes in the name of such person or persons (or the nominee of any thereof), and cause the same to be delivered thereto. Certificated Notes may be presented for registration or exchange at the offices of the Company required to be maintained under the Senior Indenture for such purposes.</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information in this and the preceding section concerning the Depositary and the Depositary's book-entry system has been obtained from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SAME-DAY FUNDS SETTLEMENT AND PAYMENT</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Payments in respect of the Notes represented by a Global Note (including principal, premium, if any, and interest) will be made by wire transfer of immediately available funds to the accounts specified by the Depositary. With respect to Notes represented by Certificated Notes, all payments (including principal, premium, if any, and interest) will be made at the office or agency of the Company maintained for such purpose, which office or agency shall be maintained in the Borough of Manhattan, The City of New York, except that, at the option of the Company, any payments of interest may be made by mailing a check on or before the due date to the address of the person entitled thereto as such address shall appear in the Security Register.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S-10</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UNDERWRITING</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Subject to the terms and conditions contained in separate Underwriting Agreements relating to the 2002 Notes and the 2017 Notes (the "Underwriting Agreements"), the Company has agreed to sell to the several Underwriters named below (the "Underwriters"), and the several Underwriters have agreed to purchase from the Company, the principal amounts of 2002 Notes and 2017 Notes set forth opposite their names below:</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2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PRINCIPAL AMOUNT OF</w:t>
            </w:r>
          </w:p>
        </w:tc>
      </w:tr>
      <w:tr>
        <w:trPr>
          <w:trHeight w:val="194"/>
        </w:trPr>
        <w:tc>
          <w:tcPr>
            <w:tcW w:w="618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UNDERWRITERS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6 1/2%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NOTES DUE 2002</w:t>
            </w:r>
          </w:p>
        </w:tc>
      </w:tr>
      <w:tr>
        <w:trPr>
          <w:trHeight w:val="389"/>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Donaldson, Lufkin &amp; Jenrette Securities Corporation.........</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99,200,000</w:t>
            </w:r>
          </w:p>
        </w:tc>
      </w:tr>
      <w:tr>
        <w:trPr>
          <w:trHeight w:val="194"/>
        </w:trPr>
        <w:tc>
          <w:tcPr>
            <w:tcW w:w="6180" w:type="dxa"/>
            <w:vAlign w:val="bottom"/>
          </w:tcPr>
          <w:p>
            <w:pPr>
              <w:jc w:val="right"/>
              <w:ind w:right="2356"/>
              <w:spacing w:after="0"/>
              <w:rPr>
                <w:sz w:val="20"/>
                <w:szCs w:val="20"/>
                <w:color w:val="auto"/>
              </w:rPr>
            </w:pPr>
            <w:r>
              <w:rPr>
                <w:rFonts w:ascii="Courier New" w:cs="Courier New" w:eastAsia="Courier New" w:hAnsi="Courier New"/>
                <w:sz w:val="17"/>
                <w:szCs w:val="17"/>
                <w:color w:val="auto"/>
                <w:w w:val="98"/>
              </w:rPr>
              <w:t>Merrill Lynch, Pierce, Fenner &amp; Smith</w:t>
            </w: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Incorporated...................................</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99,150,000</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J.P. Morgan Securities Inc..................................</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99,150,000</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Deutsche Morgan Grenfell Inc................................</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52,500,000</w:t>
            </w:r>
          </w:p>
        </w:tc>
      </w:tr>
      <w:tr>
        <w:trPr>
          <w:trHeight w:val="194"/>
        </w:trPr>
        <w:tc>
          <w:tcPr>
            <w:tcW w:w="6180" w:type="dxa"/>
            <w:vAlign w:val="bottom"/>
          </w:tcPr>
          <w:p>
            <w:pPr>
              <w:spacing w:after="0"/>
              <w:rPr>
                <w:sz w:val="16"/>
                <w:szCs w:val="16"/>
                <w:color w:val="auto"/>
              </w:rPr>
            </w:pP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$350,000,000</w:t>
            </w:r>
          </w:p>
        </w:tc>
      </w:tr>
      <w:tr>
        <w:trPr>
          <w:trHeight w:val="194"/>
        </w:trPr>
        <w:tc>
          <w:tcPr>
            <w:tcW w:w="6180" w:type="dxa"/>
            <w:vAlign w:val="bottom"/>
          </w:tcPr>
          <w:p>
            <w:pPr>
              <w:spacing w:after="0"/>
              <w:rPr>
                <w:sz w:val="16"/>
                <w:szCs w:val="16"/>
                <w:color w:val="auto"/>
              </w:rPr>
            </w:pP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spacing w:after="0"/>
              <w:rPr>
                <w:sz w:val="16"/>
                <w:szCs w:val="16"/>
                <w:color w:val="auto"/>
              </w:rPr>
            </w:pPr>
          </w:p>
        </w:tc>
        <w:tc>
          <w:tcPr>
            <w:tcW w:w="22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PRINCIPAL AMOUNT OF</w:t>
            </w:r>
          </w:p>
        </w:tc>
      </w:tr>
      <w:tr>
        <w:trPr>
          <w:trHeight w:val="194"/>
        </w:trPr>
        <w:tc>
          <w:tcPr>
            <w:tcW w:w="6180" w:type="dxa"/>
            <w:vAlign w:val="bottom"/>
          </w:tcPr>
          <w:p>
            <w:pPr>
              <w:jc w:val="right"/>
              <w:ind w:right="2456"/>
              <w:spacing w:after="0"/>
              <w:rPr>
                <w:sz w:val="20"/>
                <w:szCs w:val="20"/>
                <w:color w:val="auto"/>
              </w:rPr>
            </w:pPr>
            <w:r>
              <w:rPr>
                <w:rFonts w:ascii="Courier New" w:cs="Courier New" w:eastAsia="Courier New" w:hAnsi="Courier New"/>
                <w:sz w:val="17"/>
                <w:szCs w:val="17"/>
                <w:color w:val="auto"/>
              </w:rPr>
              <w:t>UNDERWRITERS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7 1/8%</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NOTES DUE 2017</w:t>
            </w:r>
          </w:p>
        </w:tc>
      </w:tr>
      <w:tr>
        <w:trPr>
          <w:trHeight w:val="389"/>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Donaldson, Lufkin &amp; Jenrette Securities Corporation.........</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42,500,000</w:t>
            </w:r>
          </w:p>
        </w:tc>
      </w:tr>
      <w:tr>
        <w:trPr>
          <w:trHeight w:val="194"/>
        </w:trPr>
        <w:tc>
          <w:tcPr>
            <w:tcW w:w="6180" w:type="dxa"/>
            <w:vAlign w:val="bottom"/>
          </w:tcPr>
          <w:p>
            <w:pPr>
              <w:jc w:val="right"/>
              <w:ind w:right="2356"/>
              <w:spacing w:after="0"/>
              <w:rPr>
                <w:sz w:val="20"/>
                <w:szCs w:val="20"/>
                <w:color w:val="auto"/>
              </w:rPr>
            </w:pPr>
            <w:r>
              <w:rPr>
                <w:rFonts w:ascii="Courier New" w:cs="Courier New" w:eastAsia="Courier New" w:hAnsi="Courier New"/>
                <w:sz w:val="17"/>
                <w:szCs w:val="17"/>
                <w:color w:val="auto"/>
                <w:w w:val="98"/>
              </w:rPr>
              <w:t>Merrill Lynch, Pierce, Fenner &amp; Smith</w:t>
            </w:r>
          </w:p>
        </w:tc>
        <w:tc>
          <w:tcPr>
            <w:tcW w:w="7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Incorporated...................................</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42,500,000</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J.P. Morgan Securities Inc..................................</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42,500,000</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9"/>
              </w:rPr>
              <w:t>Deutsche Morgan Grenfell Inc................................</w:t>
            </w:r>
          </w:p>
        </w:tc>
        <w:tc>
          <w:tcPr>
            <w:tcW w:w="760" w:type="dxa"/>
            <w:vAlign w:val="bottom"/>
          </w:tcPr>
          <w:p>
            <w:pPr>
              <w:spacing w:after="0"/>
              <w:rPr>
                <w:sz w:val="16"/>
                <w:szCs w:val="16"/>
                <w:color w:val="auto"/>
              </w:rPr>
            </w:pPr>
          </w:p>
        </w:tc>
        <w:tc>
          <w:tcPr>
            <w:tcW w:w="14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22,500,000</w:t>
            </w:r>
          </w:p>
        </w:tc>
      </w:tr>
      <w:tr>
        <w:trPr>
          <w:trHeight w:val="194"/>
        </w:trPr>
        <w:tc>
          <w:tcPr>
            <w:tcW w:w="6180" w:type="dxa"/>
            <w:vAlign w:val="bottom"/>
          </w:tcPr>
          <w:p>
            <w:pPr>
              <w:spacing w:after="0"/>
              <w:rPr>
                <w:sz w:val="16"/>
                <w:szCs w:val="16"/>
                <w:color w:val="auto"/>
              </w:rPr>
            </w:pP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$150,000,000</w:t>
            </w:r>
          </w:p>
        </w:tc>
      </w:tr>
      <w:tr>
        <w:trPr>
          <w:trHeight w:val="194"/>
        </w:trPr>
        <w:tc>
          <w:tcPr>
            <w:tcW w:w="6180" w:type="dxa"/>
            <w:vAlign w:val="bottom"/>
          </w:tcPr>
          <w:p>
            <w:pPr>
              <w:spacing w:after="0"/>
              <w:rPr>
                <w:sz w:val="16"/>
                <w:szCs w:val="16"/>
                <w:color w:val="auto"/>
              </w:rPr>
            </w:pPr>
          </w:p>
        </w:tc>
        <w:tc>
          <w:tcPr>
            <w:tcW w:w="22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393"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Underwriting Agreements provide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Agreements, all such Notes must be purchased.</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Underwriters have advised the Company that they propose initially to offer the 2002 Notes to the public at the public offering price set forth on the cover page of this Prospectus Supplement, and to certain dealers (who may include the Underwriters) at such price, less a concession not in excess of</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0.35% of the principal amount of the 2002 Notes. The Underwriters may allow, and such dealers may re-allow, discounts not in excess of 0.25% of the principal amount of the 2002 Notes to any other Underwriter and certain other dealers. After the initial offering, the offering price and other selling terms of the 2002 Notes may be changed by the Underwriters.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Underwriters have advised the Company that they propose initially to offer the 2017 Notes to the public at the public offering price set forth on the cover page of this Prospectus Supplement, and to certain dealers (who may include the Underwriters) at such price, less a concession not in excess of</w:t>
      </w:r>
    </w:p>
    <w:p>
      <w:pPr>
        <w:spacing w:after="0" w:line="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0.50% of the principal amount of the 2017 Notes. The Underwriters may allow, and such dealers may re-allow, discounts not in excess of 0.25% of the principal amount of the 2017 Notes to any other Underwriter and certain other dealers. After the initial offering, the offering price and other selling terms of the 2017 Notes may be changed by the Underwriters.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In connection with the Offering, the Underwriters may engage in transactions that stabilize, maintain or otherwise affect the price of any series of the Notes. Specifically, the Underwriters may overallot the Offering, creating a syndicate short position. Underwriters may bid for and purchase any series of the Notes in the open market to cover such a syndicate short position. In addition, the Underwriters may bid for and purchase any series of the Notes in the open market to stabilize the price of any series of the Notes. These activities may</w:t>
      </w:r>
    </w:p>
    <w:p>
      <w:pPr>
        <w:spacing w:after="0" w:line="20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S-11</w:t>
      </w:r>
    </w:p>
    <w:p>
      <w:pPr>
        <w:sectPr>
          <w:pgSz w:w="11900" w:h="16838" w:orient="portrait"/>
          <w:cols w:equalWidth="0" w:num="1">
            <w:col w:w="10219"/>
          </w:cols>
          <w:pgMar w:left="240" w:top="308" w:right="1440" w:bottom="22"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12</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stabilize or maintain the market price of any series of the Notes above independent market levels. The Underwriters are not required to engage in these activities, and may end these activities at any time.</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Notes will constitute a new issue of securities with no established trading market. The Notes will not be listed on any securities exchange and there can be no assurance that there will be a secondary market for the Notes. From time to time, one or more of the Underwriters may make a market in the Notes; however, at this time no determination has been made as to whether any of the Underwriters will make a market in the Notes. Accordingly, there can be no assurance as to whether an active trading market for any of the Notes will develop or as to the liquidity of any trading market for the Notes.</w:t>
      </w:r>
    </w:p>
    <w:p>
      <w:pPr>
        <w:spacing w:after="0" w:line="203"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the ordinary course of their respective businesses, certain of the Underwriters and their affiliates have engaged, and in the future may engage, in investment banking and commercial banking services for the Company. Donaldson, Lufkin &amp; Jenrette Securities Corporation was lead manager and Merrill Lynch, Pierce, Fenner &amp; Smith Incorporated, J.P. Morgan Securities Inc. and Deutsche Morgan Grenfell Inc. were co-managers in a public offering of senior notes completed in September 1997. Donaldson, Lufkin &amp; Jenrette Securities Corporation served as financial advisor to the Company in connection with its merger with United in August 1997 and was paid customary fees in connection therewith. Donaldson, Lufkin &amp; Jenrette Securities Corporation was lead manager, and Merrill Lynch, Pierce, Fenner &amp; Smith Incorporated and Deutsche Morgan Grenfell Inc. were co-managers in a public offering of USA Waste Common Stock and Convertible Subordinated Notes completed in February 1997. Affiliates of J.P. Morgan Securities Inc. and Deutsche Morgan Grenfell Inc. are lenders under the Credit Facility. An affiliate of J.P. Morgan Securities Inc. serves as the agent under the Credit Facility and receives customary compensation therefor. See "Use of Proceeds."</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LEGAL MATTERS</w:t>
      </w:r>
    </w:p>
    <w:p>
      <w:pPr>
        <w:spacing w:after="0" w:line="199"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The validity of the Notes offered hereby will be passed upon for the Company by Liddell, Sapp, Zivley, Hill &amp; LaBoon, L.L.P., Houston, Texas and certain legal matters will be passed upon for the Underwriters by McDermott, Will &amp; Emery, Chicago, Illinois.</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S-12</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DEBT SECURITIES</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COMMON STOCK</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$1,500,000,000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203"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9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Common Stock is traded on the New York Stock Exchange under the symbol "UW." Any Common Stock sold pursuant to a Prospectus Supplement will be listed on such exchange, subject to official notice of issuance.</w:t>
      </w:r>
    </w:p>
    <w:p>
      <w:pPr>
        <w:spacing w:after="0" w:line="198"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00" w:right="2539" w:hanging="100"/>
        <w:spacing w:after="0" w:line="239" w:lineRule="auto"/>
        <w:rPr>
          <w:sz w:val="20"/>
          <w:szCs w:val="20"/>
          <w:color w:val="auto"/>
        </w:rPr>
      </w:pPr>
      <w:r>
        <w:rPr>
          <w:rFonts w:ascii="Courier New" w:cs="Courier New" w:eastAsia="Courier New" w:hAnsi="Courier New"/>
          <w:sz w:val="17"/>
          <w:szCs w:val="17"/>
          <w:color w:val="auto"/>
        </w:rPr>
        <w:t>THESE SECURITIES HAVE NOT BEEN APPROVED OR DISAPPROVED BY THE SECURITIES AND EXCHANGE COMMISSION OR ANY STATE SECURITIES COMMISSION NOR HAS</w:t>
      </w:r>
    </w:p>
    <w:p>
      <w:pPr>
        <w:spacing w:after="0" w:line="5" w:lineRule="exact"/>
        <w:rPr>
          <w:sz w:val="20"/>
          <w:szCs w:val="20"/>
          <w:color w:val="auto"/>
        </w:rPr>
      </w:pPr>
    </w:p>
    <w:p>
      <w:pPr>
        <w:ind w:left="300" w:right="3139" w:hanging="100"/>
        <w:spacing w:after="0" w:line="257" w:lineRule="auto"/>
        <w:rPr>
          <w:sz w:val="20"/>
          <w:szCs w:val="20"/>
          <w:color w:val="auto"/>
        </w:rPr>
      </w:pPr>
      <w:r>
        <w:rPr>
          <w:rFonts w:ascii="Courier New" w:cs="Courier New" w:eastAsia="Courier New" w:hAnsi="Courier New"/>
          <w:sz w:val="16"/>
          <w:szCs w:val="16"/>
          <w:color w:val="auto"/>
        </w:rPr>
        <w:t>THE SECURITIES AND EXCHANGE COMMISSION OR ANY STATE SECURITIES COMMISSION PASSED UPON THE ACCURACY OR ADEQUACY OF THIS PROSPECTUS.</w:t>
      </w:r>
    </w:p>
    <w:p>
      <w:pPr>
        <w:jc w:val="center"/>
        <w:ind w:right="2219"/>
        <w:spacing w:after="0" w:line="238" w:lineRule="auto"/>
        <w:rPr>
          <w:sz w:val="20"/>
          <w:szCs w:val="20"/>
          <w:color w:val="auto"/>
        </w:rPr>
      </w:pPr>
      <w:r>
        <w:rPr>
          <w:rFonts w:ascii="Courier New" w:cs="Courier New" w:eastAsia="Courier New" w:hAnsi="Courier New"/>
          <w:sz w:val="17"/>
          <w:szCs w:val="17"/>
          <w:color w:val="auto"/>
        </w:rPr>
        <w:t>ANY REPRESENTATION TO THE CONTRARY IS A CRIMINAL OFFENSE.</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This Prospectus may not be used to consummate sales of the Securities unless accompanied by a Prospectus Supplement.</w:t>
      </w:r>
    </w:p>
    <w:p>
      <w:pPr>
        <w:spacing w:after="0" w:line="198"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THE DATE OF THIS PROSPECTUS IS AUGUST 14, 1997.</w:t>
      </w:r>
    </w:p>
    <w:p>
      <w:pPr>
        <w:sectPr>
          <w:pgSz w:w="11900" w:h="16838" w:orient="portrait"/>
          <w:cols w:equalWidth="0" w:num="1">
            <w:col w:w="10219"/>
          </w:cols>
          <w:pgMar w:left="240" w:top="308"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AVAILABLE INFORMATION</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96"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INCORPORATION OF CERTAIN DOCUMENTS BY REFERENCE</w:t>
      </w:r>
    </w:p>
    <w:p>
      <w:pPr>
        <w:spacing w:after="0" w:line="199" w:lineRule="exact"/>
        <w:rPr>
          <w:sz w:val="20"/>
          <w:szCs w:val="20"/>
          <w:color w:val="auto"/>
        </w:rPr>
      </w:pPr>
    </w:p>
    <w:p>
      <w:pPr>
        <w:ind w:right="2219" w:firstLine="505"/>
        <w:spacing w:after="0"/>
        <w:rPr>
          <w:sz w:val="20"/>
          <w:szCs w:val="20"/>
          <w:color w:val="auto"/>
        </w:rPr>
      </w:pPr>
      <w:r>
        <w:rPr>
          <w:rFonts w:ascii="Courier New" w:cs="Courier New" w:eastAsia="Courier New" w:hAnsi="Courier New"/>
          <w:sz w:val="17"/>
          <w:szCs w:val="17"/>
          <w:color w:val="auto"/>
        </w:rPr>
        <w:t>The following documents filed by the Company with the Commission under the Exchange Act (File No. 1-12154) are incorporated by reference in this Prospectus:</w:t>
      </w:r>
    </w:p>
    <w:p>
      <w:pPr>
        <w:spacing w:after="0" w:line="200" w:lineRule="exact"/>
        <w:rPr>
          <w:sz w:val="20"/>
          <w:szCs w:val="20"/>
          <w:color w:val="auto"/>
        </w:rPr>
      </w:pPr>
    </w:p>
    <w:p>
      <w:pPr>
        <w:ind w:left="920" w:right="2219" w:hanging="411"/>
        <w:spacing w:after="0" w:line="257" w:lineRule="auto"/>
        <w:tabs>
          <w:tab w:leader="none" w:pos="9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1996 as amended by its Annual Report on Form 10-K/A (Amendment No.</w:t>
      </w:r>
    </w:p>
    <w:p>
      <w:pPr>
        <w:ind w:left="1220" w:hanging="306"/>
        <w:spacing w:after="0"/>
        <w:tabs>
          <w:tab w:leader="none" w:pos="12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April 30, 1997;</w:t>
      </w:r>
    </w:p>
    <w:p>
      <w:pPr>
        <w:spacing w:after="0" w:line="198" w:lineRule="exact"/>
        <w:rPr>
          <w:rFonts w:ascii="Courier New" w:cs="Courier New" w:eastAsia="Courier New" w:hAnsi="Courier New"/>
          <w:sz w:val="17"/>
          <w:szCs w:val="17"/>
          <w:color w:val="auto"/>
        </w:rPr>
      </w:pPr>
    </w:p>
    <w:p>
      <w:pPr>
        <w:ind w:left="920" w:right="2219" w:hanging="411"/>
        <w:spacing w:after="0" w:line="239"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three months ended March 31, 1997;</w:t>
      </w:r>
    </w:p>
    <w:p>
      <w:pPr>
        <w:spacing w:after="0" w:line="199" w:lineRule="exact"/>
        <w:rPr>
          <w:rFonts w:ascii="Courier New" w:cs="Courier New" w:eastAsia="Courier New" w:hAnsi="Courier New"/>
          <w:sz w:val="17"/>
          <w:szCs w:val="17"/>
          <w:color w:val="auto"/>
        </w:rPr>
      </w:pPr>
    </w:p>
    <w:p>
      <w:pPr>
        <w:ind w:left="920" w:right="2219" w:hanging="411"/>
        <w:spacing w:after="0" w:line="241"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filed January 13, 1997, January 24, 1997, February 6, 1997, February 7, 1997, March 27, 1997 (as amended by its Current Reports on Form 8-K/A filed April 15, 1997, and July 23, 1997) and April 17, 1997;</w:t>
      </w:r>
    </w:p>
    <w:p>
      <w:pPr>
        <w:spacing w:after="0" w:line="198" w:lineRule="exact"/>
        <w:rPr>
          <w:rFonts w:ascii="Courier New" w:cs="Courier New" w:eastAsia="Courier New" w:hAnsi="Courier New"/>
          <w:sz w:val="17"/>
          <w:szCs w:val="17"/>
          <w:color w:val="auto"/>
        </w:rPr>
      </w:pPr>
    </w:p>
    <w:p>
      <w:pPr>
        <w:ind w:left="920" w:right="2439" w:hanging="411"/>
        <w:spacing w:after="0" w:line="257" w:lineRule="auto"/>
        <w:tabs>
          <w:tab w:leader="none" w:pos="9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Joint Proxy Statement and Prospectus, which is part of the Company's Registration Statement on Form S-4 (Registration No.</w:t>
      </w:r>
    </w:p>
    <w:p>
      <w:pPr>
        <w:ind w:left="9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333-31979) filed on July 24, 1997; and</w:t>
      </w:r>
    </w:p>
    <w:p>
      <w:pPr>
        <w:spacing w:after="0" w:line="198" w:lineRule="exact"/>
        <w:rPr>
          <w:rFonts w:ascii="Courier New" w:cs="Courier New" w:eastAsia="Courier New" w:hAnsi="Courier New"/>
          <w:sz w:val="16"/>
          <w:szCs w:val="16"/>
          <w:color w:val="auto"/>
        </w:rPr>
      </w:pPr>
    </w:p>
    <w:p>
      <w:pPr>
        <w:ind w:left="920" w:right="2219" w:hanging="411"/>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Stock contained in the Registration Statement on Form 8-A dated July 1, 1993, as amended by Form 8-B dated July 13, 1995.</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ectPr>
          <w:pgSz w:w="11900" w:h="16838" w:orient="portrait"/>
          <w:cols w:equalWidth="0" w:num="1">
            <w:col w:w="10219"/>
          </w:cols>
          <w:pgMar w:left="240" w:top="308" w:right="1440" w:bottom="809" w:gutter="0" w:footer="0" w:header="0"/>
        </w:sectPr>
      </w:pP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8" w:right="1440" w:bottom="809"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1200" w:firstLine="505"/>
        <w:spacing w:after="0" w:line="257"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rPr>
          <w:sz w:val="20"/>
          <w:szCs w:val="20"/>
          <w:color w:val="auto"/>
        </w:rPr>
      </w:pPr>
      <w:r>
        <w:rPr>
          <w:rFonts w:ascii="Courier New" w:cs="Courier New" w:eastAsia="Courier New" w:hAnsi="Courier New"/>
          <w:sz w:val="17"/>
          <w:szCs w:val="17"/>
          <w:color w:val="auto"/>
        </w:rPr>
        <w:t>512-6200.</w:t>
      </w:r>
    </w:p>
    <w:p>
      <w:pPr>
        <w:spacing w:after="0" w:line="196"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7"/>
          <w:szCs w:val="17"/>
          <w:color w:val="auto"/>
        </w:rPr>
        <w:t>THE COMPANY</w:t>
      </w:r>
    </w:p>
    <w:p>
      <w:pPr>
        <w:spacing w:after="0" w:line="199" w:lineRule="exact"/>
        <w:rPr>
          <w:sz w:val="20"/>
          <w:szCs w:val="20"/>
          <w:color w:val="auto"/>
        </w:rPr>
      </w:pPr>
    </w:p>
    <w:p>
      <w:pPr>
        <w:ind w:right="1200" w:firstLine="505"/>
        <w:spacing w:after="0" w:line="242" w:lineRule="auto"/>
        <w:rPr>
          <w:sz w:val="20"/>
          <w:szCs w:val="20"/>
          <w:color w:val="auto"/>
        </w:rPr>
      </w:pPr>
      <w:r>
        <w:rPr>
          <w:rFonts w:ascii="Courier New" w:cs="Courier New" w:eastAsia="Courier New" w:hAnsi="Courier New"/>
          <w:sz w:val="17"/>
          <w:szCs w:val="17"/>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98" w:lineRule="exact"/>
        <w:rPr>
          <w:sz w:val="20"/>
          <w:szCs w:val="20"/>
          <w:color w:val="auto"/>
        </w:rPr>
      </w:pPr>
    </w:p>
    <w:p>
      <w:pPr>
        <w:ind w:right="1300" w:firstLine="505"/>
        <w:spacing w:after="0" w:line="241" w:lineRule="auto"/>
        <w:rPr>
          <w:sz w:val="20"/>
          <w:szCs w:val="20"/>
          <w:color w:val="auto"/>
        </w:rPr>
      </w:pPr>
      <w:r>
        <w:rPr>
          <w:rFonts w:ascii="Courier New" w:cs="Courier New" w:eastAsia="Courier New" w:hAnsi="Courier New"/>
          <w:sz w:val="17"/>
          <w:szCs w:val="17"/>
          <w:color w:val="auto"/>
        </w:rPr>
        <w:t>USA Waste has entered into a definitive merger agreement with United Waste Systems, Inc. ("United"). 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A Joint Proxy Statement and Prospectus has been distributed to shareholders of both USA Waste and United for their approval of the merger, and the merger is expected to close in August 1997.</w:t>
      </w:r>
    </w:p>
    <w:p>
      <w:pPr>
        <w:spacing w:after="0" w:line="201"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USE OF PROCEEDS</w:t>
      </w:r>
    </w:p>
    <w:p>
      <w:pPr>
        <w:spacing w:after="0" w:line="199" w:lineRule="exact"/>
        <w:rPr>
          <w:sz w:val="20"/>
          <w:szCs w:val="20"/>
          <w:color w:val="auto"/>
        </w:rPr>
      </w:pPr>
    </w:p>
    <w:p>
      <w:pPr>
        <w:ind w:right="1300" w:firstLine="505"/>
        <w:spacing w:after="0" w:line="241" w:lineRule="auto"/>
        <w:rPr>
          <w:sz w:val="20"/>
          <w:szCs w:val="20"/>
          <w:color w:val="auto"/>
        </w:rPr>
      </w:pPr>
      <w:r>
        <w:rPr>
          <w:rFonts w:ascii="Courier New" w:cs="Courier New" w:eastAsia="Courier New" w:hAnsi="Courier New"/>
          <w:sz w:val="17"/>
          <w:szCs w:val="17"/>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RATIOS OF EARNINGS TO FIXED CHARGES</w:t>
      </w:r>
    </w:p>
    <w:p>
      <w:pPr>
        <w:spacing w:after="0" w:line="199" w:lineRule="exact"/>
        <w:rPr>
          <w:sz w:val="20"/>
          <w:szCs w:val="20"/>
          <w:color w:val="auto"/>
        </w:rPr>
      </w:pPr>
    </w:p>
    <w:p>
      <w:pPr>
        <w:ind w:right="2020" w:firstLine="505"/>
        <w:spacing w:after="0" w:line="239" w:lineRule="auto"/>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6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YEAR ENDED DECEMBER 31,</w:t>
            </w:r>
          </w:p>
        </w:tc>
        <w:tc>
          <w:tcPr>
            <w:tcW w:w="1100" w:type="dxa"/>
            <w:vAlign w:val="bottom"/>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6560" w:type="dxa"/>
            <w:vAlign w:val="bottom"/>
            <w:gridSpan w:val="5"/>
          </w:tcPr>
          <w:p>
            <w:pPr>
              <w:jc w:val="center"/>
              <w:ind w:left="1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2740" w:type="dxa"/>
            <w:vAlign w:val="bottom"/>
          </w:tcPr>
          <w:p>
            <w:pPr>
              <w:spacing w:after="0"/>
              <w:rPr>
                <w:sz w:val="16"/>
                <w:szCs w:val="16"/>
                <w:color w:val="auto"/>
              </w:rPr>
            </w:pP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1992</w:t>
            </w:r>
          </w:p>
        </w:tc>
        <w:tc>
          <w:tcPr>
            <w:tcW w:w="1420" w:type="dxa"/>
            <w:vAlign w:val="bottom"/>
          </w:tcPr>
          <w:p>
            <w:pPr>
              <w:ind w:left="520"/>
              <w:spacing w:after="0"/>
              <w:rPr>
                <w:sz w:val="20"/>
                <w:szCs w:val="20"/>
                <w:color w:val="auto"/>
              </w:rPr>
            </w:pPr>
            <w:r>
              <w:rPr>
                <w:rFonts w:ascii="Courier New" w:cs="Courier New" w:eastAsia="Courier New" w:hAnsi="Courier New"/>
                <w:sz w:val="17"/>
                <w:szCs w:val="17"/>
                <w:color w:val="auto"/>
              </w:rPr>
              <w:t>1993</w:t>
            </w: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rPr>
              <w:t>1994</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500"/>
              <w:spacing w:after="0"/>
              <w:rPr>
                <w:sz w:val="20"/>
                <w:szCs w:val="20"/>
                <w:color w:val="auto"/>
              </w:rPr>
            </w:pPr>
            <w:r>
              <w:rPr>
                <w:rFonts w:ascii="Courier New" w:cs="Courier New" w:eastAsia="Courier New" w:hAnsi="Courier New"/>
                <w:sz w:val="17"/>
                <w:szCs w:val="17"/>
                <w:color w:val="auto"/>
              </w:rPr>
              <w:t>1996</w:t>
            </w:r>
          </w:p>
        </w:tc>
      </w:tr>
      <w:tr>
        <w:trPr>
          <w:trHeight w:val="194"/>
        </w:trPr>
        <w:tc>
          <w:tcPr>
            <w:tcW w:w="2740" w:type="dxa"/>
            <w:vAlign w:val="bottom"/>
          </w:tcPr>
          <w:p>
            <w:pPr>
              <w:spacing w:after="0"/>
              <w:rPr>
                <w:sz w:val="16"/>
                <w:szCs w:val="16"/>
                <w:color w:val="auto"/>
              </w:rPr>
            </w:pP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2740" w:type="dxa"/>
            <w:vAlign w:val="bottom"/>
          </w:tcPr>
          <w:p>
            <w:pPr>
              <w:spacing w:after="0"/>
              <w:rPr>
                <w:sz w:val="20"/>
                <w:szCs w:val="20"/>
                <w:color w:val="auto"/>
              </w:rPr>
            </w:pPr>
            <w:r>
              <w:rPr>
                <w:rFonts w:ascii="Courier New" w:cs="Courier New" w:eastAsia="Courier New" w:hAnsi="Courier New"/>
                <w:sz w:val="17"/>
                <w:szCs w:val="17"/>
                <w:color w:val="auto"/>
              </w:rPr>
              <w:t>Actual....................</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(0.20)x</w:t>
            </w:r>
          </w:p>
        </w:tc>
        <w:tc>
          <w:tcPr>
            <w:tcW w:w="1420" w:type="dxa"/>
            <w:vAlign w:val="bottom"/>
          </w:tcPr>
          <w:p>
            <w:pPr>
              <w:ind w:left="520"/>
              <w:spacing w:after="0"/>
              <w:rPr>
                <w:sz w:val="20"/>
                <w:szCs w:val="20"/>
                <w:color w:val="auto"/>
              </w:rPr>
            </w:pPr>
            <w:r>
              <w:rPr>
                <w:rFonts w:ascii="Courier New" w:cs="Courier New" w:eastAsia="Courier New" w:hAnsi="Courier New"/>
                <w:sz w:val="17"/>
                <w:szCs w:val="17"/>
                <w:color w:val="auto"/>
              </w:rPr>
              <w:t>1.68x</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0.73x</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2.09x</w:t>
            </w:r>
          </w:p>
        </w:tc>
        <w:tc>
          <w:tcPr>
            <w:tcW w:w="1100" w:type="dxa"/>
            <w:vAlign w:val="bottom"/>
          </w:tcPr>
          <w:p>
            <w:pPr>
              <w:ind w:left="500"/>
              <w:spacing w:after="0"/>
              <w:rPr>
                <w:sz w:val="20"/>
                <w:szCs w:val="20"/>
                <w:color w:val="auto"/>
              </w:rPr>
            </w:pPr>
            <w:r>
              <w:rPr>
                <w:rFonts w:ascii="Courier New" w:cs="Courier New" w:eastAsia="Courier New" w:hAnsi="Courier New"/>
                <w:sz w:val="17"/>
                <w:szCs w:val="17"/>
                <w:color w:val="auto"/>
              </w:rPr>
              <w:t>1.81x</w:t>
            </w:r>
          </w:p>
        </w:tc>
      </w:tr>
    </w:tbl>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Company's consolidated ratios of earnings to fixed charges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computed by dividing earnings by fixed charges. For this purpose, earnings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sum of income (loss) from continuing operations, taxes, and fixed 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excluding capitalized interest. Fixed charges are interest, whether expensed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capitalized, amortization of debt expense and discount on premium relating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indebtedness, whether expensed or capitalized, and such portion of rental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that can be demonstrated to be representative of the interest factor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particular case. For the years ended December 31, 1992 and 1994, 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insufficient to cover fixed charges as evidenced by a less than one-to-one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coverage ratio as shown above. Additional earnings of $78,473,000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$17,855,000 were necessary for the years ended December 31, 1992 and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w:t>
      </w:r>
    </w:p>
    <w:p>
      <w:pPr>
        <w:spacing w:after="0" w:line="1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ENDED</w:t>
      </w:r>
    </w:p>
    <w:p>
      <w:pPr>
        <w:spacing w:after="0" w:line="4" w:lineRule="exact"/>
        <w:rPr>
          <w:sz w:val="20"/>
          <w:szCs w:val="20"/>
          <w:color w:val="auto"/>
        </w:rPr>
      </w:pPr>
    </w:p>
    <w:p>
      <w:pPr>
        <w:ind w:left="420" w:right="200" w:hanging="302"/>
        <w:spacing w:after="0" w:line="257" w:lineRule="auto"/>
        <w:rPr>
          <w:sz w:val="20"/>
          <w:szCs w:val="20"/>
          <w:color w:val="auto"/>
        </w:rPr>
      </w:pPr>
      <w:r>
        <w:rPr>
          <w:rFonts w:ascii="Courier New" w:cs="Courier New" w:eastAsia="Courier New" w:hAnsi="Courier New"/>
          <w:sz w:val="16"/>
          <w:szCs w:val="16"/>
          <w:color w:val="auto"/>
        </w:rPr>
        <w:t>MARCH 31,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5.11x</w:t>
      </w:r>
    </w:p>
    <w:p>
      <w:pPr>
        <w:spacing w:after="0" w:line="2921" w:lineRule="exact"/>
        <w:rPr>
          <w:sz w:val="20"/>
          <w:szCs w:val="20"/>
          <w:color w:val="auto"/>
        </w:rPr>
      </w:pPr>
    </w:p>
    <w:p>
      <w:pPr>
        <w:sectPr>
          <w:pgSz w:w="11900" w:h="16838" w:orient="portrait"/>
          <w:cols w:equalWidth="0" w:num="2">
            <w:col w:w="9300" w:space="300"/>
            <w:col w:w="1220"/>
          </w:cols>
          <w:pgMar w:left="240" w:top="308" w:right="839" w:bottom="1440" w:gutter="0" w:footer="0" w:header="0"/>
        </w:sect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20"/>
          </w:cols>
          <w:pgMar w:left="240" w:top="308" w:right="839"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16</w:t>
      </w:r>
    </w:p>
    <w:p>
      <w:pPr>
        <w:spacing w:after="0" w:line="199" w:lineRule="exact"/>
        <w:rPr>
          <w:sz w:val="20"/>
          <w:szCs w:val="20"/>
          <w:color w:val="auto"/>
        </w:rPr>
      </w:pPr>
    </w:p>
    <w:p>
      <w:pPr>
        <w:ind w:right="2920"/>
        <w:spacing w:after="0" w:line="239" w:lineRule="auto"/>
        <w:rPr>
          <w:sz w:val="20"/>
          <w:szCs w:val="20"/>
          <w:color w:val="auto"/>
        </w:rPr>
      </w:pPr>
      <w:r>
        <w:rPr>
          <w:rFonts w:ascii="Courier New" w:cs="Courier New" w:eastAsia="Courier New" w:hAnsi="Courier New"/>
          <w:sz w:val="17"/>
          <w:szCs w:val="17"/>
          <w:color w:val="auto"/>
        </w:rPr>
        <w:t>to provide a one-to-one coverage ratio. Nonrecurring costs, as discussed below, caused the less than one-to-one coverage in each of these periods.</w:t>
      </w:r>
    </w:p>
    <w:p>
      <w:pPr>
        <w:spacing w:after="0" w:line="200" w:lineRule="exact"/>
        <w:rPr>
          <w:sz w:val="20"/>
          <w:szCs w:val="20"/>
          <w:color w:val="auto"/>
        </w:rPr>
      </w:pPr>
    </w:p>
    <w:p>
      <w:pPr>
        <w:jc w:val="both"/>
        <w:ind w:right="3640" w:firstLine="505"/>
        <w:spacing w:after="0"/>
        <w:rPr>
          <w:sz w:val="20"/>
          <w:szCs w:val="20"/>
          <w:color w:val="auto"/>
        </w:rPr>
      </w:pPr>
      <w:r>
        <w:rPr>
          <w:rFonts w:ascii="Courier New" w:cs="Courier New" w:eastAsia="Courier New" w:hAnsi="Courier New"/>
          <w:sz w:val="17"/>
          <w:szCs w:val="17"/>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w w:val="96"/>
              </w:rPr>
              <w:t>THREE MONTHS</w:t>
            </w:r>
          </w:p>
        </w:tc>
      </w:tr>
      <w:tr>
        <w:trPr>
          <w:trHeight w:val="194"/>
        </w:trPr>
        <w:tc>
          <w:tcPr>
            <w:tcW w:w="2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94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YEAR ENDED DECEMBER 31,</w:t>
            </w:r>
          </w:p>
        </w:tc>
        <w:tc>
          <w:tcPr>
            <w:tcW w:w="1260" w:type="dxa"/>
            <w:vAlign w:val="bottom"/>
          </w:tcPr>
          <w:p>
            <w:pPr>
              <w:spacing w:after="0"/>
              <w:rPr>
                <w:sz w:val="16"/>
                <w:szCs w:val="16"/>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7"/>
                <w:szCs w:val="17"/>
                <w:color w:val="auto"/>
              </w:rPr>
              <w:t>ENDED</w:t>
            </w:r>
          </w:p>
        </w:tc>
      </w:tr>
      <w:tr>
        <w:trPr>
          <w:trHeight w:val="194"/>
        </w:trPr>
        <w:tc>
          <w:tcPr>
            <w:tcW w:w="2840" w:type="dxa"/>
            <w:vAlign w:val="bottom"/>
          </w:tcPr>
          <w:p>
            <w:pPr>
              <w:spacing w:after="0"/>
              <w:rPr>
                <w:sz w:val="16"/>
                <w:szCs w:val="16"/>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2"/>
              </w:rPr>
              <w:t>----------------------------------------------------------------</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7"/>
                <w:szCs w:val="17"/>
                <w:color w:val="auto"/>
              </w:rPr>
              <w:t>MARCH 31,</w:t>
            </w:r>
          </w:p>
        </w:tc>
      </w:tr>
      <w:tr>
        <w:trPr>
          <w:trHeight w:val="194"/>
        </w:trPr>
        <w:tc>
          <w:tcPr>
            <w:tcW w:w="2840" w:type="dxa"/>
            <w:vAlign w:val="bottom"/>
          </w:tcPr>
          <w:p>
            <w:pPr>
              <w:spacing w:after="0"/>
              <w:rPr>
                <w:sz w:val="16"/>
                <w:szCs w:val="16"/>
                <w:color w:val="auto"/>
              </w:rPr>
            </w:pP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rPr>
              <w:t>1992</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1993</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1994</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ind w:left="500"/>
              <w:spacing w:after="0"/>
              <w:rPr>
                <w:sz w:val="20"/>
                <w:szCs w:val="20"/>
                <w:color w:val="auto"/>
              </w:rPr>
            </w:pPr>
            <w:r>
              <w:rPr>
                <w:rFonts w:ascii="Courier New" w:cs="Courier New" w:eastAsia="Courier New" w:hAnsi="Courier New"/>
                <w:sz w:val="17"/>
                <w:szCs w:val="17"/>
                <w:color w:val="auto"/>
              </w:rPr>
              <w:t>1996</w:t>
            </w:r>
          </w:p>
        </w:tc>
        <w:tc>
          <w:tcPr>
            <w:tcW w:w="1360" w:type="dxa"/>
            <w:vAlign w:val="bottom"/>
          </w:tcPr>
          <w:p>
            <w:pPr>
              <w:ind w:left="560"/>
              <w:spacing w:after="0"/>
              <w:rPr>
                <w:sz w:val="20"/>
                <w:szCs w:val="20"/>
                <w:color w:val="auto"/>
              </w:rPr>
            </w:pPr>
            <w:r>
              <w:rPr>
                <w:rFonts w:ascii="Courier New" w:cs="Courier New" w:eastAsia="Courier New" w:hAnsi="Courier New"/>
                <w:sz w:val="17"/>
                <w:szCs w:val="17"/>
                <w:color w:val="auto"/>
              </w:rPr>
              <w:t>1997</w:t>
            </w:r>
          </w:p>
        </w:tc>
      </w:tr>
      <w:tr>
        <w:trPr>
          <w:trHeight w:val="194"/>
        </w:trPr>
        <w:tc>
          <w:tcPr>
            <w:tcW w:w="284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5"/>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w w:val="96"/>
              </w:rPr>
              <w:t>------------</w:t>
            </w:r>
          </w:p>
        </w:tc>
      </w:tr>
      <w:tr>
        <w:trPr>
          <w:trHeight w:val="389"/>
        </w:trPr>
        <w:tc>
          <w:tcPr>
            <w:tcW w:w="2840" w:type="dxa"/>
            <w:vAlign w:val="bottom"/>
          </w:tcPr>
          <w:p>
            <w:pPr>
              <w:spacing w:after="0"/>
              <w:rPr>
                <w:sz w:val="20"/>
                <w:szCs w:val="20"/>
                <w:color w:val="auto"/>
              </w:rPr>
            </w:pPr>
            <w:r>
              <w:rPr>
                <w:rFonts w:ascii="Courier New" w:cs="Courier New" w:eastAsia="Courier New" w:hAnsi="Courier New"/>
                <w:sz w:val="17"/>
                <w:szCs w:val="17"/>
                <w:color w:val="auto"/>
              </w:rPr>
              <w:t>Supplemental...............</w:t>
            </w:r>
          </w:p>
        </w:tc>
        <w:tc>
          <w:tcPr>
            <w:tcW w:w="1520" w:type="dxa"/>
            <w:vAlign w:val="bottom"/>
          </w:tcPr>
          <w:p>
            <w:pPr>
              <w:ind w:left="300"/>
              <w:spacing w:after="0"/>
              <w:rPr>
                <w:sz w:val="20"/>
                <w:szCs w:val="20"/>
                <w:color w:val="auto"/>
              </w:rPr>
            </w:pPr>
            <w:r>
              <w:rPr>
                <w:rFonts w:ascii="Courier New" w:cs="Courier New" w:eastAsia="Courier New" w:hAnsi="Courier New"/>
                <w:sz w:val="17"/>
                <w:szCs w:val="17"/>
                <w:color w:val="auto"/>
              </w:rPr>
              <w:t>1.07X</w:t>
            </w:r>
          </w:p>
        </w:tc>
        <w:tc>
          <w:tcPr>
            <w:tcW w:w="1100" w:type="dxa"/>
            <w:vAlign w:val="bottom"/>
          </w:tcPr>
          <w:p>
            <w:pPr>
              <w:ind w:left="200"/>
              <w:spacing w:after="0"/>
              <w:rPr>
                <w:sz w:val="20"/>
                <w:szCs w:val="20"/>
                <w:color w:val="auto"/>
              </w:rPr>
            </w:pPr>
            <w:r>
              <w:rPr>
                <w:rFonts w:ascii="Courier New" w:cs="Courier New" w:eastAsia="Courier New" w:hAnsi="Courier New"/>
                <w:sz w:val="17"/>
                <w:szCs w:val="17"/>
                <w:color w:val="auto"/>
              </w:rPr>
              <w:t>1.81X</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2.15X</w:t>
            </w:r>
          </w:p>
        </w:tc>
        <w:tc>
          <w:tcPr>
            <w:tcW w:w="1420" w:type="dxa"/>
            <w:vAlign w:val="bottom"/>
          </w:tcPr>
          <w:p>
            <w:pPr>
              <w:ind w:left="500"/>
              <w:spacing w:after="0"/>
              <w:rPr>
                <w:sz w:val="20"/>
                <w:szCs w:val="20"/>
                <w:color w:val="auto"/>
              </w:rPr>
            </w:pPr>
            <w:r>
              <w:rPr>
                <w:rFonts w:ascii="Courier New" w:cs="Courier New" w:eastAsia="Courier New" w:hAnsi="Courier New"/>
                <w:sz w:val="17"/>
                <w:szCs w:val="17"/>
                <w:color w:val="auto"/>
              </w:rPr>
              <w:t>2.88X</w:t>
            </w:r>
          </w:p>
        </w:tc>
        <w:tc>
          <w:tcPr>
            <w:tcW w:w="1260" w:type="dxa"/>
            <w:vAlign w:val="bottom"/>
          </w:tcPr>
          <w:p>
            <w:pPr>
              <w:ind w:left="500"/>
              <w:spacing w:after="0"/>
              <w:rPr>
                <w:sz w:val="20"/>
                <w:szCs w:val="20"/>
                <w:color w:val="auto"/>
              </w:rPr>
            </w:pPr>
            <w:r>
              <w:rPr>
                <w:rFonts w:ascii="Courier New" w:cs="Courier New" w:eastAsia="Courier New" w:hAnsi="Courier New"/>
                <w:sz w:val="17"/>
                <w:szCs w:val="17"/>
                <w:color w:val="auto"/>
              </w:rPr>
              <w:t>4.36X</w:t>
            </w:r>
          </w:p>
        </w:tc>
        <w:tc>
          <w:tcPr>
            <w:tcW w:w="1360" w:type="dxa"/>
            <w:vAlign w:val="bottom"/>
          </w:tcPr>
          <w:p>
            <w:pPr>
              <w:ind w:left="560"/>
              <w:spacing w:after="0"/>
              <w:rPr>
                <w:sz w:val="20"/>
                <w:szCs w:val="20"/>
                <w:color w:val="auto"/>
              </w:rPr>
            </w:pPr>
            <w:r>
              <w:rPr>
                <w:rFonts w:ascii="Courier New" w:cs="Courier New" w:eastAsia="Courier New" w:hAnsi="Courier New"/>
                <w:sz w:val="17"/>
                <w:szCs w:val="17"/>
                <w:color w:val="auto"/>
              </w:rPr>
              <w:t>5.11X</w:t>
            </w:r>
          </w:p>
        </w:tc>
      </w:tr>
    </w:tbl>
    <w:p>
      <w:pPr>
        <w:spacing w:after="0" w:line="393" w:lineRule="exact"/>
        <w:rPr>
          <w:sz w:val="20"/>
          <w:szCs w:val="20"/>
          <w:color w:val="auto"/>
        </w:rPr>
      </w:pPr>
    </w:p>
    <w:p>
      <w:pPr>
        <w:ind w:right="2820" w:firstLine="505"/>
        <w:spacing w:after="0" w:line="242" w:lineRule="auto"/>
        <w:rPr>
          <w:sz w:val="20"/>
          <w:szCs w:val="20"/>
          <w:color w:val="auto"/>
        </w:rPr>
      </w:pPr>
      <w:r>
        <w:rPr>
          <w:rFonts w:ascii="Courier New" w:cs="Courier New" w:eastAsia="Courier New" w:hAnsi="Courier New"/>
          <w:sz w:val="17"/>
          <w:szCs w:val="17"/>
          <w:color w:val="auto"/>
        </w:rPr>
        <w:t>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 Nonrecurring items in 1992 primarily represent various restructuring charges and charges to asset reserves by Western and Chambers.</w:t>
      </w:r>
    </w:p>
    <w:p>
      <w:pPr>
        <w:spacing w:after="0" w:line="197"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7"/>
          <w:szCs w:val="17"/>
          <w:color w:val="auto"/>
        </w:rPr>
        <w:t>DESCRIPTION OF DEBT SECURITIES</w:t>
      </w:r>
    </w:p>
    <w:p>
      <w:pPr>
        <w:spacing w:after="0" w:line="199" w:lineRule="exact"/>
        <w:rPr>
          <w:sz w:val="20"/>
          <w:szCs w:val="20"/>
          <w:color w:val="auto"/>
        </w:rPr>
      </w:pPr>
    </w:p>
    <w:p>
      <w:pPr>
        <w:ind w:right="2820" w:firstLine="505"/>
        <w:spacing w:after="0" w:line="242" w:lineRule="auto"/>
        <w:rPr>
          <w:sz w:val="20"/>
          <w:szCs w:val="20"/>
          <w:color w:val="auto"/>
        </w:rPr>
      </w:pPr>
      <w:r>
        <w:rPr>
          <w:rFonts w:ascii="Courier New" w:cs="Courier New" w:eastAsia="Courier New" w:hAnsi="Courier New"/>
          <w:sz w:val="17"/>
          <w:szCs w:val="17"/>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("Texas Commerce Bank"), and in the form that has been filed as an exhibit to the Registration Statement of which this Prospectus is a part, subject to such amendments or supplements as may be adopted from time to time. The Company previously has entered into a Subordinated Indenture dated as of February 1,</w:t>
      </w:r>
    </w:p>
    <w:p>
      <w:pPr>
        <w:spacing w:after="0" w:line="3" w:lineRule="exact"/>
        <w:rPr>
          <w:sz w:val="20"/>
          <w:szCs w:val="20"/>
          <w:color w:val="auto"/>
        </w:rPr>
      </w:pPr>
    </w:p>
    <w:p>
      <w:pPr>
        <w:ind w:right="2820"/>
        <w:spacing w:after="0" w:line="242" w:lineRule="auto"/>
        <w:rPr>
          <w:sz w:val="20"/>
          <w:szCs w:val="20"/>
          <w:color w:val="auto"/>
        </w:rPr>
      </w:pPr>
      <w:r>
        <w:rPr>
          <w:rFonts w:ascii="Courier New" w:cs="Courier New" w:eastAsia="Courier New" w:hAnsi="Courier New"/>
          <w:sz w:val="17"/>
          <w:szCs w:val="17"/>
          <w:color w:val="auto"/>
        </w:rPr>
        <w:t>1997 with Texas Commerce Bank in the form filed as an exhibit to the Company's Current Report on Form 8-K (file no. 1-12154) filed with the Commission on February 7, 1997. See "Provisions Applicable Solely to Subordinated Debt Securities." The Senior Debt Indenture and the Subordinated Debt Indenture, as amended or supplemented from time to time, are sometimes hereinafter referred to individually as an "Indenture" and collectively as the "Indentures." Texas Commerce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200" w:lineRule="exact"/>
        <w:rPr>
          <w:sz w:val="20"/>
          <w:szCs w:val="20"/>
          <w:color w:val="auto"/>
        </w:rPr>
      </w:pPr>
    </w:p>
    <w:p>
      <w:pPr>
        <w:ind w:right="2920" w:firstLine="505"/>
        <w:spacing w:after="0"/>
        <w:rPr>
          <w:sz w:val="20"/>
          <w:szCs w:val="20"/>
          <w:color w:val="auto"/>
        </w:rPr>
      </w:pPr>
      <w:r>
        <w:rPr>
          <w:rFonts w:ascii="Courier New" w:cs="Courier New" w:eastAsia="Courier New" w:hAnsi="Courier New"/>
          <w:sz w:val="17"/>
          <w:szCs w:val="17"/>
          <w:color w:val="auto"/>
        </w:rPr>
        <w:t>The Debt Securities may be issued from time to time in one or more series. The following description of the Debt Securities sets forth certain general terms and provisions of the Debt Securities of all series. The</w:t>
      </w:r>
    </w:p>
    <w:p>
      <w:pPr>
        <w:sectPr>
          <w:pgSz w:w="11900" w:h="16838" w:orient="portrait"/>
          <w:cols w:equalWidth="0" w:num="1">
            <w:col w:w="10920"/>
          </w:cols>
          <w:pgMar w:left="240" w:top="308" w:right="739" w:bottom="615"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20"/>
          </w:cols>
          <w:pgMar w:left="240" w:top="308" w:right="739" w:bottom="615"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particular terms of each series of Debt Securities offered by any Prospectus Supplement will be described therein.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TO BOTH SENIOR AND SUBORDINATED DEBT SECURITIES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98"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1" w:lineRule="exact"/>
        <w:rPr>
          <w:sz w:val="20"/>
          <w:szCs w:val="20"/>
          <w:color w:val="auto"/>
        </w:rPr>
      </w:pPr>
    </w:p>
    <w:p>
      <w:pPr>
        <w:ind w:right="2119" w:firstLine="4"/>
        <w:spacing w:after="0" w:line="257" w:lineRule="auto"/>
        <w:tabs>
          <w:tab w:leader="none" w:pos="60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right="2219" w:firstLine="4"/>
        <w:spacing w:after="0" w:line="241" w:lineRule="auto"/>
        <w:tabs>
          <w:tab w:leader="none" w:pos="80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terms of the Debt Securities not inconsistent with the provisions of the Indentures. (Section 301) Any such Prospectus Supplement will also describe any special provisions for the payment of additional amounts with respect to the Debt Securities.</w:t>
      </w:r>
    </w:p>
    <w:p>
      <w:pPr>
        <w:sectPr>
          <w:pgSz w:w="11900" w:h="16838" w:orient="portrait"/>
          <w:cols w:equalWidth="0" w:num="1">
            <w:col w:w="10219"/>
          </w:cols>
          <w:pgMar w:left="240" w:top="308" w:right="1440" w:bottom="1004" w:gutter="0" w:footer="0" w:header="0"/>
        </w:sectPr>
      </w:pP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8" w:right="1440" w:bottom="1004"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4" w:lineRule="exact"/>
        <w:rPr>
          <w:sz w:val="20"/>
          <w:szCs w:val="20"/>
          <w:color w:val="auto"/>
        </w:rPr>
      </w:pPr>
    </w:p>
    <w:p>
      <w:pPr>
        <w:ind w:right="2119" w:firstLine="4"/>
        <w:spacing w:after="0" w:line="242" w:lineRule="auto"/>
        <w:tabs>
          <w:tab w:leader="none" w:pos="50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8"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19</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8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w:t>
      </w:r>
    </w:p>
    <w:p>
      <w:pPr>
        <w:sectPr>
          <w:pgSz w:w="11900" w:h="16838" w:orient="portrait"/>
          <w:cols w:equalWidth="0" w:num="1">
            <w:col w:w="10219"/>
          </w:cols>
          <w:pgMar w:left="240" w:top="308" w:right="1440" w:bottom="1004" w:gutter="0" w:footer="0" w:header="0"/>
        </w:sectPr>
      </w:pPr>
    </w:p>
    <w:p>
      <w:pPr>
        <w:spacing w:after="0" w:line="19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8" w:right="1440" w:bottom="1004"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20</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9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20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97"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specific terms of the depository arrangement with respect to a series of Debt Securities in the form of one or more global Debt Securities will be described in the Prospectus Supplement relating to such series.</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w:t>
      </w:r>
    </w:p>
    <w:p>
      <w:pPr>
        <w:sectPr>
          <w:pgSz w:w="11900" w:h="16838" w:orient="portrait"/>
          <w:cols w:equalWidth="0" w:num="1">
            <w:col w:w="10219"/>
          </w:cols>
          <w:pgMar w:left="240" w:top="308" w:right="1440" w:bottom="1004" w:gutter="0" w:footer="0" w:header="0"/>
        </w:sectPr>
      </w:pP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8" w:right="1440" w:bottom="1004"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1"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Covenant Defeasance. Each Indenture also provides that, if the Company so elects by Board Resolution with respect to the Debt Securities of any series issued thereunder, the Company may omit to comply with certain restrictive covenants, including (in the case of the Senior Debt Indenture) the covenants described under "-- Provisions Applicable Solely to Senior Debt</w:t>
      </w:r>
    </w:p>
    <w:p>
      <w:pPr>
        <w:spacing w:after="0" w:line="5"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Securities -- Limitation on Liens" and "-- Limitations on Sale and Leaseback Transactions,"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8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6"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w:t>
      </w:r>
    </w:p>
    <w:p>
      <w:pPr>
        <w:sectPr>
          <w:pgSz w:w="11900" w:h="16838" w:orient="portrait"/>
          <w:cols w:equalWidth="0" w:num="1">
            <w:col w:w="10219"/>
          </w:cols>
          <w:pgMar w:left="240" w:top="308" w:right="1440" w:bottom="1004" w:gutter="0" w:footer="0" w:header="0"/>
        </w:sectPr>
      </w:pPr>
    </w:p>
    <w:p>
      <w:pPr>
        <w:spacing w:after="0" w:line="19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8" w:right="1440" w:bottom="1004"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22</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20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7"/>
          <w:szCs w:val="17"/>
          <w:color w:val="auto"/>
        </w:rPr>
        <w:t>The Subordinated Debt Indenture may not be amended to alter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subordination of any outstanding Subordinated Debt Securities without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each holder of Senior Indebtedness (as defined below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Provisions Applicable Solely to Subordinated Debt Securities") then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that would be adversely affected thereby. (Section 907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Debt Indenture)</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98"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8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8" w:right="1440"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23</w:t>
      </w:r>
    </w:p>
    <w:p>
      <w:pPr>
        <w:spacing w:after="0" w:line="199"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Securities will be given by first-class mail to the addresses of such Holders as they appear in the Security Register. (Section 106)</w:t>
      </w:r>
    </w:p>
    <w:p>
      <w:pPr>
        <w:spacing w:after="0" w:line="200" w:lineRule="exact"/>
        <w:rPr>
          <w:sz w:val="20"/>
          <w:szCs w:val="20"/>
          <w:color w:val="auto"/>
        </w:rPr>
      </w:pPr>
    </w:p>
    <w:p>
      <w:pPr>
        <w:jc w:val="both"/>
        <w:ind w:right="2639" w:firstLine="505"/>
        <w:spacing w:after="0"/>
        <w:rPr>
          <w:sz w:val="20"/>
          <w:szCs w:val="20"/>
          <w:color w:val="auto"/>
        </w:rPr>
      </w:pPr>
      <w:r>
        <w:rPr>
          <w:rFonts w:ascii="Courier New" w:cs="Courier New" w:eastAsia="Courier New" w:hAnsi="Courier New"/>
          <w:sz w:val="17"/>
          <w:szCs w:val="17"/>
          <w:color w:val="auto"/>
        </w:rPr>
        <w:t>Governing Law. The Indentures, the Debt Securities and coupons will be governed by, and construed in accordance with, the laws of the State of New York. (Section 113)</w:t>
      </w:r>
    </w:p>
    <w:p>
      <w:pPr>
        <w:spacing w:after="0" w:line="200" w:lineRule="exact"/>
        <w:rPr>
          <w:sz w:val="20"/>
          <w:szCs w:val="20"/>
          <w:color w:val="auto"/>
        </w:rPr>
      </w:pPr>
    </w:p>
    <w:p>
      <w:pPr>
        <w:jc w:val="both"/>
        <w:ind w:right="2939" w:firstLine="505"/>
        <w:spacing w:after="0"/>
        <w:rPr>
          <w:sz w:val="20"/>
          <w:szCs w:val="20"/>
          <w:color w:val="auto"/>
        </w:rPr>
      </w:pPr>
      <w:r>
        <w:rPr>
          <w:rFonts w:ascii="Courier New" w:cs="Courier New" w:eastAsia="Courier New" w:hAnsi="Courier New"/>
          <w:sz w:val="17"/>
          <w:szCs w:val="17"/>
          <w:color w:val="auto"/>
        </w:rPr>
        <w:t>Regarding the Trustee. The Trustee appointed and serving as trustee pursuant to each of the Senior Debt Indenture and the Subordinated Debt Indenture is Texas Commerce Bank.</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02"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Texas Commerce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Texas Commerce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SENIOR DEBT SECURITIES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Certain Definitions. For purposes of the following discussion, the following definitions are applicable (Section 1008 and 1009 of the Senior Debt Indenture).</w:t>
      </w:r>
    </w:p>
    <w:p>
      <w:pPr>
        <w:spacing w:after="0" w:line="200" w:lineRule="exact"/>
        <w:rPr>
          <w:sz w:val="20"/>
          <w:szCs w:val="20"/>
          <w:color w:val="auto"/>
        </w:rPr>
      </w:pPr>
    </w:p>
    <w:p>
      <w:pPr>
        <w:ind w:right="2219" w:firstLine="505"/>
        <w:spacing w:after="0" w:line="257"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spacing w:after="0" w:line="1" w:lineRule="exact"/>
        <w:rPr>
          <w:sz w:val="20"/>
          <w:szCs w:val="20"/>
          <w:color w:val="auto"/>
        </w:rPr>
      </w:pPr>
    </w:p>
    <w:p>
      <w:pPr>
        <w:ind w:right="2119" w:firstLine="4"/>
        <w:spacing w:after="0" w:line="241" w:lineRule="auto"/>
        <w:tabs>
          <w:tab w:leader="none" w:pos="50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w:t>
      </w:r>
    </w:p>
    <w:p>
      <w:pPr>
        <w:sectPr>
          <w:pgSz w:w="11900" w:h="16838" w:orient="portrait"/>
          <w:cols w:equalWidth="0" w:num="1">
            <w:col w:w="10219"/>
          </w:cols>
          <w:pgMar w:left="240" w:top="308" w:right="1440" w:bottom="615"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8" w:right="1440" w:bottom="615"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24</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term "Consolidated Net Tangible Assets" shall mean, at any date of determination, the total amount of assets of the Company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98" w:lineRule="exact"/>
        <w:rPr>
          <w:sz w:val="20"/>
          <w:szCs w:val="20"/>
          <w:color w:val="auto"/>
        </w:rPr>
      </w:pPr>
    </w:p>
    <w:p>
      <w:pPr>
        <w:jc w:val="both"/>
        <w:ind w:right="2219" w:firstLine="505"/>
        <w:spacing w:after="0" w:line="241" w:lineRule="auto"/>
        <w:rPr>
          <w:sz w:val="20"/>
          <w:szCs w:val="20"/>
          <w:color w:val="auto"/>
        </w:rPr>
      </w:pPr>
      <w:r>
        <w:rPr>
          <w:rFonts w:ascii="Courier New" w:cs="Courier New" w:eastAsia="Courier New" w:hAnsi="Courier New"/>
          <w:sz w:val="17"/>
          <w:szCs w:val="17"/>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95"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"Indebtedness" of any Person shall mean</w:t>
      </w:r>
    </w:p>
    <w:p>
      <w:pPr>
        <w:spacing w:after="0" w:line="199" w:lineRule="exact"/>
        <w:rPr>
          <w:sz w:val="20"/>
          <w:szCs w:val="20"/>
          <w:color w:val="auto"/>
        </w:rPr>
      </w:pPr>
    </w:p>
    <w:p>
      <w:pPr>
        <w:ind w:left="500" w:right="2219" w:firstLine="515"/>
        <w:spacing w:after="0" w:line="241" w:lineRule="auto"/>
        <w:tabs>
          <w:tab w:leader="none" w:pos="141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0" w:lineRule="exact"/>
        <w:rPr>
          <w:rFonts w:ascii="Courier New" w:cs="Courier New" w:eastAsia="Courier New" w:hAnsi="Courier New"/>
          <w:sz w:val="17"/>
          <w:szCs w:val="17"/>
          <w:color w:val="auto"/>
        </w:rPr>
      </w:pPr>
    </w:p>
    <w:p>
      <w:pPr>
        <w:ind w:left="500" w:right="2119" w:firstLine="515"/>
        <w:spacing w:after="0" w:line="241" w:lineRule="auto"/>
        <w:tabs>
          <w:tab w:leader="none" w:pos="141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98" w:lineRule="exact"/>
        <w:rPr>
          <w:rFonts w:ascii="Courier New" w:cs="Courier New" w:eastAsia="Courier New" w:hAnsi="Courier New"/>
          <w:sz w:val="17"/>
          <w:szCs w:val="17"/>
          <w:color w:val="auto"/>
        </w:rPr>
      </w:pPr>
    </w:p>
    <w:p>
      <w:pPr>
        <w:ind w:left="500" w:right="2739" w:firstLine="515"/>
        <w:spacing w:after="0" w:line="239" w:lineRule="auto"/>
        <w:tabs>
          <w:tab w:leader="none" w:pos="141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or not so included as liabilities in accordance with generally accepted accounting principles,</w:t>
      </w:r>
    </w:p>
    <w:p>
      <w:pPr>
        <w:spacing w:after="0" w:line="199" w:lineRule="exact"/>
        <w:rPr>
          <w:rFonts w:ascii="Courier New" w:cs="Courier New" w:eastAsia="Courier New" w:hAnsi="Courier New"/>
          <w:sz w:val="17"/>
          <w:szCs w:val="17"/>
          <w:color w:val="auto"/>
        </w:rPr>
      </w:pPr>
    </w:p>
    <w:p>
      <w:pPr>
        <w:ind w:left="820" w:right="2119" w:firstLine="498"/>
        <w:spacing w:after="0" w:line="260" w:lineRule="auto"/>
        <w:tabs>
          <w:tab w:leader="none" w:pos="173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82" w:lineRule="exact"/>
        <w:rPr>
          <w:rFonts w:ascii="Courier New" w:cs="Courier New" w:eastAsia="Courier New" w:hAnsi="Courier New"/>
          <w:sz w:val="16"/>
          <w:szCs w:val="16"/>
          <w:color w:val="auto"/>
        </w:rPr>
      </w:pPr>
    </w:p>
    <w:p>
      <w:pPr>
        <w:ind w:left="1820" w:hanging="502"/>
        <w:spacing w:after="0"/>
        <w:tabs>
          <w:tab w:leader="none" w:pos="182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Guaranties of such Person.</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3" w:lineRule="exact"/>
        <w:rPr>
          <w:sz w:val="20"/>
          <w:szCs w:val="20"/>
          <w:color w:val="auto"/>
        </w:rPr>
      </w:pPr>
    </w:p>
    <w:p>
      <w:pPr>
        <w:ind w:right="2439" w:firstLine="4"/>
        <w:spacing w:after="0" w:line="239" w:lineRule="auto"/>
        <w:tabs>
          <w:tab w:leader="none" w:pos="50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the Board of Directors determines in good faith is not of material importance to the total business</w:t>
      </w:r>
    </w:p>
    <w:p>
      <w:pPr>
        <w:sectPr>
          <w:pgSz w:w="11900" w:h="16838" w:orient="portrait"/>
          <w:cols w:equalWidth="0" w:num="1">
            <w:col w:w="10219"/>
          </w:cols>
          <w:pgMar w:left="240" w:top="308" w:right="1440" w:bottom="421"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8" w:right="1440" w:bottom="421"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25</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conducted, or assets owned, by the Company and its Subsidiaries as an entirety, or (b) any portion of such plant or facility which the Board of Directors determines in good faith not to be of material importance to the use or operation thereof.</w:t>
      </w:r>
    </w:p>
    <w:p>
      <w:pPr>
        <w:spacing w:after="0" w:line="199"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the Company owns directly or indirectly less than all of the outstanding Voting Stock) (a) principally engaged in, or 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86" w:lineRule="exact"/>
        <w:rPr>
          <w:sz w:val="20"/>
          <w:szCs w:val="20"/>
          <w:color w:val="auto"/>
        </w:rPr>
      </w:pPr>
    </w:p>
    <w:p>
      <w:pPr>
        <w:ind w:right="2219" w:firstLine="505"/>
        <w:spacing w:after="0" w:line="261"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4"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02"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99" w:lineRule="exact"/>
        <w:rPr>
          <w:sz w:val="20"/>
          <w:szCs w:val="20"/>
          <w:color w:val="auto"/>
        </w:rPr>
      </w:pPr>
    </w:p>
    <w:p>
      <w:pPr>
        <w:ind w:left="500" w:right="2119" w:firstLine="515"/>
        <w:spacing w:after="0"/>
        <w:tabs>
          <w:tab w:leader="none" w:pos="141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Senior Debt Security of that series when it becomes due and payable, and continuance of such default for a period of 30 days; or</w:t>
      </w:r>
    </w:p>
    <w:p>
      <w:pPr>
        <w:spacing w:after="0" w:line="200" w:lineRule="exact"/>
        <w:rPr>
          <w:rFonts w:ascii="Courier New" w:cs="Courier New" w:eastAsia="Courier New" w:hAnsi="Courier New"/>
          <w:sz w:val="17"/>
          <w:szCs w:val="17"/>
          <w:color w:val="auto"/>
        </w:rPr>
      </w:pPr>
    </w:p>
    <w:p>
      <w:pPr>
        <w:jc w:val="both"/>
        <w:ind w:left="500" w:right="2119" w:firstLine="515"/>
        <w:spacing w:after="0" w:line="241" w:lineRule="auto"/>
        <w:tabs>
          <w:tab w:leader="none" w:pos="141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98" w:lineRule="exact"/>
        <w:rPr>
          <w:rFonts w:ascii="Courier New" w:cs="Courier New" w:eastAsia="Courier New" w:hAnsi="Courier New"/>
          <w:sz w:val="17"/>
          <w:szCs w:val="17"/>
          <w:color w:val="auto"/>
        </w:rPr>
      </w:pPr>
    </w:p>
    <w:p>
      <w:pPr>
        <w:ind w:left="500" w:right="2439" w:firstLine="515"/>
        <w:spacing w:after="0" w:line="239" w:lineRule="auto"/>
        <w:tabs>
          <w:tab w:leader="none" w:pos="141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Senior Debt Security of that series;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8" w:right="1440" w:bottom="1440" w:gutter="0" w:footer="0" w:header="0"/>
          <w:type w:val="continuous"/>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26</w:t>
      </w:r>
    </w:p>
    <w:p>
      <w:pPr>
        <w:spacing w:after="0" w:line="199" w:lineRule="exact"/>
        <w:rPr>
          <w:sz w:val="20"/>
          <w:szCs w:val="20"/>
          <w:color w:val="auto"/>
        </w:rPr>
      </w:pPr>
    </w:p>
    <w:p>
      <w:pPr>
        <w:ind w:left="500" w:right="2119" w:firstLine="515"/>
        <w:spacing w:after="0" w:line="242" w:lineRule="auto"/>
        <w:tabs>
          <w:tab w:leader="none" w:pos="141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97"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7"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8" w:lineRule="exact"/>
        <w:rPr>
          <w:rFonts w:ascii="Courier New" w:cs="Courier New" w:eastAsia="Courier New" w:hAnsi="Courier New"/>
          <w:sz w:val="17"/>
          <w:szCs w:val="17"/>
          <w:color w:val="auto"/>
        </w:rPr>
      </w:pPr>
    </w:p>
    <w:p>
      <w:pPr>
        <w:ind w:left="500" w:right="2439" w:firstLine="515"/>
        <w:spacing w:after="0" w:line="269" w:lineRule="auto"/>
        <w:tabs>
          <w:tab w:leader="none" w:pos="141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77"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203" w:lineRule="exact"/>
        <w:rPr>
          <w:sz w:val="20"/>
          <w:szCs w:val="20"/>
          <w:color w:val="auto"/>
        </w:rPr>
      </w:pPr>
    </w:p>
    <w:p>
      <w:pPr>
        <w:ind w:right="2119" w:firstLine="4"/>
        <w:spacing w:after="0" w:line="239" w:lineRule="auto"/>
        <w:tabs>
          <w:tab w:leader="none" w:pos="40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Events of Default with respect to Senior Debt Securities of that series, other than the</w:t>
      </w:r>
    </w:p>
    <w:p>
      <w:pPr>
        <w:sectPr>
          <w:pgSz w:w="11900" w:h="16838" w:orient="portrait"/>
          <w:cols w:equalWidth="0" w:num="1">
            <w:col w:w="10219"/>
          </w:cols>
          <w:pgMar w:left="240" w:top="308" w:right="1440" w:bottom="226"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8" w:right="1440" w:bottom="226"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27</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non-payment of the principal of Senior Debt Securities of that series which has become due solely by such 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8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01"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If a default occurs under the Senior Debt Indenture with respect to Senior Debt Securities of any series, the Trustee shall give the Holders of Senior Debt Securities of such series notice of such default as and to the</w:t>
      </w:r>
    </w:p>
    <w:p>
      <w:pPr>
        <w:sectPr>
          <w:pgSz w:w="11900" w:h="16838" w:orient="portrait"/>
          <w:cols w:equalWidth="0" w:num="1">
            <w:col w:w="10219"/>
          </w:cols>
          <w:pgMar w:left="240" w:top="308" w:right="1440" w:bottom="809"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8" w:right="1440" w:bottom="809"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28</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03" w:lineRule="exact"/>
        <w:rPr>
          <w:sz w:val="20"/>
          <w:szCs w:val="20"/>
          <w:color w:val="auto"/>
        </w:rPr>
      </w:pPr>
    </w:p>
    <w:p>
      <w:pPr>
        <w:ind w:right="2219" w:firstLine="505"/>
        <w:spacing w:after="0" w:line="257"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2" w:lineRule="exact"/>
        <w:rPr>
          <w:sz w:val="20"/>
          <w:szCs w:val="20"/>
          <w:color w:val="auto"/>
        </w:rPr>
      </w:pPr>
    </w:p>
    <w:p>
      <w:pPr>
        <w:ind w:right="2119" w:firstLine="4"/>
        <w:spacing w:after="0" w:line="258" w:lineRule="auto"/>
        <w:tabs>
          <w:tab w:leader="none" w:pos="40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8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99"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The Company is required to furnish to the Trustee annually a statement as to the compliance by the Company with all conditions and covenants under the Senior Debt Indenture. (Section 1006)</w:t>
      </w:r>
    </w:p>
    <w:p>
      <w:pPr>
        <w:spacing w:after="0" w:line="200"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Limitation on Liens. Unless provided otherwise in the applicable Prospectus Supplement, the provisions of this covenant shall apply to each series of Senior Debt Securities issued under the Senior Debt Indenture:</w:t>
      </w:r>
    </w:p>
    <w:p>
      <w:pPr>
        <w:spacing w:after="0" w:line="200" w:lineRule="exact"/>
        <w:rPr>
          <w:sz w:val="20"/>
          <w:szCs w:val="20"/>
          <w:color w:val="auto"/>
        </w:rPr>
      </w:pPr>
    </w:p>
    <w:p>
      <w:pPr>
        <w:ind w:right="2119" w:firstLine="509"/>
        <w:spacing w:after="0" w:line="242" w:lineRule="auto"/>
        <w:tabs>
          <w:tab w:leader="none" w:pos="9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will not, and will not permit any of its Restricted Subsidiaries to, create, incur, assume or suffer to exist, directly or indirectly, any Indebtedness secured by a Security Interest upon any 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w:t>
      </w:r>
    </w:p>
    <w:p>
      <w:pPr>
        <w:sectPr>
          <w:pgSz w:w="11900" w:h="16838" w:orient="portrait"/>
          <w:cols w:equalWidth="0" w:num="1">
            <w:col w:w="10219"/>
          </w:cols>
          <w:pgMar w:left="240" w:top="308" w:right="1440" w:bottom="1004"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8" w:right="1440" w:bottom="1004"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29</w:t>
      </w:r>
    </w:p>
    <w:p>
      <w:pPr>
        <w:spacing w:after="0" w:line="199"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99" w:lineRule="exact"/>
        <w:rPr>
          <w:sz w:val="20"/>
          <w:szCs w:val="20"/>
          <w:color w:val="auto"/>
        </w:rPr>
      </w:pPr>
    </w:p>
    <w:p>
      <w:pPr>
        <w:ind w:right="2119" w:firstLine="509"/>
        <w:spacing w:after="0" w:line="242" w:lineRule="auto"/>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 "-- Provisions Applicable Solely to Senior Debt Securities -- 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201" w:lineRule="exact"/>
        <w:rPr>
          <w:rFonts w:ascii="Courier New" w:cs="Courier New" w:eastAsia="Courier New" w:hAnsi="Courier New"/>
          <w:sz w:val="17"/>
          <w:szCs w:val="17"/>
          <w:color w:val="auto"/>
        </w:rPr>
      </w:pPr>
    </w:p>
    <w:p>
      <w:pPr>
        <w:jc w:val="both"/>
        <w:ind w:right="2119" w:firstLine="509"/>
        <w:spacing w:after="0" w:line="263" w:lineRule="auto"/>
        <w:tabs>
          <w:tab w:leader="none" w:pos="91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81" w:lineRule="exact"/>
        <w:rPr>
          <w:rFonts w:ascii="Courier New" w:cs="Courier New" w:eastAsia="Courier New" w:hAnsi="Courier New"/>
          <w:sz w:val="16"/>
          <w:szCs w:val="16"/>
          <w:color w:val="auto"/>
        </w:rPr>
      </w:pPr>
    </w:p>
    <w:p>
      <w:pPr>
        <w:ind w:right="2119" w:firstLine="509"/>
        <w:spacing w:after="0" w:line="259" w:lineRule="auto"/>
        <w:tabs>
          <w:tab w:leader="none" w:pos="91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85" w:lineRule="exact"/>
        <w:rPr>
          <w:rFonts w:ascii="Courier New" w:cs="Courier New" w:eastAsia="Courier New" w:hAnsi="Courier New"/>
          <w:sz w:val="16"/>
          <w:szCs w:val="16"/>
          <w:color w:val="auto"/>
        </w:rPr>
      </w:pPr>
    </w:p>
    <w:p>
      <w:pPr>
        <w:ind w:right="2319" w:firstLine="509"/>
        <w:spacing w:after="0" w:line="241" w:lineRule="auto"/>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98" w:lineRule="exact"/>
        <w:rPr>
          <w:rFonts w:ascii="Courier New" w:cs="Courier New" w:eastAsia="Courier New" w:hAnsi="Courier New"/>
          <w:sz w:val="17"/>
          <w:szCs w:val="17"/>
          <w:color w:val="auto"/>
        </w:rPr>
      </w:pPr>
    </w:p>
    <w:p>
      <w:pPr>
        <w:ind w:right="2319" w:firstLine="509"/>
        <w:spacing w:after="0" w:line="263" w:lineRule="auto"/>
        <w:tabs>
          <w:tab w:leader="none" w:pos="91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81" w:lineRule="exact"/>
        <w:rPr>
          <w:rFonts w:ascii="Courier New" w:cs="Courier New" w:eastAsia="Courier New" w:hAnsi="Courier New"/>
          <w:sz w:val="16"/>
          <w:szCs w:val="16"/>
          <w:color w:val="auto"/>
        </w:rPr>
      </w:pPr>
    </w:p>
    <w:p>
      <w:pPr>
        <w:ind w:right="2219" w:firstLine="509"/>
        <w:spacing w:after="0" w:line="239" w:lineRule="auto"/>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Landlords' liens on fixtures located on premises leased by the Company or any Restricted Subsidiary in the ordinary course of business; or</w:t>
      </w:r>
    </w:p>
    <w:p>
      <w:pPr>
        <w:spacing w:after="0" w:line="199" w:lineRule="exact"/>
        <w:rPr>
          <w:rFonts w:ascii="Courier New" w:cs="Courier New" w:eastAsia="Courier New" w:hAnsi="Courier New"/>
          <w:sz w:val="17"/>
          <w:szCs w:val="17"/>
          <w:color w:val="auto"/>
        </w:rPr>
      </w:pPr>
    </w:p>
    <w:p>
      <w:pPr>
        <w:ind w:right="2639" w:firstLine="509"/>
        <w:spacing w:after="0"/>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in favor of any governmental authority in connection with the financing of the cost of construction or acquisition of property; or</w:t>
      </w:r>
    </w:p>
    <w:p>
      <w:pPr>
        <w:spacing w:after="0" w:line="200" w:lineRule="exact"/>
        <w:rPr>
          <w:rFonts w:ascii="Courier New" w:cs="Courier New" w:eastAsia="Courier New" w:hAnsi="Courier New"/>
          <w:sz w:val="17"/>
          <w:szCs w:val="17"/>
          <w:color w:val="auto"/>
        </w:rPr>
      </w:pPr>
    </w:p>
    <w:p>
      <w:pPr>
        <w:ind w:right="2639" w:firstLine="509"/>
        <w:spacing w:after="0"/>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arising by reason of deposits to qualify the Company or any Restricted Subsidiary to conduct business, to maintain self-insurance, or to obtain the benefit of, or comply with, laws; or</w:t>
      </w:r>
    </w:p>
    <w:p>
      <w:pPr>
        <w:spacing w:after="0" w:line="200" w:lineRule="exact"/>
        <w:rPr>
          <w:rFonts w:ascii="Courier New" w:cs="Courier New" w:eastAsia="Courier New" w:hAnsi="Courier New"/>
          <w:sz w:val="17"/>
          <w:szCs w:val="17"/>
          <w:color w:val="auto"/>
        </w:rPr>
      </w:pPr>
    </w:p>
    <w:p>
      <w:pPr>
        <w:ind w:right="2539" w:firstLine="509"/>
        <w:spacing w:after="0"/>
        <w:tabs>
          <w:tab w:leader="none" w:pos="9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that secures any Indebtedness of a Restricted Subsidiary owing to the Company or another Restricted Subsidiary or by the Company to a Restricted Subsidiary; or</w:t>
      </w:r>
    </w:p>
    <w:p>
      <w:pPr>
        <w:spacing w:after="0" w:line="200" w:lineRule="exact"/>
        <w:rPr>
          <w:rFonts w:ascii="Courier New" w:cs="Courier New" w:eastAsia="Courier New" w:hAnsi="Courier New"/>
          <w:sz w:val="17"/>
          <w:szCs w:val="17"/>
          <w:color w:val="auto"/>
        </w:rPr>
      </w:pPr>
    </w:p>
    <w:p>
      <w:pPr>
        <w:ind w:right="2319" w:firstLine="509"/>
        <w:spacing w:after="0" w:line="269" w:lineRule="auto"/>
        <w:tabs>
          <w:tab w:leader="none" w:pos="101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incurred in connection with pollution control, sewage or solid waste disposal, industrial revenue or similar financing; or</w:t>
      </w:r>
    </w:p>
    <w:p>
      <w:pPr>
        <w:sectPr>
          <w:pgSz w:w="11900" w:h="16838" w:orient="portrait"/>
          <w:cols w:equalWidth="0" w:num="1">
            <w:col w:w="10219"/>
          </w:cols>
          <w:pgMar w:left="240" w:top="308" w:right="1440" w:bottom="1004" w:gutter="0" w:footer="0" w:header="0"/>
        </w:sectPr>
      </w:pPr>
    </w:p>
    <w:p>
      <w:pPr>
        <w:spacing w:after="0" w:line="17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8" w:right="1440" w:bottom="1004"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30</w:t>
      </w:r>
    </w:p>
    <w:p>
      <w:pPr>
        <w:spacing w:after="0" w:line="199" w:lineRule="exact"/>
        <w:rPr>
          <w:sz w:val="20"/>
          <w:szCs w:val="20"/>
          <w:color w:val="auto"/>
        </w:rPr>
      </w:pPr>
    </w:p>
    <w:p>
      <w:pPr>
        <w:ind w:right="2119" w:firstLine="509"/>
        <w:spacing w:after="0" w:line="241" w:lineRule="auto"/>
        <w:tabs>
          <w:tab w:leader="none" w:pos="101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204" w:lineRule="exact"/>
        <w:rPr>
          <w:rFonts w:ascii="Courier New" w:cs="Courier New" w:eastAsia="Courier New" w:hAnsi="Courier New"/>
          <w:sz w:val="17"/>
          <w:szCs w:val="17"/>
          <w:color w:val="auto"/>
        </w:rPr>
      </w:pPr>
    </w:p>
    <w:p>
      <w:pPr>
        <w:ind w:right="2119" w:firstLine="509"/>
        <w:spacing w:after="0" w:line="241" w:lineRule="auto"/>
        <w:tabs>
          <w:tab w:leader="none" w:pos="1011"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 Securities -- Limitations on Sale and Leaseback Transactions" and other than Sale and Leaseback Transactions between the Company and any Restricted Subsidiary) does not exceed 15% of Consolidated Net Tangible Assets. (Section 1008 of the Senior Debt Indenture)</w:t>
      </w:r>
    </w:p>
    <w:p>
      <w:pPr>
        <w:spacing w:after="0" w:line="200" w:lineRule="exact"/>
        <w:rPr>
          <w:sz w:val="20"/>
          <w:szCs w:val="20"/>
          <w:color w:val="auto"/>
        </w:rPr>
      </w:pPr>
    </w:p>
    <w:p>
      <w:pPr>
        <w:ind w:right="2119" w:firstLine="509"/>
        <w:spacing w:after="0" w:line="258" w:lineRule="auto"/>
        <w:tabs>
          <w:tab w:leader="none" w:pos="91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 prior to all liens other than any liens theretofore existing thereon by a supplemental indenture or otherwise.</w:t>
      </w:r>
    </w:p>
    <w:p>
      <w:pPr>
        <w:spacing w:after="0" w:line="188"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Company will not, and will not permit any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 (a) the Company or such Restricted Subsidiary would be entitled, pursuant to the covenant described in "-- Provisions Applicable Solely to Senior Debt Securities -- Limitation on Liens," to incur Indebtedness secured by a Security Interest on the property to be leased without equally and ratably securing the Senior Debt Securities of that series, or</w:t>
      </w:r>
    </w:p>
    <w:p>
      <w:pPr>
        <w:sectPr>
          <w:pgSz w:w="11900" w:h="16838" w:orient="portrait"/>
          <w:cols w:equalWidth="0" w:num="1">
            <w:col w:w="10219"/>
          </w:cols>
          <w:pgMar w:left="240" w:top="308" w:right="1440" w:bottom="809" w:gutter="0" w:footer="0" w:header="0"/>
        </w:sectPr>
      </w:pP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8" w:right="1440" w:bottom="809"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31</w:t>
      </w:r>
    </w:p>
    <w:p>
      <w:pPr>
        <w:spacing w:after="0" w:line="199" w:lineRule="exact"/>
        <w:rPr>
          <w:sz w:val="20"/>
          <w:szCs w:val="20"/>
          <w:color w:val="auto"/>
        </w:rPr>
      </w:pPr>
    </w:p>
    <w:p>
      <w:pPr>
        <w:ind w:right="2119" w:firstLine="4"/>
        <w:spacing w:after="0" w:line="257" w:lineRule="auto"/>
        <w:tabs>
          <w:tab w:leader="none" w:pos="4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w:t>
      </w:r>
    </w:p>
    <w:p>
      <w:pPr>
        <w:spacing w:after="0" w:line="3" w:lineRule="exact"/>
        <w:rPr>
          <w:rFonts w:ascii="Courier New" w:cs="Courier New" w:eastAsia="Courier New" w:hAnsi="Courier New"/>
          <w:sz w:val="16"/>
          <w:szCs w:val="16"/>
          <w:color w:val="auto"/>
        </w:rPr>
      </w:pPr>
    </w:p>
    <w:p>
      <w:pPr>
        <w:ind w:right="2119" w:firstLine="4"/>
        <w:spacing w:after="0" w:line="241" w:lineRule="auto"/>
        <w:tabs>
          <w:tab w:leader="none" w:pos="40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0"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Notwithstanding the foregoing, the Company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PROVISIONS APPLICABLE SOLELY TO SUBORDINATED DEBT SECURITIES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3" w:lineRule="exact"/>
        <w:rPr>
          <w:sz w:val="20"/>
          <w:szCs w:val="20"/>
          <w:color w:val="auto"/>
        </w:rPr>
      </w:pPr>
    </w:p>
    <w:p>
      <w:pPr>
        <w:ind w:right="2119" w:firstLine="505"/>
        <w:spacing w:after="0" w:line="261" w:lineRule="auto"/>
        <w:rPr>
          <w:sz w:val="20"/>
          <w:szCs w:val="20"/>
          <w:color w:val="auto"/>
        </w:rPr>
      </w:pPr>
      <w:r>
        <w:rPr>
          <w:rFonts w:ascii="Courier New" w:cs="Courier New" w:eastAsia="Courier New" w:hAnsi="Courier New"/>
          <w:sz w:val="16"/>
          <w:szCs w:val="16"/>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84" w:lineRule="exact"/>
        <w:rPr>
          <w:sz w:val="20"/>
          <w:szCs w:val="20"/>
          <w:color w:val="auto"/>
        </w:rPr>
      </w:pPr>
    </w:p>
    <w:p>
      <w:pPr>
        <w:ind w:left="500" w:right="2119" w:firstLine="515"/>
        <w:spacing w:after="0"/>
        <w:tabs>
          <w:tab w:leader="none" w:pos="141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8"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32</w:t>
      </w:r>
    </w:p>
    <w:p>
      <w:pPr>
        <w:spacing w:after="0" w:line="199" w:lineRule="exact"/>
        <w:rPr>
          <w:sz w:val="20"/>
          <w:szCs w:val="20"/>
          <w:color w:val="auto"/>
        </w:rPr>
      </w:pPr>
    </w:p>
    <w:p>
      <w:pPr>
        <w:ind w:left="500" w:right="2439" w:firstLine="515"/>
        <w:spacing w:after="0" w:line="241" w:lineRule="auto"/>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98" w:lineRule="exact"/>
        <w:rPr>
          <w:rFonts w:ascii="Courier New" w:cs="Courier New" w:eastAsia="Courier New" w:hAnsi="Courier New"/>
          <w:sz w:val="17"/>
          <w:szCs w:val="17"/>
          <w:color w:val="auto"/>
        </w:rPr>
      </w:pPr>
    </w:p>
    <w:p>
      <w:pPr>
        <w:ind w:left="500" w:right="2439" w:firstLine="515"/>
        <w:spacing w:after="0" w:line="239" w:lineRule="auto"/>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deposit of any sinking fund payment, when and as due by the terms of a Subordinated Debt Security of that series; or</w:t>
      </w:r>
    </w:p>
    <w:p>
      <w:pPr>
        <w:spacing w:after="0" w:line="199"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98"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7" w:lineRule="exact"/>
        <w:rPr>
          <w:rFonts w:ascii="Courier New" w:cs="Courier New" w:eastAsia="Courier New" w:hAnsi="Courier New"/>
          <w:sz w:val="17"/>
          <w:szCs w:val="17"/>
          <w:color w:val="auto"/>
        </w:rPr>
      </w:pPr>
    </w:p>
    <w:p>
      <w:pPr>
        <w:ind w:left="500" w:right="2119" w:firstLine="515"/>
        <w:spacing w:after="0" w:line="242" w:lineRule="auto"/>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8" w:lineRule="exact"/>
        <w:rPr>
          <w:rFonts w:ascii="Courier New" w:cs="Courier New" w:eastAsia="Courier New" w:hAnsi="Courier New"/>
          <w:sz w:val="17"/>
          <w:szCs w:val="17"/>
          <w:color w:val="auto"/>
        </w:rPr>
      </w:pPr>
    </w:p>
    <w:p>
      <w:pPr>
        <w:ind w:left="500" w:right="2319" w:firstLine="515"/>
        <w:spacing w:after="0"/>
        <w:tabs>
          <w:tab w:leader="none" w:pos="141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Event of Default provided with respect to Subordinated Debt Securities of that series. (Section 501 of the Subordinated Debt Indenture)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w:t>
      </w:r>
    </w:p>
    <w:p>
      <w:pPr>
        <w:sectPr>
          <w:pgSz w:w="11900" w:h="16838" w:orient="portrait"/>
          <w:cols w:equalWidth="0" w:num="1">
            <w:col w:w="10219"/>
          </w:cols>
          <w:pgMar w:left="240" w:top="308" w:right="1440" w:bottom="421"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8" w:right="1440" w:bottom="421"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33</w:t>
      </w:r>
    </w:p>
    <w:p>
      <w:pPr>
        <w:spacing w:after="0" w:line="199" w:lineRule="exact"/>
        <w:rPr>
          <w:sz w:val="20"/>
          <w:szCs w:val="20"/>
          <w:color w:val="auto"/>
        </w:rPr>
      </w:pPr>
    </w:p>
    <w:p>
      <w:pPr>
        <w:ind w:right="2119"/>
        <w:spacing w:after="0" w:line="257" w:lineRule="auto"/>
        <w:rPr>
          <w:sz w:val="20"/>
          <w:szCs w:val="20"/>
          <w:color w:val="auto"/>
        </w:rPr>
      </w:pPr>
      <w:r>
        <w:rPr>
          <w:rFonts w:ascii="Courier New" w:cs="Courier New" w:eastAsia="Courier New" w:hAnsi="Courier New"/>
          <w:sz w:val="16"/>
          <w:szCs w:val="16"/>
          <w:color w:val="auto"/>
        </w:rPr>
        <w:t>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398"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4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w:t>
      </w:r>
    </w:p>
    <w:p>
      <w:pPr>
        <w:sectPr>
          <w:pgSz w:w="11900" w:h="16838" w:orient="portrait"/>
          <w:cols w:equalWidth="0" w:num="1">
            <w:col w:w="10219"/>
          </w:cols>
          <w:pgMar w:left="240" w:top="308" w:right="1440" w:bottom="1004"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8" w:right="1440" w:bottom="1004" w:gutter="0" w:footer="0" w:header="0"/>
          <w:type w:val="continuous"/>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34</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97"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7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8" w:right="1440" w:bottom="1440"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35</w:t>
      </w:r>
    </w:p>
    <w:p>
      <w:pPr>
        <w:spacing w:after="0" w:line="199" w:lineRule="exact"/>
        <w:rPr>
          <w:sz w:val="20"/>
          <w:szCs w:val="20"/>
          <w:color w:val="auto"/>
        </w:rPr>
      </w:pPr>
    </w:p>
    <w:p>
      <w:pPr>
        <w:ind w:right="2319" w:firstLine="505"/>
        <w:spacing w:after="0" w:line="263" w:lineRule="auto"/>
        <w:rPr>
          <w:sz w:val="20"/>
          <w:szCs w:val="20"/>
          <w:color w:val="auto"/>
        </w:rPr>
      </w:pPr>
      <w:r>
        <w:rPr>
          <w:rFonts w:ascii="Courier New" w:cs="Courier New" w:eastAsia="Courier New" w:hAnsi="Courier New"/>
          <w:sz w:val="16"/>
          <w:szCs w:val="16"/>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8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w:t>
      </w:r>
    </w:p>
    <w:p>
      <w:pPr>
        <w:sectPr>
          <w:pgSz w:w="11900" w:h="16838" w:orient="portrait"/>
          <w:cols w:equalWidth="0" w:num="1">
            <w:col w:w="10219"/>
          </w:cols>
          <w:pgMar w:left="240" w:top="308" w:right="1440" w:bottom="1004"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8" w:right="1440" w:bottom="1004"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36</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20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Prospectus Supplement respecting any series of Subordinated Debt Securities will set forth any subordination provisions applicable to such series in addition to or different from those described above.</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marshalling of assets or liabilities of the Company and its Subsidiaries,</w:t>
      </w:r>
    </w:p>
    <w:p>
      <w:pPr>
        <w:sectPr>
          <w:pgSz w:w="11900" w:h="16838" w:orient="portrait"/>
          <w:cols w:equalWidth="0" w:num="1">
            <w:col w:w="10219"/>
          </w:cols>
          <w:pgMar w:left="240" w:top="308" w:right="1440" w:bottom="615"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8" w:right="1440" w:bottom="615"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37</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02"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04"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1"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In the case of any consolidation or merger of the Company (with certain exceptions) or any conveyance, transfer or lease of the properties and assets of the Company substantially as an entirety to any Person, each</w:t>
      </w:r>
    </w:p>
    <w:p>
      <w:pPr>
        <w:sectPr>
          <w:pgSz w:w="11900" w:h="16838" w:orient="portrait"/>
          <w:cols w:equalWidth="0" w:num="1">
            <w:col w:w="10219"/>
          </w:cols>
          <w:pgMar w:left="240" w:top="308" w:right="1440" w:bottom="1004"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8" w:right="1440" w:bottom="1004"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38</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DESCRIPTION OF CAPITAL STOCK</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is currently authorized to issue 300,000,000 shares of its Common Stock, par value $.01 per share, of which 161,270,883 shares were outstanding on June 27, 1997 and 10,000,000 shares of Preferred Stock, par value $.01 per share (the "Preferred Stock"), none of which were outstanding on such 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02"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Holders of Common Stock have no conversion, redemption or preemptive rights. All outstanding shares of Common Stock are, and the Common Stock to be issued hereunder will be, validly issued, fully paid and nonassessable.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BUT UNISSUED SHARES</w:t>
      </w:r>
    </w:p>
    <w:p>
      <w:pPr>
        <w:spacing w:after="0" w:line="19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The transfer agent and registrar for the Common Stock is Boston EquiServe, Boston, Massachusetts.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8"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DELAWARE ANTI-TAKEOVER LAW</w:t>
      </w:r>
    </w:p>
    <w:p>
      <w:pPr>
        <w:spacing w:after="0" w:line="199" w:lineRule="exact"/>
        <w:rPr>
          <w:sz w:val="20"/>
          <w:szCs w:val="20"/>
          <w:color w:val="auto"/>
        </w:rPr>
      </w:pPr>
    </w:p>
    <w:p>
      <w:pPr>
        <w:ind w:right="2119" w:firstLine="505"/>
        <w:spacing w:after="0" w:line="257" w:lineRule="auto"/>
        <w:rPr>
          <w:sz w:val="20"/>
          <w:szCs w:val="20"/>
          <w:color w:val="auto"/>
        </w:rPr>
      </w:pPr>
      <w:r>
        <w:rPr>
          <w:rFonts w:ascii="Courier New" w:cs="Courier New" w:eastAsia="Courier New" w:hAnsi="Courier New"/>
          <w:sz w:val="16"/>
          <w:szCs w:val="16"/>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2" w:lineRule="exact"/>
        <w:rPr>
          <w:sz w:val="20"/>
          <w:szCs w:val="20"/>
          <w:color w:val="auto"/>
        </w:rPr>
      </w:pPr>
    </w:p>
    <w:p>
      <w:pPr>
        <w:ind w:right="2119" w:firstLine="4"/>
        <w:spacing w:after="0" w:line="242" w:lineRule="auto"/>
        <w:tabs>
          <w:tab w:leader="none" w:pos="404"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PLAN OF DISTRIBUTION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The Company may sell Securities to or through underwriters or dealers, and also may sell Securities directly to other purchasers or through agents.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97" w:lineRule="exact"/>
        <w:rPr>
          <w:sz w:val="20"/>
          <w:szCs w:val="20"/>
          <w:color w:val="auto"/>
        </w:rPr>
      </w:pPr>
    </w:p>
    <w:p>
      <w:pPr>
        <w:ind w:right="2319" w:firstLine="505"/>
        <w:spacing w:after="0" w:line="259" w:lineRule="auto"/>
        <w:rPr>
          <w:sz w:val="20"/>
          <w:szCs w:val="20"/>
          <w:color w:val="auto"/>
        </w:rPr>
      </w:pPr>
      <w:r>
        <w:rPr>
          <w:rFonts w:ascii="Courier New" w:cs="Courier New" w:eastAsia="Courier New" w:hAnsi="Courier New"/>
          <w:sz w:val="16"/>
          <w:szCs w:val="16"/>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88" w:lineRule="exact"/>
        <w:rPr>
          <w:sz w:val="20"/>
          <w:szCs w:val="20"/>
          <w:color w:val="auto"/>
        </w:rPr>
      </w:pPr>
    </w:p>
    <w:p>
      <w:pPr>
        <w:ind w:right="2439" w:firstLine="505"/>
        <w:spacing w:after="0" w:line="261" w:lineRule="auto"/>
        <w:rPr>
          <w:sz w:val="20"/>
          <w:szCs w:val="20"/>
          <w:color w:val="auto"/>
        </w:rPr>
      </w:pPr>
      <w:r>
        <w:rPr>
          <w:rFonts w:ascii="Courier New" w:cs="Courier New" w:eastAsia="Courier New" w:hAnsi="Courier New"/>
          <w:sz w:val="16"/>
          <w:szCs w:val="16"/>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DELAYED DELIVERY ARRANGEMENT</w:t>
      </w:r>
    </w:p>
    <w:p>
      <w:pPr>
        <w:spacing w:after="0" w:line="199"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If so indicated in the applicable Prospectus Supplement, the Company will authorize underwriters or other persons acting as the Company's agents to solicit offers by certain institutions to purchase Debt</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8" w:right="1440" w:bottom="1440" w:gutter="0" w:footer="0" w:header="0"/>
          <w:type w:val="continuous"/>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40</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95"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VALIDITY OF SECURITIES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9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EXPERTS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Prospectus, have been incorporated herein in reliance on the report of Coopers &amp; Lybrand L.L.P., independent accountants, given on the authority of that firm as experts in accounting and auditing.</w:t>
      </w: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0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41</w:t>
      </w:r>
    </w:p>
    <w:p>
      <w:pPr>
        <w:spacing w:after="0" w:line="19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7"/>
          <w:szCs w:val="17"/>
          <w:color w:val="auto"/>
        </w:rPr>
        <w:t>[THIS PAGE INTENTIONALLY LEFT BLANK]</w:t>
      </w:r>
    </w:p>
    <w:p>
      <w:pPr>
        <w:sectPr>
          <w:pgSz w:w="11900" w:h="16838" w:orient="portrait"/>
          <w:cols w:equalWidth="0" w:num="1">
            <w:col w:w="9919"/>
          </w:cols>
          <w:pgMar w:left="540" w:top="308"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42</w:t>
      </w:r>
    </w:p>
    <w:p>
      <w:pPr>
        <w:spacing w:after="0" w:line="196"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7"/>
          <w:szCs w:val="17"/>
          <w:color w:val="auto"/>
        </w:rPr>
        <w:t>[THIS PAGE INTENTIONALLY LEFT BLANK]</w:t>
      </w:r>
    </w:p>
    <w:p>
      <w:pPr>
        <w:sectPr>
          <w:pgSz w:w="11900" w:h="16838" w:orient="portrait"/>
          <w:cols w:equalWidth="0" w:num="1">
            <w:col w:w="9919"/>
          </w:cols>
          <w:pgMar w:left="540" w:top="308"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43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85" w:lineRule="exact"/>
        <w:rPr>
          <w:sz w:val="20"/>
          <w:szCs w:val="20"/>
          <w:color w:val="auto"/>
        </w:rPr>
      </w:pPr>
    </w:p>
    <w:p>
      <w:pPr>
        <w:spacing w:after="0"/>
        <w:tabs>
          <w:tab w:leader="none" w:pos="4340" w:val="left"/>
        </w:tabs>
        <w:rPr>
          <w:sz w:val="20"/>
          <w:szCs w:val="20"/>
          <w:color w:val="auto"/>
        </w:rPr>
      </w:pPr>
      <w:r>
        <w:rPr>
          <w:rFonts w:ascii="Courier New" w:cs="Courier New" w:eastAsia="Courier New" w:hAnsi="Courier New"/>
          <w:sz w:val="17"/>
          <w:szCs w:val="17"/>
          <w:color w:val="auto"/>
        </w:rPr>
        <w:t>PROSPECTUS SUPPLEMENT</w:t>
      </w:r>
      <w:r>
        <w:rPr>
          <w:sz w:val="20"/>
          <w:szCs w:val="20"/>
          <w:color w:val="auto"/>
        </w:rPr>
        <w:tab/>
      </w:r>
      <w:r>
        <w:rPr>
          <w:rFonts w:ascii="Courier New" w:cs="Courier New" w:eastAsia="Courier New" w:hAnsi="Courier New"/>
          <w:sz w:val="16"/>
          <w:szCs w:val="16"/>
          <w:color w:val="auto"/>
        </w:rPr>
        <w:t>PAGE</w:t>
      </w:r>
    </w:p>
    <w:p>
      <w:pPr>
        <w:spacing w:after="0" w:line="196" w:lineRule="exact"/>
        <w:rPr>
          <w:sz w:val="20"/>
          <w:szCs w:val="20"/>
          <w:color w:val="auto"/>
        </w:rPr>
      </w:pPr>
    </w:p>
    <w:p>
      <w:pPr>
        <w:spacing w:after="0"/>
        <w:tabs>
          <w:tab w:leader="dot" w:pos="4440" w:val="left"/>
        </w:tabs>
        <w:rPr>
          <w:sz w:val="20"/>
          <w:szCs w:val="20"/>
          <w:color w:val="auto"/>
        </w:rPr>
      </w:pPr>
      <w:r>
        <w:rPr>
          <w:rFonts w:ascii="Courier New" w:cs="Courier New" w:eastAsia="Courier New" w:hAnsi="Courier New"/>
          <w:sz w:val="17"/>
          <w:szCs w:val="17"/>
          <w:color w:val="auto"/>
        </w:rPr>
        <w:t>Prospectus Supplement Summary</w:t>
      </w:r>
      <w:r>
        <w:rPr>
          <w:sz w:val="20"/>
          <w:szCs w:val="20"/>
          <w:color w:val="auto"/>
        </w:rPr>
        <w:tab/>
      </w:r>
      <w:r>
        <w:rPr>
          <w:rFonts w:ascii="Courier New" w:cs="Courier New" w:eastAsia="Courier New" w:hAnsi="Courier New"/>
          <w:sz w:val="16"/>
          <w:szCs w:val="16"/>
          <w:color w:val="auto"/>
        </w:rPr>
        <w:t>S-3</w:t>
      </w:r>
    </w:p>
    <w:p>
      <w:pPr>
        <w:spacing w:after="0" w:line="2" w:lineRule="exact"/>
        <w:rPr>
          <w:sz w:val="20"/>
          <w:szCs w:val="20"/>
          <w:color w:val="auto"/>
        </w:rPr>
      </w:pPr>
    </w:p>
    <w:p>
      <w:pPr>
        <w:spacing w:after="0"/>
        <w:tabs>
          <w:tab w:leader="dot" w:pos="44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S-5</w:t>
      </w:r>
    </w:p>
    <w:p>
      <w:pPr>
        <w:spacing w:after="0" w:line="2" w:lineRule="exact"/>
        <w:rPr>
          <w:sz w:val="20"/>
          <w:szCs w:val="20"/>
          <w:color w:val="auto"/>
        </w:rPr>
      </w:pPr>
    </w:p>
    <w:p>
      <w:pPr>
        <w:spacing w:after="0"/>
        <w:tabs>
          <w:tab w:leader="dot" w:pos="4440" w:val="left"/>
        </w:tabs>
        <w:rPr>
          <w:sz w:val="20"/>
          <w:szCs w:val="20"/>
          <w:color w:val="auto"/>
        </w:rPr>
      </w:pPr>
      <w:r>
        <w:rPr>
          <w:rFonts w:ascii="Courier New" w:cs="Courier New" w:eastAsia="Courier New" w:hAnsi="Courier New"/>
          <w:sz w:val="17"/>
          <w:szCs w:val="17"/>
          <w:color w:val="auto"/>
        </w:rPr>
        <w:t>Ratios of Earnings to Fixed Charges</w:t>
      </w:r>
      <w:r>
        <w:rPr>
          <w:sz w:val="20"/>
          <w:szCs w:val="20"/>
          <w:color w:val="auto"/>
        </w:rPr>
        <w:tab/>
      </w:r>
      <w:r>
        <w:rPr>
          <w:rFonts w:ascii="Courier New" w:cs="Courier New" w:eastAsia="Courier New" w:hAnsi="Courier New"/>
          <w:sz w:val="16"/>
          <w:szCs w:val="16"/>
          <w:color w:val="auto"/>
        </w:rPr>
        <w:t>S-5</w:t>
      </w:r>
    </w:p>
    <w:p>
      <w:pPr>
        <w:spacing w:after="0" w:line="2" w:lineRule="exact"/>
        <w:rPr>
          <w:sz w:val="20"/>
          <w:szCs w:val="20"/>
          <w:color w:val="auto"/>
        </w:rPr>
      </w:pPr>
    </w:p>
    <w:p>
      <w:pPr>
        <w:spacing w:after="0"/>
        <w:tabs>
          <w:tab w:leader="dot" w:pos="4440" w:val="left"/>
        </w:tabs>
        <w:rPr>
          <w:sz w:val="20"/>
          <w:szCs w:val="20"/>
          <w:color w:val="auto"/>
        </w:rPr>
      </w:pPr>
      <w:r>
        <w:rPr>
          <w:rFonts w:ascii="Courier New" w:cs="Courier New" w:eastAsia="Courier New" w:hAnsi="Courier New"/>
          <w:sz w:val="17"/>
          <w:szCs w:val="17"/>
          <w:color w:val="auto"/>
        </w:rPr>
        <w:t>Description of Notes</w:t>
      </w:r>
      <w:r>
        <w:rPr>
          <w:sz w:val="20"/>
          <w:szCs w:val="20"/>
          <w:color w:val="auto"/>
        </w:rPr>
        <w:tab/>
      </w:r>
      <w:r>
        <w:rPr>
          <w:rFonts w:ascii="Courier New" w:cs="Courier New" w:eastAsia="Courier New" w:hAnsi="Courier New"/>
          <w:sz w:val="16"/>
          <w:szCs w:val="16"/>
          <w:color w:val="auto"/>
        </w:rPr>
        <w:t>S-7</w:t>
      </w:r>
    </w:p>
    <w:p>
      <w:pPr>
        <w:spacing w:after="0" w:line="2" w:lineRule="exact"/>
        <w:rPr>
          <w:sz w:val="20"/>
          <w:szCs w:val="20"/>
          <w:color w:val="auto"/>
        </w:rPr>
      </w:pPr>
    </w:p>
    <w:p>
      <w:pPr>
        <w:spacing w:after="0"/>
        <w:tabs>
          <w:tab w:leader="dot" w:pos="4340" w:val="left"/>
        </w:tabs>
        <w:rPr>
          <w:sz w:val="20"/>
          <w:szCs w:val="20"/>
          <w:color w:val="auto"/>
        </w:rPr>
      </w:pPr>
      <w:r>
        <w:rPr>
          <w:rFonts w:ascii="Courier New" w:cs="Courier New" w:eastAsia="Courier New" w:hAnsi="Courier New"/>
          <w:sz w:val="17"/>
          <w:szCs w:val="17"/>
          <w:color w:val="auto"/>
        </w:rPr>
        <w:t>Underwriting</w:t>
      </w:r>
      <w:r>
        <w:rPr>
          <w:sz w:val="20"/>
          <w:szCs w:val="20"/>
          <w:color w:val="auto"/>
        </w:rPr>
        <w:tab/>
      </w:r>
      <w:r>
        <w:rPr>
          <w:rFonts w:ascii="Courier New" w:cs="Courier New" w:eastAsia="Courier New" w:hAnsi="Courier New"/>
          <w:sz w:val="16"/>
          <w:szCs w:val="16"/>
          <w:color w:val="auto"/>
        </w:rPr>
        <w:t>S-11</w:t>
      </w:r>
    </w:p>
    <w:p>
      <w:pPr>
        <w:spacing w:after="0" w:line="2" w:lineRule="exact"/>
        <w:rPr>
          <w:sz w:val="20"/>
          <w:szCs w:val="20"/>
          <w:color w:val="auto"/>
        </w:rPr>
      </w:pPr>
    </w:p>
    <w:p>
      <w:pPr>
        <w:spacing w:after="0"/>
        <w:tabs>
          <w:tab w:leader="dot" w:pos="43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S-12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Incorporation of Certain Documents by</w:t>
      </w:r>
    </w:p>
    <w:p>
      <w:pPr>
        <w:spacing w:after="0" w:line="2" w:lineRule="exact"/>
        <w:rPr>
          <w:sz w:val="20"/>
          <w:szCs w:val="20"/>
          <w:color w:val="auto"/>
        </w:rPr>
      </w:pPr>
    </w:p>
    <w:p>
      <w:pPr>
        <w:ind w:left="200"/>
        <w:spacing w:after="0"/>
        <w:tabs>
          <w:tab w:leader="dot" w:pos="4640" w:val="left"/>
        </w:tabs>
        <w:rPr>
          <w:sz w:val="20"/>
          <w:szCs w:val="20"/>
          <w:color w:val="auto"/>
        </w:rPr>
      </w:pPr>
      <w:r>
        <w:rPr>
          <w:rFonts w:ascii="Courier New" w:cs="Courier New" w:eastAsia="Courier New" w:hAnsi="Courier New"/>
          <w:sz w:val="17"/>
          <w:szCs w:val="17"/>
          <w:color w:val="auto"/>
        </w:rPr>
        <w:t>Reference</w:t>
      </w:r>
      <w:r>
        <w:rPr>
          <w:sz w:val="20"/>
          <w:szCs w:val="20"/>
          <w:color w:val="auto"/>
        </w:rPr>
        <w:tab/>
      </w:r>
      <w:r>
        <w:rPr>
          <w:rFonts w:ascii="Courier New" w:cs="Courier New" w:eastAsia="Courier New" w:hAnsi="Courier New"/>
          <w:sz w:val="16"/>
          <w:szCs w:val="16"/>
          <w:color w:val="auto"/>
        </w:rPr>
        <w:t>2</w:t>
      </w:r>
    </w:p>
    <w:p>
      <w:pPr>
        <w:spacing w:after="0" w:line="2"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7"/>
          <w:szCs w:val="17"/>
          <w:color w:val="auto"/>
        </w:rPr>
        <w:t>Ratios of Earnings to Fixed Charges</w:t>
      </w:r>
      <w:r>
        <w:rPr>
          <w:sz w:val="20"/>
          <w:szCs w:val="20"/>
          <w:color w:val="auto"/>
        </w:rPr>
        <w:tab/>
      </w:r>
      <w:r>
        <w:rPr>
          <w:rFonts w:ascii="Courier New" w:cs="Courier New" w:eastAsia="Courier New" w:hAnsi="Courier New"/>
          <w:sz w:val="16"/>
          <w:szCs w:val="16"/>
          <w:color w:val="auto"/>
        </w:rPr>
        <w:t>3</w:t>
      </w:r>
    </w:p>
    <w:p>
      <w:pPr>
        <w:spacing w:after="0" w:line="2" w:lineRule="exact"/>
        <w:rPr>
          <w:sz w:val="20"/>
          <w:szCs w:val="20"/>
          <w:color w:val="auto"/>
        </w:rPr>
      </w:pPr>
    </w:p>
    <w:p>
      <w:pPr>
        <w:spacing w:after="0"/>
        <w:tabs>
          <w:tab w:leader="dot" w:pos="4640" w:val="left"/>
        </w:tabs>
        <w:rPr>
          <w:sz w:val="20"/>
          <w:szCs w:val="20"/>
          <w:color w:val="auto"/>
        </w:rPr>
      </w:pPr>
      <w:r>
        <w:rPr>
          <w:rFonts w:ascii="Courier New" w:cs="Courier New" w:eastAsia="Courier New" w:hAnsi="Courier New"/>
          <w:sz w:val="17"/>
          <w:szCs w:val="17"/>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2" w:lineRule="exact"/>
        <w:rPr>
          <w:sz w:val="20"/>
          <w:szCs w:val="20"/>
          <w:color w:val="auto"/>
        </w:rPr>
      </w:pPr>
    </w:p>
    <w:p>
      <w:pPr>
        <w:spacing w:after="0"/>
        <w:tabs>
          <w:tab w:leader="dot" w:pos="454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26</w:t>
      </w:r>
    </w:p>
    <w:p>
      <w:pPr>
        <w:spacing w:after="0" w:line="2" w:lineRule="exact"/>
        <w:rPr>
          <w:sz w:val="20"/>
          <w:szCs w:val="20"/>
          <w:color w:val="auto"/>
        </w:rPr>
      </w:pPr>
    </w:p>
    <w:p>
      <w:pPr>
        <w:spacing w:after="0"/>
        <w:tabs>
          <w:tab w:leader="dot" w:pos="454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27</w:t>
      </w:r>
    </w:p>
    <w:p>
      <w:pPr>
        <w:spacing w:after="0" w:line="2" w:lineRule="exact"/>
        <w:rPr>
          <w:sz w:val="20"/>
          <w:szCs w:val="20"/>
          <w:color w:val="auto"/>
        </w:rPr>
      </w:pPr>
    </w:p>
    <w:p>
      <w:pPr>
        <w:spacing w:after="0"/>
        <w:tabs>
          <w:tab w:leader="dot" w:pos="4540" w:val="left"/>
        </w:tabs>
        <w:rPr>
          <w:sz w:val="20"/>
          <w:szCs w:val="20"/>
          <w:color w:val="auto"/>
        </w:rPr>
      </w:pPr>
      <w:r>
        <w:rPr>
          <w:rFonts w:ascii="Courier New" w:cs="Courier New" w:eastAsia="Courier New" w:hAnsi="Courier New"/>
          <w:sz w:val="17"/>
          <w:szCs w:val="17"/>
          <w:color w:val="auto"/>
        </w:rPr>
        <w:t>Validity of Securities</w:t>
      </w:r>
      <w:r>
        <w:rPr>
          <w:sz w:val="20"/>
          <w:szCs w:val="20"/>
          <w:color w:val="auto"/>
        </w:rPr>
        <w:tab/>
      </w:r>
      <w:r>
        <w:rPr>
          <w:rFonts w:ascii="Courier New" w:cs="Courier New" w:eastAsia="Courier New" w:hAnsi="Courier New"/>
          <w:sz w:val="16"/>
          <w:szCs w:val="16"/>
          <w:color w:val="auto"/>
        </w:rPr>
        <w:t>28</w:t>
      </w:r>
    </w:p>
    <w:p>
      <w:pPr>
        <w:spacing w:after="0" w:line="2" w:lineRule="exact"/>
        <w:rPr>
          <w:sz w:val="20"/>
          <w:szCs w:val="20"/>
          <w:color w:val="auto"/>
        </w:rPr>
      </w:pPr>
    </w:p>
    <w:p>
      <w:pPr>
        <w:spacing w:after="0"/>
        <w:tabs>
          <w:tab w:leader="dot" w:pos="454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28</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$500,000,000</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USA WASTE</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SERVICES, INC.</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6 1/2% SENIOR NOTES DUE 2002</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7 1/8% SENIOR NOTES DUE 2017</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PROSPECTUS SUPPLEMENT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DONALDSON, LUFKIN &amp; JENRETTE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SECURITIES CORPORATION</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MERRILL LYNCH &amp; CO.</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J.P. MORGAN &amp; CO.</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DEUTSCHE MORGAN GRENFELL</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DECEMBER 12, 1997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lowerRoman"/>
      <w:start w:val="2"/>
    </w:lvl>
  </w:abstractNum>
  <w:abstractNum w:abstractNumId="2">
    <w:nsid w:val="140E0F76"/>
    <w:multiLevelType w:val="hybridMultilevel"/>
    <w:lvl w:ilvl="0">
      <w:lvlJc w:val="left"/>
      <w:lvlText w:val="(%1)"/>
      <w:numFmt w:val="lowerRoman"/>
      <w:start w:val="1"/>
    </w:lvl>
  </w:abstractNum>
  <w:abstractNum w:abstractNumId="3">
    <w:nsid w:val="3352255A"/>
    <w:multiLevelType w:val="hybridMultilevel"/>
    <w:lvl w:ilvl="0">
      <w:lvlJc w:val="left"/>
      <w:lvlText w:val="(%1)"/>
      <w:numFmt w:val="lowerLetter"/>
      <w:start w:val="1"/>
    </w:lvl>
    <w:lvl w:ilvl="1">
      <w:lvlJc w:val="left"/>
      <w:lvlText w:val="%2)"/>
      <w:numFmt w:val="decimal"/>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1)"/>
      <w:numFmt w:val="lowerRoman"/>
      <w:start w:val="18"/>
    </w:lvl>
  </w:abstractNum>
  <w:abstractNum w:abstractNumId="6">
    <w:nsid w:val="7FDCC233"/>
    <w:multiLevelType w:val="hybridMultilevel"/>
    <w:lvl w:ilvl="0">
      <w:lvlJc w:val="left"/>
      <w:lvlText w:val="%1)"/>
      <w:numFmt w:val="decimal"/>
      <w:start w:val="305"/>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1)"/>
      <w:numFmt w:val="lowerLetter"/>
      <w:start w:val="1"/>
    </w:lvl>
    <w:lvl w:ilvl="1">
      <w:lvlJc w:val="left"/>
      <w:lvlText w:val="(%2)"/>
      <w:numFmt w:val="lowerRoman"/>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lowerRoman"/>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2"/>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2019-12-12T07:23:44Z</dcterms:created>
  <dcterms:modified xsi:type="dcterms:W3CDTF">2019-12-12T07:23:44Z</dcterms:modified>
</cp:coreProperties>
</file>