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FILED PURSUANT TO RULE 424(B)(5)</w:t>
      </w:r>
    </w:p>
    <w:p>
      <w:pPr>
        <w:jc w:val="right"/>
        <w:ind w:right="1779"/>
        <w:spacing w:after="0"/>
        <w:rPr>
          <w:sz w:val="20"/>
          <w:szCs w:val="20"/>
          <w:color w:val="auto"/>
        </w:rPr>
      </w:pPr>
      <w:r>
        <w:rPr>
          <w:rFonts w:ascii="Courier New" w:cs="Courier New" w:eastAsia="Courier New" w:hAnsi="Courier New"/>
          <w:sz w:val="18"/>
          <w:szCs w:val="18"/>
          <w:color w:val="auto"/>
        </w:rPr>
        <w:t>REGISTRATION NUMBER 333-80063</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w:t>
      </w:r>
    </w:p>
    <w:p>
      <w:pPr>
        <w:spacing w:after="0"/>
        <w:rPr>
          <w:sz w:val="20"/>
          <w:szCs w:val="20"/>
          <w:color w:val="auto"/>
        </w:rPr>
      </w:pPr>
      <w:r>
        <w:rPr>
          <w:rFonts w:ascii="Courier New" w:cs="Courier New" w:eastAsia="Courier New" w:hAnsi="Courier New"/>
          <w:sz w:val="18"/>
          <w:szCs w:val="18"/>
          <w:color w:val="auto"/>
        </w:rPr>
        <w:t>FEBRUARY 14, 2000)</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239,416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June 23, 2000, the last reported sale price of the common stock on the New York Stock Exchange was $17.125 per share.</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will issue the shares directly to certain persons in order to settle litigation. The shares will be issued to those persons based upon an agreed dollar value of shares in relation to the closing price of our common stock on the New York Stock Exchange on a specific trading date. We will not receive any proceeds from the issuance of these shares.</w:t>
      </w:r>
    </w:p>
    <w:p>
      <w:pPr>
        <w:spacing w:after="0" w:line="209" w:lineRule="exact"/>
        <w:rPr>
          <w:sz w:val="24"/>
          <w:szCs w:val="24"/>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Investing in the common stock involves risks that are described in the "Risk Factors" section beginning on page 4 of the accompanying prospectus.</w:t>
      </w:r>
    </w:p>
    <w:p>
      <w:pPr>
        <w:spacing w:after="0" w:line="16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expect to deliver the shares against payment therefor in Houston, Texas on or about June 30, 2000.</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Prospectus Supplement dated June 28, 2000</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NO DEALER, SALESPERSON OR OTHER PERSON HAS BEEN AUTHORIZED TO GIVE ANY INFORMATION OR TO MAKE ANY REPRESENTATION NOT CONTAINED IN THIS PROSPECTUS SUPPLEMENT OR THE ACCOMPANYING PROSPECTUS AND, IF GIVEN OR MADE, SUCH INFORMATION OR REPRESENTATION MUST NOT BE RELIED UPON AS HAVING BEEN AUTHORIZED BY WASTE MANAGEMENT. THIS PROSPECTUS SUPPLEMENT AND THE ACCOMPANYING PROSPECTUS DO NOT CONSTITUTE AN OFFER TO SELL OR A SOLICITATION OF ANY OFFER TO BUY ANY SECURITY OTHER THAN THE SHARES OFFERED HEREBY, NOR DO THEY CONSTITUTE AN OFFER TO SELL OR A SOLICITATION OF AN OFFER TO BUY ANY SECURITIES OFFERED HEREBY TO ANY PERSON IN ANY JURISDICTION IN WHICH IT IS UNLAWFUL TO MAKE SUCH AN OFFER OR SOLICITATION TO SUCH PERSON. NEITHER THE DELIVERY OF THIS PROSPECTUS SUPPLEMENT AND THE ACCOMPANYING PROSPECTUS NOR ANY SALE MADE HEREUNDER OR THEREUNDER SHALL UNDER ANY CIRCUMSTANCES IMPLY THAT THE INFORMATION CONTAINED HEREIN OR THEREIN IS CORRECT AS OF A DATE SUBSEQUENT TO THEIR RESPECTIVE DATES.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00" w:type="dxa"/>
            <w:vAlign w:val="bottom"/>
          </w:tcPr>
          <w:p>
            <w:pPr>
              <w:ind w:left="264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r>
      <w:tr>
        <w:trPr>
          <w:trHeight w:val="405"/>
        </w:trPr>
        <w:tc>
          <w:tcPr>
            <w:tcW w:w="7900" w:type="dxa"/>
            <w:vAlign w:val="bottom"/>
          </w:tcPr>
          <w:p>
            <w:pPr>
              <w:ind w:left="3380"/>
              <w:spacing w:after="0"/>
              <w:rPr>
                <w:sz w:val="20"/>
                <w:szCs w:val="20"/>
                <w:color w:val="auto"/>
              </w:rPr>
            </w:pPr>
            <w:r>
              <w:rPr>
                <w:rFonts w:ascii="Courier New" w:cs="Courier New" w:eastAsia="Courier New" w:hAnsi="Courier New"/>
                <w:sz w:val="18"/>
                <w:szCs w:val="18"/>
                <w:color w:val="auto"/>
              </w:rPr>
              <w:t>TABLE OF CONTENTS</w:t>
            </w:r>
          </w:p>
        </w:tc>
        <w:tc>
          <w:tcPr>
            <w:tcW w:w="540" w:type="dxa"/>
            <w:vAlign w:val="bottom"/>
          </w:tcPr>
          <w:p>
            <w:pPr>
              <w:spacing w:after="0"/>
              <w:rPr>
                <w:sz w:val="24"/>
                <w:szCs w:val="24"/>
                <w:color w:val="auto"/>
              </w:rPr>
            </w:pPr>
          </w:p>
        </w:tc>
      </w:tr>
      <w:tr>
        <w:trPr>
          <w:trHeight w:val="810"/>
        </w:trPr>
        <w:tc>
          <w:tcPr>
            <w:tcW w:w="790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79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900" w:type="dxa"/>
            <w:vAlign w:val="bottom"/>
          </w:tcPr>
          <w:p>
            <w:pPr>
              <w:ind w:left="3160"/>
              <w:spacing w:after="0" w:line="203" w:lineRule="exact"/>
              <w:rPr>
                <w:sz w:val="20"/>
                <w:szCs w:val="20"/>
                <w:color w:val="auto"/>
              </w:rPr>
            </w:pPr>
            <w:r>
              <w:rPr>
                <w:rFonts w:ascii="Courier New" w:cs="Courier New" w:eastAsia="Courier New" w:hAnsi="Courier New"/>
                <w:sz w:val="18"/>
                <w:szCs w:val="18"/>
                <w:color w:val="auto"/>
              </w:rPr>
              <w:t>PROSPECTUS SUPPLEMENT</w:t>
            </w:r>
          </w:p>
        </w:tc>
        <w:tc>
          <w:tcPr>
            <w:tcW w:w="540" w:type="dxa"/>
            <w:vAlign w:val="bottom"/>
          </w:tcPr>
          <w:p>
            <w:pPr>
              <w:spacing w:after="0"/>
              <w:rPr>
                <w:sz w:val="17"/>
                <w:szCs w:val="17"/>
                <w:color w:val="auto"/>
              </w:rPr>
            </w:pPr>
          </w:p>
        </w:tc>
      </w:tr>
      <w:tr>
        <w:trPr>
          <w:trHeight w:val="405"/>
        </w:trPr>
        <w:tc>
          <w:tcPr>
            <w:tcW w:w="7900" w:type="dxa"/>
            <w:vAlign w:val="bottom"/>
          </w:tcPr>
          <w:p>
            <w:pPr>
              <w:spacing w:after="0"/>
              <w:rPr>
                <w:sz w:val="20"/>
                <w:szCs w:val="20"/>
                <w:color w:val="auto"/>
              </w:rPr>
            </w:pPr>
            <w:r>
              <w:rPr>
                <w:rFonts w:ascii="Courier New" w:cs="Courier New" w:eastAsia="Courier New" w:hAnsi="Courier New"/>
                <w:sz w:val="18"/>
                <w:szCs w:val="18"/>
                <w:color w:val="auto"/>
                <w:w w:val="96"/>
              </w:rPr>
              <w:t>The Company.................................................................</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S-3</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Plan of Distribution........................................................</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S-4</w:t>
            </w:r>
          </w:p>
        </w:tc>
      </w:tr>
      <w:tr>
        <w:trPr>
          <w:trHeight w:val="405"/>
        </w:trPr>
        <w:tc>
          <w:tcPr>
            <w:tcW w:w="7900" w:type="dxa"/>
            <w:vAlign w:val="bottom"/>
          </w:tcPr>
          <w:p>
            <w:pPr>
              <w:ind w:left="3700"/>
              <w:spacing w:after="0"/>
              <w:rPr>
                <w:sz w:val="20"/>
                <w:szCs w:val="20"/>
                <w:color w:val="auto"/>
              </w:rPr>
            </w:pPr>
            <w:r>
              <w:rPr>
                <w:rFonts w:ascii="Courier New" w:cs="Courier New" w:eastAsia="Courier New" w:hAnsi="Courier New"/>
                <w:sz w:val="18"/>
                <w:szCs w:val="18"/>
                <w:color w:val="auto"/>
              </w:rPr>
              <w:t>PROSPECTUS</w:t>
            </w:r>
          </w:p>
        </w:tc>
        <w:tc>
          <w:tcPr>
            <w:tcW w:w="540" w:type="dxa"/>
            <w:vAlign w:val="bottom"/>
          </w:tcPr>
          <w:p>
            <w:pPr>
              <w:spacing w:after="0"/>
              <w:rPr>
                <w:sz w:val="24"/>
                <w:szCs w:val="24"/>
                <w:color w:val="auto"/>
              </w:rPr>
            </w:pPr>
          </w:p>
        </w:tc>
      </w:tr>
      <w:tr>
        <w:trPr>
          <w:trHeight w:val="405"/>
        </w:trPr>
        <w:tc>
          <w:tcPr>
            <w:tcW w:w="7900" w:type="dxa"/>
            <w:vAlign w:val="bottom"/>
          </w:tcPr>
          <w:p>
            <w:pPr>
              <w:spacing w:after="0"/>
              <w:rPr>
                <w:sz w:val="20"/>
                <w:szCs w:val="20"/>
                <w:color w:val="auto"/>
              </w:rPr>
            </w:pPr>
            <w:r>
              <w:rPr>
                <w:rFonts w:ascii="Courier New" w:cs="Courier New" w:eastAsia="Courier New" w:hAnsi="Courier New"/>
                <w:sz w:val="18"/>
                <w:szCs w:val="18"/>
                <w:color w:val="auto"/>
                <w:w w:val="94"/>
              </w:rPr>
              <w:t>Where To Find More Information...............................................</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Our Company..................................................................</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Risk Factors.................................................................</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Special Note Regarding Forward-Looking Statements...........................</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Use of Proceeds.............................................................</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Ratios of Earnings to Fixed Charges.........................................</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Description of Debt Securities..............................................</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Description of Capital Stock................................................</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Plan of Distribution........................................................</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Validity of Securities......................................................</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Experts.....................................................................</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r>
      <w:tr>
        <w:trPr>
          <w:trHeight w:val="608"/>
        </w:trPr>
        <w:tc>
          <w:tcPr>
            <w:tcW w:w="7900" w:type="dxa"/>
            <w:vAlign w:val="bottom"/>
          </w:tcPr>
          <w:p>
            <w:pPr>
              <w:ind w:left="4020"/>
              <w:spacing w:after="0"/>
              <w:rPr>
                <w:sz w:val="20"/>
                <w:szCs w:val="20"/>
                <w:color w:val="auto"/>
              </w:rPr>
            </w:pPr>
            <w:r>
              <w:rPr>
                <w:rFonts w:ascii="Courier New" w:cs="Courier New" w:eastAsia="Courier New" w:hAnsi="Courier New"/>
                <w:sz w:val="18"/>
                <w:szCs w:val="18"/>
                <w:color w:val="auto"/>
              </w:rPr>
              <w:t>S-2</w:t>
            </w:r>
          </w:p>
        </w:tc>
        <w:tc>
          <w:tcPr>
            <w:tcW w:w="54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We are one of the largest publicly-owned companies providing integrated waste management services in North America. We provide solid waste management services throughout the United States and Puerto Rico, as well as in Canada and Mexico, including collection, transfer, recycling and resource recovery services, and disposal services, including the landfill disposal of hazardous wastes. In addition, we are a leading developer, operator and owner of waste-to-energy facilities in the United States. We also currently operate in Europe, the Pacific Rim, South America and other select international markets. However, we are currently divesting of our international operations pursuant to our strategic plan, announced in the third quarter 1999. Our diversified customer base includes commercial, industrial, municipal and residential customers, other waste management companies, governmental entities and independent power markets.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During May and June 2000, we announced that our wholly owned subsidiaries had completed previously announced transactions to sell waste services operations in Italy, Australia and Germany, as well as our nuclear waste services operations in the U.S. Additionally, in June 2000, we announced that one of our wholly owned subsidiaries had reached an agreement to sell its waste services operations in the United Kingdom to Severn Trent Plc for approximately U.S. $570 million. The sale, which is subject to the approval of regulatory authorities and other customary conditions, is expected to be completed in the third quarter of 2000.</w:t>
      </w:r>
    </w:p>
    <w:p>
      <w:pPr>
        <w:spacing w:after="0" w:line="21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On June 21, 2000, we announced that we agreed to a settlement with the Securities and Exchange Commission related to our disclosures of information about expected earnings and revenues for the second quarter of 1999. In the settlement, we consented, without admitting or denying the SEC's findings, to the SEC's entry of an administrative order that we cease and desist from committing or causing violations of certain of the antifraud, books and records, and internal controls provisions of the federal securities laws. Specifically, the SEC's Order finds that, at least by June 9, 1999, we were aware of sufficient adverse information about our second quarter performance to make our continued support of public forecasts unreasonable. On July 6, 1999, we announced that both our second quarter revenues and earnings per share would be lower than previously anticipated. The SEC order assessed no monetary penalty or fine against us. As previously disclosed, we cooperated fully with the SEC in its inquiry.</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will issue the shares directly to certain persons in order to settle litigation and other claims or to satisfy judgments or arbitration awards. We will not receive any cash proceeds from these issuances but will eliminate an actual or potential liability.</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$3,000,000,000</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DEBT SECURITIES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We may offer from time to time</w:t>
      </w:r>
    </w:p>
    <w:p>
      <w:pPr>
        <w:spacing w:after="0" w:line="201" w:lineRule="exact"/>
        <w:rPr>
          <w:sz w:val="20"/>
          <w:szCs w:val="20"/>
          <w:color w:val="auto"/>
        </w:rPr>
      </w:pPr>
    </w:p>
    <w:p>
      <w:pPr>
        <w:ind w:left="1900" w:hanging="1049"/>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w:t>
      </w:r>
    </w:p>
    <w:p>
      <w:pPr>
        <w:spacing w:after="0" w:line="201" w:lineRule="exact"/>
        <w:rPr>
          <w:rFonts w:ascii="Courier New" w:cs="Courier New" w:eastAsia="Courier New" w:hAnsi="Courier New"/>
          <w:sz w:val="18"/>
          <w:szCs w:val="18"/>
          <w:color w:val="auto"/>
        </w:rPr>
      </w:pPr>
    </w:p>
    <w:p>
      <w:pPr>
        <w:ind w:left="1900" w:hanging="1049"/>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our common stock</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shares of common stock are listed on the New York Stock Exchange under the symbol "WMI."</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CONSIDER CAREFULLY THE RISK FACTORS BEGINNING ON PAGE 4.</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We will provide a prospectus supplement each time we issue the securities covered by this prospectus. The prospectus supplement will provide specific information about the terms of that offering and also may add, update or change information contained in this prospectus.</w:t>
      </w:r>
    </w:p>
    <w:p>
      <w:pPr>
        <w:spacing w:after="0" w:line="207"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You should read this prospectus and the related prospectus supplement carefully before you invest in our securities. This prospectus may not be used to offer and sell our securities unless accompanied by a prospectus supplement.</w:t>
      </w:r>
    </w:p>
    <w:p>
      <w:pPr>
        <w:spacing w:after="0" w:line="17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FEBRUARY 14, 2000.</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ind w:left="3380"/>
              <w:spacing w:after="0"/>
              <w:rPr>
                <w:sz w:val="20"/>
                <w:szCs w:val="20"/>
                <w:color w:val="auto"/>
              </w:rPr>
            </w:pPr>
            <w:r>
              <w:rPr>
                <w:rFonts w:ascii="Courier New" w:cs="Courier New" w:eastAsia="Courier New" w:hAnsi="Courier New"/>
                <w:sz w:val="18"/>
                <w:szCs w:val="18"/>
                <w:color w:val="auto"/>
              </w:rPr>
              <w:t>TABLE OF CONTENTS</w:t>
            </w:r>
          </w:p>
        </w:tc>
        <w:tc>
          <w:tcPr>
            <w:tcW w:w="2420" w:type="dxa"/>
            <w:vAlign w:val="bottom"/>
          </w:tcPr>
          <w:p>
            <w:pPr>
              <w:spacing w:after="0"/>
              <w:rPr>
                <w:sz w:val="17"/>
                <w:szCs w:val="17"/>
                <w:color w:val="auto"/>
              </w:rPr>
            </w:pPr>
          </w:p>
        </w:tc>
      </w:tr>
      <w:tr>
        <w:trPr>
          <w:trHeight w:val="608"/>
        </w:trPr>
        <w:tc>
          <w:tcPr>
            <w:tcW w:w="5800" w:type="dxa"/>
            <w:vAlign w:val="bottom"/>
          </w:tcPr>
          <w:p>
            <w:pPr>
              <w:spacing w:after="0"/>
              <w:rPr>
                <w:sz w:val="20"/>
                <w:szCs w:val="20"/>
                <w:color w:val="auto"/>
              </w:rPr>
            </w:pPr>
            <w:r>
              <w:rPr>
                <w:rFonts w:ascii="Courier New" w:cs="Courier New" w:eastAsia="Courier New" w:hAnsi="Courier New"/>
                <w:sz w:val="18"/>
                <w:szCs w:val="18"/>
                <w:color w:val="auto"/>
                <w:w w:val="71"/>
              </w:rPr>
              <w:t>Where To Find More Information.............................................</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71"/>
              </w:rPr>
              <w:t>Our Company................................................................</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71"/>
              </w:rPr>
              <w:t>Risk Factors...............................................................</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71"/>
              </w:rPr>
              <w:t>Special Note Regarding Forward-Looking Statements..........................</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71"/>
              </w:rPr>
              <w:t>Use of Proceeds............................................................</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Ratios of Earnings to Fixed Charges...................</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12</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71"/>
              </w:rPr>
              <w:t>Description of Debt Securities.............................................</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71"/>
              </w:rPr>
              <w:t>Description of Capital Stock...............................................</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71"/>
              </w:rPr>
              <w:t>Plan of Distribution.......................................................</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71"/>
              </w:rPr>
              <w:t>Validity of Securities.....................................................</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w w:val="71"/>
              </w:rPr>
              <w:t>Experts....................................................................</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WHERE TO FIND MORE INFORMATION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We have filed with the Securities and Exchange Commission a registration statement on Form S-3 (Reg. No. 333-80063) with respect to the securities we are offering. This prospectus does not contain all the information contained in the registration statement, including its exhibits and schedules. You should refer to the registration statement, including the exhibits and schedules, for further information about us and the securities we are offering. Statements we make in this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Commission and may be inspected without charge. We file annual, quarterly and current reports, proxy statements and other information with the Commission. Our Commission filings, including the registration statement, are available to the public over the Internet at the SEC's web site at http://www.sec.gov. You can also read and copy any document we file at:</w:t>
      </w:r>
    </w:p>
    <w:p>
      <w:pPr>
        <w:spacing w:after="0" w:line="209" w:lineRule="exact"/>
        <w:rPr>
          <w:sz w:val="20"/>
          <w:szCs w:val="20"/>
          <w:color w:val="auto"/>
        </w:rPr>
      </w:pPr>
    </w:p>
    <w:p>
      <w:pPr>
        <w:ind w:left="1800" w:right="1779" w:hanging="949"/>
        <w:spacing w:after="0" w:line="235" w:lineRule="auto"/>
        <w:tabs>
          <w:tab w:leader="none" w:pos="18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reference facilities maintained by the Commission at 450 Fifth Street, N.W., Washington, D.C. 20549, and</w:t>
      </w:r>
    </w:p>
    <w:p>
      <w:pPr>
        <w:spacing w:after="0" w:line="202" w:lineRule="exact"/>
        <w:rPr>
          <w:rFonts w:ascii="Courier New" w:cs="Courier New" w:eastAsia="Courier New" w:hAnsi="Courier New"/>
          <w:sz w:val="18"/>
          <w:szCs w:val="18"/>
          <w:color w:val="auto"/>
        </w:rPr>
      </w:pPr>
    </w:p>
    <w:p>
      <w:pPr>
        <w:ind w:left="1900" w:hanging="1049"/>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regional offices of the Commission located at:</w:t>
      </w:r>
    </w:p>
    <w:p>
      <w:pPr>
        <w:spacing w:after="0" w:line="206" w:lineRule="exact"/>
        <w:rPr>
          <w:rFonts w:ascii="Courier New" w:cs="Courier New" w:eastAsia="Courier New" w:hAnsi="Courier New"/>
          <w:sz w:val="18"/>
          <w:szCs w:val="18"/>
          <w:color w:val="auto"/>
        </w:rPr>
      </w:pPr>
    </w:p>
    <w:p>
      <w:pPr>
        <w:ind w:left="2960" w:right="251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o500 West Madison Street, Suite 1400, Chicago, Illinois 60661, and</w:t>
      </w:r>
    </w:p>
    <w:p>
      <w:pPr>
        <w:spacing w:after="0" w:line="208" w:lineRule="exact"/>
        <w:rPr>
          <w:sz w:val="20"/>
          <w:szCs w:val="20"/>
          <w:color w:val="auto"/>
        </w:rPr>
      </w:pPr>
    </w:p>
    <w:p>
      <w:pPr>
        <w:ind w:left="2960" w:right="2319" w:hanging="1056"/>
        <w:spacing w:after="0" w:line="235" w:lineRule="auto"/>
        <w:tabs>
          <w:tab w:leader="none" w:pos="2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World Trade Center, Suite 1300, New York, New York 10048.</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Please call the Commission at 1-800-SEC-0330 for more information about the public reference facilities.</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You can also inspect material filed by us at the offices of the New York Stock Exchange, 20 Broad Street, New York, New York 10005, on which shares of our common stock are listed.</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We are incorporating by reference in this prospectus some information we file with the Commission. This means that we are disclosing important information to you by referring you to those documents. Specifically, we incorporate by reference the documents set forth below that we have previously filed with the Commission: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6" w:name="page7"/>
    <w:bookmarkEnd w:id="6"/>
    <w:tbl>
      <w:tblPr>
        <w:tblLayout w:type="fixed"/>
        <w:tblInd w:w="32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39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810"/>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COMMISSION FILINGS (FILE NO. 1-12154)</w:t>
            </w:r>
          </w:p>
        </w:tc>
        <w:tc>
          <w:tcPr>
            <w:tcW w:w="3740" w:type="dxa"/>
            <w:vAlign w:val="bottom"/>
            <w:gridSpan w:val="2"/>
          </w:tcPr>
          <w:p>
            <w:pPr>
              <w:ind w:left="1200"/>
              <w:spacing w:after="0"/>
              <w:rPr>
                <w:sz w:val="20"/>
                <w:szCs w:val="20"/>
                <w:color w:val="auto"/>
              </w:rPr>
            </w:pPr>
            <w:r>
              <w:rPr>
                <w:rFonts w:ascii="Courier New" w:cs="Courier New" w:eastAsia="Courier New" w:hAnsi="Courier New"/>
                <w:sz w:val="18"/>
                <w:szCs w:val="18"/>
                <w:color w:val="auto"/>
              </w:rPr>
              <w:t>PERIOD/DATE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900" w:type="dxa"/>
            <w:vAlign w:val="bottom"/>
          </w:tcPr>
          <w:p>
            <w:pPr>
              <w:ind w:left="480"/>
              <w:spacing w:after="0"/>
              <w:rPr>
                <w:sz w:val="20"/>
                <w:szCs w:val="20"/>
                <w:color w:val="auto"/>
              </w:rPr>
            </w:pPr>
            <w:r>
              <w:rPr>
                <w:rFonts w:ascii="Courier New" w:cs="Courier New" w:eastAsia="Courier New" w:hAnsi="Courier New"/>
                <w:sz w:val="18"/>
                <w:szCs w:val="18"/>
                <w:color w:val="auto"/>
              </w:rPr>
              <w:t>Annual Report on Form 10-K</w:t>
            </w:r>
          </w:p>
        </w:tc>
        <w:tc>
          <w:tcPr>
            <w:tcW w:w="37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Year ended December 31, 1998</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900" w:type="dxa"/>
            <w:vAlign w:val="bottom"/>
          </w:tcPr>
          <w:p>
            <w:pPr>
              <w:ind w:left="480"/>
              <w:spacing w:after="0"/>
              <w:rPr>
                <w:sz w:val="20"/>
                <w:szCs w:val="20"/>
                <w:color w:val="auto"/>
              </w:rPr>
            </w:pPr>
            <w:r>
              <w:rPr>
                <w:rFonts w:ascii="Courier New" w:cs="Courier New" w:eastAsia="Courier New" w:hAnsi="Courier New"/>
                <w:sz w:val="18"/>
                <w:szCs w:val="18"/>
                <w:color w:val="auto"/>
              </w:rPr>
              <w:t>Quarterly Report on Form 10-Q</w:t>
            </w:r>
          </w:p>
        </w:tc>
        <w:tc>
          <w:tcPr>
            <w:tcW w:w="1780" w:type="dxa"/>
            <w:vAlign w:val="bottom"/>
          </w:tcPr>
          <w:p>
            <w:pPr>
              <w:ind w:left="360"/>
              <w:spacing w:after="0"/>
              <w:rPr>
                <w:sz w:val="20"/>
                <w:szCs w:val="20"/>
                <w:color w:val="auto"/>
              </w:rPr>
            </w:pPr>
            <w:r>
              <w:rPr>
                <w:rFonts w:ascii="Courier New" w:cs="Courier New" w:eastAsia="Courier New" w:hAnsi="Courier New"/>
                <w:sz w:val="18"/>
                <w:szCs w:val="18"/>
                <w:color w:val="auto"/>
                <w:w w:val="99"/>
              </w:rPr>
              <w:t>Quarter ended</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March 31, 1999</w:t>
            </w:r>
          </w:p>
        </w:tc>
      </w:tr>
      <w:tr>
        <w:trPr>
          <w:trHeight w:val="203"/>
        </w:trPr>
        <w:tc>
          <w:tcPr>
            <w:tcW w:w="4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7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(certain items in financial</w:t>
            </w:r>
          </w:p>
        </w:tc>
      </w:tr>
      <w:tr>
        <w:trPr>
          <w:trHeight w:val="203"/>
        </w:trPr>
        <w:tc>
          <w:tcPr>
            <w:tcW w:w="4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7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statements were revised in June</w:t>
            </w:r>
          </w:p>
        </w:tc>
      </w:tr>
      <w:tr>
        <w:trPr>
          <w:trHeight w:val="203"/>
        </w:trPr>
        <w:tc>
          <w:tcPr>
            <w:tcW w:w="4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30, 1999 Form</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10-Q)</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900" w:type="dxa"/>
            <w:vAlign w:val="bottom"/>
          </w:tcPr>
          <w:p>
            <w:pPr>
              <w:ind w:left="480"/>
              <w:spacing w:after="0"/>
              <w:rPr>
                <w:sz w:val="20"/>
                <w:szCs w:val="20"/>
                <w:color w:val="auto"/>
              </w:rPr>
            </w:pPr>
            <w:r>
              <w:rPr>
                <w:rFonts w:ascii="Courier New" w:cs="Courier New" w:eastAsia="Courier New" w:hAnsi="Courier New"/>
                <w:sz w:val="18"/>
                <w:szCs w:val="18"/>
                <w:color w:val="auto"/>
              </w:rPr>
              <w:t>Quarterly Report on Form 10-Q</w:t>
            </w:r>
          </w:p>
        </w:tc>
        <w:tc>
          <w:tcPr>
            <w:tcW w:w="1780" w:type="dxa"/>
            <w:vAlign w:val="bottom"/>
          </w:tcPr>
          <w:p>
            <w:pPr>
              <w:ind w:left="360"/>
              <w:spacing w:after="0"/>
              <w:rPr>
                <w:sz w:val="20"/>
                <w:szCs w:val="20"/>
                <w:color w:val="auto"/>
              </w:rPr>
            </w:pPr>
            <w:r>
              <w:rPr>
                <w:rFonts w:ascii="Courier New" w:cs="Courier New" w:eastAsia="Courier New" w:hAnsi="Courier New"/>
                <w:sz w:val="18"/>
                <w:szCs w:val="18"/>
                <w:color w:val="auto"/>
                <w:w w:val="99"/>
              </w:rPr>
              <w:t>Quarter ended</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June 30, 1999</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900" w:type="dxa"/>
            <w:vAlign w:val="bottom"/>
          </w:tcPr>
          <w:p>
            <w:pPr>
              <w:ind w:left="480"/>
              <w:spacing w:after="0"/>
              <w:rPr>
                <w:sz w:val="20"/>
                <w:szCs w:val="20"/>
                <w:color w:val="auto"/>
              </w:rPr>
            </w:pPr>
            <w:r>
              <w:rPr>
                <w:rFonts w:ascii="Courier New" w:cs="Courier New" w:eastAsia="Courier New" w:hAnsi="Courier New"/>
                <w:sz w:val="18"/>
                <w:szCs w:val="18"/>
                <w:color w:val="auto"/>
              </w:rPr>
              <w:t>Quarterly Report on Form 10-Q</w:t>
            </w:r>
          </w:p>
        </w:tc>
        <w:tc>
          <w:tcPr>
            <w:tcW w:w="1780" w:type="dxa"/>
            <w:vAlign w:val="bottom"/>
          </w:tcPr>
          <w:p>
            <w:pPr>
              <w:ind w:left="360"/>
              <w:spacing w:after="0"/>
              <w:rPr>
                <w:sz w:val="20"/>
                <w:szCs w:val="20"/>
                <w:color w:val="auto"/>
              </w:rPr>
            </w:pPr>
            <w:r>
              <w:rPr>
                <w:rFonts w:ascii="Courier New" w:cs="Courier New" w:eastAsia="Courier New" w:hAnsi="Courier New"/>
                <w:sz w:val="18"/>
                <w:szCs w:val="18"/>
                <w:color w:val="auto"/>
                <w:w w:val="99"/>
              </w:rPr>
              <w:t>Quarter ended</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w w:val="96"/>
              </w:rPr>
              <w:t>September 30, 1999</w:t>
            </w:r>
          </w:p>
        </w:tc>
      </w:tr>
      <w:tr>
        <w:trPr>
          <w:trHeight w:val="203"/>
        </w:trPr>
        <w:tc>
          <w:tcPr>
            <w:tcW w:w="480" w:type="dxa"/>
            <w:vAlign w:val="bottom"/>
          </w:tcPr>
          <w:p>
            <w:pPr>
              <w:spacing w:after="0"/>
              <w:rPr>
                <w:sz w:val="17"/>
                <w:szCs w:val="17"/>
                <w:color w:val="auto"/>
              </w:rPr>
            </w:pPr>
          </w:p>
        </w:tc>
        <w:tc>
          <w:tcPr>
            <w:tcW w:w="39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(as amended on Form 10-Q/A)</w:t>
            </w:r>
          </w:p>
        </w:tc>
        <w:tc>
          <w:tcPr>
            <w:tcW w:w="17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900" w:type="dxa"/>
            <w:vAlign w:val="bottom"/>
          </w:tcPr>
          <w:p>
            <w:pPr>
              <w:ind w:left="480"/>
              <w:spacing w:after="0"/>
              <w:rPr>
                <w:sz w:val="20"/>
                <w:szCs w:val="20"/>
                <w:color w:val="auto"/>
              </w:rPr>
            </w:pPr>
            <w:r>
              <w:rPr>
                <w:rFonts w:ascii="Courier New" w:cs="Courier New" w:eastAsia="Courier New" w:hAnsi="Courier New"/>
                <w:sz w:val="18"/>
                <w:szCs w:val="18"/>
                <w:color w:val="auto"/>
              </w:rPr>
              <w:t>Current Report on Form 8-K</w:t>
            </w:r>
          </w:p>
        </w:tc>
        <w:tc>
          <w:tcPr>
            <w:tcW w:w="37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August 13, 1999</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900" w:type="dxa"/>
            <w:vAlign w:val="bottom"/>
          </w:tcPr>
          <w:p>
            <w:pPr>
              <w:ind w:left="480"/>
              <w:spacing w:after="0"/>
              <w:rPr>
                <w:sz w:val="20"/>
                <w:szCs w:val="20"/>
                <w:color w:val="auto"/>
              </w:rPr>
            </w:pPr>
            <w:r>
              <w:rPr>
                <w:rFonts w:ascii="Courier New" w:cs="Courier New" w:eastAsia="Courier New" w:hAnsi="Courier New"/>
                <w:sz w:val="18"/>
                <w:szCs w:val="18"/>
                <w:color w:val="auto"/>
              </w:rPr>
              <w:t>Current Report on Form 8-K</w:t>
            </w:r>
          </w:p>
        </w:tc>
        <w:tc>
          <w:tcPr>
            <w:tcW w:w="1780" w:type="dxa"/>
            <w:vAlign w:val="bottom"/>
          </w:tcPr>
          <w:p>
            <w:pPr>
              <w:ind w:left="360"/>
              <w:spacing w:after="0"/>
              <w:rPr>
                <w:sz w:val="20"/>
                <w:szCs w:val="20"/>
                <w:color w:val="auto"/>
              </w:rPr>
            </w:pPr>
            <w:r>
              <w:rPr>
                <w:rFonts w:ascii="Courier New" w:cs="Courier New" w:eastAsia="Courier New" w:hAnsi="Courier New"/>
                <w:sz w:val="18"/>
                <w:szCs w:val="18"/>
                <w:color w:val="auto"/>
                <w:w w:val="99"/>
              </w:rPr>
              <w:t>September 16,</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1999</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900" w:type="dxa"/>
            <w:vAlign w:val="bottom"/>
          </w:tcPr>
          <w:p>
            <w:pPr>
              <w:ind w:left="480"/>
              <w:spacing w:after="0"/>
              <w:rPr>
                <w:sz w:val="20"/>
                <w:szCs w:val="20"/>
                <w:color w:val="auto"/>
              </w:rPr>
            </w:pPr>
            <w:r>
              <w:rPr>
                <w:rFonts w:ascii="Courier New" w:cs="Courier New" w:eastAsia="Courier New" w:hAnsi="Courier New"/>
                <w:sz w:val="18"/>
                <w:szCs w:val="18"/>
                <w:color w:val="auto"/>
              </w:rPr>
              <w:t>Current Report on Form 8-K</w:t>
            </w:r>
          </w:p>
        </w:tc>
        <w:tc>
          <w:tcPr>
            <w:tcW w:w="37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February 10, 2000</w:t>
            </w:r>
          </w:p>
        </w:tc>
      </w:tr>
    </w:tbl>
    <w:p>
      <w:pPr>
        <w:spacing w:after="0" w:line="201" w:lineRule="exact"/>
        <w:rPr>
          <w:sz w:val="20"/>
          <w:szCs w:val="20"/>
          <w:color w:val="auto"/>
        </w:rPr>
      </w:pPr>
    </w:p>
    <w:p>
      <w:pPr>
        <w:ind w:left="1280" w:hanging="956"/>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Proxy Statement for the 1999 Annual</w:t>
      </w:r>
    </w:p>
    <w:p>
      <w:pPr>
        <w:sectPr>
          <w:pgSz w:w="11900" w:h="16838" w:orient="portrait"/>
          <w:cols w:equalWidth="0" w:num="1">
            <w:col w:w="10219"/>
          </w:cols>
          <w:pgMar w:left="240" w:top="312" w:right="1440" w:bottom="1440" w:gutter="0" w:footer="0" w:header="0"/>
        </w:sectPr>
      </w:pPr>
    </w:p>
    <w:p>
      <w:pPr>
        <w:spacing w:after="0" w:line="4"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6"/>
          <w:szCs w:val="16"/>
          <w:color w:val="auto"/>
        </w:rPr>
        <w:t>Meeting of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April 5, 1999</w:t>
      </w:r>
    </w:p>
    <w:p>
      <w:pPr>
        <w:spacing w:after="0" w:line="200" w:lineRule="exact"/>
        <w:rPr>
          <w:sz w:val="20"/>
          <w:szCs w:val="20"/>
          <w:color w:val="auto"/>
        </w:rPr>
      </w:pPr>
    </w:p>
    <w:p>
      <w:pPr>
        <w:sectPr>
          <w:pgSz w:w="11900" w:h="16838" w:orient="portrait"/>
          <w:cols w:equalWidth="0" w:num="2">
            <w:col w:w="4340" w:space="720"/>
            <w:col w:w="5159"/>
          </w:cols>
          <w:pgMar w:left="240" w:top="312" w:right="1440" w:bottom="1440" w:gutter="0" w:footer="0" w:header="0"/>
          <w:type w:val="continuous"/>
        </w:sectPr>
      </w:pPr>
    </w:p>
    <w:p>
      <w:pPr>
        <w:spacing w:after="0" w:line="226"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We also incorporate by reference the information contained in any future filings made with the Commission under Sections 13(a), 13(c), 14 or 15(d) of the Securities Exchange Act until we sell all of the securities covered by</w:t>
      </w:r>
    </w:p>
    <w:p>
      <w:pPr>
        <w:sectPr>
          <w:pgSz w:w="11900" w:h="16838" w:orient="portrait"/>
          <w:cols w:equalWidth="0" w:num="1">
            <w:col w:w="10219"/>
          </w:cols>
          <w:pgMar w:left="240" w:top="312" w:right="1440" w:bottom="1440" w:gutter="0" w:footer="0" w:header="0"/>
          <w:type w:val="continuous"/>
        </w:sectPr>
      </w:pPr>
    </w:p>
    <w:p>
      <w:pPr>
        <w:spacing w:after="0" w:line="1"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this prospectus, which information will be deemed to automatically update and supersede this information.</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rPr>
          <w:sz w:val="20"/>
          <w:szCs w:val="20"/>
          <w:color w:val="auto"/>
        </w:rPr>
      </w:pPr>
      <w:r>
        <w:rPr>
          <w:rFonts w:ascii="Courier New" w:cs="Courier New" w:eastAsia="Courier New" w:hAnsi="Courier New"/>
          <w:sz w:val="18"/>
          <w:szCs w:val="18"/>
          <w:color w:val="auto"/>
        </w:rPr>
        <w:t>HOUSTON, TEXAS 77002</w:t>
      </w:r>
    </w:p>
    <w:p>
      <w:pPr>
        <w:ind w:left="4120" w:hanging="636"/>
        <w:spacing w:after="0" w:line="237" w:lineRule="auto"/>
        <w:tabs>
          <w:tab w:leader="none" w:pos="4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512-6200</w:t>
      </w:r>
    </w:p>
    <w:p>
      <w:pPr>
        <w:ind w:left="3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SECRETARY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jc w:val="center"/>
        <w:ind w:right="1879"/>
        <w:spacing w:after="0" w:line="238" w:lineRule="auto"/>
        <w:rPr>
          <w:sz w:val="20"/>
          <w:szCs w:val="20"/>
          <w:color w:val="auto"/>
        </w:rPr>
      </w:pPr>
      <w:r>
        <w:rPr>
          <w:rFonts w:ascii="Courier New" w:cs="Courier New" w:eastAsia="Courier New" w:hAnsi="Courier New"/>
          <w:sz w:val="18"/>
          <w:szCs w:val="18"/>
          <w:color w:val="auto"/>
        </w:rPr>
        <w:t>OUR COMPANY</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We are a global leader in providing integrated waste management</w:t>
      </w:r>
    </w:p>
    <w:p>
      <w:pPr>
        <w:spacing w:after="0" w:line="238" w:lineRule="auto"/>
        <w:rPr>
          <w:sz w:val="20"/>
          <w:szCs w:val="20"/>
          <w:color w:val="auto"/>
        </w:rPr>
      </w:pPr>
      <w:r>
        <w:rPr>
          <w:rFonts w:ascii="Courier New" w:cs="Courier New" w:eastAsia="Courier New" w:hAnsi="Courier New"/>
          <w:sz w:val="18"/>
          <w:szCs w:val="18"/>
          <w:color w:val="auto"/>
        </w:rPr>
        <w:t>services.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North America, where we have our principal operations, we provide solid waste collection, transfer, recycling, resource recovery and disposal services. We also are a leading operator and owner of waste-to-energy and waste-fuel powered independent power facilities in the United States. We conduct other operations in North America, including landfill disposal of hazardous wastes, additional hazardous waste management services and low-level and other radioactive waste services.</w:t>
      </w:r>
    </w:p>
    <w:p>
      <w:pPr>
        <w:spacing w:after="0" w:line="211"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Outside of North America, we operate in Europe, the Pacific Rim, South America and other select international markets, where we provide collection and transportation services for solid, hazardous and medical wastes and collection, treatment and disposal services for recyclable materials. We also operate solid and hazardous waste landfills, municipal and hazardous waste incinerators, waste and wastewater treatment facilities and hazardous waste treatment facilities, as well as construct waste treatment or disposal facilities for third parties.</w:t>
      </w:r>
    </w:p>
    <w:p>
      <w:pPr>
        <w:spacing w:after="0" w:line="188" w:lineRule="exact"/>
        <w:rPr>
          <w:sz w:val="20"/>
          <w:szCs w:val="20"/>
          <w:color w:val="auto"/>
        </w:rPr>
      </w:pPr>
    </w:p>
    <w:p>
      <w:pPr>
        <w:ind w:right="2739" w:firstLine="948"/>
        <w:spacing w:after="0" w:line="279" w:lineRule="auto"/>
        <w:rPr>
          <w:sz w:val="20"/>
          <w:szCs w:val="20"/>
          <w:color w:val="auto"/>
        </w:rPr>
      </w:pPr>
      <w:r>
        <w:rPr>
          <w:rFonts w:ascii="Courier New" w:cs="Courier New" w:eastAsia="Courier New" w:hAnsi="Courier New"/>
          <w:sz w:val="16"/>
          <w:szCs w:val="16"/>
          <w:color w:val="auto"/>
        </w:rPr>
        <w:t>Our diversified customer base includes commercial, industrial, municipal and residential customers, other waste management companies, governmental entities and independent power markets.</w:t>
      </w:r>
    </w:p>
    <w:p>
      <w:pPr>
        <w:spacing w:after="0" w:line="17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July 16, 1998, we changed our name to "Waste Management, Inc.," from "USA Waste Services, Inc." On that date, we acquired all of the shares of Waste Management Holdings, Inc., which at the time was the largest publicly traded waste management services company in North America and which operated under the "Waste Management" name.</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Our executive offices are located at 1001 Fannin Street, Suite 4000, Houston, Texas 77002, and our telephone number is (713) 512-6200.</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In addition to the information set forth in this prospectus, you should carefully consider the risks described below before making an investment in the securities offered. The risks described below are not the only ones facing us. There may be additional risks not presently known to us or that we currently deem immaterial which may also impair our business operations.</w:t>
      </w:r>
    </w:p>
    <w:p>
      <w:pPr>
        <w:spacing w:after="0" w:line="18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Accounting charges have negatively impacted reported financial results, resulted in the impairment of the value of certain assets and may decrease our future cash flows</w:t>
      </w:r>
    </w:p>
    <w:p>
      <w:pPr>
        <w:spacing w:after="0" w:line="209"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During the third quarter of 1999, we initiated a comprehensive review of our accounting records, systems, processes and controls at the direction of our Board of Directors, which was completed in November 1999. As a result of this review, we recorded certain charges and adjustments in the quarter ended September 30, 1999 totaling $1.23 billion after tax. Because of the size of the charges, generally accepted accounting principles require us to attempt to determine whether portions of the charges apply to prior periods. While we believe that certain of these charges may relate to prior periods, we do not currently have sufficient information to identify all specific charges attributable to prior periods. Producing the information required to identify these charges would be cost prohibitive and disruptive to our operations.</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Some of the charges and adjustments we recorded in the third quarter 1999, such as certain increases in insurance reserves, environmental reserves, loss contract provisions and adjustments resulting from completing account reconciliations, are recurring in nature, and should therefore be expected to occur in future periods. Additionally, certain of these charges and adjustments, including receivables-related adjustments and insurance reserves, could have an impact on our future cash flows.</w:t>
      </w:r>
    </w:p>
    <w:p>
      <w:pPr>
        <w:spacing w:after="0" w:line="211"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Because some of the charges discussed above affect account balances applicable to periods prior to the quarter ended September 30, 1999, we concluded, after consultation with our independent public accountants, that our internal controls for the preparation of interim financial information did not provide an adequate basis for them to complete reviews of the quarterly data for the quarters in the nine months ended September 30, 1999. The review was completed in November 1999, and we do not anticipate any additional material adjustments to our financial statements based on the review. However, we may not be able to successfully stabilize our accounting systems and procedures, and close our accounting records and report our 1999 annual results in accordance with year end audit procedures. Any failure to stabilize our accounting systems could result in additional material charges and adjustments in the future.</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ENCOUNTER DIFFICULTIES IN IMPLEMENTING OUR PROPOSED STRATEGIC INITIATIVE</w:t>
      </w:r>
    </w:p>
    <w:p>
      <w:pPr>
        <w:spacing w:after="0" w:line="22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Our ability to successfully implement our proposed strategic initiative may be affected by the willingness of prospective purchasers to purchase the assets we identify as divestiture candidates on terms we find acceptable, the timing and terms on which such assets may be sold, uncertainties relating to regulatory approvals and other factors affecting the ability of prospective purchasers to consummate such transactions. The success of our strategic initiative could also be affected by the availability of financing, and uncertainties relating to the impact of the proposed strategic initiative on our credit ratings and, consequently, the availability and cost of debt and equity financing to us.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UNDERGOING CHANGES IN MANAGEMENT</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Our business may be affected by our ability to attract and retain qualified individuals to serve in senior management positions.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face uncertainties relating to pending litigation and investigations. We are unable to predict the outcome or impact of these matters and there can be no assurance that they will not have a material adverse effect on us and our business.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POTENTIAL DIFFICULTIES IN CONTINUING TO EXPAND AND MANAGE OUR GROWTH</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have grown rapidly, primarily through acquisitions. We cannot guarantee that we will be able to continue to expand and successfully manage our growth. We also cannot guarantee that our existing or acquired operations will not be adversely affected by the pace of our growth. Improving the productivity of our acquired operations and using our asset base and strategic position to operate more efficiently is very important to our financial results and prospects. In particular, whether we will ultimately achieve the anticipated benefits of acquired operations will depend on a number of factors, including our ability to effect:</w:t>
      </w:r>
    </w:p>
    <w:p>
      <w:pPr>
        <w:spacing w:after="0" w:line="208" w:lineRule="exact"/>
        <w:rPr>
          <w:sz w:val="20"/>
          <w:szCs w:val="20"/>
          <w:color w:val="auto"/>
        </w:rPr>
      </w:pPr>
    </w:p>
    <w:p>
      <w:pPr>
        <w:ind w:left="1900" w:hanging="1049"/>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 costs savings;</w:t>
      </w:r>
    </w:p>
    <w:p>
      <w:pPr>
        <w:spacing w:after="0" w:line="201" w:lineRule="exact"/>
        <w:rPr>
          <w:rFonts w:ascii="Courier New" w:cs="Courier New" w:eastAsia="Courier New" w:hAnsi="Courier New"/>
          <w:sz w:val="18"/>
          <w:szCs w:val="18"/>
          <w:color w:val="auto"/>
        </w:rPr>
      </w:pPr>
    </w:p>
    <w:p>
      <w:pPr>
        <w:ind w:left="1900" w:hanging="1049"/>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rationalization of collection routes;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ind w:left="1900" w:hanging="1049"/>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and bonding cost reductions; and</w:t>
      </w:r>
    </w:p>
    <w:p>
      <w:pPr>
        <w:spacing w:after="0" w:line="201" w:lineRule="exact"/>
        <w:rPr>
          <w:rFonts w:ascii="Courier New" w:cs="Courier New" w:eastAsia="Courier New" w:hAnsi="Courier New"/>
          <w:sz w:val="18"/>
          <w:szCs w:val="18"/>
          <w:color w:val="auto"/>
        </w:rPr>
      </w:pPr>
    </w:p>
    <w:p>
      <w:pPr>
        <w:ind w:left="1900" w:hanging="1049"/>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economies of scale.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Moreover, our ability to continue to grow will depend on a number of factors, including:</w:t>
      </w:r>
    </w:p>
    <w:p>
      <w:pPr>
        <w:spacing w:after="0" w:line="203" w:lineRule="exact"/>
        <w:rPr>
          <w:sz w:val="20"/>
          <w:szCs w:val="20"/>
          <w:color w:val="auto"/>
        </w:rPr>
      </w:pPr>
    </w:p>
    <w:p>
      <w:pPr>
        <w:ind w:left="1900" w:hanging="1049"/>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other waste management companies;</w:t>
      </w:r>
    </w:p>
    <w:p>
      <w:pPr>
        <w:spacing w:after="0" w:line="201" w:lineRule="exact"/>
        <w:rPr>
          <w:rFonts w:ascii="Courier New" w:cs="Courier New" w:eastAsia="Courier New" w:hAnsi="Courier New"/>
          <w:sz w:val="18"/>
          <w:szCs w:val="18"/>
          <w:color w:val="auto"/>
        </w:rPr>
      </w:pPr>
    </w:p>
    <w:p>
      <w:pPr>
        <w:ind w:left="1900" w:hanging="1049"/>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attractive acquisition opportunities;</w:t>
      </w:r>
    </w:p>
    <w:p>
      <w:pPr>
        <w:spacing w:after="0" w:line="206" w:lineRule="exact"/>
        <w:rPr>
          <w:rFonts w:ascii="Courier New" w:cs="Courier New" w:eastAsia="Courier New" w:hAnsi="Courier New"/>
          <w:sz w:val="18"/>
          <w:szCs w:val="18"/>
          <w:color w:val="auto"/>
        </w:rPr>
      </w:pPr>
    </w:p>
    <w:p>
      <w:pPr>
        <w:ind w:left="1900" w:right="2739" w:hanging="1049"/>
        <w:spacing w:after="0" w:line="235"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mitigate antitrust concerns related to acquisitions in several markets;</w:t>
      </w:r>
    </w:p>
    <w:p>
      <w:pPr>
        <w:spacing w:after="0" w:line="202" w:lineRule="exact"/>
        <w:rPr>
          <w:rFonts w:ascii="Courier New" w:cs="Courier New" w:eastAsia="Courier New" w:hAnsi="Courier New"/>
          <w:sz w:val="18"/>
          <w:szCs w:val="18"/>
          <w:color w:val="auto"/>
        </w:rPr>
      </w:pPr>
    </w:p>
    <w:p>
      <w:pPr>
        <w:ind w:left="1900" w:hanging="1049"/>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working capital;</w:t>
      </w:r>
    </w:p>
    <w:p>
      <w:pPr>
        <w:spacing w:after="0" w:line="206" w:lineRule="exact"/>
        <w:rPr>
          <w:rFonts w:ascii="Courier New" w:cs="Courier New" w:eastAsia="Courier New" w:hAnsi="Courier New"/>
          <w:sz w:val="18"/>
          <w:szCs w:val="18"/>
          <w:color w:val="auto"/>
        </w:rPr>
      </w:pPr>
    </w:p>
    <w:p>
      <w:pPr>
        <w:ind w:left="1900" w:right="2519" w:hanging="1049"/>
        <w:spacing w:after="0" w:line="235"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maintain margins on existing or acquired operations; and</w:t>
      </w:r>
    </w:p>
    <w:p>
      <w:pPr>
        <w:spacing w:after="0" w:line="208" w:lineRule="exact"/>
        <w:rPr>
          <w:rFonts w:ascii="Courier New" w:cs="Courier New" w:eastAsia="Courier New" w:hAnsi="Courier New"/>
          <w:sz w:val="18"/>
          <w:szCs w:val="18"/>
          <w:color w:val="auto"/>
        </w:rPr>
      </w:pPr>
    </w:p>
    <w:p>
      <w:pPr>
        <w:ind w:left="1900" w:right="2839" w:hanging="1049"/>
        <w:spacing w:after="0" w:line="235"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manage costs in a changing regulatory environment.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ACQUISITION STRATEGY INVOLVES POTENTIAL RISKS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regularly pursue opportunities to expand by acquiring additional waste management businesses and operations that can be effectively integrated with our existing operations. In addition, we regularly pursue mergers and acquisition transactions, some of which are significant, in new markets where we believe that we can successfully become a provider of integrated waste management services. As one of the leading industry consolidators, we could announce transactions with either publicly or privately owned businesses at any time.</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Our acquisition strategy involves potential risks. These risks include:</w:t>
      </w:r>
    </w:p>
    <w:p>
      <w:pPr>
        <w:spacing w:after="0" w:line="207" w:lineRule="exact"/>
        <w:rPr>
          <w:sz w:val="20"/>
          <w:szCs w:val="20"/>
          <w:color w:val="auto"/>
        </w:rPr>
      </w:pPr>
    </w:p>
    <w:p>
      <w:pPr>
        <w:ind w:left="1900" w:right="2419" w:hanging="1049"/>
        <w:spacing w:after="0" w:line="235"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accurately assess all of the pre-existing liabilities of acquired companies;</w:t>
      </w:r>
    </w:p>
    <w:p>
      <w:pPr>
        <w:spacing w:after="0" w:line="208" w:lineRule="exact"/>
        <w:rPr>
          <w:rFonts w:ascii="Courier New" w:cs="Courier New" w:eastAsia="Courier New" w:hAnsi="Courier New"/>
          <w:sz w:val="18"/>
          <w:szCs w:val="18"/>
          <w:color w:val="auto"/>
        </w:rPr>
      </w:pPr>
    </w:p>
    <w:p>
      <w:pPr>
        <w:ind w:left="1900" w:right="1779" w:hanging="1049"/>
        <w:spacing w:after="0" w:line="290" w:lineRule="auto"/>
        <w:tabs>
          <w:tab w:leader="none" w:pos="19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unexpected difficulties in successfully integrating the operations of acquired companies with our existing operations;</w:t>
      </w:r>
    </w:p>
    <w:p>
      <w:pPr>
        <w:spacing w:after="0" w:line="164" w:lineRule="exact"/>
        <w:rPr>
          <w:rFonts w:ascii="Courier New" w:cs="Courier New" w:eastAsia="Courier New" w:hAnsi="Courier New"/>
          <w:sz w:val="16"/>
          <w:szCs w:val="16"/>
          <w:color w:val="auto"/>
        </w:rPr>
      </w:pPr>
    </w:p>
    <w:p>
      <w:pPr>
        <w:ind w:left="1900" w:hanging="1049"/>
        <w:spacing w:after="0"/>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lack of attractive acquisition opportunities;</w:t>
      </w:r>
    </w:p>
    <w:p>
      <w:pPr>
        <w:spacing w:after="0" w:line="206" w:lineRule="exact"/>
        <w:rPr>
          <w:rFonts w:ascii="Courier New" w:cs="Courier New" w:eastAsia="Courier New" w:hAnsi="Courier New"/>
          <w:sz w:val="18"/>
          <w:szCs w:val="18"/>
          <w:color w:val="auto"/>
        </w:rPr>
      </w:pPr>
    </w:p>
    <w:p>
      <w:pPr>
        <w:ind w:left="1900" w:right="2519" w:hanging="1049"/>
        <w:spacing w:after="0" w:line="235"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inability to obtain the capital required to finance potential acquisitions on satisfactory terms;</w:t>
      </w:r>
    </w:p>
    <w:p>
      <w:pPr>
        <w:spacing w:after="0" w:line="202" w:lineRule="exact"/>
        <w:rPr>
          <w:rFonts w:ascii="Courier New" w:cs="Courier New" w:eastAsia="Courier New" w:hAnsi="Courier New"/>
          <w:sz w:val="18"/>
          <w:szCs w:val="18"/>
          <w:color w:val="auto"/>
        </w:rPr>
      </w:pPr>
    </w:p>
    <w:p>
      <w:pPr>
        <w:ind w:left="1900" w:hanging="1049"/>
        <w:spacing w:after="0"/>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businesses we acquire not proving profitable; and</w:t>
      </w:r>
    </w:p>
    <w:p>
      <w:pPr>
        <w:spacing w:after="0" w:line="206" w:lineRule="exact"/>
        <w:rPr>
          <w:rFonts w:ascii="Courier New" w:cs="Courier New" w:eastAsia="Courier New" w:hAnsi="Courier New"/>
          <w:sz w:val="18"/>
          <w:szCs w:val="18"/>
          <w:color w:val="auto"/>
        </w:rPr>
      </w:pPr>
    </w:p>
    <w:p>
      <w:pPr>
        <w:ind w:left="1900" w:right="2099" w:hanging="1049"/>
        <w:spacing w:after="0" w:line="290" w:lineRule="auto"/>
        <w:tabs>
          <w:tab w:leader="none" w:pos="19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incurring additional indebtedness or issuing additional equity securities as a result of future acquisitions.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NEED ADDITIONAL CAPITAL IF OUR CASH FLOW IS LESS THAN EXPECTED</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expect to generate sufficient cash flow from our operations in 1999 to cover our anticipated cash needs for capital expenditures and acquisitions. If our cash flow from operations during 1999 is less than currently expected, or our capital requirements increase, either due to strategic decisions or otherwise, we may elect to incur indebtedness or issue equity securities to cover any additional capital needs.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However, we cannot guarantee that we will be successful in obtaining additional capital in this manner on acceptable terms.</w:t>
      </w:r>
    </w:p>
    <w:p>
      <w:pPr>
        <w:spacing w:after="0" w:line="208" w:lineRule="exact"/>
        <w:rPr>
          <w:sz w:val="20"/>
          <w:szCs w:val="20"/>
          <w:color w:val="auto"/>
        </w:rPr>
      </w:pPr>
    </w:p>
    <w:p>
      <w:pPr>
        <w:ind w:right="2199" w:firstLine="948"/>
        <w:spacing w:after="0" w:line="273" w:lineRule="auto"/>
        <w:rPr>
          <w:sz w:val="20"/>
          <w:szCs w:val="20"/>
          <w:color w:val="auto"/>
        </w:rPr>
      </w:pPr>
      <w:r>
        <w:rPr>
          <w:rFonts w:ascii="Courier New" w:cs="Courier New" w:eastAsia="Courier New" w:hAnsi="Courier New"/>
          <w:sz w:val="16"/>
          <w:szCs w:val="16"/>
          <w:color w:val="auto"/>
        </w:rPr>
        <w:t>We also cannot guarantee that we will be successful in renewing our existing credit facilities, or that we will be able to renew the credit facilities on terms acceptable to us. If we are unable to renew our existing credit facilities, or to obtain other financing sources, our business and operating results could be affected adversely to a material extent.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FLUCTUATING INTEREST RATES COULD AFFECT US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the past, we have used variable rate debt under revolving bank credit arrangements as one method of financing our rapid growth. Although our recent financings have reduced the amount of variable rate debt as a percentage of total indebtedness outstanding, issuing variable rate debt will continue to be an alternative for us. Fluctuations in variable interest rates, which may occur as general interest rates change, could have a material adverse effect on us.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We encounter intense competition from governmental, quasi-governmental and private sources in all aspects of our operations.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North America, the waste management services industry consists of large national companies and local and regional companies of varying sizes and financial resources. We compete with numerous waste management companies as well as with counties and municipalities that maintain their own waste collection and disposal operations. These counties and municipalities may have financial competitive advantages because tax revenues and tax-exempt financing are available to them. In addition, competitors may reduce their prices to expand sales volume or to win competitively bid municipal contracts. Profitability may decline because of the national emphasis on recycling, composting, and other waste reduction programs that could reduce the volume of solid waste collected or deposited in disposal facilities.</w:t>
      </w:r>
    </w:p>
    <w:p>
      <w:pPr>
        <w:spacing w:after="0" w:line="216"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Outside of North America, the waste management services industry is very decentralized and highly fragmented. In some markets, however, we compete with substantial companies that hold significant market shares, particularly in Finland, Germany, the Netherlands, Sweden and the United Kingdom. Some of our international competitors may have greater financial resources and greater technical resources than we do with respect to specific matters. Especially in the case of larger contracts, we may be required to commit substantial resources over a long period of time during the proposal phase without any assurance that the contract will be awarded to us. Examples include contracts for city-cleaning services, contracts or bids with respect to the construction or development of water and wastewater facilities, or permitting and development of a new treatment facility, waste-to-energy facility, incinerator or landfill.</w:t>
      </w:r>
    </w:p>
    <w:p>
      <w:pPr>
        <w:spacing w:after="0" w:line="18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OUR ACCOUNTING POLICIES CONCERNING UNAMORTIZED CAPITALIZED EXPENDITURES COULD RESULT IN A MATERIAL CHARGE AGAINST OUR EARNINGS</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any pending acquisition that is not consummated, and any disposal site development or</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expansion project that is not completed. The charge against earnings is reduced by any portion of the capitalized expenditure and advances that we estimate will be recoverable, through sale or otherwise. In future periods, we may be required to incur a charge against earnings in accordance with our policy. Depending on its magnitude, any such charge could have a material adverse effect on our consolidated financial statements.</w:t>
      </w: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GOVERNMENTAL REGULATIONS MAY RESTRICT OUR OPERATIONS OR INCREASE THE LEVEL OF COSTS OF OUR OPERATIONS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in other countries have a substantial impact on our operations. A large number of complex laws, rules, orders and interpretations govern environmental protection, health and safety, land use, zoning and related matters. Among other things, they may restrict our operations and adversely affect our operating results and financial condition by imposing conditions such as:</w:t>
      </w:r>
    </w:p>
    <w:p>
      <w:pPr>
        <w:spacing w:after="0" w:line="211" w:lineRule="exact"/>
        <w:rPr>
          <w:sz w:val="20"/>
          <w:szCs w:val="20"/>
          <w:color w:val="auto"/>
        </w:rPr>
      </w:pPr>
    </w:p>
    <w:p>
      <w:pPr>
        <w:ind w:left="1900" w:right="1999" w:hanging="1049"/>
        <w:spacing w:after="0" w:line="236"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208" w:lineRule="exact"/>
        <w:rPr>
          <w:rFonts w:ascii="Courier New" w:cs="Courier New" w:eastAsia="Courier New" w:hAnsi="Courier New"/>
          <w:sz w:val="18"/>
          <w:szCs w:val="18"/>
          <w:color w:val="auto"/>
        </w:rPr>
      </w:pPr>
    </w:p>
    <w:p>
      <w:pPr>
        <w:ind w:left="1900" w:right="2419" w:hanging="1049"/>
        <w:spacing w:after="0" w:line="235"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of out-of-state waste or certain categories of waste; or</w:t>
      </w:r>
    </w:p>
    <w:p>
      <w:pPr>
        <w:spacing w:after="0" w:line="202" w:lineRule="exact"/>
        <w:rPr>
          <w:rFonts w:ascii="Courier New" w:cs="Courier New" w:eastAsia="Courier New" w:hAnsi="Courier New"/>
          <w:sz w:val="18"/>
          <w:szCs w:val="18"/>
          <w:color w:val="auto"/>
        </w:rPr>
      </w:pPr>
    </w:p>
    <w:p>
      <w:pPr>
        <w:ind w:left="1900" w:hanging="1049"/>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8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 These permits and approvals are difficult, time consuming and costly to obtain, in part because of possible opposition by governmental officials or citizens. In addition, these permits and approvals may contain conditions that limit operations and our ability to change the facility or are otherwise difficult to comply with. We cannot guarantee that we will be successful in obtaining and maintaining in effect permits and approvals required for the successful operation and growth of our business, including permits and approvals for the development of additional disposal capacity needed to replace existing capacity that is exhausted.</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Courts in the United States, basing their decisions on constitutional law, have ruled that state and local governments may not use regulatory flow control laws to restrict the free movement of waste in interstate commerce. We cannot predict what impact, if any, these decisions will have on our disposal facilities.</w:t>
      </w: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WE COULD BE LIABLE FOR ENVIRONMENTAL DAMAGES RESULTING FROM OUR DISPOSAL FACILITIES AND COLLECTION OPERATIONS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could be liable if our disposal facilities or collection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w:t>
      </w:r>
    </w:p>
    <w:p>
      <w:pPr>
        <w:sectPr>
          <w:pgSz w:w="11900" w:h="16838" w:orient="portrait"/>
          <w:cols w:equalWidth="0" w:num="1">
            <w:col w:w="10219"/>
          </w:cols>
          <w:pgMar w:left="240" w:top="312" w:right="1440" w:bottom="1440" w:gutter="0" w:footer="0" w:header="0"/>
        </w:sect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prior owner. Any substantial liability for environmental damage could have a material adverse effect on our operating results and financial condition.</w:t>
      </w:r>
    </w:p>
    <w:p>
      <w:pPr>
        <w:spacing w:after="0" w:line="170" w:lineRule="exact"/>
        <w:rPr>
          <w:sz w:val="20"/>
          <w:szCs w:val="20"/>
          <w:color w:val="auto"/>
        </w:rPr>
      </w:pPr>
    </w:p>
    <w:p>
      <w:pPr>
        <w:ind w:right="2199" w:firstLine="948"/>
        <w:spacing w:after="0" w:line="279" w:lineRule="auto"/>
        <w:rPr>
          <w:sz w:val="20"/>
          <w:szCs w:val="20"/>
          <w:color w:val="auto"/>
        </w:rPr>
      </w:pPr>
      <w:r>
        <w:rPr>
          <w:rFonts w:ascii="Courier New" w:cs="Courier New" w:eastAsia="Courier New" w:hAnsi="Courier New"/>
          <w:sz w:val="16"/>
          <w:szCs w:val="16"/>
          <w:color w:val="auto"/>
        </w:rPr>
        <w:t>In the ordinary course of our business, we may become involved in a variety of legal and administrative proceedings relating to land use and environmental laws and regulations. These may include proceedings in which:</w:t>
      </w:r>
    </w:p>
    <w:p>
      <w:pPr>
        <w:spacing w:after="0" w:line="178" w:lineRule="exact"/>
        <w:rPr>
          <w:sz w:val="20"/>
          <w:szCs w:val="20"/>
          <w:color w:val="auto"/>
        </w:rPr>
      </w:pPr>
    </w:p>
    <w:p>
      <w:pPr>
        <w:ind w:left="1900" w:right="1779" w:hanging="944"/>
        <w:spacing w:after="0" w:line="275" w:lineRule="auto"/>
        <w:tabs>
          <w:tab w:leader="none" w:pos="19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182" w:lineRule="exact"/>
        <w:rPr>
          <w:rFonts w:ascii="Courier New" w:cs="Courier New" w:eastAsia="Courier New" w:hAnsi="Courier New"/>
          <w:sz w:val="16"/>
          <w:szCs w:val="16"/>
          <w:color w:val="auto"/>
        </w:rPr>
      </w:pPr>
    </w:p>
    <w:p>
      <w:pPr>
        <w:ind w:left="1900" w:right="1999" w:hanging="944"/>
        <w:spacing w:after="0" w:line="237"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 for which we may be responsible.</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adverse outcome of one or more of these proceedings could have a material adverse effect on our financial position, results of operations or cash flows.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However, we cannot guarantee that we will always be successful in this regard. Where we are not, we may incur fines, penalties or other sanctions that could have a material adverse effect on our financial position, results of operations or cash flows.</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Due to the limited nature of such insurance coverage for environmental liability, if we were to incur liability for environmental damage, such liability could have a material adverse effect on our financial position, results of operations or cash flows.</w:t>
      </w:r>
    </w:p>
    <w:p>
      <w:pPr>
        <w:spacing w:after="0" w:line="211"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DEVELOPMENT AND ACCEPTANCE OF ALTERNATIVES TO LANDFILL DISPOSAL AND WASTE-TO-ENERGY FACILITIES COULD REDUCE OUR ABILITY TO OPERATE AT FULL CAPACITY</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Our customers are increasingly using alternatives to landfill disposal, such as recycling and composting. In addition, state and local governments are increasingly mandating recycling and waste reduction at the source and prohibiting the disposal of certain types of wastes, such as yard wastes, at landfills or waste-to-energy facilities.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FLUCTUATIONS IN THE PRICE OF RECYCLABLE MATERIALS AFFECT OUR OPERATING REVENUES</w:t>
      </w:r>
    </w:p>
    <w:p>
      <w:pPr>
        <w:spacing w:after="0" w:line="22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Recyclable materials that we process for sale, including paper, plastics, aluminum and other commodities, are subject to significant price fluctuations. These fluctuations will affect our future operating revenues and income.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COMMISSION IS INVESTIGATING THE ACCOUNTING PRACTICES OF WASTE MANAGEMENT HOLDINGS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Commission has commenced a formal investigation with respect to the previously filed financial statements (which were subsequently restated) and the related accounting policies, procedures and system of internal controls of Waste Management Holdings, Inc., or "WM Holdings," which we acquired through a merger in July 1998. Several lawsuits and claims have been filed against WM Holdings and some of its former officers and directors in connection with the restatement of WM Holdings' financial statements. We are unable to predict the outcome or impact of the investigation or any previously filed or future lawsuits or claims arising out of the restatement. However, it is reasonably possible that they could have a material adverse impact on our financial condition or results of operations in one or more future periods.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INTERNATIONAL OPERATIONS ENCOUNTER SOCIAL, POLITICAL AND ECONOMIC RISKS</w:t>
      </w:r>
    </w:p>
    <w:p>
      <w:pPr>
        <w:spacing w:after="0" w:line="207"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Our operations in foreign countries generally are subject to a number of risks inherent in any business operating in foreign countries, all of which are beyond our control. These risks include:</w:t>
      </w:r>
    </w:p>
    <w:p>
      <w:pPr>
        <w:spacing w:after="0" w:line="203" w:lineRule="exact"/>
        <w:rPr>
          <w:sz w:val="20"/>
          <w:szCs w:val="20"/>
          <w:color w:val="auto"/>
        </w:rPr>
      </w:pPr>
    </w:p>
    <w:p>
      <w:pPr>
        <w:ind w:left="1900" w:hanging="1049"/>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social and economic instability;</w:t>
      </w:r>
    </w:p>
    <w:p>
      <w:pPr>
        <w:spacing w:after="0" w:line="201" w:lineRule="exact"/>
        <w:rPr>
          <w:rFonts w:ascii="Courier New" w:cs="Courier New" w:eastAsia="Courier New" w:hAnsi="Courier New"/>
          <w:sz w:val="18"/>
          <w:szCs w:val="18"/>
          <w:color w:val="auto"/>
        </w:rPr>
      </w:pPr>
    </w:p>
    <w:p>
      <w:pPr>
        <w:ind w:left="1900" w:hanging="1049"/>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inflation;</w:t>
      </w:r>
    </w:p>
    <w:p>
      <w:pPr>
        <w:spacing w:after="0" w:line="201" w:lineRule="exact"/>
        <w:rPr>
          <w:rFonts w:ascii="Courier New" w:cs="Courier New" w:eastAsia="Courier New" w:hAnsi="Courier New"/>
          <w:sz w:val="18"/>
          <w:szCs w:val="18"/>
          <w:color w:val="auto"/>
        </w:rPr>
      </w:pPr>
    </w:p>
    <w:p>
      <w:pPr>
        <w:ind w:left="1900" w:hanging="1049"/>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strikes;</w:t>
      </w:r>
    </w:p>
    <w:p>
      <w:pPr>
        <w:spacing w:after="0" w:line="201" w:lineRule="exact"/>
        <w:rPr>
          <w:rFonts w:ascii="Courier New" w:cs="Courier New" w:eastAsia="Courier New" w:hAnsi="Courier New"/>
          <w:sz w:val="18"/>
          <w:szCs w:val="18"/>
          <w:color w:val="auto"/>
        </w:rPr>
      </w:pPr>
    </w:p>
    <w:p>
      <w:pPr>
        <w:ind w:left="1900" w:hanging="1049"/>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nationalization of assets;</w:t>
      </w:r>
    </w:p>
    <w:p>
      <w:pPr>
        <w:spacing w:after="0" w:line="201" w:lineRule="exact"/>
        <w:rPr>
          <w:rFonts w:ascii="Courier New" w:cs="Courier New" w:eastAsia="Courier New" w:hAnsi="Courier New"/>
          <w:sz w:val="18"/>
          <w:szCs w:val="18"/>
          <w:color w:val="auto"/>
        </w:rPr>
      </w:pPr>
    </w:p>
    <w:p>
      <w:pPr>
        <w:ind w:left="1900" w:hanging="1049"/>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currency restrictions and exchange rate fluctuations;</w:t>
      </w:r>
    </w:p>
    <w:p>
      <w:pPr>
        <w:spacing w:after="0" w:line="206" w:lineRule="exact"/>
        <w:rPr>
          <w:rFonts w:ascii="Courier New" w:cs="Courier New" w:eastAsia="Courier New" w:hAnsi="Courier New"/>
          <w:sz w:val="18"/>
          <w:szCs w:val="18"/>
          <w:color w:val="auto"/>
        </w:rPr>
      </w:pPr>
    </w:p>
    <w:p>
      <w:pPr>
        <w:ind w:left="1900" w:hanging="1049"/>
        <w:spacing w:after="0"/>
        <w:tabs>
          <w:tab w:leader="none" w:pos="19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nullification, modification or renegotiation of contracts; and</w:t>
      </w:r>
    </w:p>
    <w:p>
      <w:pPr>
        <w:spacing w:after="0" w:line="218" w:lineRule="exact"/>
        <w:rPr>
          <w:rFonts w:ascii="Courier New" w:cs="Courier New" w:eastAsia="Courier New" w:hAnsi="Courier New"/>
          <w:sz w:val="16"/>
          <w:szCs w:val="16"/>
          <w:color w:val="auto"/>
        </w:rPr>
      </w:pPr>
    </w:p>
    <w:p>
      <w:pPr>
        <w:ind w:left="1900" w:hanging="1049"/>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We can make no prediction as to how existing or future foreign governmental regulations in any jurisdiction may affect us in particular or the waste management industry in general.</w:t>
      </w: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 TO QUARTER</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this seasonality.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EFFECT OF CERTAIN ANTI-TAKEOVER PROVISIONS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Certain provisions of our Restated Certificate of Incorporation and Bylaws may make it more difficult for a third party to acquire us in a transaction that is not approved by our Board of Directors. For example, our Board of Directors has the power to issue up to 10,000,000 shares of our preferred stock in one or more series, and to fix the rights and preferences of any series, without further authorization by the holders of our common stock. In addition, our Board of Directors is divided into three classes, and each class serves for a staggered three-year term. This makes it more difficult for a third party to gain control of our Board of Directors. Generally, these provisions are designed to permit us to develop our businesses and foster our long-term growth without the disruption caused by the threat of a takeover that our Board of</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Directors does not think is in our best interests or in the best interests of our stockholders. Also, these provisions may discourage a third party from making a tender offer or otherwise attempting to gain control of us even though the attempt might be beneficial economically to us and our stockholders.</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In the normal course of our business, we, in an effort to help keep our stockholders and the public informed about our operations, may from time to time issue or make certain statements, either in writing or orally, that are or contain "forward-looking statements," as that term is defined in the U.S. federal securities laws. Generally, these statements relate to business plans or strategies, projected or anticipated benefits or other consequences of such plans or strategies, projected or anticipated benefits from acquisitions made by or to be made by us, or projections involving anticipated revenues, earnings, or other aspects of operating results. Certain statements contained in this prospectus or in the accompanying prospectus supplement and in the reports and filings with the Commission that we incorporated by reference may be forward-looking statements. The words "may," "expect," "believe," "anticipate," "project," "estimate," their opposites and similar expressions are intended to identify forward-looking statements. We caution readers that such statements are not guarantees of future performance or events and are subject to a number of factors that may tend to influence the accuracy of the statements and the projections upon which the statements are based, including, but not limited to, those discussed above under "Risk Factors." All phases of our operations are subject to a number of uncertainties, risks and other influences, many of which are outside our control, and any one of which, or a combination of which, could materially affect our consolidated financial statements and operations and whether forward-looking statements made by us ultimately prove to be accurate.</w:t>
      </w:r>
    </w:p>
    <w:p>
      <w:pPr>
        <w:spacing w:after="0" w:line="393"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These factors are discussed more completely in our filings with the Commission, including our annual report on Form 10-K for the year ended December 31, 1998, and our quarterly reports on Form 10-Q for the quarters ended March 31, 1999, June 30, 1999 and September 30, 1999, which are incorporated by reference into this prospectus.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Except as otherwise described in any prospectus supplement, we will use the net proceeds from the sale of our debt securities or common stock for general corporate purposes. We will determine any specific allocation of the net proceeds of an offering to a specific purpose at the time of such offering and will describe the specific allocation in the related prospectus supplement.</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may also issue shares of our common stock to settle litigation and other claims or to satisfy judgments or arbitration awards. We will not receive any cash proceeds from these issuances but will eliminate an actual or potential liability.</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following table sets forth our consolidated ratios of earnings to fixed charges for the periods as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96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YEAR ENDED DECEMBER 31,</w:t>
            </w:r>
          </w:p>
        </w:tc>
        <w:tc>
          <w:tcPr>
            <w:tcW w:w="1320" w:type="dxa"/>
            <w:vAlign w:val="bottom"/>
          </w:tcPr>
          <w:p>
            <w:pPr>
              <w:spacing w:after="0"/>
              <w:rPr>
                <w:sz w:val="17"/>
                <w:szCs w:val="17"/>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128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1997</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1998</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 1999</w:t>
            </w:r>
          </w:p>
        </w:tc>
      </w:tr>
      <w:tr>
        <w:trPr>
          <w:trHeight w:val="203"/>
        </w:trPr>
        <w:tc>
          <w:tcPr>
            <w:tcW w:w="128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Actual</w:t>
            </w:r>
          </w:p>
        </w:tc>
        <w:tc>
          <w:tcPr>
            <w:tcW w:w="13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2.7x</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2.6x</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2.1x</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N/A(1)</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N/A(2)</w:t>
            </w:r>
          </w:p>
        </w:tc>
        <w:tc>
          <w:tcPr>
            <w:tcW w:w="2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N/A(3)</w:t>
            </w:r>
          </w:p>
        </w:tc>
      </w:tr>
    </w:tbl>
    <w:p>
      <w:pPr>
        <w:spacing w:after="0" w:line="200" w:lineRule="exact"/>
        <w:rPr>
          <w:sz w:val="20"/>
          <w:szCs w:val="20"/>
          <w:color w:val="auto"/>
        </w:rPr>
      </w:pPr>
    </w:p>
    <w:p>
      <w:pPr>
        <w:spacing w:after="0" w:line="209" w:lineRule="exact"/>
        <w:rPr>
          <w:sz w:val="20"/>
          <w:szCs w:val="20"/>
          <w:color w:val="auto"/>
        </w:rPr>
      </w:pPr>
    </w:p>
    <w:p>
      <w:pPr>
        <w:ind w:left="540" w:right="199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cover fixed charges in 1997. Additional earnings of $660.4 million were necessary to cover fixed charges for this period. The earnings available for fixed charges were negatively impacted by merger costs of $112.7 million (primarily related to our merger with United Waste Systems, Inc. in August 1997), and asset impairments and unusual items of $1.8 billion. The asset impairments and unusual items primarily related to a comprehensive review performed by Waste Management Holdings of its operating assets and investments.</w:t>
      </w:r>
    </w:p>
    <w:p>
      <w:pPr>
        <w:spacing w:after="0" w:line="212" w:lineRule="exact"/>
        <w:rPr>
          <w:rFonts w:ascii="Courier New" w:cs="Courier New" w:eastAsia="Courier New" w:hAnsi="Courier New"/>
          <w:sz w:val="18"/>
          <w:szCs w:val="18"/>
          <w:color w:val="auto"/>
        </w:rPr>
      </w:pPr>
    </w:p>
    <w:p>
      <w:pPr>
        <w:ind w:left="540" w:right="1779" w:hanging="532"/>
        <w:spacing w:after="0" w:line="271"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insufficient to fund fixed charges in 1998. Additional earnings of $720.4 million were necessary to cover fixed charges for this period. The earnings available for fixed charges were negatively impacted by merger costs of $1.8 billion and asset impairments and unusual items of $864.1 million related primarily to the mergers between Waste Management, Inc. and Waste Management Holdings in July 1998, and Waste Management, Inc. and Eastern Environmental Services, Inc. in December 1998.</w:t>
      </w:r>
    </w:p>
    <w:p>
      <w:pPr>
        <w:spacing w:after="0" w:line="187" w:lineRule="exact"/>
        <w:rPr>
          <w:rFonts w:ascii="Courier New" w:cs="Courier New" w:eastAsia="Courier New" w:hAnsi="Courier New"/>
          <w:sz w:val="16"/>
          <w:szCs w:val="16"/>
          <w:color w:val="auto"/>
        </w:rPr>
      </w:pPr>
    </w:p>
    <w:p>
      <w:pPr>
        <w:ind w:left="540" w:right="1779" w:hanging="532"/>
        <w:spacing w:after="0" w:line="271"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insufficient to fund fixed charges for the nine months ended September 30, 1999. Additional earnings of $155.0 million were necessary to cover fixed charges for this period. The earnings available for fixed charges were negatively impacted by merger costs of $111.3 million related to the merger between Waste Management, Inc. and Waste Management Holdings, Inc. in July 1998 and $700.0 million related to the comprehensive review we performed of our operating assets and investments.</w:t>
      </w:r>
    </w:p>
    <w:p>
      <w:pPr>
        <w:spacing w:after="0" w:line="18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ectPr>
          <w:pgSz w:w="11900" w:h="16838" w:orient="portrait"/>
          <w:cols w:equalWidth="0" w:num="1">
            <w:col w:w="10219"/>
          </w:cols>
          <w:pgMar w:left="240" w:top="312" w:right="1440" w:bottom="1440" w:gutter="0" w:footer="0" w:header="0"/>
        </w:sectPr>
      </w:pP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ind w:left="2640"/>
        <w:spacing w:after="0" w:line="238" w:lineRule="auto"/>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Debt Securities will constitute either our senior debt, or "Senior Debt Securities," or our subordinated debt, or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us and Texas Commerce Bank National Association, now known as Chase Bank of Texas, National Association, or "Chase Bank," and in the form filed as an exhibit to the Registration Statement of which this prospectus is a part, subject to such amendments or supplements as may be adopted from time to time.</w:t>
      </w:r>
    </w:p>
    <w:p>
      <w:pPr>
        <w:spacing w:after="0" w:line="21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We have previously entered into a Senior Indenture dated as of September 10, 1997 with Chase Bank in the form filed as an exhibit to our Current Report on Form 8-K (file no. 1-12154) filed with the Commission on September 24, 1997. We have previously entered into a Subordinated Indenture dated as of February 1, 1997 with Chase Bank in the form filed as an exhibit to our Current Report on Form 8-K (file no. 1-12154) filed with the Commission on February 7, 1997. The Senior Debt Indenture and the Subordinated Debt Indenture, as amended or supplemented from time to time, are sometimes hereinafter referred to individually as an "Indenture" and collectively as the "Indentures." Chase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of our covenants and provisions relating to subordination and conversion.</w:t>
      </w:r>
    </w:p>
    <w:p>
      <w:pPr>
        <w:spacing w:after="0" w:line="211"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will be described therein.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TO BOTH SENIOR AND SUBORDINATED DEBT SECURITIES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General. The Debt Securities will be our unsecured senior or subordinated obligations and may be issued from time to time in one or more series. The Indentures do not limit the amount of Debt Securities, debentures, notes or other types of indebtedness that we may issue or that any of our subsidiaries may issue. The Indentures do not, other than as may be set forth in any prospectus supplement, restrict transactions between us and our affiliates or the payment of dividends or other distributions by us to our stockholders. The rights of our creditors, including holders of Debt Securities, will be limited to our assets and will not be an obligation of any of our Subsidiaries. In addition, other than as may be set forth in any prospectus supplement, the Indentures do not and the Debt Securities will not contain any covenants or other provisions that are intended to afford holders of the Debt Securities special protection in the event we experience either a change of control or a highly leveraged transaction.</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Reference is made to the prospectus supplement for the following terms of and information relating to the Debt Securities (to the extent such terms are applicable to such Debt Securities):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2" w:right="1440" w:bottom="1440"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18</w:t>
      </w:r>
    </w:p>
    <w:p>
      <w:pPr>
        <w:ind w:left="1480" w:hanging="949"/>
        <w:spacing w:after="0" w:line="238"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Debt Securities;</w:t>
      </w:r>
    </w:p>
    <w:p>
      <w:pPr>
        <w:spacing w:after="0" w:line="207" w:lineRule="exact"/>
        <w:rPr>
          <w:rFonts w:ascii="Courier New" w:cs="Courier New" w:eastAsia="Courier New" w:hAnsi="Courier New"/>
          <w:sz w:val="18"/>
          <w:szCs w:val="18"/>
          <w:color w:val="auto"/>
        </w:rPr>
      </w:pPr>
    </w:p>
    <w:p>
      <w:pPr>
        <w:ind w:left="1480" w:right="1779" w:hanging="949"/>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classification as either Senior Debt Securities or Subordinated Debt Securities;</w:t>
      </w:r>
    </w:p>
    <w:p>
      <w:pPr>
        <w:spacing w:after="0" w:line="208" w:lineRule="exact"/>
        <w:rPr>
          <w:rFonts w:ascii="Courier New" w:cs="Courier New" w:eastAsia="Courier New" w:hAnsi="Courier New"/>
          <w:sz w:val="18"/>
          <w:szCs w:val="18"/>
          <w:color w:val="auto"/>
        </w:rPr>
      </w:pPr>
    </w:p>
    <w:p>
      <w:pPr>
        <w:ind w:left="1480" w:right="1879" w:hanging="949"/>
        <w:spacing w:after="0" w:line="237"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w:t>
      </w:r>
    </w:p>
    <w:p>
      <w:pPr>
        <w:spacing w:after="0" w:line="212" w:lineRule="exact"/>
        <w:rPr>
          <w:rFonts w:ascii="Courier New" w:cs="Courier New" w:eastAsia="Courier New" w:hAnsi="Courier New"/>
          <w:sz w:val="18"/>
          <w:szCs w:val="18"/>
          <w:color w:val="auto"/>
        </w:rPr>
      </w:pPr>
    </w:p>
    <w:p>
      <w:pPr>
        <w:ind w:left="1480" w:right="2619" w:hanging="949"/>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 on the aggregate principal amount of the Debt Securities;</w:t>
      </w:r>
    </w:p>
    <w:p>
      <w:pPr>
        <w:spacing w:after="0" w:line="208" w:lineRule="exact"/>
        <w:rPr>
          <w:rFonts w:ascii="Courier New" w:cs="Courier New" w:eastAsia="Courier New" w:hAnsi="Courier New"/>
          <w:sz w:val="18"/>
          <w:szCs w:val="18"/>
          <w:color w:val="auto"/>
        </w:rPr>
      </w:pPr>
    </w:p>
    <w:p>
      <w:pPr>
        <w:ind w:left="1480" w:right="2099" w:hanging="949"/>
        <w:spacing w:after="0" w:line="237"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Debt Securities are to be issuable as Registered Securities or Bearer Securities or both, whether any of the Debt Securities are to be issuable initially in temporary global form and whether any of the Debt Securities are to be in permanent global form;</w:t>
      </w:r>
    </w:p>
    <w:p>
      <w:pPr>
        <w:spacing w:after="0" w:line="208" w:lineRule="exact"/>
        <w:rPr>
          <w:rFonts w:ascii="Courier New" w:cs="Courier New" w:eastAsia="Courier New" w:hAnsi="Courier New"/>
          <w:sz w:val="18"/>
          <w:szCs w:val="18"/>
          <w:color w:val="auto"/>
        </w:rPr>
      </w:pPr>
    </w:p>
    <w:p>
      <w:pPr>
        <w:jc w:val="both"/>
        <w:ind w:left="1480" w:right="2839" w:hanging="949"/>
        <w:spacing w:after="0" w:line="236"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or prices (expressed as a percentage of the aggregate principal amount thereof) at which the Debt Securities will be issued;</w:t>
      </w:r>
    </w:p>
    <w:p>
      <w:pPr>
        <w:spacing w:after="0" w:line="203" w:lineRule="exact"/>
        <w:rPr>
          <w:rFonts w:ascii="Courier New" w:cs="Courier New" w:eastAsia="Courier New" w:hAnsi="Courier New"/>
          <w:sz w:val="18"/>
          <w:szCs w:val="18"/>
          <w:color w:val="auto"/>
        </w:rPr>
      </w:pPr>
    </w:p>
    <w:p>
      <w:pPr>
        <w:ind w:left="1480" w:hanging="949"/>
        <w:spacing w:after="0"/>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Debt Securities will mature;</w:t>
      </w:r>
    </w:p>
    <w:p>
      <w:pPr>
        <w:spacing w:after="0" w:line="206" w:lineRule="exact"/>
        <w:rPr>
          <w:rFonts w:ascii="Courier New" w:cs="Courier New" w:eastAsia="Courier New" w:hAnsi="Courier New"/>
          <w:sz w:val="18"/>
          <w:szCs w:val="18"/>
          <w:color w:val="auto"/>
        </w:rPr>
      </w:pPr>
    </w:p>
    <w:p>
      <w:pPr>
        <w:ind w:left="1480" w:right="1999" w:hanging="949"/>
        <w:spacing w:after="0" w:line="237"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per annum (or the method by which such will be determined) at which the Debt Securities will bear interest, if any, and the date from which any such interest will accrue;</w:t>
      </w:r>
    </w:p>
    <w:p>
      <w:pPr>
        <w:spacing w:after="0" w:line="207" w:lineRule="exact"/>
        <w:rPr>
          <w:rFonts w:ascii="Courier New" w:cs="Courier New" w:eastAsia="Courier New" w:hAnsi="Courier New"/>
          <w:sz w:val="18"/>
          <w:szCs w:val="18"/>
          <w:color w:val="auto"/>
        </w:rPr>
      </w:pPr>
    </w:p>
    <w:p>
      <w:pPr>
        <w:ind w:left="1480" w:right="1879" w:hanging="949"/>
        <w:spacing w:after="0" w:line="237"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 Debt Security on an Interest Payment Date will be paid;</w:t>
      </w:r>
    </w:p>
    <w:p>
      <w:pPr>
        <w:spacing w:after="0" w:line="212" w:lineRule="exact"/>
        <w:rPr>
          <w:rFonts w:ascii="Courier New" w:cs="Courier New" w:eastAsia="Courier New" w:hAnsi="Courier New"/>
          <w:sz w:val="18"/>
          <w:szCs w:val="18"/>
          <w:color w:val="auto"/>
        </w:rPr>
      </w:pPr>
    </w:p>
    <w:p>
      <w:pPr>
        <w:ind w:left="1480" w:hanging="949"/>
        <w:spacing w:after="0"/>
        <w:tabs>
          <w:tab w:leader="none" w:pos="1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mandatory or optional sinking fund or analogous provisions;</w:t>
      </w:r>
    </w:p>
    <w:p>
      <w:pPr>
        <w:spacing w:after="0" w:line="223" w:lineRule="exact"/>
        <w:rPr>
          <w:rFonts w:ascii="Courier New" w:cs="Courier New" w:eastAsia="Courier New" w:hAnsi="Courier New"/>
          <w:sz w:val="16"/>
          <w:szCs w:val="16"/>
          <w:color w:val="auto"/>
        </w:rPr>
      </w:pPr>
    </w:p>
    <w:p>
      <w:pPr>
        <w:ind w:left="1480" w:right="1999" w:hanging="949"/>
        <w:spacing w:after="0" w:line="237"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w:t>
      </w:r>
    </w:p>
    <w:p>
      <w:pPr>
        <w:spacing w:after="0" w:line="212" w:lineRule="exact"/>
        <w:rPr>
          <w:rFonts w:ascii="Courier New" w:cs="Courier New" w:eastAsia="Courier New" w:hAnsi="Courier New"/>
          <w:sz w:val="18"/>
          <w:szCs w:val="18"/>
          <w:color w:val="auto"/>
        </w:rPr>
      </w:pPr>
    </w:p>
    <w:p>
      <w:pPr>
        <w:ind w:left="1480" w:right="2199" w:hanging="949"/>
        <w:spacing w:after="0" w:line="237"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right, if any, or our obligation, if any, to redeem the Debt Securities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w:t>
      </w:r>
    </w:p>
    <w:p>
      <w:pPr>
        <w:spacing w:after="0" w:line="211" w:lineRule="exact"/>
        <w:rPr>
          <w:rFonts w:ascii="Courier New" w:cs="Courier New" w:eastAsia="Courier New" w:hAnsi="Courier New"/>
          <w:sz w:val="18"/>
          <w:szCs w:val="18"/>
          <w:color w:val="auto"/>
        </w:rPr>
      </w:pPr>
    </w:p>
    <w:p>
      <w:pPr>
        <w:ind w:left="1480" w:right="1879" w:hanging="949"/>
        <w:spacing w:after="0" w:line="237"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w:t>
      </w:r>
    </w:p>
    <w:p>
      <w:pPr>
        <w:sectPr>
          <w:pgSz w:w="11900" w:h="16838" w:orient="portrait"/>
          <w:cols w:equalWidth="0" w:num="1">
            <w:col w:w="9899"/>
          </w:cols>
          <w:pgMar w:left="560" w:top="312" w:right="1440" w:bottom="1440" w:gutter="0" w:footer="0" w:header="0"/>
        </w:sect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899"/>
          </w:cols>
          <w:pgMar w:left="560" w:top="312" w:right="1440" w:bottom="1440"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left="1800" w:right="1879" w:hanging="844"/>
        <w:spacing w:after="0" w:line="237" w:lineRule="auto"/>
        <w:tabs>
          <w:tab w:leader="none" w:pos="18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currency or currencies (including composite currencies) in which payment of principal of and any premium and interest on the Debt Securities is payable if other than United States dollars;</w:t>
      </w:r>
    </w:p>
    <w:p>
      <w:pPr>
        <w:spacing w:after="0" w:line="207" w:lineRule="exact"/>
        <w:rPr>
          <w:rFonts w:ascii="Courier New" w:cs="Courier New" w:eastAsia="Courier New" w:hAnsi="Courier New"/>
          <w:sz w:val="18"/>
          <w:szCs w:val="18"/>
          <w:color w:val="auto"/>
        </w:rPr>
      </w:pPr>
    </w:p>
    <w:p>
      <w:pPr>
        <w:ind w:left="1800" w:right="1779" w:hanging="844"/>
        <w:spacing w:after="0" w:line="290" w:lineRule="auto"/>
        <w:tabs>
          <w:tab w:leader="none" w:pos="18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index used to determine the amount of payments of principal of and any premium and interest on the Debt Securities;</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book-entry procedures, if any;</w:t>
      </w:r>
    </w:p>
    <w:p>
      <w:pPr>
        <w:spacing w:after="0" w:line="206" w:lineRule="exact"/>
        <w:rPr>
          <w:rFonts w:ascii="Courier New" w:cs="Courier New" w:eastAsia="Courier New" w:hAnsi="Courier New"/>
          <w:sz w:val="18"/>
          <w:szCs w:val="18"/>
          <w:color w:val="auto"/>
        </w:rPr>
      </w:pPr>
    </w:p>
    <w:p>
      <w:pPr>
        <w:ind w:left="1800" w:right="1879" w:hanging="844"/>
        <w:spacing w:after="0" w:line="236" w:lineRule="auto"/>
        <w:tabs>
          <w:tab w:leader="none" w:pos="18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deletions from, modification of or additions to the Events of Default or our covenants with respect to such Debt Securities; and</w:t>
      </w:r>
    </w:p>
    <w:p>
      <w:pPr>
        <w:spacing w:after="0" w:line="208" w:lineRule="exact"/>
        <w:rPr>
          <w:rFonts w:ascii="Courier New" w:cs="Courier New" w:eastAsia="Courier New" w:hAnsi="Courier New"/>
          <w:sz w:val="18"/>
          <w:szCs w:val="18"/>
          <w:color w:val="auto"/>
        </w:rPr>
      </w:pPr>
    </w:p>
    <w:p>
      <w:pPr>
        <w:ind w:left="1800" w:right="1879" w:hanging="844"/>
        <w:spacing w:after="0" w:line="237" w:lineRule="auto"/>
        <w:tabs>
          <w:tab w:leader="none" w:pos="18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Debt Securities not inconsistent with the provisions of the Indentures. (Section 301) Any prospectus supplement will also describe any special provisions for the payment of additional amounts with respect to the Debt Securities.</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We will set forth any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in a prospectus supplement.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The Indentures also provide that Debt Securities of a series may be issuable in temporary or permanent global form. (Section 201)</w:t>
      </w:r>
    </w:p>
    <w:p>
      <w:pPr>
        <w:spacing w:after="0" w:line="211"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39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us for such purpose with respect to any series of Debt Securities and referred to in an applicable prospectus supplement, without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2" w:right="1440" w:bottom="1440"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Trustee for the series of Debt Securities will serve as Security Registrar. (Section 305) If a prospectus supplement refers to any transfer agents (in addition to the Security Registrar) initially designated by us with respect to any series of Debt Securities, we may at any time rescind the designation of any such transfer agent or approve a change in the location through which any such transfer agent acts, except that, if Debt Securities of a series are issuable solely as Registered Securities, we will be required to maintain a transfer agent in each Place of Payment for such series and, if Debt Securities of a series are also issuable as Bearer Securities, we will be required to maintain (in addition to the Security Registrar) a transfer agent in a Place of Payment for such series located outside the United States. We may at any time designate additional transfer agents with respect to any series of Debt Securities. (Section 1002)</w:t>
      </w:r>
    </w:p>
    <w:p>
      <w:pPr>
        <w:spacing w:after="0" w:line="39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Title to any Bearer Securities (including Bearer Securities in permanent global form) and any coupons appertaining thereto will pass by delivery. We, the Trustee, our agents and the agents of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 the event of any redemption in part, we shall not be required to:</w:t>
      </w:r>
    </w:p>
    <w:p>
      <w:pPr>
        <w:spacing w:after="0" w:line="207" w:lineRule="exact"/>
        <w:rPr>
          <w:sz w:val="20"/>
          <w:szCs w:val="20"/>
          <w:color w:val="auto"/>
        </w:rPr>
      </w:pPr>
    </w:p>
    <w:p>
      <w:pPr>
        <w:ind w:left="1900" w:right="1779" w:hanging="944"/>
        <w:spacing w:after="0" w:line="237" w:lineRule="auto"/>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register the transfer of or exchange Debt Securities of any series during a period beginning at the opening of business 15 days prior to the selection of Debt Securities of that series for redemption and ending on the close of business on:</w:t>
      </w:r>
    </w:p>
    <w:p>
      <w:pPr>
        <w:spacing w:after="0" w:line="208" w:lineRule="exact"/>
        <w:rPr>
          <w:rFonts w:ascii="Courier New" w:cs="Courier New" w:eastAsia="Courier New" w:hAnsi="Courier New"/>
          <w:sz w:val="18"/>
          <w:szCs w:val="18"/>
          <w:color w:val="auto"/>
        </w:rPr>
      </w:pPr>
    </w:p>
    <w:p>
      <w:pPr>
        <w:ind w:left="1900" w:right="2319" w:hanging="944"/>
        <w:spacing w:after="0" w:line="236" w:lineRule="auto"/>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Debt Securities of the series are issuable only as Registered Securities, the day of mailing of the relevant notice of redemption; and</w:t>
      </w:r>
    </w:p>
    <w:p>
      <w:pPr>
        <w:spacing w:after="0" w:line="208"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the transfer of or exchange any Registered Security, or portion thereof, called for redemption, except the unredeemed portion of any Registered Security being redeemed in part; or</w:t>
      </w:r>
    </w:p>
    <w:p>
      <w:pPr>
        <w:spacing w:after="0" w:line="207" w:lineRule="exact"/>
        <w:rPr>
          <w:sz w:val="20"/>
          <w:szCs w:val="20"/>
          <w:color w:val="auto"/>
        </w:rPr>
      </w:pPr>
    </w:p>
    <w:p>
      <w:pPr>
        <w:ind w:left="1900" w:right="1879" w:hanging="1049"/>
        <w:spacing w:after="0" w:line="237" w:lineRule="auto"/>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any Bearer Security called for redemption, except to exchange such Bearer Security for a Registered Security of that series and like tenor which is immediately surrendered for redemption. (Section 305)</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Replacement of Securities and Coupons. We will replace any mutilated Debt Security or any Debt Security with a mutilated coupon at the expense of the Holder upon surrender of the Debt Security to the Trustee. We will replace Debt Securities or coupons that become destroyed, stolen or lost at the expense of the Holder upon delivery to the Trustee of the Debt Security and coupons or evidence of destruction, loss or theft thereof satisfactory to us and the Trustee; in the case of any coupon which becomes destroyed, stolen or lost, such coupon will be replaced by issuance of a new Debt Security in exchange for the Debt Security to which such coupon appertains. In the case of a destroyed, lost or stolen Debt Security or</w:t>
      </w:r>
    </w:p>
    <w:p>
      <w:pPr>
        <w:sectPr>
          <w:pgSz w:w="11900" w:h="16838" w:orient="portrait"/>
          <w:cols w:equalWidth="0" w:num="1">
            <w:col w:w="10219"/>
          </w:cols>
          <w:pgMar w:left="240" w:top="312" w:right="1440" w:bottom="1440" w:gutter="0" w:footer="0" w:header="0"/>
        </w:sect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2" w:right="1440" w:bottom="1440"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coupon, an indemnity satisfactory to the Trustee and to us may be required at the expense of the Holder of such Debt Security or coupon before a replacement Debt Security will be issued. (Section 306)</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we may designate from time to time, in the manner indicated in such prospectus 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 our offices or agencies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our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39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Unless otherwise indicated in an applicable prospectus supplement, payment of principal of and any premium and interest on Registered Securities will be made at the office of the Paying Agent or Paying Agents as we may designate from time to time, except that at our option, payment of any interest may be made by check mailed on or before the due date to the address of the Person entitled thereto as such address shall appear in the Security Register. (Rule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216"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Unless otherwise indicated in an applicable prospectus supplement, the Trustee for the series of Debt Securities will act as our Paying Agent for payments with respect to Debt Securities which are issuable solely as Registered Securities and we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that we initially designate for the Debt Securities will be named in an applicable prospectus supplement. We may at any time designate additional Paying Agents or rescind the designation of any Paying Agent or approve a change in the office through which any Paying Agent acts, except that, if Debt Securities of a series are issuable solely as Registered Securities, we will be required to maintain a Paying Agent in each Place of Payment for such series and, if Debt Securities of a series are issuable as Bearer Securities, we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200" w:lineRule="exact"/>
        <w:rPr>
          <w:sz w:val="20"/>
          <w:szCs w:val="20"/>
          <w:color w:val="auto"/>
        </w:rPr>
      </w:pPr>
    </w:p>
    <w:p>
      <w:pPr>
        <w:spacing w:after="0" w:line="39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moneys paid by us to a Paying Agent for the payment of principal of and any premium or interest on any Debt Security which remain unclaimed at the end of two years after such principal, premium or interest shall have become due and payable will (subject to applicable escheat laws) be repaid to us, and the Holder of such Debt Security or any coupon will thereafter look only to us for payment thereof. (Section 1003)</w:t>
      </w:r>
    </w:p>
    <w:p>
      <w:pPr>
        <w:sectPr>
          <w:pgSz w:w="11900" w:h="16838" w:orient="portrait"/>
          <w:cols w:equalWidth="0" w:num="1">
            <w:col w:w="10219"/>
          </w:cols>
          <w:pgMar w:left="240" w:top="312" w:right="1440" w:bottom="1440" w:gutter="0" w:footer="0" w:header="0"/>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12" w:right="1440" w:bottom="1440"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216"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specific terms of the depository arrangement with respect to a series of Debt Securities in the form of one or more global Debt Securities will be described in the prospectus supplement relating to that series.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Satisfaction and Discharge of Indenture. Each Indenture provides that we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w:t>
      </w:r>
    </w:p>
    <w:p>
      <w:pPr>
        <w:spacing w:after="0" w:line="215"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Defeasance and Discharge. Each Indenture provides that, if we so elect by Board Resolution with respect to the Debt Securities of any series issued under such Indenture (other than convertible Subordinated Debt Securities), we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we have delivered to the Trustee an Opinion of Counsel to the effect that (i) we have received from, or there has been published by, the 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Covenant Defeasance. Each Indenture also provides that, if we so elect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Board Resolution with respect to the Debt Securities of any series issued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thereunder, we may omit to comply with certain restrictive covenants, including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case of the Senior Debt Indenture) the covenants described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"--Provisions Applicable Solely to Senior Debt Securities--Limitation on Liens"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"--Limitations on Sale and Leaseback Transactions," but excluding (in the</w:t>
      </w:r>
    </w:p>
    <w:p>
      <w:pPr>
        <w:spacing w:after="0" w:line="238" w:lineRule="auto"/>
        <w:rPr>
          <w:sz w:val="20"/>
          <w:szCs w:val="20"/>
          <w:color w:val="auto"/>
        </w:rPr>
      </w:pPr>
      <w:r>
        <w:rPr>
          <w:rFonts w:ascii="Courier New" w:cs="Courier New" w:eastAsia="Courier New" w:hAnsi="Courier New"/>
          <w:sz w:val="18"/>
          <w:szCs w:val="18"/>
          <w:color w:val="auto"/>
        </w:rPr>
        <w:t>case of the Subordinated Debt Indenture) any of</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2" w:right="1440" w:bottom="1440" w:gutter="0" w:footer="0" w:header="0"/>
          <w:type w:val="continuous"/>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23</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our applicable obligations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Our obligations under such Indenture and the Debt Securities of such series other than with respect to such covenants shall remain in full force and effect. (Section 1303)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Although the amount of money and U.S. Government Obligations on deposit with the Trustee would be intended to be sufficient to pay amounts due on the Debt Securities of such series at the time of their Stated Maturity, in the event we exercise our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We shall in any event remain liable for such payments as provided in the applicable Indenture.</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Meetings, Modification and Waiver. We and the Trustee may modify and amend either Indenture with the consent of the Holders of a majority in aggregate principal amount of the Outstanding Securities of each series affected by such modification or amendment; provided, however, that no such modification or amendment may, without the consent of the Holder of each Outstanding Security affected thereby:</w:t>
      </w:r>
    </w:p>
    <w:p>
      <w:pPr>
        <w:spacing w:after="0" w:line="210" w:lineRule="exact"/>
        <w:rPr>
          <w:sz w:val="20"/>
          <w:szCs w:val="20"/>
          <w:color w:val="auto"/>
        </w:rPr>
      </w:pPr>
    </w:p>
    <w:p>
      <w:pPr>
        <w:ind w:left="1380" w:right="1879" w:hanging="424"/>
        <w:spacing w:after="0" w:line="235" w:lineRule="auto"/>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any installment of principal of or interest on, any Debt Security;</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Date with respect to any Debt Security;</w:t>
      </w:r>
    </w:p>
    <w:p>
      <w:pPr>
        <w:spacing w:after="0" w:line="206" w:lineRule="exact"/>
        <w:rPr>
          <w:rFonts w:ascii="Courier New" w:cs="Courier New" w:eastAsia="Courier New" w:hAnsi="Courier New"/>
          <w:sz w:val="18"/>
          <w:szCs w:val="18"/>
          <w:color w:val="auto"/>
        </w:rPr>
      </w:pPr>
    </w:p>
    <w:p>
      <w:pPr>
        <w:ind w:left="1380" w:right="1779" w:hanging="424"/>
        <w:spacing w:after="0" w:line="235" w:lineRule="auto"/>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premium or interest on, any Debt Security;</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pay additional amounts;</w:t>
      </w:r>
    </w:p>
    <w:p>
      <w:pPr>
        <w:spacing w:after="0" w:line="206" w:lineRule="exact"/>
        <w:rPr>
          <w:rFonts w:ascii="Courier New" w:cs="Courier New" w:eastAsia="Courier New" w:hAnsi="Courier New"/>
          <w:sz w:val="18"/>
          <w:szCs w:val="18"/>
          <w:color w:val="auto"/>
        </w:rPr>
      </w:pPr>
    </w:p>
    <w:p>
      <w:pPr>
        <w:ind w:left="1380" w:right="2519" w:hanging="424"/>
        <w:spacing w:after="0" w:line="290" w:lineRule="auto"/>
        <w:tabs>
          <w:tab w:leader="none" w:pos="13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 of principal of an Original Issue Discount Security payable upon acceleration of the Maturity thereof;</w:t>
      </w:r>
    </w:p>
    <w:p>
      <w:pPr>
        <w:spacing w:after="0" w:line="169" w:lineRule="exact"/>
        <w:rPr>
          <w:rFonts w:ascii="Courier New" w:cs="Courier New" w:eastAsia="Courier New" w:hAnsi="Courier New"/>
          <w:sz w:val="16"/>
          <w:szCs w:val="16"/>
          <w:color w:val="auto"/>
        </w:rPr>
      </w:pPr>
    </w:p>
    <w:p>
      <w:pPr>
        <w:ind w:left="1380" w:right="2419" w:hanging="424"/>
        <w:spacing w:after="0" w:line="235" w:lineRule="auto"/>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coin or currency in which any Debt Security or any premium or interest thereon is payable;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2" w:right="1440" w:bottom="1440"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24</w:t>
      </w:r>
    </w:p>
    <w:p>
      <w:pPr>
        <w:ind w:left="1380" w:hanging="424"/>
        <w:spacing w:after="0" w:line="238"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right of any Holder;</w:t>
      </w:r>
    </w:p>
    <w:p>
      <w:pPr>
        <w:spacing w:after="0" w:line="207" w:lineRule="exact"/>
        <w:rPr>
          <w:rFonts w:ascii="Courier New" w:cs="Courier New" w:eastAsia="Courier New" w:hAnsi="Courier New"/>
          <w:sz w:val="18"/>
          <w:szCs w:val="18"/>
          <w:color w:val="auto"/>
        </w:rPr>
      </w:pPr>
    </w:p>
    <w:p>
      <w:pPr>
        <w:ind w:left="960" w:right="1779" w:hanging="4"/>
        <w:spacing w:after="0" w:line="236" w:lineRule="auto"/>
        <w:tabs>
          <w:tab w:leader="none" w:pos="138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Debt Security or any conversion right with respect thereto;</w:t>
      </w:r>
    </w:p>
    <w:p>
      <w:pPr>
        <w:spacing w:after="0" w:line="208" w:lineRule="exact"/>
        <w:rPr>
          <w:rFonts w:ascii="Courier New" w:cs="Courier New" w:eastAsia="Courier New" w:hAnsi="Courier New"/>
          <w:sz w:val="18"/>
          <w:szCs w:val="18"/>
          <w:color w:val="auto"/>
        </w:rPr>
      </w:pPr>
    </w:p>
    <w:p>
      <w:pPr>
        <w:ind w:left="960" w:right="1779" w:hanging="4"/>
        <w:spacing w:after="0" w:line="237" w:lineRule="auto"/>
        <w:tabs>
          <w:tab w:leader="none" w:pos="138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Outstanding Securities of any series, the consent of whose Holders is required for modification or amendment of such Indenture or for waiver of compliance with certain provisions of such Indenture or for waiver of certain defaults;</w:t>
      </w:r>
    </w:p>
    <w:p>
      <w:pPr>
        <w:spacing w:after="0" w:line="208" w:lineRule="exact"/>
        <w:rPr>
          <w:rFonts w:ascii="Courier New" w:cs="Courier New" w:eastAsia="Courier New" w:hAnsi="Courier New"/>
          <w:sz w:val="18"/>
          <w:szCs w:val="18"/>
          <w:color w:val="auto"/>
        </w:rPr>
      </w:pPr>
    </w:p>
    <w:p>
      <w:pPr>
        <w:ind w:left="960" w:right="1999" w:hanging="4"/>
        <w:spacing w:after="0" w:line="235" w:lineRule="auto"/>
        <w:tabs>
          <w:tab w:leader="none" w:pos="138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requirements contained in such Indenture for quorum or voting;</w:t>
      </w:r>
    </w:p>
    <w:p>
      <w:pPr>
        <w:spacing w:after="0" w:line="208" w:lineRule="exact"/>
        <w:rPr>
          <w:rFonts w:ascii="Courier New" w:cs="Courier New" w:eastAsia="Courier New" w:hAnsi="Courier New"/>
          <w:sz w:val="18"/>
          <w:szCs w:val="18"/>
          <w:color w:val="auto"/>
        </w:rPr>
      </w:pPr>
    </w:p>
    <w:p>
      <w:pPr>
        <w:ind w:left="960" w:right="1999" w:hanging="4"/>
        <w:spacing w:after="0" w:line="235" w:lineRule="auto"/>
        <w:tabs>
          <w:tab w:leader="none" w:pos="138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maintain an office or agency in the places and for the purposes required by such Indenture;</w:t>
      </w:r>
    </w:p>
    <w:p>
      <w:pPr>
        <w:spacing w:after="0" w:line="208" w:lineRule="exact"/>
        <w:rPr>
          <w:rFonts w:ascii="Courier New" w:cs="Courier New" w:eastAsia="Courier New" w:hAnsi="Courier New"/>
          <w:sz w:val="18"/>
          <w:szCs w:val="18"/>
          <w:color w:val="auto"/>
        </w:rPr>
      </w:pPr>
    </w:p>
    <w:p>
      <w:pPr>
        <w:ind w:left="960" w:right="1779" w:hanging="4"/>
        <w:spacing w:after="0" w:line="235" w:lineRule="auto"/>
        <w:tabs>
          <w:tab w:leader="none" w:pos="138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affect the right to convert Subordinated Debt Securities, if applicable; or</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any of the above provisions. (Section 902)</w:t>
      </w:r>
    </w:p>
    <w:p>
      <w:pPr>
        <w:spacing w:after="0" w:line="207" w:lineRule="exact"/>
        <w:rPr>
          <w:sz w:val="20"/>
          <w:szCs w:val="20"/>
          <w:color w:val="auto"/>
        </w:rPr>
      </w:pPr>
    </w:p>
    <w:p>
      <w:pPr>
        <w:ind w:right="2519" w:firstLine="948"/>
        <w:spacing w:after="0" w:line="237" w:lineRule="auto"/>
        <w:rPr>
          <w:sz w:val="20"/>
          <w:szCs w:val="20"/>
          <w:color w:val="auto"/>
        </w:rPr>
      </w:pPr>
      <w:r>
        <w:rPr>
          <w:rFonts w:ascii="Courier New" w:cs="Courier New" w:eastAsia="Courier New" w:hAnsi="Courier New"/>
          <w:sz w:val="18"/>
          <w:szCs w:val="18"/>
          <w:color w:val="auto"/>
        </w:rPr>
        <w:t>The Subordinated Debt Indenture may not be amended to alter the subordination of any outstanding Subordinated Debt Securities without the consent of each holder of Senior Indebtedness (as defined below under "--Provisions Applicable Solely to Subordinated Debt Securities") then outstanding that would be adversely affected thereby. (Section 907 of the Subordinated Debt Indenture)</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Holders of a majority in aggregate principal amount of the Outstanding Securities of each series may, on behalf of all Holders of that series, waive, insofar as that series is concerned, our compliance with certain restrictive provisions of the Indenture under which such series has been issued. (Section 1007 of the Senior Debt Indenture; Section 1008 of the Subordinated Debt Indenture) The Holders of a majority in aggregate principal amount of the Outstanding Securities,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389"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a series if Debt Securities of that series are issuable as Bearer Securities. (Section 1401) A meeting may be called at any time by the Trustee, and also, upon request, by us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w:t>
      </w:r>
    </w:p>
    <w:p>
      <w:pPr>
        <w:sectPr>
          <w:pgSz w:w="11900" w:h="16838" w:orient="portrait"/>
          <w:cols w:equalWidth="0" w:num="1">
            <w:col w:w="10219"/>
          </w:cols>
          <w:pgMar w:left="240" w:top="312" w:right="1440" w:bottom="1440" w:gutter="0" w:footer="0" w:header="0"/>
        </w:sectPr>
      </w:pPr>
    </w:p>
    <w:p>
      <w:pPr>
        <w:spacing w:after="0" w:line="18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12" w:right="1440" w:bottom="1440"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25</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 reconvened meeting, will be Persons holding or representing a majority in aggregate principal amount of the Outstanding Securities of a series. (Section 1404)</w:t>
      </w:r>
    </w:p>
    <w:p>
      <w:pPr>
        <w:spacing w:after="0" w:line="208"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186"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Governing Law. The Indentures, the Debt Securities and coupons will be governed by, and construed in accordance with, the laws of the State of New York. (Section 113)</w:t>
      </w:r>
    </w:p>
    <w:p>
      <w:pPr>
        <w:spacing w:after="0" w:line="209"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Regarding the Trustee. The Trustee appointed and serving as trustee pursuant to each of the Senior Debt Indenture and the Subordinated Debt Indenture is Chase Bank.</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Each Indenture contains certain limitations on the right of the Trustee, should it become our creditor,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211"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215"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 Indenture Act. In such event, the obligor must take prompt steps to have a successor trustee appointed in the manner provided in the indenture from which the trustee has resigned. Accordingly, Chase Bank, as trustee under the Senior Debt Indenture and the Subordinated Debt Indenture, could be required to resign as trustee</w:t>
      </w:r>
    </w:p>
    <w:p>
      <w:pPr>
        <w:sectPr>
          <w:pgSz w:w="11900" w:h="16838" w:orient="portrait"/>
          <w:cols w:equalWidth="0" w:num="1">
            <w:col w:w="10219"/>
          </w:cols>
          <w:pgMar w:left="240" w:top="312" w:right="1440" w:bottom="1440" w:gutter="0" w:footer="0" w:header="0"/>
        </w:sectPr>
      </w:pPr>
    </w:p>
    <w:p>
      <w:pPr>
        <w:spacing w:after="0" w:line="18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12" w:right="1440" w:bottom="1440"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26</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under one of such Indentures should a default occur under one of such Indentures. In such event, we would be required to take prompt steps to have a successor trustee or successor trustees appointed in the manner provided in the applicable Indenture.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Chase Bank, as the trustee under the Senior Debt Indenture and the Subordinated Debt Indenture, may be a depositary for funds of, may make loans to and may perform other routine banking services for us and certain of our affiliates in the normal course of business.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SENIOR DEBT SECURITIES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Certain Definitions. For purposes of the following discussion, the following definitions are applicable (Section 1008 and 1009 of the Senior Debt Indenture).</w:t>
      </w:r>
    </w:p>
    <w:p>
      <w:pPr>
        <w:spacing w:after="0" w:line="209"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"Attributable Debt" shall mean, as of any particular time, the present value, discounted at a rate per annum equal to (i) the implied lease rate of or</w:t>
      </w:r>
    </w:p>
    <w:p>
      <w:pPr>
        <w:ind w:right="1779" w:firstLine="8"/>
        <w:spacing w:after="0" w:line="238" w:lineRule="auto"/>
        <w:tabs>
          <w:tab w:leader="none" w:pos="52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implied lease rate is not known to us, then the weighted average interest rate of all Senior Debt Securities outstanding at the time under the Senior Debt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"Consolidated Net Tangible Assets" shall mean, at any date of determination, the total amount of our assets after deducting therefrom: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and our consolidated subsidiaries' consolidated balance sheet for our most recently completed fiscal quarter, prepared in accordance with United States generally accepted accounting principles.</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12" w:right="1440" w:bottom="1440"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"Indebtedness" of any Person shall mean</w:t>
      </w:r>
    </w:p>
    <w:p>
      <w:pPr>
        <w:spacing w:after="0" w:line="207" w:lineRule="exact"/>
        <w:rPr>
          <w:sz w:val="20"/>
          <w:szCs w:val="20"/>
          <w:color w:val="auto"/>
        </w:rPr>
      </w:pPr>
    </w:p>
    <w:p>
      <w:pPr>
        <w:ind w:left="960" w:right="1779" w:hanging="4"/>
        <w:spacing w:after="0" w:line="272" w:lineRule="auto"/>
        <w:tabs>
          <w:tab w:leader="none" w:pos="13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185" w:lineRule="exact"/>
        <w:rPr>
          <w:rFonts w:ascii="Courier New" w:cs="Courier New" w:eastAsia="Courier New" w:hAnsi="Courier New"/>
          <w:sz w:val="16"/>
          <w:szCs w:val="16"/>
          <w:color w:val="auto"/>
        </w:rPr>
      </w:pPr>
    </w:p>
    <w:p>
      <w:pPr>
        <w:ind w:left="960" w:right="2319" w:hanging="4"/>
        <w:spacing w:after="0" w:line="237" w:lineRule="auto"/>
        <w:tabs>
          <w:tab w:leader="none" w:pos="138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207" w:lineRule="exact"/>
        <w:rPr>
          <w:rFonts w:ascii="Courier New" w:cs="Courier New" w:eastAsia="Courier New" w:hAnsi="Courier New"/>
          <w:sz w:val="18"/>
          <w:szCs w:val="18"/>
          <w:color w:val="auto"/>
        </w:rPr>
      </w:pPr>
    </w:p>
    <w:p>
      <w:pPr>
        <w:ind w:left="1380" w:right="2319" w:hanging="424"/>
        <w:spacing w:after="0" w:line="235" w:lineRule="auto"/>
        <w:tabs>
          <w:tab w:leader="none" w:pos="13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not so included as liabilities in accordance with generally accepted accounting principles,</w:t>
      </w:r>
    </w:p>
    <w:p>
      <w:pPr>
        <w:spacing w:after="0" w:line="208" w:lineRule="exact"/>
        <w:rPr>
          <w:rFonts w:ascii="Courier New" w:cs="Courier New" w:eastAsia="Courier New" w:hAnsi="Courier New"/>
          <w:sz w:val="18"/>
          <w:szCs w:val="18"/>
          <w:color w:val="auto"/>
        </w:rPr>
      </w:pPr>
    </w:p>
    <w:p>
      <w:pPr>
        <w:ind w:left="1060" w:right="1879" w:firstLine="528"/>
        <w:spacing w:after="0" w:line="237" w:lineRule="auto"/>
        <w:tabs>
          <w:tab w:leader="none" w:pos="2008"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204" w:lineRule="exact"/>
        <w:rPr>
          <w:rFonts w:ascii="Courier New" w:cs="Courier New" w:eastAsia="Courier New" w:hAnsi="Courier New"/>
          <w:sz w:val="18"/>
          <w:szCs w:val="18"/>
          <w:color w:val="auto"/>
        </w:rPr>
      </w:pPr>
    </w:p>
    <w:p>
      <w:pPr>
        <w:ind w:left="2220" w:hanging="527"/>
        <w:spacing w:after="0"/>
        <w:tabs>
          <w:tab w:leader="none" w:pos="222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Guaranties of such Person.</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"Principal Property" shall mean any waste processing, waste disposal or resource recovery plant or similar facility located within the United States (other than its territories and possessions and Puerto Rico) or Canada and owned by, or leased to, us or any Restricted Subsidiary, except (a) any such plant or facility (i) owned or leased jointly or in common with one or more persons other than us and any Restricted Subsidiaries in which our and our Restricted Subsidiaries' interest does not exceed 50%, or (ii) which the Board of Directors determines in good faith is not of material importance to our and our subsidiaries', as an entity, total business conducted, or assets owned, or (b) any portion of such plant or facility which the Board of Directors determines in good faith not to be of material importance to the use or operation thereof.</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"Restricted Subsidiary" shall mean any Subsidiary (other than any Subsidiary of which we own directly or indirectly 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shall designate as a Restricted Subsidiary in an Officers' Certificate delivered to the Trustee.</w:t>
      </w:r>
    </w:p>
    <w:p>
      <w:pPr>
        <w:spacing w:after="0" w:line="211"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Consolidation, Merger, Sale. The Senior Debt Indenture provides that we may not consolidate with or merge into any other Person or convey, transfer or lease our properties and assets substantially as an entirety to any Person, unless (1) the Person formed by such consolidation or into which we are merged or the Person which acquires by conveyance or transfer, or which leases, our properties and assets we are</w:t>
      </w:r>
    </w:p>
    <w:p>
      <w:pPr>
        <w:sectPr>
          <w:pgSz w:w="11900" w:h="16838" w:orient="portrait"/>
          <w:cols w:equalWidth="0" w:num="1">
            <w:col w:w="10219"/>
          </w:cols>
          <w:pgMar w:left="240" w:top="312" w:right="1440" w:bottom="1440" w:gutter="0" w:footer="0" w:header="0"/>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12" w:right="1440" w:bottom="1440"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28</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to be performed or observed on our part; and (2) immediately after giving effect to such transaction and treating any indebtedness which becomes our or our Subsidiary's obligation as a result of such transaction as having been incurred by us or our Subsidiary at the time of such transaction, no Event of Default, and no event which, after notice or lapse of time or both, would become an Event of Default, shall have happened and be continuing. 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Senior Debt Indenture with the same effect as if such successor Person had been named as us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211" w:lineRule="exact"/>
        <w:rPr>
          <w:sz w:val="20"/>
          <w:szCs w:val="20"/>
          <w:color w:val="auto"/>
        </w:rPr>
      </w:pPr>
    </w:p>
    <w:p>
      <w:pPr>
        <w:jc w:val="both"/>
        <w:ind w:right="2419" w:firstLine="948"/>
        <w:spacing w:after="0" w:line="279" w:lineRule="auto"/>
        <w:rPr>
          <w:sz w:val="20"/>
          <w:szCs w:val="20"/>
          <w:color w:val="auto"/>
        </w:rPr>
      </w:pPr>
      <w:r>
        <w:rPr>
          <w:rFonts w:ascii="Courier New" w:cs="Courier New" w:eastAsia="Courier New" w:hAnsi="Courier New"/>
          <w:sz w:val="16"/>
          <w:szCs w:val="16"/>
          <w:color w:val="auto"/>
        </w:rPr>
        <w:t>Limitation on Liens. Unless provided otherwise in the applicable prospectus supplement, the provisions of this covenant shall apply to each series of Senior Debt Securities issued under the Senior Debt Indenture:</w:t>
      </w:r>
    </w:p>
    <w:p>
      <w:pPr>
        <w:spacing w:after="0" w:line="173" w:lineRule="exact"/>
        <w:rPr>
          <w:sz w:val="20"/>
          <w:szCs w:val="20"/>
          <w:color w:val="auto"/>
        </w:rPr>
      </w:pPr>
    </w:p>
    <w:p>
      <w:pPr>
        <w:ind w:left="1900" w:hanging="523"/>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not, and we will not permit any of our Restricted</w:t>
      </w:r>
    </w:p>
    <w:p>
      <w:pPr>
        <w:spacing w:after="0" w:line="4" w:lineRule="exact"/>
        <w:rPr>
          <w:rFonts w:ascii="Courier New" w:cs="Courier New" w:eastAsia="Courier New" w:hAnsi="Courier New"/>
          <w:sz w:val="18"/>
          <w:szCs w:val="18"/>
          <w:color w:val="auto"/>
        </w:rPr>
      </w:pPr>
    </w:p>
    <w:p>
      <w:pPr>
        <w:ind w:left="1380"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Subsidiaries to, create, incur, assume or suffer to exist, directly or indirectly, any Indebtedness secured by a Security Interest upon any Principal Property of us or of a Restricted Subsidiary, whether owned as of the date of this Indenture or hereafter acquired, without making effective provision (and we hereby covenant that in any such case we shall make or cause to be made effective provision) whereby the Senior Debt Securities of that series then outstanding and any other Indebtedness of us or any Restricted Subsidiary then entitled thereto shall be secured by such Security Interest equally and ratably with (or, in the case of the Senior Debt Securities of that series and if we shall so determine, prior to) any and all other Indebtedness of us or any Restricted Subsidiary thereby secured for so long as any such other Indebtedness of us or any Restricted Subsidiary shall be so secured; provided, that nothing in the Senior Debt Indenture shall prevent, restrict or apply to Indebtedness secured by:</w:t>
      </w:r>
    </w:p>
    <w:p>
      <w:pPr>
        <w:spacing w:after="0" w:line="396" w:lineRule="exact"/>
        <w:rPr>
          <w:rFonts w:ascii="Courier New" w:cs="Courier New" w:eastAsia="Courier New" w:hAnsi="Courier New"/>
          <w:sz w:val="18"/>
          <w:szCs w:val="18"/>
          <w:color w:val="auto"/>
        </w:rPr>
      </w:pPr>
    </w:p>
    <w:p>
      <w:pPr>
        <w:ind w:left="1380" w:right="1779" w:firstLine="524"/>
        <w:spacing w:after="0" w:line="269" w:lineRule="auto"/>
        <w:tabs>
          <w:tab w:leader="none" w:pos="2328"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 (i) 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us or any Restricted Subsidiary; or (c) any conditional sales agreement or other title retention agreement with respect to any property or assets acquired by us or any Restricted Subsidiary, or (d) any Security Interest existing on the property or assets or shares of stock of a corporation or firm at the time such corporation or firm is merged into or consolidated with us or any Restricted Subsidiary or at the time of a sale, lease or other disposition of the property or assets of such corporation or firm as an entirety or substantially as an entirety to us or any Restricted Subsidiary or at the time such corporation becomes a Restricted Subsidiary; or</w:t>
      </w:r>
    </w:p>
    <w:p>
      <w:pPr>
        <w:spacing w:after="0" w:line="189" w:lineRule="exact"/>
        <w:rPr>
          <w:rFonts w:ascii="Courier New" w:cs="Courier New" w:eastAsia="Courier New" w:hAnsi="Courier New"/>
          <w:sz w:val="16"/>
          <w:szCs w:val="16"/>
          <w:color w:val="auto"/>
        </w:rPr>
      </w:pPr>
    </w:p>
    <w:p>
      <w:pPr>
        <w:ind w:left="1380" w:right="2419" w:hanging="3"/>
        <w:spacing w:after="0" w:line="235" w:lineRule="auto"/>
        <w:tabs>
          <w:tab w:leader="none" w:pos="180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existing on the property, assets or shares of stock of any successor which</w:t>
      </w:r>
    </w:p>
    <w:p>
      <w:pPr>
        <w:sectPr>
          <w:pgSz w:w="11900" w:h="16838" w:orient="portrait"/>
          <w:cols w:equalWidth="0" w:num="1">
            <w:col w:w="10219"/>
          </w:cols>
          <w:pgMar w:left="240" w:top="312" w:right="1440" w:bottom="581"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12" w:right="1440" w:bottom="581"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29</w:t>
      </w:r>
    </w:p>
    <w:p>
      <w:pPr>
        <w:spacing w:after="0" w:line="4"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shall have become us in accordance with the provisions of the covenant described in "--Provisions Applicable Solely to Senior Debt Securities--Consolidation, Merger and Sale of Assets"; provided, in each case, that any such Security Interest described in the foregoing clauses (b), (c), (d) or (e) does not attach to or affect property or assets owned by us or any Restricted Subsidiary prior to the event referred to in such clauses; or</w:t>
      </w:r>
    </w:p>
    <w:p>
      <w:pPr>
        <w:spacing w:after="0" w:line="211" w:lineRule="exact"/>
        <w:rPr>
          <w:sz w:val="20"/>
          <w:szCs w:val="20"/>
          <w:color w:val="auto"/>
        </w:rPr>
      </w:pPr>
    </w:p>
    <w:p>
      <w:pPr>
        <w:ind w:left="1060" w:right="1779" w:firstLine="524"/>
        <w:spacing w:after="0" w:line="237" w:lineRule="auto"/>
        <w:tabs>
          <w:tab w:leader="none" w:pos="200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207" w:lineRule="exact"/>
        <w:rPr>
          <w:rFonts w:ascii="Courier New" w:cs="Courier New" w:eastAsia="Courier New" w:hAnsi="Courier New"/>
          <w:sz w:val="18"/>
          <w:szCs w:val="18"/>
          <w:color w:val="auto"/>
        </w:rPr>
      </w:pPr>
    </w:p>
    <w:p>
      <w:pPr>
        <w:ind w:left="1060" w:right="1779" w:firstLine="524"/>
        <w:spacing w:after="0" w:line="237" w:lineRule="auto"/>
        <w:tabs>
          <w:tab w:leader="none" w:pos="200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us or any of our Subsidiaries or our or their respective affiliates); or</w:t>
      </w:r>
    </w:p>
    <w:p>
      <w:pPr>
        <w:spacing w:after="0" w:line="214" w:lineRule="exact"/>
        <w:rPr>
          <w:rFonts w:ascii="Courier New" w:cs="Courier New" w:eastAsia="Courier New" w:hAnsi="Courier New"/>
          <w:sz w:val="18"/>
          <w:szCs w:val="18"/>
          <w:color w:val="auto"/>
        </w:rPr>
      </w:pPr>
    </w:p>
    <w:p>
      <w:pPr>
        <w:ind w:left="1060" w:right="1879" w:firstLine="524"/>
        <w:spacing w:after="0" w:line="237" w:lineRule="auto"/>
        <w:tabs>
          <w:tab w:leader="none" w:pos="200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208" w:lineRule="exact"/>
        <w:rPr>
          <w:rFonts w:ascii="Courier New" w:cs="Courier New" w:eastAsia="Courier New" w:hAnsi="Courier New"/>
          <w:sz w:val="18"/>
          <w:szCs w:val="18"/>
          <w:color w:val="auto"/>
        </w:rPr>
      </w:pPr>
    </w:p>
    <w:p>
      <w:pPr>
        <w:jc w:val="both"/>
        <w:ind w:left="1060" w:right="1999" w:firstLine="524"/>
        <w:spacing w:after="0" w:line="237" w:lineRule="auto"/>
        <w:tabs>
          <w:tab w:leader="none" w:pos="200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(including judgment liens) arising in connection with legal proceedings so long as such proceedings are being contested in good faith and, in the case of judgment liens, execution thereon is stayed; or</w:t>
      </w:r>
    </w:p>
    <w:p>
      <w:pPr>
        <w:spacing w:after="0" w:line="207" w:lineRule="exact"/>
        <w:rPr>
          <w:rFonts w:ascii="Courier New" w:cs="Courier New" w:eastAsia="Courier New" w:hAnsi="Courier New"/>
          <w:sz w:val="18"/>
          <w:szCs w:val="18"/>
          <w:color w:val="auto"/>
        </w:rPr>
      </w:pPr>
    </w:p>
    <w:p>
      <w:pPr>
        <w:jc w:val="both"/>
        <w:ind w:left="1060" w:right="1779" w:firstLine="524"/>
        <w:spacing w:after="0" w:line="236" w:lineRule="auto"/>
        <w:tabs>
          <w:tab w:leader="none" w:pos="200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Landlords' liens on fixtures located on premises leased by us or any Restricted Subsidiary in the ordinary course of business; or</w:t>
      </w:r>
    </w:p>
    <w:p>
      <w:pPr>
        <w:spacing w:after="0" w:line="208" w:lineRule="exact"/>
        <w:rPr>
          <w:rFonts w:ascii="Courier New" w:cs="Courier New" w:eastAsia="Courier New" w:hAnsi="Courier New"/>
          <w:sz w:val="18"/>
          <w:szCs w:val="18"/>
          <w:color w:val="auto"/>
        </w:rPr>
      </w:pPr>
    </w:p>
    <w:p>
      <w:pPr>
        <w:ind w:left="1060" w:right="2619" w:firstLine="524"/>
        <w:spacing w:after="0" w:line="279" w:lineRule="auto"/>
        <w:tabs>
          <w:tab w:leader="none" w:pos="200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in favor of any governmental authority in connection with the financing of the cost of construction or acquisition of property; or</w:t>
      </w:r>
    </w:p>
    <w:p>
      <w:pPr>
        <w:spacing w:after="0" w:line="178" w:lineRule="exact"/>
        <w:rPr>
          <w:rFonts w:ascii="Courier New" w:cs="Courier New" w:eastAsia="Courier New" w:hAnsi="Courier New"/>
          <w:sz w:val="16"/>
          <w:szCs w:val="16"/>
          <w:color w:val="auto"/>
        </w:rPr>
      </w:pPr>
    </w:p>
    <w:p>
      <w:pPr>
        <w:jc w:val="both"/>
        <w:ind w:left="1060" w:right="2199" w:firstLine="524"/>
        <w:spacing w:after="0" w:line="237" w:lineRule="auto"/>
        <w:tabs>
          <w:tab w:leader="none" w:pos="200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arising by reason of deposits to qualify us or any Restricted Subsidiary to conduct business, to maintain self-insurance, or to obtain the benefit of, or comply with, laws; or</w:t>
      </w:r>
    </w:p>
    <w:p>
      <w:pPr>
        <w:spacing w:after="0" w:line="207" w:lineRule="exact"/>
        <w:rPr>
          <w:rFonts w:ascii="Courier New" w:cs="Courier New" w:eastAsia="Courier New" w:hAnsi="Courier New"/>
          <w:sz w:val="18"/>
          <w:szCs w:val="18"/>
          <w:color w:val="auto"/>
        </w:rPr>
      </w:pPr>
    </w:p>
    <w:p>
      <w:pPr>
        <w:ind w:left="1060" w:right="1879" w:firstLine="524"/>
        <w:spacing w:after="0" w:line="236" w:lineRule="auto"/>
        <w:tabs>
          <w:tab w:leader="none" w:pos="200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that secures any Indebtedness of a Restricted Subsidiary owing to us or another Restricted Subsidiary or by us to a Restricted Subsidiary, or</w:t>
      </w:r>
    </w:p>
    <w:p>
      <w:pPr>
        <w:spacing w:after="0" w:line="208" w:lineRule="exact"/>
        <w:rPr>
          <w:rFonts w:ascii="Courier New" w:cs="Courier New" w:eastAsia="Courier New" w:hAnsi="Courier New"/>
          <w:sz w:val="18"/>
          <w:szCs w:val="18"/>
          <w:color w:val="auto"/>
        </w:rPr>
      </w:pPr>
    </w:p>
    <w:p>
      <w:pPr>
        <w:ind w:left="1060" w:right="2419" w:firstLine="524"/>
        <w:spacing w:after="0" w:line="236" w:lineRule="auto"/>
        <w:tabs>
          <w:tab w:leader="none" w:pos="211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incurred in connection with pollution control, sewage or solid waste disposal, industrial revenue or similar financing; or</w:t>
      </w:r>
    </w:p>
    <w:p>
      <w:pPr>
        <w:spacing w:after="0" w:line="208" w:lineRule="exact"/>
        <w:rPr>
          <w:rFonts w:ascii="Courier New" w:cs="Courier New" w:eastAsia="Courier New" w:hAnsi="Courier New"/>
          <w:sz w:val="18"/>
          <w:szCs w:val="18"/>
          <w:color w:val="auto"/>
        </w:rPr>
      </w:pPr>
    </w:p>
    <w:p>
      <w:pPr>
        <w:ind w:left="1060" w:right="1779" w:firstLine="524"/>
        <w:spacing w:after="0" w:line="237" w:lineRule="auto"/>
        <w:tabs>
          <w:tab w:leader="none" w:pos="211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Restricted Subsidiary, provided that such program is on terms comparable for similar transactions, or any document executed by us or any Restricted Subsidiary in connection therewith, and provided that such Security Interest is limited to the trade or other receivables in respect of which such program is created or exists and the proceeds thereof, or</w:t>
      </w:r>
    </w:p>
    <w:p>
      <w:pPr>
        <w:sectPr>
          <w:pgSz w:w="11900" w:h="16838" w:orient="portrait"/>
          <w:cols w:equalWidth="0" w:num="1">
            <w:col w:w="9899"/>
          </w:cols>
          <w:pgMar w:left="560" w:top="312" w:right="1440" w:bottom="1440" w:gutter="0" w:footer="0" w:header="0"/>
        </w:sectPr>
      </w:pPr>
    </w:p>
    <w:p>
      <w:pPr>
        <w:spacing w:after="0" w:line="215"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9899"/>
          </w:cols>
          <w:pgMar w:left="560" w:top="312" w:right="1440" w:bottom="1440"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30</w:t>
      </w:r>
    </w:p>
    <w:p>
      <w:pPr>
        <w:spacing w:after="0" w:line="4" w:lineRule="exact"/>
        <w:rPr>
          <w:sz w:val="20"/>
          <w:szCs w:val="20"/>
          <w:color w:val="auto"/>
        </w:rPr>
      </w:pPr>
    </w:p>
    <w:p>
      <w:pPr>
        <w:ind w:left="1380" w:right="1879" w:firstLine="524"/>
        <w:spacing w:after="0" w:line="237" w:lineRule="auto"/>
        <w:tabs>
          <w:tab w:leader="none" w:pos="243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Notwithstanding the foregoing provisions, we or any of our Restricted</w:t>
      </w:r>
    </w:p>
    <w:p>
      <w:pPr>
        <w:spacing w:after="0" w:line="238" w:lineRule="auto"/>
        <w:rPr>
          <w:sz w:val="20"/>
          <w:szCs w:val="20"/>
          <w:color w:val="auto"/>
        </w:rPr>
      </w:pPr>
      <w:r>
        <w:rPr>
          <w:rFonts w:ascii="Courier New" w:cs="Courier New" w:eastAsia="Courier New" w:hAnsi="Courier New"/>
          <w:sz w:val="18"/>
          <w:szCs w:val="18"/>
          <w:color w:val="auto"/>
        </w:rPr>
        <w:t>Subsidiaries may create, incur, assume or suffer to exist any Indebtedness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secured by a Security Interest without so securing the Senior Debt Securities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series if, at the time such Security Interest becomes a Security Interest</w:t>
      </w:r>
    </w:p>
    <w:p>
      <w:pPr>
        <w:spacing w:after="0" w:line="238" w:lineRule="auto"/>
        <w:rPr>
          <w:sz w:val="20"/>
          <w:szCs w:val="20"/>
          <w:color w:val="auto"/>
        </w:rPr>
      </w:pPr>
      <w:r>
        <w:rPr>
          <w:rFonts w:ascii="Courier New" w:cs="Courier New" w:eastAsia="Courier New" w:hAnsi="Courier New"/>
          <w:sz w:val="18"/>
          <w:szCs w:val="18"/>
          <w:color w:val="auto"/>
        </w:rPr>
        <w:t>upon any of our or our Restricted Subsidiaries' Principal Property and after</w:t>
      </w:r>
    </w:p>
    <w:p>
      <w:pPr>
        <w:spacing w:after="0"/>
        <w:rPr>
          <w:sz w:val="20"/>
          <w:szCs w:val="20"/>
          <w:color w:val="auto"/>
        </w:rPr>
      </w:pPr>
      <w:r>
        <w:rPr>
          <w:rFonts w:ascii="Courier New" w:cs="Courier New" w:eastAsia="Courier New" w:hAnsi="Courier New"/>
          <w:sz w:val="18"/>
          <w:szCs w:val="18"/>
          <w:color w:val="auto"/>
        </w:rPr>
        <w:t>giving effect thereto, the aggregate outstanding principal amount of 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 of us and our Restricted Subsidiaries secured by Security Interests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permitted by this sentence (excluding Indebtedness secured by a Security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existing as of the date of the Senior Debt Indenture, but including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Attributable Debt in respect of Sale and Leaseback Transactions, other than Sale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Leaseback Transactions which, if the Attributable Debt in respect thereof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had been Indebtedness secured by a Security Interest, would have been permitted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clause (1)(a) above, other Sale and Leaseback Transactions the proceeds of</w:t>
      </w:r>
    </w:p>
    <w:p>
      <w:pPr>
        <w:spacing w:after="0" w:line="238" w:lineRule="auto"/>
        <w:rPr>
          <w:sz w:val="20"/>
          <w:szCs w:val="20"/>
          <w:color w:val="auto"/>
        </w:rPr>
      </w:pPr>
      <w:r>
        <w:rPr>
          <w:rFonts w:ascii="Courier New" w:cs="Courier New" w:eastAsia="Courier New" w:hAnsi="Courier New"/>
          <w:sz w:val="18"/>
          <w:szCs w:val="18"/>
          <w:color w:val="auto"/>
        </w:rPr>
        <w:t>which have been applied or committed to be applied in accordance with the</w:t>
      </w:r>
    </w:p>
    <w:p>
      <w:pPr>
        <w:spacing w:after="0"/>
        <w:rPr>
          <w:sz w:val="20"/>
          <w:szCs w:val="20"/>
          <w:color w:val="auto"/>
        </w:rPr>
      </w:pPr>
      <w:r>
        <w:rPr>
          <w:rFonts w:ascii="Courier New" w:cs="Courier New" w:eastAsia="Courier New" w:hAnsi="Courier New"/>
          <w:sz w:val="18"/>
          <w:szCs w:val="18"/>
          <w:color w:val="auto"/>
        </w:rPr>
        <w:t>covenant described in "--Provisions Applicable Solely to Senior Debt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Securities--Limitations on Sale and Leaseback Transactions" and other than Sale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Leaseback Transactions between us and any Restricted Subsidiary) does not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exceed 15% of Consolidated Net Tangible Assets. (Section 1008 of the Senior Debt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Indenture)</w:t>
      </w:r>
    </w:p>
    <w:p>
      <w:pPr>
        <w:spacing w:after="0" w:line="207" w:lineRule="exact"/>
        <w:rPr>
          <w:sz w:val="20"/>
          <w:szCs w:val="20"/>
          <w:color w:val="auto"/>
        </w:rPr>
      </w:pPr>
    </w:p>
    <w:p>
      <w:pPr>
        <w:ind w:left="960" w:right="1779" w:hanging="4"/>
        <w:spacing w:after="0" w:line="238" w:lineRule="auto"/>
        <w:tabs>
          <w:tab w:leader="none" w:pos="138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upon any consolidation or merger of any Restricted Subsidiary with or into any other corporation, or upon any consolidation or merger of any other corporation with or into us or any Restricted Subsidiary or upon any sale or conveyance of the Principal Property of any Restricted Subsidiary as an entirety or substantially as an entirety to any other Person, or upon any acquisition by us or any Restricted Subsidiary by purchase or otherwise of all or any part of the Principal Property of any other Person, any Principal Property theretofore owned by us or such Restricted Subsidiary would thereupon become subject to any Security Interest not permitted by the terms of the foregoing covenant, we,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us or such Restricted Subsidiary then entitled thereto) by a direct lien on all such Principal Property prior to all liens other than any liens theretofore existing thereon by a supplemental indenture or otherwise. (Section 1008 of the Senior Debt Indenture)</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 (a) we or such Restricted Subsidiary would be entitled, pursuant to the covenant described in "--Provisions Applicable Solely to Senior Debt Securities--Limitation on Liens," to incur Indebtedness secured by a Security Interest on the property to be leased without equally and ratably securing the Senior Debt Securities of that series, or (b) we shall, and in any such case we covenant that we will, within 180 days after the effective date of any such arrangement, apply an amount equal to the fair value (as determined by the Board of Directors) of such property to the</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39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12" w:right="1440" w:bottom="987"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31</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redemption of Senior Debt Securities that, by their terms, are subject to redemption, or to the purchase and retirement of Senior Debt Securities, or to the payment or other retirement of funded debt for money borrowed, incurred or assumed by us which ranks senior to or pari passu with the Senior Debt Securities of that series or of funded debt for money borrowed, incurred or assumed by any Restricted Subsidiary (other than, in either case, funded debt owed by us or any Restricted Subsidiary), or (c) we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Notwithstanding the foregoing, we may, and may permit any Restricted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to, effect any Sale and Leaseback Transaction that is not acceptable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clauses (a) through (c), inclusive, of the foregoing covenant,</w:t>
      </w:r>
    </w:p>
    <w:p>
      <w:pPr>
        <w:spacing w:after="0" w:line="238" w:lineRule="auto"/>
        <w:rPr>
          <w:sz w:val="20"/>
          <w:szCs w:val="20"/>
          <w:color w:val="auto"/>
        </w:rPr>
      </w:pPr>
      <w:r>
        <w:rPr>
          <w:rFonts w:ascii="Courier New" w:cs="Courier New" w:eastAsia="Courier New" w:hAnsi="Courier New"/>
          <w:sz w:val="18"/>
          <w:szCs w:val="18"/>
          <w:color w:val="auto"/>
        </w:rPr>
        <w:t>provided that the Attributable Debt associated with such Sale and Leaseback</w:t>
      </w:r>
    </w:p>
    <w:p>
      <w:pPr>
        <w:spacing w:after="0"/>
        <w:rPr>
          <w:sz w:val="20"/>
          <w:szCs w:val="20"/>
          <w:color w:val="auto"/>
        </w:rPr>
      </w:pPr>
      <w:r>
        <w:rPr>
          <w:rFonts w:ascii="Courier New" w:cs="Courier New" w:eastAsia="Courier New" w:hAnsi="Courier New"/>
          <w:sz w:val="18"/>
          <w:szCs w:val="18"/>
          <w:color w:val="auto"/>
        </w:rPr>
        <w:t>Transaction, together with the aggregate principal amount of outstanding debt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secured by Security Interests upon Principal Property not acceptable pursuant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clauses (1) through (12) of the covenant described in "--Provisions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Solely to Senior Debt Securities--Limitation on Liens," inclusive, do not exceed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of Consolidated Net Tangible Assets.</w:t>
      </w:r>
    </w:p>
    <w:p>
      <w:pPr>
        <w:spacing w:after="0" w:line="238" w:lineRule="auto"/>
        <w:rPr>
          <w:sz w:val="20"/>
          <w:szCs w:val="20"/>
          <w:color w:val="auto"/>
        </w:rPr>
      </w:pPr>
      <w:r>
        <w:rPr>
          <w:rFonts w:ascii="Courier New" w:cs="Courier New" w:eastAsia="Courier New" w:hAnsi="Courier New"/>
          <w:sz w:val="18"/>
          <w:szCs w:val="18"/>
          <w:color w:val="auto"/>
        </w:rPr>
        <w:t>(Section 1009 of the Senior Debt Indenture)</w:t>
      </w:r>
    </w:p>
    <w:p>
      <w:pPr>
        <w:spacing w:after="0" w:line="207"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Events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182" w:lineRule="exact"/>
        <w:rPr>
          <w:sz w:val="20"/>
          <w:szCs w:val="20"/>
          <w:color w:val="auto"/>
        </w:rPr>
      </w:pPr>
    </w:p>
    <w:p>
      <w:pPr>
        <w:ind w:left="960" w:right="2199" w:firstLine="417"/>
        <w:spacing w:after="0" w:line="236" w:lineRule="auto"/>
        <w:tabs>
          <w:tab w:leader="none" w:pos="180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Senior Debt Security of that series when it becomes due and payable, and continuance of such default for a period of 30 days; or</w:t>
      </w:r>
    </w:p>
    <w:p>
      <w:pPr>
        <w:spacing w:after="0" w:line="208" w:lineRule="exact"/>
        <w:rPr>
          <w:rFonts w:ascii="Courier New" w:cs="Courier New" w:eastAsia="Courier New" w:hAnsi="Courier New"/>
          <w:sz w:val="18"/>
          <w:szCs w:val="18"/>
          <w:color w:val="auto"/>
        </w:rPr>
      </w:pPr>
    </w:p>
    <w:p>
      <w:pPr>
        <w:ind w:left="960" w:right="1779" w:firstLine="417"/>
        <w:spacing w:after="0" w:line="237" w:lineRule="auto"/>
        <w:tabs>
          <w:tab w:leader="none" w:pos="180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960" w:right="1779" w:firstLine="417"/>
        <w:spacing w:after="0" w:line="235" w:lineRule="auto"/>
        <w:tabs>
          <w:tab w:leader="none" w:pos="180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Senior Debt Security of that series; or</w:t>
      </w:r>
    </w:p>
    <w:p>
      <w:pPr>
        <w:spacing w:after="0" w:line="208" w:lineRule="exact"/>
        <w:rPr>
          <w:rFonts w:ascii="Courier New" w:cs="Courier New" w:eastAsia="Courier New" w:hAnsi="Courier New"/>
          <w:sz w:val="18"/>
          <w:szCs w:val="18"/>
          <w:color w:val="auto"/>
        </w:rPr>
      </w:pPr>
    </w:p>
    <w:p>
      <w:pPr>
        <w:ind w:left="960" w:right="1779" w:firstLine="417"/>
        <w:spacing w:after="0" w:line="270" w:lineRule="auto"/>
        <w:tabs>
          <w:tab w:leader="none" w:pos="180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of our other covenants or warranties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 Securities other than that series), and continuance of such default or breach for a period of 60 days after there has been given, by registered or certified mail, to us by the Trustee or to us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389" w:lineRule="exact"/>
        <w:rPr>
          <w:rFonts w:ascii="Courier New" w:cs="Courier New" w:eastAsia="Courier New" w:hAnsi="Courier New"/>
          <w:sz w:val="16"/>
          <w:szCs w:val="16"/>
          <w:color w:val="auto"/>
        </w:rPr>
      </w:pPr>
    </w:p>
    <w:p>
      <w:pPr>
        <w:ind w:left="960" w:right="1779" w:firstLine="417"/>
        <w:spacing w:after="0" w:line="237" w:lineRule="auto"/>
        <w:tabs>
          <w:tab w:leader="none" w:pos="180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 (A) a decree or order for relief in respect of us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our property, or ordering the winding up or</w:t>
      </w:r>
    </w:p>
    <w:p>
      <w:pPr>
        <w:sectPr>
          <w:pgSz w:w="11900" w:h="16838" w:orient="portrait"/>
          <w:cols w:equalWidth="0" w:num="1">
            <w:col w:w="10219"/>
          </w:cols>
          <w:pgMar w:left="240" w:top="312" w:right="1440" w:bottom="1440" w:gutter="0" w:footer="0" w:header="0"/>
        </w:sect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12" w:right="1440" w:bottom="1440"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32</w:t>
      </w:r>
    </w:p>
    <w:p>
      <w:pPr>
        <w:spacing w:after="0" w:line="4" w:lineRule="exact"/>
        <w:rPr>
          <w:sz w:val="20"/>
          <w:szCs w:val="20"/>
          <w:color w:val="auto"/>
        </w:rPr>
      </w:pPr>
    </w:p>
    <w:p>
      <w:pPr>
        <w:ind w:left="960" w:right="1999"/>
        <w:spacing w:after="0" w:line="236" w:lineRule="auto"/>
        <w:rPr>
          <w:sz w:val="20"/>
          <w:szCs w:val="20"/>
          <w:color w:val="auto"/>
        </w:rPr>
      </w:pPr>
      <w:r>
        <w:rPr>
          <w:rFonts w:ascii="Courier New" w:cs="Courier New" w:eastAsia="Courier New" w:hAnsi="Courier New"/>
          <w:sz w:val="18"/>
          <w:szCs w:val="18"/>
          <w:color w:val="auto"/>
        </w:rPr>
        <w:t>liquidation of our affairs, and the continuance of any such decree or order for relief or any such other decree or order unstayed and in effect for a period of 90 consecutive days; or</w:t>
      </w:r>
    </w:p>
    <w:p>
      <w:pPr>
        <w:spacing w:after="0" w:line="209" w:lineRule="exact"/>
        <w:rPr>
          <w:sz w:val="20"/>
          <w:szCs w:val="20"/>
          <w:color w:val="auto"/>
        </w:rPr>
      </w:pPr>
    </w:p>
    <w:p>
      <w:pPr>
        <w:ind w:left="960" w:right="1779" w:firstLine="417"/>
        <w:spacing w:after="0" w:line="269" w:lineRule="auto"/>
        <w:tabs>
          <w:tab w:leader="none" w:pos="180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us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395" w:lineRule="exact"/>
        <w:rPr>
          <w:rFonts w:ascii="Courier New" w:cs="Courier New" w:eastAsia="Courier New" w:hAnsi="Courier New"/>
          <w:sz w:val="16"/>
          <w:szCs w:val="16"/>
          <w:color w:val="auto"/>
        </w:rPr>
      </w:pPr>
    </w:p>
    <w:p>
      <w:pPr>
        <w:ind w:left="960" w:right="1779" w:firstLine="417"/>
        <w:spacing w:after="0" w:line="290" w:lineRule="auto"/>
        <w:tabs>
          <w:tab w:leader="none" w:pos="180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Senior Debt Securities of that series. (Section 501 of the Senior Debt Indenture)</w:t>
      </w:r>
    </w:p>
    <w:p>
      <w:pPr>
        <w:spacing w:after="0" w:line="170"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Remedies. 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 Holders of a majority in principal amount of the Outstanding Senior Debt Securities of that series, by written notice to us and the Trustee, may rescind and annul such declaration and its consequences if:</w:t>
      </w:r>
    </w:p>
    <w:p>
      <w:pPr>
        <w:spacing w:after="0" w:line="397" w:lineRule="exact"/>
        <w:rPr>
          <w:sz w:val="20"/>
          <w:szCs w:val="20"/>
          <w:color w:val="auto"/>
        </w:rPr>
      </w:pPr>
    </w:p>
    <w:p>
      <w:pPr>
        <w:ind w:left="1380" w:hanging="424"/>
        <w:spacing w:after="0"/>
        <w:tabs>
          <w:tab w:leader="none" w:pos="13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paid or deposited with the Trustee a sum sufficient to pay:</w:t>
      </w:r>
    </w:p>
    <w:p>
      <w:pPr>
        <w:spacing w:after="0" w:line="223"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 all overdue interest on all Senior Debt Securities of that series;</w:t>
      </w:r>
    </w:p>
    <w:p>
      <w:pPr>
        <w:spacing w:after="0" w:line="224" w:lineRule="exact"/>
        <w:rPr>
          <w:sz w:val="20"/>
          <w:szCs w:val="20"/>
          <w:color w:val="auto"/>
        </w:rPr>
      </w:pPr>
    </w:p>
    <w:p>
      <w:pPr>
        <w:ind w:left="960" w:right="1999" w:hanging="4"/>
        <w:spacing w:after="0" w:line="237" w:lineRule="auto"/>
        <w:tabs>
          <w:tab w:leader="none" w:pos="138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Senior Debt Securities of that series which has become due otherwise than by such declaration of acceleration and any interest thereon at the rate or rates prescribed therefor in such Senior Debt Securities;</w:t>
      </w:r>
    </w:p>
    <w:p>
      <w:pPr>
        <w:spacing w:after="0" w:line="207" w:lineRule="exact"/>
        <w:rPr>
          <w:rFonts w:ascii="Courier New" w:cs="Courier New" w:eastAsia="Courier New" w:hAnsi="Courier New"/>
          <w:sz w:val="18"/>
          <w:szCs w:val="18"/>
          <w:color w:val="auto"/>
        </w:rPr>
      </w:pPr>
    </w:p>
    <w:p>
      <w:pPr>
        <w:ind w:left="960" w:right="1879" w:hanging="4"/>
        <w:spacing w:after="0" w:line="236" w:lineRule="auto"/>
        <w:tabs>
          <w:tab w:leader="none" w:pos="138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therefor in such Senior Debt Securities; and</w:t>
      </w:r>
    </w:p>
    <w:p>
      <w:pPr>
        <w:spacing w:after="0" w:line="208" w:lineRule="exact"/>
        <w:rPr>
          <w:rFonts w:ascii="Courier New" w:cs="Courier New" w:eastAsia="Courier New" w:hAnsi="Courier New"/>
          <w:sz w:val="18"/>
          <w:szCs w:val="18"/>
          <w:color w:val="auto"/>
        </w:rPr>
      </w:pPr>
    </w:p>
    <w:p>
      <w:pPr>
        <w:ind w:left="960" w:right="2099" w:hanging="4"/>
        <w:spacing w:after="0" w:line="236" w:lineRule="auto"/>
        <w:tabs>
          <w:tab w:leader="none" w:pos="138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9" w:lineRule="exact"/>
        <w:rPr>
          <w:sz w:val="20"/>
          <w:szCs w:val="20"/>
          <w:color w:val="auto"/>
        </w:rPr>
      </w:pPr>
    </w:p>
    <w:p>
      <w:pPr>
        <w:jc w:val="both"/>
        <w:ind w:left="540" w:right="1999" w:firstLine="416"/>
        <w:spacing w:after="0" w:line="237" w:lineRule="auto"/>
        <w:tabs>
          <w:tab w:leader="none" w:pos="138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Senior Debt Securities of that series, other than the non-payment of the principal of Senior Debt Securities of that series which has become due solely by such declaration of acceleration, have been cured or waived as provided in the Senior Debt Indenture.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12" w:right="1440" w:bottom="1440"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we,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w:t>
      </w:r>
    </w:p>
    <w:p>
      <w:pPr>
        <w:spacing w:after="0" w:line="184" w:lineRule="exact"/>
        <w:rPr>
          <w:sz w:val="20"/>
          <w:szCs w:val="20"/>
          <w:color w:val="auto"/>
        </w:rPr>
      </w:pPr>
    </w:p>
    <w:p>
      <w:pPr>
        <w:ind w:left="540" w:right="1779" w:firstLine="416"/>
        <w:spacing w:after="0" w:line="236" w:lineRule="auto"/>
        <w:tabs>
          <w:tab w:leader="none" w:pos="138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Senior Debt Securities of that series;</w:t>
      </w:r>
    </w:p>
    <w:p>
      <w:pPr>
        <w:spacing w:after="0" w:line="208" w:lineRule="exact"/>
        <w:rPr>
          <w:rFonts w:ascii="Courier New" w:cs="Courier New" w:eastAsia="Courier New" w:hAnsi="Courier New"/>
          <w:sz w:val="18"/>
          <w:szCs w:val="18"/>
          <w:color w:val="auto"/>
        </w:rPr>
      </w:pPr>
    </w:p>
    <w:p>
      <w:pPr>
        <w:ind w:left="540" w:right="1879" w:firstLine="416"/>
        <w:spacing w:after="0" w:line="237" w:lineRule="auto"/>
        <w:tabs>
          <w:tab w:leader="none" w:pos="138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Senior Debt Securities of that series shall have been made written request to the Trustee to institute proceedings in respect of such Event of Default in its own name as Trustee under the Senior Debt Indenture;</w:t>
      </w:r>
    </w:p>
    <w:p>
      <w:pPr>
        <w:spacing w:after="0" w:line="208" w:lineRule="exact"/>
        <w:rPr>
          <w:rFonts w:ascii="Courier New" w:cs="Courier New" w:eastAsia="Courier New" w:hAnsi="Courier New"/>
          <w:sz w:val="18"/>
          <w:szCs w:val="18"/>
          <w:color w:val="auto"/>
        </w:rPr>
      </w:pPr>
    </w:p>
    <w:p>
      <w:pPr>
        <w:ind w:left="540" w:right="2199" w:firstLine="416"/>
        <w:spacing w:after="0" w:line="236" w:lineRule="auto"/>
        <w:tabs>
          <w:tab w:leader="none" w:pos="138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540" w:right="1999" w:firstLine="416"/>
        <w:spacing w:after="0" w:line="290" w:lineRule="auto"/>
        <w:tabs>
          <w:tab w:leader="none" w:pos="138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69" w:lineRule="exact"/>
        <w:rPr>
          <w:rFonts w:ascii="Courier New" w:cs="Courier New" w:eastAsia="Courier New" w:hAnsi="Courier New"/>
          <w:sz w:val="16"/>
          <w:szCs w:val="16"/>
          <w:color w:val="auto"/>
        </w:rPr>
      </w:pPr>
    </w:p>
    <w:p>
      <w:pPr>
        <w:ind w:left="540" w:right="1879" w:firstLine="416"/>
        <w:spacing w:after="0" w:line="237" w:lineRule="auto"/>
        <w:tabs>
          <w:tab w:leader="none" w:pos="138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Senior Debt Securities of that series. (Section 507 of the Senior Debt Indenture)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Notwithstanding any other provisions in the Senior Debt Indenture, the right of any Holder of any Senior Debt Security or coupon to receive payment of the principal of and any premium and any interest on such Senior Debt Security or payment of such coupon on the Stated Maturity or Maturities expressed in such Senior Debt Security or coupon, or to institute suit for the enforcement of any such payment on or after such respective dates shall not be impaired or affected without the consent of such Holder. (Sections 508, 902 of the Senior Debt Indenture)</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w:t>
      </w:r>
    </w:p>
    <w:p>
      <w:pPr>
        <w:sectPr>
          <w:pgSz w:w="11900" w:h="16838" w:orient="portrait"/>
          <w:cols w:equalWidth="0" w:num="1">
            <w:col w:w="10219"/>
          </w:cols>
          <w:pgMar w:left="240" w:top="312" w:right="1440" w:bottom="1440" w:gutter="0" w:footer="0" w:header="0"/>
        </w:sect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12" w:right="1440" w:bottom="1440"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34</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3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If a default occurs under the Senior Debt Indenture with respect to Senior Debt Securities of any series, the Trustee shall give the Holders of Senior Debt Securities of such series notice of such default as and to the 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216"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spacing w:after="0" w:line="185" w:lineRule="exact"/>
        <w:rPr>
          <w:sz w:val="20"/>
          <w:szCs w:val="20"/>
          <w:color w:val="auto"/>
        </w:rPr>
      </w:pPr>
    </w:p>
    <w:p>
      <w:pPr>
        <w:ind w:left="960" w:right="1999" w:firstLine="417"/>
        <w:spacing w:after="0" w:line="237" w:lineRule="auto"/>
        <w:tabs>
          <w:tab w:leader="none" w:pos="180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w:t>
      </w:r>
    </w:p>
    <w:p>
      <w:pPr>
        <w:spacing w:after="0" w:line="212" w:lineRule="exact"/>
        <w:rPr>
          <w:rFonts w:ascii="Courier New" w:cs="Courier New" w:eastAsia="Courier New" w:hAnsi="Courier New"/>
          <w:sz w:val="18"/>
          <w:szCs w:val="18"/>
          <w:color w:val="auto"/>
        </w:rPr>
      </w:pPr>
    </w:p>
    <w:p>
      <w:pPr>
        <w:ind w:left="960" w:right="1999" w:firstLine="417"/>
        <w:spacing w:after="0" w:line="235" w:lineRule="auto"/>
        <w:tabs>
          <w:tab w:leader="none" w:pos="190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 the sum of all Dollar amounts determined under (i) and add thereto any amounts due and payable in Dollars; and</w:t>
      </w:r>
    </w:p>
    <w:p>
      <w:pPr>
        <w:spacing w:after="0" w:line="208" w:lineRule="exact"/>
        <w:rPr>
          <w:rFonts w:ascii="Courier New" w:cs="Courier New" w:eastAsia="Courier New" w:hAnsi="Courier New"/>
          <w:sz w:val="18"/>
          <w:szCs w:val="18"/>
          <w:color w:val="auto"/>
        </w:rPr>
      </w:pPr>
    </w:p>
    <w:p>
      <w:pPr>
        <w:ind w:left="960" w:right="1779" w:firstLine="417"/>
        <w:spacing w:after="0" w:line="272" w:lineRule="auto"/>
        <w:tabs>
          <w:tab w:leader="none" w:pos="201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w:t>
      </w:r>
    </w:p>
    <w:p>
      <w:pPr>
        <w:spacing w:after="0" w:line="186"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 Debt Securities to whom amounts are payable under the Senior Debt Indenture. (Sections 506, 902 of the Senior Debt Indenture)</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To the fullest extent allowed under applicable law, if for the purpose of obtaining judgment against us in any court it is necessary to convert the sum due in respect of the principal of, or premium, if any, or interest on, the Senior Debt Securities of any series (the "Required Currency") into a currency in</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312" w:right="1440" w:bottom="1440" w:gutter="0" w:footer="0" w:header="0"/>
          <w:type w:val="continuous"/>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35</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us is calculated as above and the time the Trustee converts the Judgment Currency into the Required Currency to make payments under the foregoing provisions of the Senior Debt Indenture to Holders of Senior Debt Securities, but payment of such judgment shall discharge all amounts owed by us on the claim or claims underlying such judgment. (Section 506 of the Senior Debt Indenture)</w:t>
      </w:r>
    </w:p>
    <w:p>
      <w:pPr>
        <w:spacing w:after="0" w:line="208"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Senior Debt Indenture. (Section 1006)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SUBORDINATED DEBT SECURITIES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Consolidation, Merger, Sale. The Subordinated Debt Indenture provides that we may not consolidate with or merge into any other Person or convey, transfer or lease its properties and assets substantially as an entirety to any Person, unless (1) the Person formed by such consolidation or into which we merge or the Person which acquires by conveyance or transfer, or which leases, our properties and assets substantially as an entirety shall be a corporation, partnership or trust, organized and validly existing under the laws of the United States,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to be performed or observed on our part; and (2) immediately after giving effect to such transaction and treating any indebtedness which becomes our or our subsidiaries' obligation as a result of such transaction as having been incurred by us or such Subsidiary at the time of such transaction, no Event of Default, and no event which, after notice or lapse of time or both, would become an Event of Default, shall have happened and be continuing. 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Subordinated Debt Indenture with the same effect as if such successor Person had been named as us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Events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209" w:lineRule="exact"/>
        <w:rPr>
          <w:sz w:val="20"/>
          <w:szCs w:val="20"/>
          <w:color w:val="auto"/>
        </w:rPr>
      </w:pPr>
    </w:p>
    <w:p>
      <w:pPr>
        <w:ind w:left="960" w:right="2099" w:firstLine="417"/>
        <w:spacing w:after="0" w:line="279" w:lineRule="auto"/>
        <w:tabs>
          <w:tab w:leader="none" w:pos="180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Subordinated Debt Security of that series when it becomes due and payable, and continuance of such default for a period of 30 days; or</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36</w:t>
      </w:r>
    </w:p>
    <w:p>
      <w:pPr>
        <w:spacing w:after="0" w:line="4" w:lineRule="exact"/>
        <w:rPr>
          <w:sz w:val="20"/>
          <w:szCs w:val="20"/>
          <w:color w:val="auto"/>
        </w:rPr>
      </w:pPr>
    </w:p>
    <w:p>
      <w:pPr>
        <w:ind w:left="960" w:right="1779" w:firstLine="417"/>
        <w:spacing w:after="0" w:line="237" w:lineRule="auto"/>
        <w:tabs>
          <w:tab w:leader="none" w:pos="180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960" w:right="1779" w:firstLine="417"/>
        <w:spacing w:after="0" w:line="290" w:lineRule="auto"/>
        <w:tabs>
          <w:tab w:leader="none" w:pos="180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 Subordinated Debt Security of that series; or</w:t>
      </w:r>
    </w:p>
    <w:p>
      <w:pPr>
        <w:spacing w:after="0" w:line="169" w:lineRule="exact"/>
        <w:rPr>
          <w:rFonts w:ascii="Courier New" w:cs="Courier New" w:eastAsia="Courier New" w:hAnsi="Courier New"/>
          <w:sz w:val="16"/>
          <w:szCs w:val="16"/>
          <w:color w:val="auto"/>
        </w:rPr>
      </w:pPr>
    </w:p>
    <w:p>
      <w:pPr>
        <w:ind w:left="960" w:right="1879" w:firstLine="417"/>
        <w:spacing w:after="0" w:line="270" w:lineRule="auto"/>
        <w:tabs>
          <w:tab w:leader="none" w:pos="180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of our other covenants or warranties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us by the Trustee or to us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387" w:lineRule="exact"/>
        <w:rPr>
          <w:rFonts w:ascii="Courier New" w:cs="Courier New" w:eastAsia="Courier New" w:hAnsi="Courier New"/>
          <w:sz w:val="16"/>
          <w:szCs w:val="16"/>
          <w:color w:val="auto"/>
        </w:rPr>
      </w:pPr>
    </w:p>
    <w:p>
      <w:pPr>
        <w:ind w:left="960" w:right="1779" w:firstLine="417"/>
        <w:spacing w:after="0" w:line="238" w:lineRule="auto"/>
        <w:tabs>
          <w:tab w:leader="none" w:pos="180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 (A) a decree or order for relief in respect of us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07" w:lineRule="exact"/>
        <w:rPr>
          <w:rFonts w:ascii="Courier New" w:cs="Courier New" w:eastAsia="Courier New" w:hAnsi="Courier New"/>
          <w:sz w:val="18"/>
          <w:szCs w:val="18"/>
          <w:color w:val="auto"/>
        </w:rPr>
      </w:pPr>
    </w:p>
    <w:p>
      <w:pPr>
        <w:ind w:left="960" w:right="1779" w:firstLine="417"/>
        <w:spacing w:after="0" w:line="269" w:lineRule="auto"/>
        <w:tabs>
          <w:tab w:leader="none" w:pos="180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us to the entry of a decree or order for relief in respect of us in an involuntary case or proceeding under any applicable Federal or State bankruptcy, insolvency, reorganization or other similar law or the commencement of any bankruptcy or insolvency case or proceeding against us, or the filing by us of a petition or answer or consent seeking reorganization or relief under any applicable Federal or State law, or the consent by us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395" w:lineRule="exact"/>
        <w:rPr>
          <w:rFonts w:ascii="Courier New" w:cs="Courier New" w:eastAsia="Courier New" w:hAnsi="Courier New"/>
          <w:sz w:val="16"/>
          <w:szCs w:val="16"/>
          <w:color w:val="auto"/>
        </w:rPr>
      </w:pPr>
    </w:p>
    <w:p>
      <w:pPr>
        <w:ind w:left="960" w:right="2519" w:firstLine="417"/>
        <w:spacing w:after="0" w:line="236" w:lineRule="auto"/>
        <w:tabs>
          <w:tab w:leader="none" w:pos="180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Subordinated Debt Securities of that series. (Section 501 of the Subordinated Debt Indenture)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Remedies. 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us (and to the Trustee if given by Holders), and upon any</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312" w:right="1440" w:bottom="1440"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37</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us and the Trustee, may rescind and annul such declaration and its consequences if:</w:t>
      </w:r>
    </w:p>
    <w:p>
      <w:pPr>
        <w:spacing w:after="0" w:line="188" w:lineRule="exact"/>
        <w:rPr>
          <w:sz w:val="20"/>
          <w:szCs w:val="20"/>
          <w:color w:val="auto"/>
        </w:rPr>
      </w:pPr>
    </w:p>
    <w:p>
      <w:pPr>
        <w:ind w:left="1800" w:hanging="423"/>
        <w:spacing w:after="0"/>
        <w:tabs>
          <w:tab w:leader="none" w:pos="18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paid or deposited with the Trustee a sum sufficient to</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pay:</w:t>
      </w:r>
    </w:p>
    <w:p>
      <w:pPr>
        <w:spacing w:after="0" w:line="207" w:lineRule="exact"/>
        <w:rPr>
          <w:sz w:val="20"/>
          <w:szCs w:val="20"/>
          <w:color w:val="auto"/>
        </w:rPr>
      </w:pPr>
    </w:p>
    <w:p>
      <w:pPr>
        <w:ind w:left="1380" w:right="2199" w:hanging="3"/>
        <w:spacing w:after="0" w:line="235" w:lineRule="auto"/>
        <w:tabs>
          <w:tab w:leader="none" w:pos="180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Subordinated Debt Securities of that series;</w:t>
      </w:r>
    </w:p>
    <w:p>
      <w:pPr>
        <w:spacing w:after="0" w:line="208" w:lineRule="exact"/>
        <w:rPr>
          <w:rFonts w:ascii="Courier New" w:cs="Courier New" w:eastAsia="Courier New" w:hAnsi="Courier New"/>
          <w:sz w:val="18"/>
          <w:szCs w:val="18"/>
          <w:color w:val="auto"/>
        </w:rPr>
      </w:pPr>
    </w:p>
    <w:p>
      <w:pPr>
        <w:ind w:left="1380" w:right="1779" w:hanging="3"/>
        <w:spacing w:after="0" w:line="237" w:lineRule="auto"/>
        <w:tabs>
          <w:tab w:leader="none" w:pos="180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Subordinated Debt Securities of that series which has become due otherwise than by such declaration of acceleration and any interest thereon at the rate or rates prescribed therefor in such Subordinated Debt Securities;</w:t>
      </w:r>
    </w:p>
    <w:p>
      <w:pPr>
        <w:spacing w:after="0" w:line="208" w:lineRule="exact"/>
        <w:rPr>
          <w:rFonts w:ascii="Courier New" w:cs="Courier New" w:eastAsia="Courier New" w:hAnsi="Courier New"/>
          <w:sz w:val="18"/>
          <w:szCs w:val="18"/>
          <w:color w:val="auto"/>
        </w:rPr>
      </w:pPr>
    </w:p>
    <w:p>
      <w:pPr>
        <w:ind w:left="1380" w:right="1779" w:hanging="3"/>
        <w:spacing w:after="0" w:line="236" w:lineRule="auto"/>
        <w:tabs>
          <w:tab w:leader="none" w:pos="180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therefor in such Subordinated Debt Securities, and</w:t>
      </w:r>
    </w:p>
    <w:p>
      <w:pPr>
        <w:spacing w:after="0" w:line="208" w:lineRule="exact"/>
        <w:rPr>
          <w:rFonts w:ascii="Courier New" w:cs="Courier New" w:eastAsia="Courier New" w:hAnsi="Courier New"/>
          <w:sz w:val="18"/>
          <w:szCs w:val="18"/>
          <w:color w:val="auto"/>
        </w:rPr>
      </w:pPr>
    </w:p>
    <w:p>
      <w:pPr>
        <w:ind w:left="1380" w:right="2099" w:hanging="3"/>
        <w:spacing w:after="0" w:line="236" w:lineRule="auto"/>
        <w:tabs>
          <w:tab w:leader="none" w:pos="180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9" w:lineRule="exact"/>
        <w:rPr>
          <w:sz w:val="20"/>
          <w:szCs w:val="20"/>
          <w:color w:val="auto"/>
        </w:rPr>
      </w:pPr>
    </w:p>
    <w:p>
      <w:pPr>
        <w:ind w:left="960" w:right="1879" w:firstLine="417"/>
        <w:spacing w:after="0" w:line="237" w:lineRule="auto"/>
        <w:tabs>
          <w:tab w:leader="none" w:pos="180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we,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w:t>
      </w:r>
    </w:p>
    <w:p>
      <w:pPr>
        <w:spacing w:after="0" w:line="215" w:lineRule="exact"/>
        <w:rPr>
          <w:sz w:val="20"/>
          <w:szCs w:val="20"/>
          <w:color w:val="auto"/>
        </w:rPr>
      </w:pPr>
    </w:p>
    <w:p>
      <w:pPr>
        <w:jc w:val="both"/>
        <w:ind w:left="960" w:right="1879" w:firstLine="417"/>
        <w:spacing w:after="0" w:line="236" w:lineRule="auto"/>
        <w:tabs>
          <w:tab w:leader="none" w:pos="180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Subordinated Debt Securities of that series;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ind w:left="960" w:right="1779" w:firstLine="417"/>
        <w:spacing w:after="0" w:line="237" w:lineRule="auto"/>
        <w:tabs>
          <w:tab w:leader="none" w:pos="180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w:t>
      </w:r>
    </w:p>
    <w:p>
      <w:pPr>
        <w:spacing w:after="0" w:line="208" w:lineRule="exact"/>
        <w:rPr>
          <w:rFonts w:ascii="Courier New" w:cs="Courier New" w:eastAsia="Courier New" w:hAnsi="Courier New"/>
          <w:sz w:val="18"/>
          <w:szCs w:val="18"/>
          <w:color w:val="auto"/>
        </w:rPr>
      </w:pPr>
    </w:p>
    <w:p>
      <w:pPr>
        <w:ind w:left="960" w:right="1779" w:firstLine="417"/>
        <w:spacing w:after="0" w:line="236" w:lineRule="auto"/>
        <w:tabs>
          <w:tab w:leader="none" w:pos="180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960" w:right="2419" w:firstLine="417"/>
        <w:spacing w:after="0" w:line="236" w:lineRule="auto"/>
        <w:tabs>
          <w:tab w:leader="none" w:pos="180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for 60 days after its receipt of such notice, request and offer of indemnity has failed to institute any such proceeding; and</w:t>
      </w:r>
    </w:p>
    <w:p>
      <w:pPr>
        <w:spacing w:after="0" w:line="208" w:lineRule="exact"/>
        <w:rPr>
          <w:rFonts w:ascii="Courier New" w:cs="Courier New" w:eastAsia="Courier New" w:hAnsi="Courier New"/>
          <w:sz w:val="18"/>
          <w:szCs w:val="18"/>
          <w:color w:val="auto"/>
        </w:rPr>
      </w:pPr>
    </w:p>
    <w:p>
      <w:pPr>
        <w:ind w:left="960" w:right="2099" w:firstLine="417"/>
        <w:spacing w:after="0" w:line="237" w:lineRule="auto"/>
        <w:tabs>
          <w:tab w:leader="none" w:pos="180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Subordinated Debt Securities of that series. (Section 507 of the Subordinated Debt Indenture)</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216"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200" w:lineRule="exact"/>
        <w:rPr>
          <w:sz w:val="20"/>
          <w:szCs w:val="20"/>
          <w:color w:val="auto"/>
        </w:rPr>
      </w:pPr>
    </w:p>
    <w:p>
      <w:pPr>
        <w:spacing w:after="0" w:line="39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w:t>
      </w:r>
    </w:p>
    <w:p>
      <w:pPr>
        <w:sectPr>
          <w:pgSz w:w="11900" w:h="16838" w:orient="portrait"/>
          <w:cols w:equalWidth="0" w:num="1">
            <w:col w:w="10219"/>
          </w:cols>
          <w:pgMar w:left="240" w:top="312" w:right="1440" w:bottom="1440" w:gutter="0" w:footer="0" w:header="0"/>
        </w:sect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312" w:right="1440" w:bottom="1440" w:gutter="0" w:footer="0" w:header="0"/>
          <w:type w:val="continuous"/>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39</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notice or lapse of time or both would become, an Event of Default with respect to the Subordinated Debt Securities of such series). (Section 602 of the Subordinated Debt Indenture)</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w:t>
      </w:r>
    </w:p>
    <w:p>
      <w:pPr>
        <w:spacing w:after="0" w:line="204" w:lineRule="exact"/>
        <w:rPr>
          <w:sz w:val="20"/>
          <w:szCs w:val="20"/>
          <w:color w:val="auto"/>
        </w:rPr>
      </w:pPr>
    </w:p>
    <w:p>
      <w:pPr>
        <w:ind w:left="1800" w:hanging="423"/>
        <w:spacing w:after="0"/>
        <w:tabs>
          <w:tab w:leader="none" w:pos="18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day the Trustee collects an amount under the</w:t>
      </w:r>
    </w:p>
    <w:p>
      <w:pPr>
        <w:spacing w:after="0" w:line="4" w:lineRule="exact"/>
        <w:rPr>
          <w:rFonts w:ascii="Courier New" w:cs="Courier New" w:eastAsia="Courier New" w:hAnsi="Courier New"/>
          <w:sz w:val="18"/>
          <w:szCs w:val="18"/>
          <w:color w:val="auto"/>
        </w:rPr>
      </w:pPr>
    </w:p>
    <w:p>
      <w:pPr>
        <w:ind w:left="96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w:t>
      </w:r>
    </w:p>
    <w:p>
      <w:pPr>
        <w:spacing w:after="0" w:line="187" w:lineRule="exact"/>
        <w:rPr>
          <w:rFonts w:ascii="Courier New" w:cs="Courier New" w:eastAsia="Courier New" w:hAnsi="Courier New"/>
          <w:sz w:val="18"/>
          <w:szCs w:val="18"/>
          <w:color w:val="auto"/>
        </w:rPr>
      </w:pPr>
    </w:p>
    <w:p>
      <w:pPr>
        <w:ind w:left="960" w:right="1999" w:firstLine="417"/>
        <w:spacing w:after="0" w:line="235" w:lineRule="auto"/>
        <w:tabs>
          <w:tab w:leader="none" w:pos="190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 the sum of all Dollar amounts determined under (i) and add thereto any amounts due and payable in Dollars; and</w:t>
      </w:r>
    </w:p>
    <w:p>
      <w:pPr>
        <w:spacing w:after="0" w:line="208" w:lineRule="exact"/>
        <w:rPr>
          <w:rFonts w:ascii="Courier New" w:cs="Courier New" w:eastAsia="Courier New" w:hAnsi="Courier New"/>
          <w:sz w:val="18"/>
          <w:szCs w:val="18"/>
          <w:color w:val="auto"/>
        </w:rPr>
      </w:pPr>
    </w:p>
    <w:p>
      <w:pPr>
        <w:ind w:left="960" w:right="1779" w:firstLine="417"/>
        <w:spacing w:after="0" w:line="272" w:lineRule="auto"/>
        <w:tabs>
          <w:tab w:leader="none" w:pos="201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individual amounts determined in (i) or any individual amounts due and payable in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w:t>
      </w:r>
    </w:p>
    <w:p>
      <w:pPr>
        <w:spacing w:after="0" w:line="186"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186"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To the fullest extent allowed under applicable law, if for the purpose of obtaining judgment against us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we benefit from any windfall in payments to Holders of Subordinated Debt Securities under the Subordinated Debt Indenture caused by a change in exchange rates between the time the amount of a judgment against us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us on the claim or claims underlying such judgment. (Section 506 of the Subordinated Debt Indenture)</w:t>
      </w:r>
    </w:p>
    <w:p>
      <w:pPr>
        <w:spacing w:after="0" w:line="395"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Subordinated Debt Indenture. (Section 1007 of the Subordinated Debt Indenture)</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Subordination. The Subordinated Debt Securities will be subordinate and junior in right of payment, to the extent set forth in the Subordinated Debt Indenture, to all our Senior Indebtedness (as</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12" w:right="1440" w:bottom="1440"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40</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defined below). If we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us by the holders of such Senior Indebtedness or any trustee therefor and subject to certain of our rights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our capital stock (or cash in lieu of fractional shares thereof) pursuant to any conversion right of the Subordinated Debt Securities or otherwise made in our capital stock. (Sections 1601, 1604 and 1605 of the Subordinated Debt Indenture)</w:t>
      </w:r>
    </w:p>
    <w:p>
      <w:pPr>
        <w:spacing w:after="0" w:line="38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"Senior Indebtedness" is defined in Section 101 of the Subordinated Debt Indenture as our Indebtedness (as defined below) outstanding at any time except:</w:t>
      </w:r>
    </w:p>
    <w:p>
      <w:pPr>
        <w:spacing w:after="0" w:line="209" w:lineRule="exact"/>
        <w:rPr>
          <w:sz w:val="20"/>
          <w:szCs w:val="20"/>
          <w:color w:val="auto"/>
        </w:rPr>
      </w:pPr>
    </w:p>
    <w:p>
      <w:pPr>
        <w:ind w:left="960" w:right="1879" w:hanging="4"/>
        <w:spacing w:after="0" w:line="279" w:lineRule="auto"/>
        <w:tabs>
          <w:tab w:leader="none" w:pos="138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Indebtedness as to which, by the terms of the instrument creating or evidencing the same, it is provided that such Indebtedness is not senior in right of payment to the Subordinated Debt Securities;</w:t>
      </w:r>
    </w:p>
    <w:p>
      <w:pPr>
        <w:spacing w:after="0" w:line="172" w:lineRule="exact"/>
        <w:rPr>
          <w:rFonts w:ascii="Courier New" w:cs="Courier New" w:eastAsia="Courier New" w:hAnsi="Courier New"/>
          <w:sz w:val="16"/>
          <w:szCs w:val="16"/>
          <w:color w:val="auto"/>
        </w:rPr>
      </w:pPr>
    </w:p>
    <w:p>
      <w:pPr>
        <w:ind w:left="1380" w:hanging="424"/>
        <w:spacing w:after="0"/>
        <w:tabs>
          <w:tab w:leader="none" w:pos="1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Subordinated Debt Securities;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our Indebtedness to any wholly-owned Subsidiary;</w:t>
      </w:r>
    </w:p>
    <w:p>
      <w:pPr>
        <w:spacing w:after="0" w:line="206" w:lineRule="exact"/>
        <w:rPr>
          <w:rFonts w:ascii="Courier New" w:cs="Courier New" w:eastAsia="Courier New" w:hAnsi="Courier New"/>
          <w:sz w:val="18"/>
          <w:szCs w:val="18"/>
          <w:color w:val="auto"/>
        </w:rPr>
      </w:pPr>
    </w:p>
    <w:p>
      <w:pPr>
        <w:jc w:val="both"/>
        <w:ind w:left="960" w:right="1779" w:hanging="4"/>
        <w:spacing w:after="0" w:line="237" w:lineRule="auto"/>
        <w:tabs>
          <w:tab w:leader="none" w:pos="138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accruing after the filing of a petition initiating certain bankruptcy or insolvency proceedings unless such interest is an allowed claim enforceable against us in a proceeding under federal or state bankruptcy laws;</w:t>
      </w:r>
    </w:p>
    <w:p>
      <w:pPr>
        <w:spacing w:after="0" w:line="207" w:lineRule="exact"/>
        <w:rPr>
          <w:rFonts w:ascii="Courier New" w:cs="Courier New" w:eastAsia="Courier New" w:hAnsi="Courier New"/>
          <w:sz w:val="18"/>
          <w:szCs w:val="18"/>
          <w:color w:val="auto"/>
        </w:rPr>
      </w:pPr>
    </w:p>
    <w:p>
      <w:pPr>
        <w:ind w:left="960" w:right="1999" w:hanging="4"/>
        <w:spacing w:after="0" w:line="236" w:lineRule="auto"/>
        <w:tabs>
          <w:tab w:leader="none" w:pos="138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under performance guarantees, support agreements and other agreements in the nature thereof relating to the obligations of any Subsidiary, and</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accounts payable.</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"Indebtedness" is defined in Section 101 of the Subordinated Debt Indenture as, with respect to any Person:</w:t>
      </w:r>
    </w:p>
    <w:p>
      <w:pPr>
        <w:spacing w:after="0" w:line="208" w:lineRule="exact"/>
        <w:rPr>
          <w:sz w:val="20"/>
          <w:szCs w:val="20"/>
          <w:color w:val="auto"/>
        </w:rPr>
      </w:pPr>
    </w:p>
    <w:p>
      <w:pPr>
        <w:ind w:left="960" w:right="1779" w:hanging="4"/>
        <w:spacing w:after="0" w:line="237" w:lineRule="auto"/>
        <w:tabs>
          <w:tab w:leader="none" w:pos="159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w:t>
      </w:r>
    </w:p>
    <w:p>
      <w:pPr>
        <w:spacing w:after="0" w:line="211" w:lineRule="exact"/>
        <w:rPr>
          <w:rFonts w:ascii="Courier New" w:cs="Courier New" w:eastAsia="Courier New" w:hAnsi="Courier New"/>
          <w:sz w:val="18"/>
          <w:szCs w:val="18"/>
          <w:color w:val="auto"/>
        </w:rPr>
      </w:pPr>
    </w:p>
    <w:p>
      <w:pPr>
        <w:ind w:left="960" w:right="2099" w:firstLine="628"/>
        <w:spacing w:after="0" w:line="275" w:lineRule="auto"/>
        <w:tabs>
          <w:tab w:leader="none" w:pos="2119"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and interest, if any, on indebtedness for money borrowed, incurred, assumed or guaranteed by such Person in connection with the acquisition by it or any of its subsidiaries of any other businesses properties or other assets; and</w:t>
      </w:r>
    </w:p>
    <w:p>
      <w:pPr>
        <w:spacing w:after="0" w:line="182" w:lineRule="exact"/>
        <w:rPr>
          <w:rFonts w:ascii="Courier New" w:cs="Courier New" w:eastAsia="Courier New" w:hAnsi="Courier New"/>
          <w:sz w:val="16"/>
          <w:szCs w:val="16"/>
          <w:color w:val="auto"/>
        </w:rPr>
      </w:pPr>
    </w:p>
    <w:p>
      <w:pPr>
        <w:ind w:left="960" w:right="1999" w:firstLine="628"/>
        <w:spacing w:after="0" w:line="237" w:lineRule="auto"/>
        <w:tabs>
          <w:tab w:leader="none" w:pos="2224"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obligations which such Person capitalizes in accordance with Statement of Financial Accounting Standards No. 13 promulgated by the Financial Accounting Standards Board or such other generally accepted accounting principles as may be from time to time in effect,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41</w:t>
      </w:r>
    </w:p>
    <w:p>
      <w:pPr>
        <w:spacing w:after="0" w:line="4" w:lineRule="exact"/>
        <w:rPr>
          <w:sz w:val="20"/>
          <w:szCs w:val="20"/>
          <w:color w:val="auto"/>
        </w:rPr>
      </w:pPr>
    </w:p>
    <w:p>
      <w:pPr>
        <w:ind w:left="960" w:right="1999" w:hanging="4"/>
        <w:spacing w:after="0" w:line="237" w:lineRule="auto"/>
        <w:tabs>
          <w:tab w:leader="none" w:pos="138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w:t>
      </w:r>
    </w:p>
    <w:p>
      <w:pPr>
        <w:spacing w:after="0" w:line="212" w:lineRule="exact"/>
        <w:rPr>
          <w:rFonts w:ascii="Courier New" w:cs="Courier New" w:eastAsia="Courier New" w:hAnsi="Courier New"/>
          <w:sz w:val="18"/>
          <w:szCs w:val="18"/>
          <w:color w:val="auto"/>
        </w:rPr>
      </w:pPr>
    </w:p>
    <w:p>
      <w:pPr>
        <w:jc w:val="both"/>
        <w:ind w:left="960" w:right="1999" w:hanging="4"/>
        <w:spacing w:after="0" w:line="268" w:lineRule="auto"/>
        <w:tabs>
          <w:tab w:leader="none" w:pos="138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amendments, modifications, refundings, renewals or extensions of any indebtedness or obligation described as Indebtedness in clause</w:t>
      </w:r>
    </w:p>
    <w:p>
      <w:pPr>
        <w:ind w:left="1380" w:hanging="424"/>
        <w:spacing w:after="0" w:line="238" w:lineRule="auto"/>
        <w:tabs>
          <w:tab w:leader="none" w:pos="13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(b) above.</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If (i) without our consent a court having jurisdiction shall enter (A) an order for relief with respect to us under the United States federal bankruptcy laws, (B) a judgment, order or decree adjudging us a bankrupt or insolvent, or (C) an order for relief for reorganization, arrangement, adjustment or composition of or in respect of us under the United States federal bankruptcy laws or state insolvency laws or (ii) we shall institute proceedings for the entry of an order for relief with respect to us under the United States federal bankruptcy laws or for an adjudication of insolvency, or shall consent to the institution of bankruptcy or insolvency proceedings against us,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us or of substantially all of our property, or we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of our other obligations ranking on a parity with the Subordinated Debt Securities, will be entitled to be repaid from our remaining assets the amounts at that time due and owing on account of unpaid principal of and any premium and interest on the Subordinated Debt Securities and such other obligations before any payment or other distribution, whether in cash,</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312" w:right="1440" w:bottom="1440" w:gutter="0" w:footer="0" w:header="0"/>
          <w:type w:val="continuous"/>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42</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property or otherwise, shall be made on account of any of our capital stock or obligations ranking junior to the Subordinated Debt Securities and such other obligations. (Section 1601 of the Subordinated Debt Indenture)</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us and our creditors other than the holders of such Senior Indebtedness, on the one hand, and such Holders, on the other hand, be deemed to be a payment by us on account of such Senior Indebtedness, and not on account of the Subordinated Debt Securities of such series. (Section 1601 of the Subordinated Debt Indenture)</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prospectus supplement respecting any series of Subordinated Debt Securities will set forth any subordination provisions applicable to such series in addition to or different from those described above.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By reason of such subordination, in the event of a liquidation, bankruptcy, reorganization, insolvency, receivership or similar proceeding involving us or an assignment for the benefit of creditors of us or any of our Subsidiaries or a marshaling of assets or liabilities of us and our Subsidiaries, holders of Senior Indebtedness and holders of our other obligations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21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applicable prospectus supplement for such Debt Securities.</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holder of any convertible Subordinated Debt Securities will have the right exercisable at any time prior to maturity, unless previously redeemed or otherwise purchased by us,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21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 certain events, the conversion price or conversion rate will be subject to adjustment as set forth in the Subordinated Debt Indenture. Such events include the issuance of shares of our common stock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our Subsidiaries) other than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312" w:right="1440" w:bottom="1440" w:gutter="0" w:footer="0" w:header="0"/>
          <w:type w:val="continuous"/>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43</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We have been advised by our counsel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208"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Fractional shares of common stock will not be issued upon conversion, but, in lieu thereof, we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(Sections 1504 and 1502 of the Subordinated Debt Indenture)</w:t>
      </w:r>
    </w:p>
    <w:p>
      <w:pPr>
        <w:spacing w:after="0" w:line="207"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In the case of any consolidation or merger of us (with certain exceptions) or any conveyance, transfer or lease of our properties and assets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We are authorized to issue 1,500,000,000 shares of common stock, of which 627,807,809 shares were outstanding at January 4, 2000. We are also authorized to issue 10,000,000 shares of preferred stock, none of which were outstanding on that 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Dividends. Holders of common stock are entitled to receive dividends when declared by our Board of Directors. In certain cases, common stockholders may not receive dividends until we satisfy our obligations to any preferred stockholders.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312" w:right="1440" w:bottom="1440"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44</w:t>
      </w:r>
    </w:p>
    <w:p>
      <w:pPr>
        <w:spacing w:after="0" w:line="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Voting Rights. Each share of common stock is entitled to one vote in the election of directors and in each other matter we may ask stockholders to vote on. Common stockholders do not have cumulative voting rights. Accordingly, the holders of a majority of shares voting for the election of directors can elect all of the directors standing for election. Because members of our Board of Directors serve staggered three-year terms, only about one third of our directors are elected each year.</w:t>
      </w:r>
    </w:p>
    <w:p>
      <w:pPr>
        <w:spacing w:after="0" w:line="211"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Fully Paid Status. All outstanding shares of our common stock are validly issued, fully paid and non-assessable. The shares offered hereby will also be, upon issuance and sale, validly issued, fully paid and non-assessable.</w:t>
      </w:r>
    </w:p>
    <w:p>
      <w:pPr>
        <w:spacing w:after="0" w:line="178"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Liquidation or Dissolution. If we liquidate, dissolve or wind up our business, whether or not voluntarily, common stockholders will share ratably in the assets remaining after we pay our creditors and any preferred stockholders.</w:t>
      </w:r>
    </w:p>
    <w:p>
      <w:pPr>
        <w:spacing w:after="0" w:line="178"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Listing. Our common stock is listed on the New York Stock Exchange under the trading symbol "WMI."</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Transfer Agent and Registrar. The transfer agent and registrar for the common stock is Harris Trust and Savings Bank, Chicago, Illinois.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 LAW AND CERTAIN PROVISIONS OF THE RESTATED CERTIFICATE OF INCORPORATION</w:t>
      </w:r>
    </w:p>
    <w:p>
      <w:pPr>
        <w:spacing w:after="0" w:line="22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are a Delaware corporation and are governed by the Delaware General Corporation Law, in addition to our Restated Certificate of Incorporation and Bylaws, certain provisions of which are summarized below. You should read the actual provisions of these documents.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209" w:lineRule="exact"/>
        <w:rPr>
          <w:sz w:val="20"/>
          <w:szCs w:val="20"/>
          <w:color w:val="auto"/>
        </w:rPr>
      </w:pPr>
    </w:p>
    <w:p>
      <w:pPr>
        <w:ind w:left="960" w:right="2199"/>
        <w:spacing w:after="0" w:line="236" w:lineRule="auto"/>
        <w:rPr>
          <w:sz w:val="20"/>
          <w:szCs w:val="20"/>
          <w:color w:val="auto"/>
        </w:rPr>
      </w:pPr>
      <w:r>
        <w:rPr>
          <w:rFonts w:ascii="Courier New" w:cs="Courier New" w:eastAsia="Courier New" w:hAnsi="Courier New"/>
          <w:sz w:val="18"/>
          <w:szCs w:val="18"/>
          <w:color w:val="auto"/>
        </w:rPr>
        <w:t>o prior to such date, the corporation's board of directors approved either the business combination or the transaction in which the stockholder became an Interested Stockholder;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9" w:lineRule="exact"/>
        <w:rPr>
          <w:sz w:val="20"/>
          <w:szCs w:val="20"/>
          <w:color w:val="auto"/>
        </w:rPr>
      </w:pPr>
    </w:p>
    <w:p>
      <w:pPr>
        <w:ind w:left="960" w:right="1879"/>
        <w:spacing w:after="0" w:line="275" w:lineRule="auto"/>
        <w:rPr>
          <w:sz w:val="20"/>
          <w:szCs w:val="20"/>
          <w:color w:val="auto"/>
        </w:rPr>
      </w:pPr>
      <w:r>
        <w:rPr>
          <w:rFonts w:ascii="Courier New" w:cs="Courier New" w:eastAsia="Courier New" w:hAnsi="Courier New"/>
          <w:sz w:val="16"/>
          <w:szCs w:val="16"/>
          <w:color w:val="auto"/>
        </w:rPr>
        <w:t>o 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182"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203 defines the term "business combination" to include mergers, asset sales and other transactions resulting in a financial benefit to the Interested Stockholder.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Restated Certificate of Incorporation, may elect not to be governed by Section 203. Such an election would be effective 12 months after its adoption.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LIABILITY AND INDEMNIFICATION OF OFFICERS AND DIRECTORS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Our Restated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186"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We also have entered into contracts with certain of our directors and executive officers to pay the reasonable fees and expenses of his or her counsel, as well as any judgments, fines, penalties, excise taxes, amounts paid in settlement and other liabilities, which the individual may incur in any claim or proceeding (including an action on our behalf) by reason of having served us as a director, officer, agent or fiduciary. These agreements also provide for us to pay the individual's defense costs before the proceeding is over, so long as the director or officer undertakes to repay us should a court later determine that the director or officer was not entitled to indemnification.</w:t>
      </w:r>
    </w:p>
    <w:p>
      <w:pPr>
        <w:spacing w:after="0" w:line="184"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17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may sell the securities to or through underwriters or dealers, and we also may sell the securities directly to other purchasers or through agents. We may also issue shares of our common stock directly to certain persons in order to settle litigation and other claims or to satisfy judgments or arbitration awards.</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312" w:right="1440" w:bottom="1440" w:gutter="0" w:footer="0" w:header="0"/>
          <w:type w:val="continuous"/>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46</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at market prices prevailing at the time of sale, at prices related to such prevailing market prices or at negotiated prices.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In connection with the sale of the securities, underwriters may receive compensation from us, or purchasers of securities for whom they may act as agents in the form of discounts, concessions or commissions. Underwriters, dealers and agents that participate in the distribution of securities may be deemed to be underwriters, and any discounts or commissions they receive from us or the purchasers of securities, and any profit on their resale of securities may be deemed to be underwriting discounts and commissions under the Securities Act. We will identify any person deemed to be an underwriter and will describe the compensation they receive from us in a prospectus supplement.</w:t>
      </w:r>
    </w:p>
    <w:p>
      <w:pPr>
        <w:spacing w:after="0" w:line="18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Debt securities, when first issued, will have no established trading market. If we sell debt securities to or through any underwriters or agents for public offering and sale, they may make a market in those debt securities. However, the underwriters or agents will not be obligated to do so and may discontinue any market making at any time without notice. There can be no assurance as to the liquidity of any market that may develop for the debt securities.</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may enter into agreements with underwriters, dealers and agents who participate in the distribution of securities that could entitle them to indemnification by us against or contribution from us toward certain liabilities, including liabilities under the Securities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DELAYED DELIVERY ARRANGEMENT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If so indicated in a prospectus supplement, we will authorize underwriters or other persons acting as our agents to solicit offers by certain institutions to purchase debt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our approval.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be responsible for the validity or performance of those contracts.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VALIDITY OF SECURITIES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validity of the securities has been passed upon for us by Locke Liddell &amp; Sapp LLP, and certain legal matters will be passed upon for any agents, dealers or underwriters, by counsel named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audited consolidated financial statements for the year ended December 31, 1998 appearing in Waste Management's Current Report on Form 8-K dated September 16, 1999 incorporated by reference in this prospectus have been audited by Arthur Andersen LLP, independent public accountants, as set forth in their report. In their report, that firm states that, with respect to USA Waste Services, Inc. and its Subsidiaries as of December 31, 1997 and for each of the years in the two-year period then ended, its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47</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opinion is based on reports of other auditors, namely PricewaterhouseCoopers LLP. The financial statements of Waste Management referred to above have been included herein in reliance upon the authority of those firms as experts in giving said reports.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During the quarter ended September 30, 1999, the Company conducted a review of its accounting records, systems, processes and controls. Based on that review, the Company has concluded that its internal controls for the preparation of interim financial information did not provide its independent public accountants an adequate basis to complete reviews of the quarterly data for the quarters in the nine-month period ended September 30, 1999. Our independent public accountants have advised the Company that their report on the December 31, 1999 financial statements will include the following paragraph:</w:t>
      </w:r>
    </w:p>
    <w:p>
      <w:pPr>
        <w:spacing w:after="0" w:line="186" w:lineRule="exact"/>
        <w:rPr>
          <w:sz w:val="20"/>
          <w:szCs w:val="20"/>
          <w:color w:val="auto"/>
        </w:rPr>
      </w:pPr>
    </w:p>
    <w:p>
      <w:pPr>
        <w:ind w:left="1900" w:right="1779"/>
        <w:spacing w:after="0" w:line="271" w:lineRule="auto"/>
        <w:rPr>
          <w:sz w:val="20"/>
          <w:szCs w:val="20"/>
          <w:color w:val="auto"/>
        </w:rPr>
      </w:pPr>
      <w:r>
        <w:rPr>
          <w:rFonts w:ascii="Courier New" w:cs="Courier New" w:eastAsia="Courier New" w:hAnsi="Courier New"/>
          <w:sz w:val="16"/>
          <w:szCs w:val="16"/>
          <w:color w:val="auto"/>
        </w:rPr>
        <w:t>"The selected quarterly financial data included in the Company's financial statements contain information that we did not audit, and accordingly, we do not express an opinion on that data. We attempted, but were unable to, review that quarterly data in accordance with standards established by the American Institute of Certified Public Accountants because we believe that the Company's internal controls for the preparation of interim financial information do not provide an adequate basis to enable us to complete such a review."</w:t>
      </w:r>
    </w:p>
    <w:p>
      <w:pPr>
        <w:spacing w:after="0" w:line="18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audited consolidated financial statements of USA Waste Services, Inc. as of December 31, 1997 and for the years ended December 31, 1997 and 1996, not separately incorporated by reference in this prospectus, have been audited by PricewaterhouseCoopers LLP, independent accountants, whose report thereon is incorporated by reference herein. Such financial statements, to the extent they have been included in the financial statements of Waste Management, Inc., have been so included in reliance on the report of such independent accountants given on the authority of said firm as experts in auditing and accounting.</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o"/>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o"/>
      <w:numFmt w:val="bullet"/>
      <w:start w:val="1"/>
    </w:lvl>
  </w:abstractNum>
  <w:abstractNum w:abstractNumId="3">
    <w:nsid w:val="8EDBDAB"/>
    <w:multiLevelType w:val="hybridMultilevel"/>
    <w:lvl w:ilvl="0">
      <w:lvlJc w:val="left"/>
      <w:lvlText w:val="o"/>
      <w:numFmt w:val="bullet"/>
      <w:start w:val="1"/>
    </w:lvl>
  </w:abstractNum>
  <w:abstractNum w:abstractNumId="4">
    <w:nsid w:val="79838CB2"/>
    <w:multiLevelType w:val="hybridMultilevel"/>
    <w:lvl w:ilvl="0">
      <w:lvlJc w:val="left"/>
      <w:lvlText w:val="(%1)"/>
      <w:numFmt w:val="decimal"/>
      <w:start w:val="713"/>
    </w:lvl>
  </w:abstractNum>
  <w:abstractNum w:abstractNumId="5">
    <w:nsid w:val="4353D0CD"/>
    <w:multiLevelType w:val="hybridMultilevel"/>
    <w:lvl w:ilvl="0">
      <w:lvlJc w:val="left"/>
      <w:lvlText w:val="o"/>
      <w:numFmt w:val="bullet"/>
      <w:start w:val="1"/>
    </w:lvl>
  </w:abstractNum>
  <w:abstractNum w:abstractNumId="6">
    <w:nsid w:val="B03E0C6"/>
    <w:multiLevelType w:val="hybridMultilevel"/>
    <w:lvl w:ilvl="0">
      <w:lvlJc w:val="left"/>
      <w:lvlText w:val="o"/>
      <w:numFmt w:val="bullet"/>
      <w:start w:val="1"/>
    </w:lvl>
  </w:abstractNum>
  <w:abstractNum w:abstractNumId="7">
    <w:nsid w:val="189A769B"/>
    <w:multiLevelType w:val="hybridMultilevel"/>
    <w:lvl w:ilvl="0">
      <w:lvlJc w:val="left"/>
      <w:lvlText w:val="o"/>
      <w:numFmt w:val="bullet"/>
      <w:start w:val="1"/>
    </w:lvl>
  </w:abstractNum>
  <w:abstractNum w:abstractNumId="8">
    <w:nsid w:val="54E49EB4"/>
    <w:multiLevelType w:val="hybridMultilevel"/>
    <w:lvl w:ilvl="0">
      <w:lvlJc w:val="left"/>
      <w:lvlText w:val="o"/>
      <w:numFmt w:val="bullet"/>
      <w:start w:val="1"/>
    </w:lvl>
  </w:abstractNum>
  <w:abstractNum w:abstractNumId="9">
    <w:nsid w:val="71F32454"/>
    <w:multiLevelType w:val="hybridMultilevel"/>
    <w:lvl w:ilvl="0">
      <w:lvlJc w:val="left"/>
      <w:lvlText w:val="o"/>
      <w:numFmt w:val="bullet"/>
      <w:start w:val="1"/>
    </w:lvl>
  </w:abstractNum>
  <w:abstractNum w:abstractNumId="10">
    <w:nsid w:val="2CA88611"/>
    <w:multiLevelType w:val="hybridMultilevel"/>
    <w:lvl w:ilvl="0">
      <w:lvlJc w:val="left"/>
      <w:lvlText w:val="o"/>
      <w:numFmt w:val="bullet"/>
      <w:start w:val="1"/>
    </w:lvl>
  </w:abstractNum>
  <w:abstractNum w:abstractNumId="11">
    <w:nsid w:val="836C40E"/>
    <w:multiLevelType w:val="hybridMultilevel"/>
    <w:lvl w:ilvl="0">
      <w:lvlJc w:val="left"/>
      <w:lvlText w:val="o"/>
      <w:numFmt w:val="bullet"/>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o"/>
      <w:numFmt w:val="bullet"/>
      <w:start w:val="1"/>
    </w:lvl>
  </w:abstractNum>
  <w:abstractNum w:abstractNumId="14">
    <w:nsid w:val="8138641"/>
    <w:multiLevelType w:val="hybridMultilevel"/>
    <w:lvl w:ilvl="0">
      <w:lvlJc w:val="left"/>
      <w:lvlText w:val="o"/>
      <w:numFmt w:val="bullet"/>
      <w:start w:val="1"/>
    </w:lvl>
  </w:abstractNum>
  <w:abstractNum w:abstractNumId="15">
    <w:nsid w:val="1E7FF521"/>
    <w:multiLevelType w:val="hybridMultilevel"/>
    <w:lvl w:ilvl="0">
      <w:lvlJc w:val="left"/>
      <w:lvlText w:val="o"/>
      <w:numFmt w:val="bullet"/>
      <w:start w:val="1"/>
    </w:lvl>
  </w:abstractNum>
  <w:abstractNum w:abstractNumId="16">
    <w:nsid w:val="7C3DBD3D"/>
    <w:multiLevelType w:val="hybridMultilevel"/>
    <w:lvl w:ilvl="0">
      <w:lvlJc w:val="left"/>
      <w:lvlText w:val="o"/>
      <w:numFmt w:val="bullet"/>
      <w:start w:val="1"/>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lowerLetter"/>
      <w:start w:val="7"/>
    </w:lvl>
  </w:abstractNum>
  <w:abstractNum w:abstractNumId="19">
    <w:nsid w:val="22221A70"/>
    <w:multiLevelType w:val="hybridMultilevel"/>
    <w:lvl w:ilvl="0">
      <w:lvlJc w:val="left"/>
      <w:lvlText w:val="(%1)"/>
      <w:numFmt w:val="lowerRoman"/>
      <w:start w:val="2"/>
    </w:lvl>
  </w:abstractNum>
  <w:abstractNum w:abstractNumId="20">
    <w:nsid w:val="4516DDE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21">
    <w:nsid w:val="3006C83E"/>
    <w:multiLevelType w:val="hybridMultilevel"/>
    <w:lvl w:ilvl="0">
      <w:lvlJc w:val="left"/>
      <w:lvlText w:val="(%1)"/>
      <w:numFmt w:val="lowerLetter"/>
      <w:start w:val="1"/>
    </w:lvl>
    <w:lvl w:ilvl="1">
      <w:lvlJc w:val="left"/>
      <w:lvlText w:val="(%2)"/>
      <w:numFmt w:val="decimal"/>
      <w:start w:val="1"/>
    </w:lvl>
  </w:abstractNum>
  <w:abstractNum w:abstractNumId="22">
    <w:nsid w:val="614FD4A1"/>
    <w:multiLevelType w:val="hybridMultilevel"/>
    <w:lvl w:ilvl="0">
      <w:lvlJc w:val="left"/>
      <w:lvlText w:val="(%1)"/>
      <w:numFmt w:val="lowerLetter"/>
      <w:start w:val="5"/>
    </w:lvl>
    <w:lvl w:ilvl="1">
      <w:lvlJc w:val="left"/>
      <w:lvlText w:val="%2"/>
      <w:numFmt w:val="decimal"/>
      <w:start w:val="1"/>
    </w:lvl>
  </w:abstractNum>
  <w:abstractNum w:abstractNumId="23">
    <w:nsid w:val="419AC241"/>
    <w:multiLevelType w:val="hybridMultilevel"/>
    <w:lvl w:ilvl="0">
      <w:lvlJc w:val="left"/>
      <w:lvlText w:val="(%1)"/>
      <w:numFmt w:val="decimal"/>
      <w:start w:val="2"/>
    </w:lvl>
  </w:abstractNum>
  <w:abstractNum w:abstractNumId="24">
    <w:nsid w:val="5577F8E1"/>
    <w:multiLevelType w:val="hybridMultilevel"/>
    <w:lvl w:ilvl="0">
      <w:lvlJc w:val="left"/>
      <w:lvlText w:val="(%1)"/>
      <w:numFmt w:val="decimal"/>
      <w:start w:val="12"/>
    </w:lvl>
  </w:abstractNum>
  <w:abstractNum w:abstractNumId="25">
    <w:nsid w:val="440BADFC"/>
    <w:multiLevelType w:val="hybridMultilevel"/>
    <w:lvl w:ilvl="0">
      <w:lvlJc w:val="left"/>
      <w:lvlText w:val="(%1)"/>
      <w:numFmt w:val="lowerLetter"/>
      <w:start w:val="2"/>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6"/>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upperLetter"/>
      <w:start w:val="2"/>
    </w:lvl>
  </w:abstractNum>
  <w:abstractNum w:abstractNumId="30">
    <w:nsid w:val="5C482A97"/>
    <w:multiLevelType w:val="hybridMultilevel"/>
    <w:lvl w:ilvl="0">
      <w:lvlJc w:val="left"/>
      <w:lvlText w:val="(%1)"/>
      <w:numFmt w:val="decimal"/>
      <w:start w:val="2"/>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lowerRoman"/>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2"/>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upperLetter"/>
      <w:start w:val="1"/>
    </w:lvl>
  </w:abstractNum>
  <w:abstractNum w:abstractNumId="37">
    <w:nsid w:val="3855585C"/>
    <w:multiLevelType w:val="hybridMultilevel"/>
    <w:lvl w:ilvl="0">
      <w:lvlJc w:val="left"/>
      <w:lvlText w:val="(%1)"/>
      <w:numFmt w:val="decimal"/>
      <w:start w:val="2"/>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2"/>
    </w:lvl>
  </w:abstractNum>
  <w:abstractNum w:abstractNumId="40">
    <w:nsid w:val="2A487CB0"/>
    <w:multiLevelType w:val="hybridMultilevel"/>
    <w:lvl w:ilvl="0">
      <w:lvlJc w:val="left"/>
      <w:lvlText w:val="(%1)"/>
      <w:numFmt w:val="lowerRoman"/>
      <w:start w:val="1"/>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lowerLetter"/>
      <w:start w:val="1"/>
    </w:lvl>
    <w:lvl w:ilvl="1">
      <w:lvlJc w:val="left"/>
      <w:lvlText w:val="(%2)"/>
      <w:numFmt w:val="lowerRoman"/>
      <w:start w:val="2"/>
    </w:lvl>
  </w:abstractNum>
  <w:abstractNum w:abstractNumId="43">
    <w:nsid w:val="2CD89A32"/>
    <w:multiLevelType w:val="hybridMultilevel"/>
    <w:lvl w:ilvl="0">
      <w:lvlJc w:val="left"/>
      <w:lvlText w:val="(%1)"/>
      <w:numFmt w:val="lowerLetter"/>
      <w:start w:val="2"/>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2019-12-20T04:01:46Z</dcterms:created>
  <dcterms:modified xsi:type="dcterms:W3CDTF">2019-12-20T04:01:46Z</dcterms:modified>
</cp:coreProperties>
</file>