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18,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24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Trading Symbol(s)</w:t>
            </w:r>
          </w:p>
        </w:tc>
        <w:tc>
          <w:tcPr>
            <w:tcW w:w="4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4240" w:type="dxa"/>
            <w:vAlign w:val="bottom"/>
            <w:tcBorders>
              <w:bottom w:val="single" w:sz="8" w:color="auto"/>
              <w:right w:val="single" w:sz="8" w:color="auto"/>
            </w:tcBorders>
          </w:tcPr>
          <w:p>
            <w:pPr>
              <w:spacing w:after="0"/>
              <w:rPr>
                <w:sz w:val="4"/>
                <w:szCs w:val="4"/>
                <w:color w:val="auto"/>
              </w:rPr>
            </w:pPr>
          </w:p>
        </w:tc>
      </w:tr>
      <w:tr>
        <w:trPr>
          <w:trHeight w:val="264"/>
        </w:trPr>
        <w:tc>
          <w:tcPr>
            <w:tcW w:w="4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2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WM</w:t>
            </w:r>
          </w:p>
        </w:tc>
        <w:tc>
          <w:tcPr>
            <w:tcW w:w="42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54"/>
        </w:trPr>
        <w:tc>
          <w:tcPr>
            <w:tcW w:w="452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c>
          <w:tcPr>
            <w:tcW w:w="42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previously disclosed and reported in the Current Report on Form 8-K filed on April 15, 2019 by Waste Management, Inc.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Waste Management</w:t>
      </w:r>
      <w:r>
        <w:rPr>
          <w:rFonts w:ascii="Arial" w:cs="Arial" w:eastAsia="Arial" w:hAnsi="Arial"/>
          <w:sz w:val="16"/>
          <w:szCs w:val="16"/>
          <w:color w:val="auto"/>
        </w:rPr>
        <w:t>”)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14, 2019, Waste Management, Everglades Merger Sub Inc., a Delaware corporation and an indirect wholly-owned subsidiary of Waste Management (“</w:t>
      </w:r>
      <w:r>
        <w:rPr>
          <w:rFonts w:ascii="Arial" w:cs="Arial" w:eastAsia="Arial" w:hAnsi="Arial"/>
          <w:sz w:val="16"/>
          <w:szCs w:val="16"/>
          <w:u w:val="single" w:color="auto"/>
          <w:color w:val="auto"/>
        </w:rPr>
        <w:t>Merger Sub</w:t>
      </w:r>
      <w:r>
        <w:rPr>
          <w:rFonts w:ascii="Arial" w:cs="Arial" w:eastAsia="Arial" w:hAnsi="Arial"/>
          <w:sz w:val="16"/>
          <w:szCs w:val="16"/>
          <w:color w:val="auto"/>
        </w:rPr>
        <w:t>”) and Advanced Disposal Services, Inc. (“</w:t>
      </w:r>
      <w:r>
        <w:rPr>
          <w:rFonts w:ascii="Arial" w:cs="Arial" w:eastAsia="Arial" w:hAnsi="Arial"/>
          <w:sz w:val="16"/>
          <w:szCs w:val="16"/>
          <w:u w:val="single" w:color="auto"/>
          <w:color w:val="auto"/>
        </w:rPr>
        <w:t>Advanced Disposal</w:t>
      </w:r>
      <w:r>
        <w:rPr>
          <w:rFonts w:ascii="Arial" w:cs="Arial" w:eastAsia="Arial" w:hAnsi="Arial"/>
          <w:sz w:val="16"/>
          <w:szCs w:val="16"/>
          <w:color w:val="auto"/>
        </w:rPr>
        <w:t>”) entered into an Agreement and Plan of Merger (as may be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upon the terms and subject to the conditions set forth in the Merger Agreement, Merger Sub will merge with and into Advanced Disposal, and Advanced Disposal will continue as the surviving company and an indirect, wholly-owned subsidiary of Waste Management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Each of Waste Management and Advanced Disposal filed a respective premerger notification and report with the U.S. Department of Justice (the “</w:t>
      </w:r>
      <w:r>
        <w:rPr>
          <w:rFonts w:ascii="Arial" w:cs="Arial" w:eastAsia="Arial" w:hAnsi="Arial"/>
          <w:sz w:val="18"/>
          <w:szCs w:val="18"/>
          <w:u w:val="single" w:color="auto"/>
          <w:color w:val="auto"/>
        </w:rPr>
        <w:t>DOJ</w:t>
      </w:r>
      <w:r>
        <w:rPr>
          <w:rFonts w:ascii="Arial" w:cs="Arial" w:eastAsia="Arial" w:hAnsi="Arial"/>
          <w:sz w:val="18"/>
          <w:szCs w:val="18"/>
          <w:color w:val="auto"/>
        </w:rPr>
        <w:t>”) and the U.S. Federal Trade Commission under the Hart-Scott-Rodino Antitrust Improvements Act of 1976, as amended. The parties have been working cooperatively with the DOJ.</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Form 8-K is being filed to update our prior timing expectations. As a result of, and subject to any further effects from, the COVID-19 (coronavirus) outbreak, and subject to obtaining final regulatory approval from the DOJ (which the Company currently anticipates receiving in the second quarter of 2020), the Company now anticipates closing the Merger mid to late second quarter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filing contains forward-looking statements about the Company, Advanced Disposal and the proposed acquisition, including but not limited to all statements about the timing and approvals of the proposed acquisition,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the on-going impact of COVID-19 (coronavirus); inability to obtain required regulatory or government approvals or to obtain such approvals on satisfactory conditions; inability to satisfy other closing conditions; the occurrence of any event, change or other circumstance that could give rise to the termination of the definitive agreement;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Advanced Disposal’s filings with the SEC, including Part I, Item 1A of each company’s most recently filed Annual Report on Form 10-K and in other documents that the Company or Advanced Disposal file or furnish with the SEC. Except to the extent required by law, neither the Company nor Advanced Disposal assume any obligation to update any forward-looking statement, including financial estimates and forecasts, whether as a result of future events, circumstances or developments or otherwise.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18,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Charles C. Boettcher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Corporate Development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2020-03-18T07:51:22Z</dcterms:created>
  <dcterms:modified xsi:type="dcterms:W3CDTF">2020-03-18T07:51:22Z</dcterms:modified>
</cp:coreProperties>
</file>