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4" w:lineRule="exact"/>
        <w:rPr>
          <w:sz w:val="24"/>
          <w:szCs w:val="24"/>
          <w:color w:val="auto"/>
        </w:rPr>
      </w:pPr>
    </w:p>
    <w:p>
      <w:pPr>
        <w:ind w:left="5460" w:right="2119" w:hanging="5257"/>
        <w:spacing w:after="0" w:line="239" w:lineRule="auto"/>
        <w:rPr>
          <w:sz w:val="20"/>
          <w:szCs w:val="20"/>
          <w:color w:val="auto"/>
        </w:rPr>
      </w:pPr>
      <w:r>
        <w:rPr>
          <w:rFonts w:ascii="Courier New" w:cs="Courier New" w:eastAsia="Courier New" w:hAnsi="Courier New"/>
          <w:sz w:val="17"/>
          <w:szCs w:val="17"/>
          <w:color w:val="auto"/>
        </w:rPr>
        <w:t>As filed with the Securities and Exchange Commission on September 7, 1995 Registration No. 33-84988</w:t>
      </w:r>
    </w:p>
    <w:p>
      <w:pPr>
        <w:spacing w:after="0" w:line="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ind w:left="2840"/>
        <w:spacing w:after="0"/>
        <w:tabs>
          <w:tab w:leader="none" w:pos="464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___________________</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POST-EFFECTIVE AMENDMENT NO. 1</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TO</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FORM S-8</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REGISTRATION STATEMENT UNDER</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THE SECURITIES ACT OF 1933</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___________________</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USA WASTE SERVICES, INC.</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196"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ind w:left="820"/>
        <w:spacing w:after="0"/>
        <w:rPr>
          <w:sz w:val="20"/>
          <w:szCs w:val="20"/>
          <w:color w:val="auto"/>
        </w:rPr>
      </w:pPr>
      <w:r>
        <w:rPr>
          <w:rFonts w:ascii="Courier New" w:cs="Courier New" w:eastAsia="Courier New" w:hAnsi="Courier New"/>
          <w:sz w:val="16"/>
          <w:szCs w:val="16"/>
          <w:color w:val="auto"/>
        </w:rPr>
        <w:t>(State or other jurisdiction</w:t>
      </w:r>
    </w:p>
    <w:p>
      <w:pPr>
        <w:spacing w:after="0" w:line="13"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73-1309529</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40" w:space="720"/>
            <w:col w:w="4659"/>
          </w:cols>
          <w:pgMar w:left="240" w:top="243" w:right="1440" w:bottom="1440" w:gutter="0" w:footer="0" w:header="0"/>
          <w:type w:val="continuous"/>
        </w:sectPr>
      </w:pPr>
    </w:p>
    <w:p>
      <w:pPr>
        <w:spacing w:after="0" w:line="8"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6"/>
          <w:szCs w:val="16"/>
          <w:color w:val="auto"/>
        </w:rPr>
        <w:t>5000 QUORUM DRIVE, SUITE 300</w:t>
      </w:r>
    </w:p>
    <w:p>
      <w:pPr>
        <w:spacing w:after="0" w:line="11" w:lineRule="exact"/>
        <w:rPr>
          <w:sz w:val="24"/>
          <w:szCs w:val="24"/>
          <w:color w:val="auto"/>
        </w:rPr>
      </w:pPr>
    </w:p>
    <w:p>
      <w:pPr>
        <w:jc w:val="center"/>
        <w:ind w:right="2119"/>
        <w:spacing w:after="0"/>
        <w:tabs>
          <w:tab w:leader="none" w:pos="180" w:val="left"/>
        </w:tabs>
        <w:rPr>
          <w:sz w:val="20"/>
          <w:szCs w:val="20"/>
          <w:color w:val="auto"/>
        </w:rPr>
      </w:pPr>
      <w:r>
        <w:rPr>
          <w:rFonts w:ascii="Courier New" w:cs="Courier New" w:eastAsia="Courier New" w:hAnsi="Courier New"/>
          <w:sz w:val="17"/>
          <w:szCs w:val="17"/>
          <w:color w:val="auto"/>
        </w:rPr>
        <w:t>DALLAS, TEXAS</w:t>
      </w:r>
      <w:r>
        <w:rPr>
          <w:sz w:val="20"/>
          <w:szCs w:val="20"/>
          <w:color w:val="auto"/>
        </w:rPr>
        <w:tab/>
      </w:r>
      <w:r>
        <w:rPr>
          <w:rFonts w:ascii="Courier New" w:cs="Courier New" w:eastAsia="Courier New" w:hAnsi="Courier New"/>
          <w:sz w:val="16"/>
          <w:szCs w:val="16"/>
          <w:color w:val="auto"/>
        </w:rPr>
        <w:t>75240</w:t>
      </w:r>
    </w:p>
    <w:p>
      <w:pPr>
        <w:sectPr>
          <w:pgSz w:w="11900" w:h="16838" w:orient="portrait"/>
          <w:cols w:equalWidth="0" w:num="1">
            <w:col w:w="10219"/>
          </w:cols>
          <w:pgMar w:left="240" w:top="243" w:right="1440" w:bottom="1440" w:gutter="0" w:footer="0" w:header="0"/>
          <w:type w:val="continuous"/>
        </w:sectPr>
      </w:pPr>
    </w:p>
    <w:p>
      <w:pPr>
        <w:spacing w:after="0" w:line="2" w:lineRule="exact"/>
        <w:rPr>
          <w:sz w:val="24"/>
          <w:szCs w:val="24"/>
          <w:color w:val="auto"/>
        </w:rPr>
      </w:pPr>
    </w:p>
    <w:p>
      <w:pPr>
        <w:ind w:left="202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391"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STOCK PURCHASE WARRANT (JOHN E. DRURY)</w:t>
      </w:r>
    </w:p>
    <w:p>
      <w:pPr>
        <w:spacing w:after="0" w:line="2" w:lineRule="exact"/>
        <w:rPr>
          <w:sz w:val="24"/>
          <w:szCs w:val="24"/>
          <w:color w:val="auto"/>
        </w:rPr>
      </w:pPr>
    </w:p>
    <w:p>
      <w:pPr>
        <w:ind w:left="1620"/>
        <w:spacing w:after="0"/>
        <w:rPr>
          <w:sz w:val="20"/>
          <w:szCs w:val="20"/>
          <w:color w:val="auto"/>
        </w:rPr>
      </w:pPr>
      <w:r>
        <w:rPr>
          <w:rFonts w:ascii="Courier New" w:cs="Courier New" w:eastAsia="Courier New" w:hAnsi="Courier New"/>
          <w:sz w:val="17"/>
          <w:szCs w:val="17"/>
          <w:color w:val="auto"/>
        </w:rPr>
        <w:t>STOCK PURCHASE WARRANT (DAVID SUTHERLAND-YOEST)</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(Full title of the plan)</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GREGORY T. SANGALIS</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USA WASTE SERVICES, INC.</w:t>
      </w:r>
    </w:p>
    <w:p>
      <w:pPr>
        <w:spacing w:after="0" w:line="2"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5000 QUORUM DRIVE, SUITE 300</w:t>
      </w:r>
    </w:p>
    <w:p>
      <w:pPr>
        <w:spacing w:after="0" w:line="2" w:lineRule="exact"/>
        <w:rPr>
          <w:sz w:val="24"/>
          <w:szCs w:val="24"/>
          <w:color w:val="auto"/>
        </w:rPr>
      </w:pPr>
    </w:p>
    <w:p>
      <w:pPr>
        <w:ind w:left="3040"/>
        <w:spacing w:after="0"/>
        <w:tabs>
          <w:tab w:leader="none" w:pos="4540" w:val="left"/>
        </w:tabs>
        <w:rPr>
          <w:sz w:val="20"/>
          <w:szCs w:val="20"/>
          <w:color w:val="auto"/>
        </w:rPr>
      </w:pPr>
      <w:r>
        <w:rPr>
          <w:rFonts w:ascii="Courier New" w:cs="Courier New" w:eastAsia="Courier New" w:hAnsi="Courier New"/>
          <w:sz w:val="17"/>
          <w:szCs w:val="17"/>
          <w:color w:val="auto"/>
        </w:rPr>
        <w:t>DALLAS, TEXAS</w:t>
      </w:r>
      <w:r>
        <w:rPr>
          <w:sz w:val="20"/>
          <w:szCs w:val="20"/>
          <w:color w:val="auto"/>
        </w:rPr>
        <w:tab/>
      </w:r>
      <w:r>
        <w:rPr>
          <w:rFonts w:ascii="Courier New" w:cs="Courier New" w:eastAsia="Courier New" w:hAnsi="Courier New"/>
          <w:sz w:val="16"/>
          <w:szCs w:val="16"/>
          <w:color w:val="auto"/>
        </w:rPr>
        <w:t>75240</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(214) 233-4212</w:t>
      </w:r>
    </w:p>
    <w:p>
      <w:pPr>
        <w:spacing w:after="0" w:line="2"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Copies to:</w:t>
      </w:r>
    </w:p>
    <w:p>
      <w:pPr>
        <w:spacing w:after="0" w:line="196"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JOHN T. UNGER</w:t>
      </w:r>
    </w:p>
    <w:p>
      <w:pPr>
        <w:spacing w:after="0" w:line="2"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SNELL &amp; SMITH, A PROFESSIONAL CORPORATION</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1000 LOUISIANA, SUITE 3650</w:t>
      </w:r>
    </w:p>
    <w:p>
      <w:pPr>
        <w:spacing w:after="0" w:line="2" w:lineRule="exact"/>
        <w:rPr>
          <w:sz w:val="24"/>
          <w:szCs w:val="24"/>
          <w:color w:val="auto"/>
        </w:rPr>
      </w:pPr>
    </w:p>
    <w:p>
      <w:pPr>
        <w:ind w:left="2940"/>
        <w:spacing w:after="0"/>
        <w:tabs>
          <w:tab w:leader="none" w:pos="4540" w:val="left"/>
        </w:tabs>
        <w:rPr>
          <w:sz w:val="20"/>
          <w:szCs w:val="20"/>
          <w:color w:val="auto"/>
        </w:rPr>
      </w:pPr>
      <w:r>
        <w:rPr>
          <w:rFonts w:ascii="Courier New" w:cs="Courier New" w:eastAsia="Courier New" w:hAnsi="Courier New"/>
          <w:sz w:val="17"/>
          <w:szCs w:val="17"/>
          <w:color w:val="auto"/>
        </w:rPr>
        <w:t>HOUSTON, TEXAS</w:t>
      </w:r>
      <w:r>
        <w:rPr>
          <w:sz w:val="20"/>
          <w:szCs w:val="20"/>
          <w:color w:val="auto"/>
        </w:rPr>
        <w:tab/>
      </w:r>
      <w:r>
        <w:rPr>
          <w:rFonts w:ascii="Courier New" w:cs="Courier New" w:eastAsia="Courier New" w:hAnsi="Courier New"/>
          <w:sz w:val="16"/>
          <w:szCs w:val="16"/>
          <w:color w:val="auto"/>
        </w:rPr>
        <w:t>77002</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___________________</w:t>
      </w:r>
    </w:p>
    <w:p>
      <w:pPr>
        <w:spacing w:after="0" w:line="200" w:lineRule="exact"/>
        <w:rPr>
          <w:sz w:val="24"/>
          <w:szCs w:val="24"/>
          <w:color w:val="auto"/>
        </w:rPr>
      </w:pPr>
    </w:p>
    <w:p>
      <w:pPr>
        <w:spacing w:after="0" w:line="387" w:lineRule="exact"/>
        <w:rPr>
          <w:sz w:val="24"/>
          <w:szCs w:val="24"/>
          <w:color w:val="auto"/>
        </w:rPr>
      </w:pPr>
    </w:p>
    <w:p>
      <w:pPr>
        <w:ind w:right="2319" w:firstLine="607"/>
        <w:spacing w:after="0" w:line="241" w:lineRule="auto"/>
        <w:rPr>
          <w:sz w:val="20"/>
          <w:szCs w:val="20"/>
          <w:color w:val="auto"/>
        </w:rPr>
      </w:pPr>
      <w:r>
        <w:rPr>
          <w:rFonts w:ascii="Courier New" w:cs="Courier New" w:eastAsia="Courier New" w:hAnsi="Courier New"/>
          <w:sz w:val="17"/>
          <w:szCs w:val="17"/>
          <w:color w:val="auto"/>
        </w:rPr>
        <w:t>THIS POST-EFFECTIVE AMENDMENT IS BEING FILED PURSUANT TO RULE 414 UNDER THE SECURITIES ACT OF 1933, AS AMENDED (THE "ACT"), BY USA WASTE SERVICES, INC., A DELAWARE CORPORATION ("USA WASTE DELAWARE"), AS SUCCESSOR TO USA WASTE SERVICES, INC., AN OKLAHOMA CORPORATION. USA WASTE DELAWARE HEREBY EXPRESSLY ADOPTS THIS REGISTRATION STATEMENT ON FORM S-8 (FILE NO. 33-84988) AS ITS OWN REGISTRATION STATEMENT FOR ALL PURPOSES OF THE ACT AND THE SECURITIES EXCHANGE ACT OF 1934.</w:t>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199" w:lineRule="exact"/>
        <w:rPr>
          <w:sz w:val="20"/>
          <w:szCs w:val="20"/>
          <w:color w:val="auto"/>
        </w:rPr>
      </w:pPr>
    </w:p>
    <w:p>
      <w:pPr>
        <w:ind w:right="3139" w:firstLine="910"/>
        <w:spacing w:after="0" w:line="239" w:lineRule="auto"/>
        <w:rPr>
          <w:sz w:val="20"/>
          <w:szCs w:val="20"/>
          <w:color w:val="auto"/>
        </w:rPr>
      </w:pPr>
      <w:r>
        <w:rPr>
          <w:rFonts w:ascii="Courier New" w:cs="Courier New" w:eastAsia="Courier New" w:hAnsi="Courier New"/>
          <w:sz w:val="17"/>
          <w:szCs w:val="17"/>
          <w:color w:val="auto"/>
        </w:rPr>
        <w:t>The following documents are incorporated by reference in this registration statement:</w:t>
      </w:r>
    </w:p>
    <w:p>
      <w:pPr>
        <w:spacing w:after="0" w:line="200" w:lineRule="exact"/>
        <w:rPr>
          <w:sz w:val="20"/>
          <w:szCs w:val="20"/>
          <w:color w:val="auto"/>
        </w:rPr>
      </w:pPr>
    </w:p>
    <w:p>
      <w:pPr>
        <w:ind w:right="2219" w:firstLine="914"/>
        <w:spacing w:after="0" w:line="241" w:lineRule="auto"/>
        <w:tabs>
          <w:tab w:leader="none" w:pos="171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latest annual report on Form 10-K, or, if the financial statements therein are more current, the registrant's latest prospectus, other than the prospectus of which this document is a part, filed pursuant to rule 424(b) or (c) of the Securities Exchange Commission under the Securities Act of 1933.</w:t>
      </w:r>
    </w:p>
    <w:p>
      <w:pPr>
        <w:spacing w:after="0" w:line="199" w:lineRule="exact"/>
        <w:rPr>
          <w:rFonts w:ascii="Courier New" w:cs="Courier New" w:eastAsia="Courier New" w:hAnsi="Courier New"/>
          <w:sz w:val="17"/>
          <w:szCs w:val="17"/>
          <w:color w:val="auto"/>
        </w:rPr>
      </w:pPr>
    </w:p>
    <w:p>
      <w:pPr>
        <w:ind w:right="2219" w:firstLine="914"/>
        <w:spacing w:after="0" w:line="241" w:lineRule="auto"/>
        <w:tabs>
          <w:tab w:leader="none" w:pos="171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reports filed by the registrant pursuant to Sections 13(a) or 15(d) of the Securities Exchange Act of 1934 since the end of the fiscal year covered by the annual report or the prospectus referred to in (a) above.</w:t>
      </w:r>
    </w:p>
    <w:p>
      <w:pPr>
        <w:spacing w:after="0" w:line="198" w:lineRule="exact"/>
        <w:rPr>
          <w:rFonts w:ascii="Courier New" w:cs="Courier New" w:eastAsia="Courier New" w:hAnsi="Courier New"/>
          <w:sz w:val="17"/>
          <w:szCs w:val="17"/>
          <w:color w:val="auto"/>
        </w:rPr>
      </w:pPr>
    </w:p>
    <w:p>
      <w:pPr>
        <w:ind w:right="2319" w:firstLine="914"/>
        <w:spacing w:after="0" w:line="241" w:lineRule="auto"/>
        <w:tabs>
          <w:tab w:leader="none" w:pos="171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descriptions of the registrant's Common Stock which are contained in the registrant's registration statement filed under Section 12 of the Securities Exchange Act of 1934, including any amendment or reports filed for the purpose of updating such descriptions.</w:t>
      </w:r>
    </w:p>
    <w:p>
      <w:pPr>
        <w:spacing w:after="0" w:line="199" w:lineRule="exact"/>
        <w:rPr>
          <w:sz w:val="20"/>
          <w:szCs w:val="20"/>
          <w:color w:val="auto"/>
        </w:rPr>
      </w:pPr>
    </w:p>
    <w:p>
      <w:pPr>
        <w:ind w:right="2219" w:firstLine="910"/>
        <w:spacing w:after="0" w:line="242" w:lineRule="auto"/>
        <w:rPr>
          <w:sz w:val="20"/>
          <w:szCs w:val="20"/>
          <w:color w:val="auto"/>
        </w:rPr>
      </w:pPr>
      <w:r>
        <w:rPr>
          <w:rFonts w:ascii="Courier New" w:cs="Courier New" w:eastAsia="Courier New" w:hAnsi="Courier New"/>
          <w:sz w:val="17"/>
          <w:szCs w:val="17"/>
          <w:color w:val="auto"/>
        </w:rPr>
        <w:t>All documents subsequently filed by the registrant pursuant to Sections 13(a), 13(c), 14 and 15(d) of the Securities Exchange Act of 1934, prior to the filing of a post-effective amendment to the registration statement which indicates that all of the shares of common stock offered have been sold or which deregisters all of such shares then remaining unsold, shall be deemed to be incorporated by reference in the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196"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196"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9" w:lineRule="exact"/>
        <w:rPr>
          <w:sz w:val="20"/>
          <w:szCs w:val="20"/>
          <w:color w:val="auto"/>
        </w:rPr>
      </w:pPr>
    </w:p>
    <w:p>
      <w:pPr>
        <w:ind w:right="2219" w:firstLine="910"/>
        <w:spacing w:after="0" w:line="242" w:lineRule="auto"/>
        <w:rPr>
          <w:sz w:val="20"/>
          <w:szCs w:val="20"/>
          <w:color w:val="auto"/>
        </w:rPr>
      </w:pPr>
      <w:r>
        <w:rPr>
          <w:rFonts w:ascii="Courier New" w:cs="Courier New" w:eastAsia="Courier New" w:hAnsi="Courier New"/>
          <w:sz w:val="17"/>
          <w:szCs w:val="17"/>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8" w:lineRule="exact"/>
        <w:rPr>
          <w:sz w:val="20"/>
          <w:szCs w:val="20"/>
          <w:color w:val="auto"/>
        </w:rPr>
      </w:pPr>
    </w:p>
    <w:p>
      <w:pPr>
        <w:ind w:right="2939" w:firstLine="910"/>
        <w:spacing w:after="0" w:line="239"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provisions:</w:t>
      </w:r>
    </w:p>
    <w:p>
      <w:pPr>
        <w:spacing w:after="0" w:line="200" w:lineRule="exact"/>
        <w:rPr>
          <w:sz w:val="20"/>
          <w:szCs w:val="20"/>
          <w:color w:val="auto"/>
        </w:rPr>
      </w:pPr>
    </w:p>
    <w:p>
      <w:pPr>
        <w:ind w:left="920" w:right="2439" w:firstLine="809"/>
        <w:spacing w:after="0"/>
        <w:rPr>
          <w:sz w:val="20"/>
          <w:szCs w:val="20"/>
          <w:color w:val="auto"/>
        </w:rPr>
      </w:pPr>
      <w:r>
        <w:rPr>
          <w:rFonts w:ascii="Courier New" w:cs="Courier New" w:eastAsia="Courier New" w:hAnsi="Courier New"/>
          <w:sz w:val="17"/>
          <w:szCs w:val="17"/>
          <w:color w:val="auto"/>
        </w:rPr>
        <w:t>Seventh: No director of the Corporation shall be personally liable to the Corporation or its stockholders for monetary damages for breach of fiduciary duty as a</w:t>
      </w:r>
    </w:p>
    <w:p>
      <w:pPr>
        <w:sectPr>
          <w:pgSz w:w="11900" w:h="16838" w:orient="portrait"/>
          <w:cols w:equalWidth="0" w:num="1">
            <w:col w:w="10219"/>
          </w:cols>
          <w:pgMar w:left="240" w:top="308" w:right="1440" w:bottom="9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08" w:right="1440" w:bottom="995"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4" w:lineRule="exact"/>
        <w:rPr>
          <w:sz w:val="20"/>
          <w:szCs w:val="20"/>
          <w:color w:val="auto"/>
        </w:rPr>
      </w:pPr>
    </w:p>
    <w:p>
      <w:pPr>
        <w:jc w:val="both"/>
        <w:ind w:left="920" w:right="2539"/>
        <w:spacing w:after="0" w:line="257" w:lineRule="auto"/>
        <w:rPr>
          <w:sz w:val="20"/>
          <w:szCs w:val="20"/>
          <w:color w:val="auto"/>
        </w:rPr>
      </w:pPr>
      <w:r>
        <w:rPr>
          <w:rFonts w:ascii="Courier New" w:cs="Courier New" w:eastAsia="Courier New" w:hAnsi="Courier New"/>
          <w:sz w:val="16"/>
          <w:szCs w:val="16"/>
          <w:color w:val="auto"/>
        </w:rPr>
        <w:t>director, provided that this provision shall not eliminate or limit the liability of a director for liability (i) for any breach of the director's duty of loyalty to the Corporation or its stockholders,</w:t>
      </w:r>
    </w:p>
    <w:p>
      <w:pPr>
        <w:spacing w:after="0" w:line="1" w:lineRule="exact"/>
        <w:rPr>
          <w:sz w:val="20"/>
          <w:szCs w:val="20"/>
          <w:color w:val="auto"/>
        </w:rPr>
      </w:pPr>
    </w:p>
    <w:p>
      <w:pPr>
        <w:ind w:left="920" w:right="2219" w:hanging="6"/>
        <w:spacing w:after="0" w:line="242" w:lineRule="auto"/>
        <w:tabs>
          <w:tab w:leader="none" w:pos="142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Section 145 of the Delaware General Corporation Law provides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follows:</w:t>
      </w:r>
    </w:p>
    <w:p>
      <w:pPr>
        <w:spacing w:after="0" w:line="199" w:lineRule="exact"/>
        <w:rPr>
          <w:sz w:val="20"/>
          <w:szCs w:val="20"/>
          <w:color w:val="auto"/>
        </w:rPr>
      </w:pPr>
    </w:p>
    <w:p>
      <w:pPr>
        <w:ind w:right="2219" w:firstLine="914"/>
        <w:spacing w:after="0" w:line="257" w:lineRule="auto"/>
        <w:tabs>
          <w:tab w:leader="none" w:pos="151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5" w:lineRule="exact"/>
        <w:rPr>
          <w:rFonts w:ascii="Courier New" w:cs="Courier New" w:eastAsia="Courier New" w:hAnsi="Courier New"/>
          <w:sz w:val="16"/>
          <w:szCs w:val="16"/>
          <w:color w:val="auto"/>
        </w:rPr>
      </w:pPr>
    </w:p>
    <w:p>
      <w:pPr>
        <w:ind w:right="221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88" w:lineRule="exact"/>
        <w:rPr>
          <w:sz w:val="20"/>
          <w:szCs w:val="20"/>
          <w:color w:val="auto"/>
        </w:rPr>
      </w:pPr>
    </w:p>
    <w:p>
      <w:pPr>
        <w:ind w:right="2219" w:firstLine="914"/>
        <w:spacing w:after="0" w:line="242" w:lineRule="auto"/>
        <w:tabs>
          <w:tab w:leader="none" w:pos="17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9" w:lineRule="exact"/>
        <w:rPr>
          <w:rFonts w:ascii="Courier New" w:cs="Courier New" w:eastAsia="Courier New" w:hAnsi="Courier New"/>
          <w:sz w:val="17"/>
          <w:szCs w:val="17"/>
          <w:color w:val="auto"/>
        </w:rPr>
      </w:pPr>
    </w:p>
    <w:p>
      <w:pPr>
        <w:ind w:right="2219" w:firstLine="914"/>
        <w:spacing w:after="0"/>
        <w:tabs>
          <w:tab w:leader="none" w:pos="17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director, officer, employee or agent of a corporation has been successful on the merits or otherwise in defense of any action, suit or proceeding referred to in subsection</w:t>
      </w:r>
    </w:p>
    <w:p>
      <w:pPr>
        <w:sectPr>
          <w:pgSz w:w="11900" w:h="16838" w:orient="portrait"/>
          <w:cols w:equalWidth="0" w:num="1">
            <w:col w:w="10219"/>
          </w:cols>
          <w:pgMar w:left="240" w:top="308" w:right="1440" w:bottom="413" w:gutter="0" w:footer="0" w:header="0"/>
        </w:sectPr>
      </w:pPr>
    </w:p>
    <w:bookmarkStart w:id="3" w:name="page4"/>
    <w:bookmarkEnd w:id="3"/>
    <w:p>
      <w:pPr>
        <w:ind w:left="264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9019"/>
          </w:cols>
          <w:pgMar w:left="1440" w:top="334" w:right="1440" w:bottom="1440" w:gutter="0" w:footer="0" w:header="0"/>
        </w:sectPr>
      </w:pPr>
    </w:p>
    <w:bookmarkStart w:id="4" w:name="page5"/>
    <w:bookmarkEnd w:id="4"/>
    <w:p>
      <w:pPr>
        <w:ind w:left="296"/>
        <w:spacing w:after="0"/>
        <w:rPr>
          <w:sz w:val="20"/>
          <w:szCs w:val="20"/>
          <w:color w:val="auto"/>
        </w:rPr>
      </w:pPr>
      <w:r>
        <w:rPr>
          <w:rFonts w:ascii="Courier New" w:cs="Courier New" w:eastAsia="Courier New" w:hAnsi="Courier New"/>
          <w:sz w:val="17"/>
          <w:szCs w:val="17"/>
          <w:color w:val="auto"/>
        </w:rPr>
        <w:t>4</w:t>
      </w:r>
    </w:p>
    <w:p>
      <w:pPr>
        <w:spacing w:after="0" w:line="4" w:lineRule="exact"/>
        <w:rPr>
          <w:sz w:val="20"/>
          <w:szCs w:val="20"/>
          <w:color w:val="auto"/>
        </w:rPr>
      </w:pPr>
    </w:p>
    <w:p>
      <w:pPr>
        <w:ind w:left="-4" w:right="2319" w:firstLine="4"/>
        <w:spacing w:after="0"/>
        <w:tabs>
          <w:tab w:leader="none" w:pos="40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(b) of this section, or in defense of any claim, issue or matter therein, he shall be indemnified against expenses (including attorneys' fees), actually and reasonably incurred by him in connection therewith.</w:t>
      </w:r>
    </w:p>
    <w:p>
      <w:pPr>
        <w:spacing w:after="0" w:line="197" w:lineRule="exact"/>
        <w:rPr>
          <w:rFonts w:ascii="Courier New" w:cs="Courier New" w:eastAsia="Courier New" w:hAnsi="Courier New"/>
          <w:sz w:val="17"/>
          <w:szCs w:val="17"/>
          <w:color w:val="auto"/>
        </w:rPr>
      </w:pPr>
    </w:p>
    <w:p>
      <w:pPr>
        <w:ind w:left="1716" w:hanging="806"/>
        <w:spacing w:after="0"/>
        <w:tabs>
          <w:tab w:leader="none" w:pos="1716"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indemnification under the provisions of subsection (a) or</w:t>
      </w:r>
    </w:p>
    <w:p>
      <w:pPr>
        <w:spacing w:after="0" w:line="4" w:lineRule="exact"/>
        <w:rPr>
          <w:rFonts w:ascii="Courier New" w:cs="Courier New" w:eastAsia="Courier New" w:hAnsi="Courier New"/>
          <w:sz w:val="17"/>
          <w:szCs w:val="17"/>
          <w:color w:val="auto"/>
        </w:rPr>
      </w:pPr>
    </w:p>
    <w:p>
      <w:pPr>
        <w:ind w:left="-4" w:right="2219" w:firstLine="4"/>
        <w:spacing w:after="0" w:line="241" w:lineRule="auto"/>
        <w:tabs>
          <w:tab w:leader="none" w:pos="40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204" w:lineRule="exact"/>
        <w:rPr>
          <w:rFonts w:ascii="Courier New" w:cs="Courier New" w:eastAsia="Courier New" w:hAnsi="Courier New"/>
          <w:sz w:val="17"/>
          <w:szCs w:val="17"/>
          <w:color w:val="auto"/>
        </w:rPr>
      </w:pPr>
    </w:p>
    <w:p>
      <w:pPr>
        <w:ind w:left="-4" w:right="2219" w:firstLine="914"/>
        <w:spacing w:after="0" w:line="242" w:lineRule="auto"/>
        <w:tabs>
          <w:tab w:leader="none" w:pos="171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97" w:lineRule="exact"/>
        <w:rPr>
          <w:rFonts w:ascii="Courier New" w:cs="Courier New" w:eastAsia="Courier New" w:hAnsi="Courier New"/>
          <w:sz w:val="17"/>
          <w:szCs w:val="17"/>
          <w:color w:val="auto"/>
        </w:rPr>
      </w:pPr>
    </w:p>
    <w:p>
      <w:pPr>
        <w:ind w:left="-4" w:right="2219" w:firstLine="914"/>
        <w:spacing w:after="0" w:line="241" w:lineRule="auto"/>
        <w:tabs>
          <w:tab w:leader="none" w:pos="171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201" w:lineRule="exact"/>
        <w:rPr>
          <w:rFonts w:ascii="Courier New" w:cs="Courier New" w:eastAsia="Courier New" w:hAnsi="Courier New"/>
          <w:sz w:val="17"/>
          <w:szCs w:val="17"/>
          <w:color w:val="auto"/>
        </w:rPr>
      </w:pPr>
    </w:p>
    <w:p>
      <w:pPr>
        <w:ind w:left="-4" w:right="2439" w:firstLine="914"/>
        <w:spacing w:after="0" w:line="259" w:lineRule="auto"/>
        <w:tabs>
          <w:tab w:leader="none" w:pos="171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85" w:lineRule="exact"/>
        <w:rPr>
          <w:rFonts w:ascii="Courier New" w:cs="Courier New" w:eastAsia="Courier New" w:hAnsi="Courier New"/>
          <w:sz w:val="16"/>
          <w:szCs w:val="16"/>
          <w:color w:val="auto"/>
        </w:rPr>
      </w:pPr>
    </w:p>
    <w:p>
      <w:pPr>
        <w:ind w:left="-4" w:right="2219" w:firstLine="914"/>
        <w:spacing w:after="0" w:line="242" w:lineRule="auto"/>
        <w:tabs>
          <w:tab w:leader="none" w:pos="171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7" w:lineRule="exact"/>
        <w:rPr>
          <w:rFonts w:ascii="Courier New" w:cs="Courier New" w:eastAsia="Courier New" w:hAnsi="Courier New"/>
          <w:sz w:val="17"/>
          <w:szCs w:val="17"/>
          <w:color w:val="auto"/>
        </w:rPr>
      </w:pPr>
    </w:p>
    <w:p>
      <w:pPr>
        <w:ind w:left="-4" w:right="2219" w:firstLine="914"/>
        <w:spacing w:after="0" w:line="242" w:lineRule="auto"/>
        <w:tabs>
          <w:tab w:leader="none" w:pos="171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7" w:lineRule="exact"/>
        <w:rPr>
          <w:rFonts w:ascii="Courier New" w:cs="Courier New" w:eastAsia="Courier New" w:hAnsi="Courier New"/>
          <w:sz w:val="17"/>
          <w:szCs w:val="17"/>
          <w:color w:val="auto"/>
        </w:rPr>
      </w:pPr>
    </w:p>
    <w:p>
      <w:pPr>
        <w:ind w:left="-4" w:right="2219" w:firstLine="914"/>
        <w:spacing w:after="0" w:line="241" w:lineRule="auto"/>
        <w:tabs>
          <w:tab w:leader="none" w:pos="1715"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ectPr>
          <w:pgSz w:w="11900" w:h="16838" w:orient="portrait"/>
          <w:cols w:equalWidth="0" w:num="1">
            <w:col w:w="10215"/>
          </w:cols>
          <w:pgMar w:left="244" w:top="308" w:right="1440" w:bottom="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36"/>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5"/>
          </w:cols>
          <w:pgMar w:left="244" w:top="308" w:right="1440" w:bottom="22"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4" w:lineRule="exact"/>
        <w:rPr>
          <w:sz w:val="20"/>
          <w:szCs w:val="20"/>
          <w:color w:val="auto"/>
        </w:rPr>
      </w:pPr>
    </w:p>
    <w:p>
      <w:pPr>
        <w:ind w:right="2219" w:firstLine="914"/>
        <w:spacing w:after="0" w:line="241" w:lineRule="auto"/>
        <w:tabs>
          <w:tab w:leader="none" w:pos="1719"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201" w:lineRule="exact"/>
        <w:rPr>
          <w:sz w:val="20"/>
          <w:szCs w:val="20"/>
          <w:color w:val="auto"/>
        </w:rPr>
      </w:pPr>
    </w:p>
    <w:p>
      <w:pPr>
        <w:ind w:right="2939" w:firstLine="910"/>
        <w:spacing w:after="0" w:line="239"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w:t>
      </w:r>
    </w:p>
    <w:p>
      <w:pPr>
        <w:spacing w:after="0" w:line="200" w:lineRule="exact"/>
        <w:rPr>
          <w:sz w:val="20"/>
          <w:szCs w:val="20"/>
          <w:color w:val="auto"/>
        </w:rPr>
      </w:pPr>
    </w:p>
    <w:p>
      <w:pPr>
        <w:ind w:left="920" w:right="2219" w:firstLine="809"/>
        <w:spacing w:after="0" w:line="242" w:lineRule="auto"/>
        <w:rPr>
          <w:sz w:val="20"/>
          <w:szCs w:val="20"/>
          <w:color w:val="auto"/>
        </w:rPr>
      </w:pPr>
      <w:r>
        <w:rPr>
          <w:rFonts w:ascii="Courier New" w:cs="Courier New" w:eastAsia="Courier New" w:hAnsi="Courier New"/>
          <w:sz w:val="17"/>
          <w:szCs w:val="17"/>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201" w:lineRule="exact"/>
        <w:rPr>
          <w:sz w:val="20"/>
          <w:szCs w:val="20"/>
          <w:color w:val="auto"/>
        </w:rPr>
      </w:pPr>
    </w:p>
    <w:p>
      <w:pPr>
        <w:ind w:right="2439" w:firstLine="910"/>
        <w:spacing w:after="0" w:line="241" w:lineRule="auto"/>
        <w:rPr>
          <w:sz w:val="20"/>
          <w:szCs w:val="20"/>
          <w:color w:val="auto"/>
        </w:rPr>
      </w:pPr>
      <w:r>
        <w:rPr>
          <w:rFonts w:ascii="Courier New" w:cs="Courier New" w:eastAsia="Courier New" w:hAnsi="Courier New"/>
          <w:sz w:val="17"/>
          <w:szCs w:val="17"/>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200" w:lineRule="exact"/>
        <w:rPr>
          <w:sz w:val="20"/>
          <w:szCs w:val="20"/>
          <w:color w:val="auto"/>
        </w:rPr>
      </w:pPr>
    </w:p>
    <w:p>
      <w:pPr>
        <w:ind w:right="2219" w:firstLine="910"/>
        <w:spacing w:after="0" w:line="258" w:lineRule="auto"/>
        <w:rPr>
          <w:sz w:val="20"/>
          <w:szCs w:val="20"/>
          <w:color w:val="auto"/>
        </w:rPr>
      </w:pPr>
      <w:r>
        <w:rPr>
          <w:rFonts w:ascii="Courier New" w:cs="Courier New" w:eastAsia="Courier New" w:hAnsi="Courier New"/>
          <w:sz w:val="16"/>
          <w:szCs w:val="16"/>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37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19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Not applicable.</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pacing w:after="0" w:line="199" w:lineRule="exact"/>
        <w:rPr>
          <w:sz w:val="20"/>
          <w:szCs w:val="20"/>
          <w:color w:val="auto"/>
        </w:rPr>
      </w:pPr>
    </w:p>
    <w:p>
      <w:pPr>
        <w:ind w:left="1720" w:right="2319" w:hanging="707"/>
        <w:spacing w:after="0" w:line="257" w:lineRule="auto"/>
        <w:tabs>
          <w:tab w:leader="none" w:pos="170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6"/>
          <w:szCs w:val="16"/>
          <w:color w:val="auto"/>
        </w:rPr>
        <w:t>Restated Certificate of Incorporation of the Registrant [Incorporated by reference to Exhibit 3.1 of the Registrant's Registration Statement on Form S-4, File No. 33-60103]</w:t>
      </w:r>
    </w:p>
    <w:p>
      <w:pPr>
        <w:spacing w:after="0" w:line="1" w:lineRule="exact"/>
        <w:rPr>
          <w:sz w:val="20"/>
          <w:szCs w:val="20"/>
          <w:color w:val="auto"/>
        </w:rPr>
      </w:pPr>
    </w:p>
    <w:p>
      <w:pPr>
        <w:ind w:left="1720" w:right="2219" w:hanging="707"/>
        <w:spacing w:after="0"/>
        <w:tabs>
          <w:tab w:leader="none" w:pos="170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Bylaws of the Registrant [Incorporated by reference to Exhibit 3.2 of the Registrant's Registration Statement on Form S-4, File No. 33-60103]</w:t>
      </w:r>
    </w:p>
    <w:p>
      <w:pPr>
        <w:sectPr>
          <w:pgSz w:w="11900" w:h="16838" w:orient="portrait"/>
          <w:cols w:equalWidth="0" w:num="1">
            <w:col w:w="10219"/>
          </w:cols>
          <w:pgMar w:left="240" w:top="308" w:right="1440" w:bottom="607" w:gutter="0" w:footer="0" w:header="0"/>
        </w:sectPr>
      </w:pPr>
    </w:p>
    <w:bookmarkStart w:id="6" w:name="page7"/>
    <w:bookmarkEnd w:id="6"/>
    <w:p>
      <w:pPr>
        <w:ind w:left="264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9019"/>
          </w:cols>
          <w:pgMar w:left="1440" w:top="334"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6</w:t>
      </w:r>
    </w:p>
    <w:p>
      <w:pPr>
        <w:spacing w:after="0" w:line="4" w:lineRule="exact"/>
        <w:rPr>
          <w:sz w:val="20"/>
          <w:szCs w:val="20"/>
          <w:color w:val="auto"/>
        </w:rPr>
      </w:pPr>
    </w:p>
    <w:p>
      <w:pPr>
        <w:ind w:left="1720" w:right="2219" w:hanging="707"/>
        <w:spacing w:after="0"/>
        <w:tabs>
          <w:tab w:leader="none" w:pos="170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Specimen Stock Certificate [Incorporated by reference to Exhibit 4.3 of the Registrant's Registration Statement on Form S-3, File No. 33-76224]</w:t>
      </w:r>
    </w:p>
    <w:p>
      <w:pPr>
        <w:spacing w:after="0" w:line="6" w:lineRule="exact"/>
        <w:rPr>
          <w:sz w:val="20"/>
          <w:szCs w:val="20"/>
          <w:color w:val="auto"/>
        </w:rPr>
      </w:pPr>
    </w:p>
    <w:p>
      <w:pPr>
        <w:jc w:val="both"/>
        <w:ind w:left="1720" w:right="2319" w:hanging="707"/>
        <w:spacing w:after="0" w:line="257" w:lineRule="auto"/>
        <w:tabs>
          <w:tab w:leader="none" w:pos="170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6"/>
          <w:szCs w:val="16"/>
          <w:color w:val="auto"/>
        </w:rPr>
        <w:t>USA Waste Services, Inc. 1990 Stock Option Plan [Incorporated by reference to Exhibit 10.1 to Registrant's Annual Report on Form 10-K for the year ended December 31, 1990]</w:t>
      </w:r>
    </w:p>
    <w:p>
      <w:pPr>
        <w:ind w:left="1020"/>
        <w:spacing w:after="0"/>
        <w:tabs>
          <w:tab w:leader="none" w:pos="17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6"/>
          <w:szCs w:val="16"/>
          <w:color w:val="auto"/>
        </w:rPr>
        <w:t>Opinion of Snell &amp; Smith, A Professional Corporation</w:t>
      </w:r>
    </w:p>
    <w:p>
      <w:pPr>
        <w:spacing w:after="0" w:line="5" w:lineRule="exact"/>
        <w:rPr>
          <w:sz w:val="20"/>
          <w:szCs w:val="20"/>
          <w:color w:val="auto"/>
        </w:rPr>
      </w:pPr>
    </w:p>
    <w:p>
      <w:pPr>
        <w:ind w:left="1720" w:right="2219" w:hanging="808"/>
        <w:spacing w:after="0" w:line="239" w:lineRule="auto"/>
        <w:tabs>
          <w:tab w:leader="none" w:pos="170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7"/>
          <w:szCs w:val="17"/>
          <w:color w:val="auto"/>
        </w:rPr>
        <w:t>Consent of Snell &amp; Smith, A Professional Corporation [Included in Exhibit 5.1]</w:t>
      </w:r>
    </w:p>
    <w:p>
      <w:pPr>
        <w:spacing w:after="0" w:line="5" w:lineRule="exact"/>
        <w:rPr>
          <w:sz w:val="20"/>
          <w:szCs w:val="20"/>
          <w:color w:val="auto"/>
        </w:rPr>
      </w:pPr>
    </w:p>
    <w:p>
      <w:pPr>
        <w:ind w:left="1720" w:right="2219" w:hanging="808"/>
        <w:spacing w:after="0" w:line="241" w:lineRule="auto"/>
        <w:tabs>
          <w:tab w:leader="none" w:pos="170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Consent of Coopers &amp; Lybrand, L.L.P. [Incorporated by reference Exhibit 23.1 to the Registrant's Annual Report on Form 10-K for the year ended December 31, 1994 and to Exhibit 23.2 to Registrant's Current Report on Form 8-K dated June 30, 1995]</w:t>
      </w:r>
    </w:p>
    <w:p>
      <w:pPr>
        <w:spacing w:after="0" w:line="5" w:lineRule="exact"/>
        <w:rPr>
          <w:sz w:val="20"/>
          <w:szCs w:val="20"/>
          <w:color w:val="auto"/>
        </w:rPr>
      </w:pPr>
    </w:p>
    <w:p>
      <w:pPr>
        <w:ind w:left="1720" w:right="2439" w:hanging="808"/>
        <w:spacing w:after="0"/>
        <w:tabs>
          <w:tab w:leader="none" w:pos="1700" w:val="left"/>
        </w:tabs>
        <w:rPr>
          <w:sz w:val="20"/>
          <w:szCs w:val="20"/>
          <w:color w:val="auto"/>
        </w:rPr>
      </w:pPr>
      <w:r>
        <w:rPr>
          <w:rFonts w:ascii="Courier New" w:cs="Courier New" w:eastAsia="Courier New" w:hAnsi="Courier New"/>
          <w:sz w:val="17"/>
          <w:szCs w:val="17"/>
          <w:color w:val="auto"/>
        </w:rPr>
        <w:t>23.3</w:t>
      </w:r>
      <w:r>
        <w:rPr>
          <w:sz w:val="20"/>
          <w:szCs w:val="20"/>
          <w:color w:val="auto"/>
        </w:rPr>
        <w:tab/>
      </w:r>
      <w:r>
        <w:rPr>
          <w:rFonts w:ascii="Courier New" w:cs="Courier New" w:eastAsia="Courier New" w:hAnsi="Courier New"/>
          <w:sz w:val="17"/>
          <w:szCs w:val="17"/>
          <w:color w:val="auto"/>
        </w:rPr>
        <w:t>Consent of Arthur Andersen LLP [Incorporated by reference to Exhibit 23.2 to Registrant's Annual Report on Form 10-K for the year ended December 31, 1994</w:t>
      </w:r>
    </w:p>
    <w:p>
      <w:pPr>
        <w:spacing w:after="0" w:line="6" w:lineRule="exact"/>
        <w:rPr>
          <w:sz w:val="20"/>
          <w:szCs w:val="20"/>
          <w:color w:val="auto"/>
        </w:rPr>
      </w:pPr>
    </w:p>
    <w:p>
      <w:pPr>
        <w:ind w:left="1720" w:right="2119" w:hanging="808"/>
        <w:spacing w:after="0" w:line="241" w:lineRule="auto"/>
        <w:tabs>
          <w:tab w:leader="none" w:pos="1700" w:val="left"/>
        </w:tabs>
        <w:rPr>
          <w:sz w:val="20"/>
          <w:szCs w:val="20"/>
          <w:color w:val="auto"/>
        </w:rPr>
      </w:pPr>
      <w:r>
        <w:rPr>
          <w:rFonts w:ascii="Courier New" w:cs="Courier New" w:eastAsia="Courier New" w:hAnsi="Courier New"/>
          <w:sz w:val="17"/>
          <w:szCs w:val="17"/>
          <w:color w:val="auto"/>
        </w:rPr>
        <w:t>23.4</w:t>
      </w:r>
      <w:r>
        <w:rPr>
          <w:sz w:val="20"/>
          <w:szCs w:val="20"/>
          <w:color w:val="auto"/>
        </w:rPr>
        <w:tab/>
      </w:r>
      <w:r>
        <w:rPr>
          <w:rFonts w:ascii="Courier New" w:cs="Courier New" w:eastAsia="Courier New" w:hAnsi="Courier New"/>
          <w:sz w:val="17"/>
          <w:szCs w:val="17"/>
          <w:color w:val="auto"/>
        </w:rPr>
        <w:t>Consent of Deloitte &amp; Touche LLP [Incorporated by reference to Exhibit 23.2 to the Registrant's Registration Statement on Form S-4 (File No. 33-59259) and Exhibit 23.1 to Registrant's Current Report on Form 8-K dated June 30, 1995]</w:t>
      </w:r>
    </w:p>
    <w:p>
      <w:pPr>
        <w:spacing w:after="0" w:line="2" w:lineRule="exact"/>
        <w:rPr>
          <w:sz w:val="20"/>
          <w:szCs w:val="20"/>
          <w:color w:val="auto"/>
        </w:rPr>
      </w:pPr>
    </w:p>
    <w:p>
      <w:pPr>
        <w:ind w:left="920"/>
        <w:spacing w:after="0"/>
        <w:tabs>
          <w:tab w:leader="none" w:pos="1700" w:val="left"/>
        </w:tabs>
        <w:rPr>
          <w:sz w:val="20"/>
          <w:szCs w:val="20"/>
          <w:color w:val="auto"/>
        </w:rPr>
      </w:pPr>
      <w:r>
        <w:rPr>
          <w:rFonts w:ascii="Courier New" w:cs="Courier New" w:eastAsia="Courier New" w:hAnsi="Courier New"/>
          <w:sz w:val="17"/>
          <w:szCs w:val="17"/>
          <w:color w:val="auto"/>
        </w:rPr>
        <w:t>23.5</w:t>
      </w:r>
      <w:r>
        <w:rPr>
          <w:sz w:val="20"/>
          <w:szCs w:val="20"/>
          <w:color w:val="auto"/>
        </w:rPr>
        <w:tab/>
      </w:r>
      <w:r>
        <w:rPr>
          <w:rFonts w:ascii="Courier New" w:cs="Courier New" w:eastAsia="Courier New" w:hAnsi="Courier New"/>
          <w:sz w:val="16"/>
          <w:szCs w:val="16"/>
          <w:color w:val="auto"/>
        </w:rPr>
        <w:t>Consent of KPMG Peat Marwick (originally Exhibit 24.4)</w:t>
      </w:r>
    </w:p>
    <w:p>
      <w:pPr>
        <w:spacing w:after="0" w:line="2" w:lineRule="exact"/>
        <w:rPr>
          <w:sz w:val="20"/>
          <w:szCs w:val="20"/>
          <w:color w:val="auto"/>
        </w:rPr>
      </w:pPr>
    </w:p>
    <w:p>
      <w:pPr>
        <w:ind w:left="920" w:hanging="916"/>
        <w:spacing w:after="0"/>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24.1</w:t>
      </w:r>
      <w:r>
        <w:rPr>
          <w:rFonts w:ascii="Courier New" w:cs="Courier New" w:eastAsia="Courier New" w:hAnsi="Courier New"/>
          <w:sz w:val="16"/>
          <w:szCs w:val="16"/>
          <w:color w:val="auto"/>
        </w:rPr>
        <w:t>Powers of Attorney (Included on Page II-8)</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1" w:lineRule="exact"/>
        <w:rPr>
          <w:rFonts w:ascii="Courier New" w:cs="Courier New" w:eastAsia="Courier New" w:hAnsi="Courier New"/>
          <w:sz w:val="17"/>
          <w:szCs w:val="17"/>
          <w:color w:val="auto"/>
        </w:rPr>
      </w:pPr>
    </w:p>
    <w:p>
      <w:pPr>
        <w:ind w:left="920" w:hanging="916"/>
        <w:spacing w:after="0"/>
        <w:tabs>
          <w:tab w:leader="none" w:pos="9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196" w:lineRule="exact"/>
        <w:rPr>
          <w:sz w:val="20"/>
          <w:szCs w:val="20"/>
          <w:color w:val="auto"/>
        </w:rPr>
      </w:pPr>
    </w:p>
    <w:p>
      <w:pPr>
        <w:ind w:left="1720" w:hanging="806"/>
        <w:spacing w:after="0"/>
        <w:tabs>
          <w:tab w:leader="none" w:pos="1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8" w:lineRule="exact"/>
        <w:rPr>
          <w:rFonts w:ascii="Courier New" w:cs="Courier New" w:eastAsia="Courier New" w:hAnsi="Courier New"/>
          <w:sz w:val="17"/>
          <w:szCs w:val="17"/>
          <w:color w:val="auto"/>
        </w:rPr>
      </w:pPr>
    </w:p>
    <w:p>
      <w:pPr>
        <w:ind w:left="920" w:right="2439" w:firstLine="803"/>
        <w:spacing w:after="0"/>
        <w:tabs>
          <w:tab w:leader="none" w:pos="2639"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200" w:lineRule="exact"/>
        <w:rPr>
          <w:rFonts w:ascii="Courier New" w:cs="Courier New" w:eastAsia="Courier New" w:hAnsi="Courier New"/>
          <w:sz w:val="17"/>
          <w:szCs w:val="17"/>
          <w:color w:val="auto"/>
        </w:rPr>
      </w:pPr>
    </w:p>
    <w:p>
      <w:pPr>
        <w:ind w:left="1720" w:right="2219" w:firstLine="913"/>
        <w:spacing w:after="0" w:line="239" w:lineRule="auto"/>
        <w:tabs>
          <w:tab w:leader="none" w:pos="3439"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9" w:lineRule="exact"/>
        <w:rPr>
          <w:rFonts w:ascii="Courier New" w:cs="Courier New" w:eastAsia="Courier New" w:hAnsi="Courier New"/>
          <w:sz w:val="17"/>
          <w:szCs w:val="17"/>
          <w:color w:val="auto"/>
        </w:rPr>
      </w:pPr>
    </w:p>
    <w:p>
      <w:pPr>
        <w:ind w:left="1720" w:right="2319" w:firstLine="913"/>
        <w:spacing w:after="0" w:line="241" w:lineRule="auto"/>
        <w:tabs>
          <w:tab w:leader="none" w:pos="3439"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00" w:lineRule="exact"/>
        <w:rPr>
          <w:rFonts w:ascii="Courier New" w:cs="Courier New" w:eastAsia="Courier New" w:hAnsi="Courier New"/>
          <w:sz w:val="17"/>
          <w:szCs w:val="17"/>
          <w:color w:val="auto"/>
        </w:rPr>
      </w:pPr>
    </w:p>
    <w:p>
      <w:pPr>
        <w:ind w:left="1720" w:right="2439" w:firstLine="913"/>
        <w:spacing w:after="0" w:line="241" w:lineRule="auto"/>
        <w:tabs>
          <w:tab w:leader="none" w:pos="3338" w:val="left"/>
        </w:tabs>
        <w:numPr>
          <w:ilvl w:val="2"/>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99" w:lineRule="exact"/>
        <w:rPr>
          <w:sz w:val="20"/>
          <w:szCs w:val="20"/>
          <w:color w:val="auto"/>
        </w:rPr>
      </w:pPr>
    </w:p>
    <w:p>
      <w:pPr>
        <w:ind w:left="1720" w:right="2219"/>
        <w:spacing w:after="0" w:line="241" w:lineRule="auto"/>
        <w:rPr>
          <w:sz w:val="20"/>
          <w:szCs w:val="20"/>
          <w:color w:val="auto"/>
        </w:rPr>
      </w:pPr>
      <w:r>
        <w:rPr>
          <w:rFonts w:ascii="Courier New" w:cs="Courier New" w:eastAsia="Courier New" w:hAnsi="Courier New"/>
          <w:sz w:val="17"/>
          <w:szCs w:val="17"/>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02" w:lineRule="exact"/>
        <w:rPr>
          <w:sz w:val="20"/>
          <w:szCs w:val="20"/>
          <w:color w:val="auto"/>
        </w:rPr>
      </w:pPr>
    </w:p>
    <w:p>
      <w:pPr>
        <w:ind w:left="920" w:right="2439" w:firstLine="803"/>
        <w:spacing w:after="0" w:line="241" w:lineRule="auto"/>
        <w:tabs>
          <w:tab w:leader="none" w:pos="263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8" w:lineRule="exact"/>
        <w:rPr>
          <w:rFonts w:ascii="Courier New" w:cs="Courier New" w:eastAsia="Courier New" w:hAnsi="Courier New"/>
          <w:sz w:val="17"/>
          <w:szCs w:val="17"/>
          <w:color w:val="auto"/>
        </w:rPr>
      </w:pPr>
    </w:p>
    <w:p>
      <w:pPr>
        <w:ind w:left="2640" w:hanging="917"/>
        <w:spacing w:after="0"/>
        <w:tabs>
          <w:tab w:leader="none" w:pos="26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w:t>
      </w:r>
    </w:p>
    <w:p>
      <w:pPr>
        <w:spacing w:after="0" w:line="4" w:lineRule="exact"/>
        <w:rPr>
          <w:sz w:val="20"/>
          <w:szCs w:val="20"/>
          <w:color w:val="auto"/>
        </w:rPr>
      </w:pPr>
    </w:p>
    <w:p>
      <w:pPr>
        <w:ind w:left="920" w:right="2319"/>
        <w:spacing w:after="0" w:line="239" w:lineRule="auto"/>
        <w:rPr>
          <w:sz w:val="20"/>
          <w:szCs w:val="20"/>
          <w:color w:val="auto"/>
        </w:rPr>
      </w:pPr>
      <w:r>
        <w:rPr>
          <w:rFonts w:ascii="Courier New" w:cs="Courier New" w:eastAsia="Courier New" w:hAnsi="Courier New"/>
          <w:sz w:val="17"/>
          <w:szCs w:val="17"/>
          <w:color w:val="auto"/>
        </w:rPr>
        <w:t>post-effective amendment any of the securities being registered which remain unsold at the termination of the offering.</w:t>
      </w:r>
    </w:p>
    <w:p>
      <w:pPr>
        <w:spacing w:after="0" w:line="200" w:lineRule="exact"/>
        <w:rPr>
          <w:sz w:val="20"/>
          <w:szCs w:val="20"/>
          <w:color w:val="auto"/>
        </w:rPr>
      </w:pPr>
    </w:p>
    <w:p>
      <w:pPr>
        <w:ind w:right="2219" w:firstLine="914"/>
        <w:spacing w:after="0" w:line="241" w:lineRule="auto"/>
        <w:tabs>
          <w:tab w:leader="none" w:pos="1719"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w:t>
      </w:r>
    </w:p>
    <w:p>
      <w:pPr>
        <w:sectPr>
          <w:pgSz w:w="11900" w:h="16838" w:orient="portrait"/>
          <w:cols w:equalWidth="0" w:num="1">
            <w:col w:w="10219"/>
          </w:cols>
          <w:pgMar w:left="240" w:top="3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308" w:right="1440" w:bottom="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7</w:t>
      </w:r>
    </w:p>
    <w:p>
      <w:pPr>
        <w:spacing w:after="0" w:line="4" w:lineRule="exact"/>
        <w:rPr>
          <w:sz w:val="20"/>
          <w:szCs w:val="20"/>
          <w:color w:val="auto"/>
        </w:rPr>
      </w:pPr>
    </w:p>
    <w:p>
      <w:pPr>
        <w:ind w:right="2439"/>
        <w:spacing w:after="0"/>
        <w:rPr>
          <w:sz w:val="20"/>
          <w:szCs w:val="20"/>
          <w:color w:val="auto"/>
        </w:rPr>
      </w:pPr>
      <w:r>
        <w:rPr>
          <w:rFonts w:ascii="Courier New" w:cs="Courier New" w:eastAsia="Courier New" w:hAnsi="Courier New"/>
          <w:sz w:val="17"/>
          <w:szCs w:val="17"/>
          <w:color w:val="auto"/>
        </w:rPr>
        <w:t>statement relating to the securities offered herein, and the offering of such securities at that time shall be deemed to be the initial bona fide offering thereof.</w:t>
      </w:r>
    </w:p>
    <w:p>
      <w:pPr>
        <w:spacing w:after="0" w:line="200" w:lineRule="exact"/>
        <w:rPr>
          <w:sz w:val="20"/>
          <w:szCs w:val="20"/>
          <w:color w:val="auto"/>
        </w:rPr>
      </w:pPr>
    </w:p>
    <w:p>
      <w:pPr>
        <w:ind w:right="2319" w:firstLine="914"/>
        <w:spacing w:after="0" w:line="242" w:lineRule="auto"/>
        <w:tabs>
          <w:tab w:leader="none" w:pos="1719"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97" w:lineRule="exact"/>
        <w:rPr>
          <w:sz w:val="20"/>
          <w:szCs w:val="20"/>
          <w:color w:val="auto"/>
        </w:rPr>
      </w:pPr>
    </w:p>
    <w:p>
      <w:pPr>
        <w:ind w:right="2219" w:firstLine="914"/>
        <w:spacing w:after="0" w:line="242" w:lineRule="auto"/>
        <w:tabs>
          <w:tab w:leader="none" w:pos="171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308"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8</w:t>
      </w:r>
    </w:p>
    <w:p>
      <w:pPr>
        <w:spacing w:after="0" w:line="4" w:lineRule="exact"/>
        <w:rPr>
          <w:sz w:val="20"/>
          <w:szCs w:val="20"/>
          <w:color w:val="auto"/>
        </w:rPr>
      </w:pPr>
    </w:p>
    <w:p>
      <w:pPr>
        <w:ind w:right="2439" w:firstLine="910"/>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or amendment thereto to be signed on its behalf by the undersigned, thereunto duly authorized, in the City of Dallas, State of Texas on September 7, 1995.</w:t>
      </w:r>
    </w:p>
    <w:p>
      <w:pPr>
        <w:spacing w:after="0" w:line="199"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USA Waste Services, Inc.</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John E. Drury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John E. Drury, Chief Executive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Officer</w:t>
      </w:r>
    </w:p>
    <w:p>
      <w:pPr>
        <w:spacing w:after="0" w:line="200" w:lineRule="exact"/>
        <w:rPr>
          <w:sz w:val="20"/>
          <w:szCs w:val="20"/>
          <w:color w:val="auto"/>
        </w:rPr>
      </w:pPr>
    </w:p>
    <w:p>
      <w:pPr>
        <w:sectPr>
          <w:pgSz w:w="11900" w:h="16838" w:orient="portrait"/>
          <w:cols w:equalWidth="0" w:num="2">
            <w:col w:w="4360" w:space="0"/>
            <w:col w:w="5859"/>
          </w:cols>
          <w:pgMar w:left="240" w:top="3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308"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9</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3020" w:firstLine="910"/>
        <w:spacing w:after="0" w:line="242" w:lineRule="auto"/>
        <w:rPr>
          <w:sz w:val="20"/>
          <w:szCs w:val="20"/>
          <w:color w:val="auto"/>
        </w:rPr>
      </w:pPr>
      <w:r>
        <w:rPr>
          <w:rFonts w:ascii="Courier New" w:cs="Courier New" w:eastAsia="Courier New" w:hAnsi="Courier New"/>
          <w:sz w:val="17"/>
          <w:szCs w:val="17"/>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S-8 (File No. 33-84988)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5"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Witness our hands on the date set forth below.</w:t>
      </w:r>
    </w:p>
    <w:p>
      <w:pPr>
        <w:spacing w:after="0" w:line="199" w:lineRule="exact"/>
        <w:rPr>
          <w:sz w:val="20"/>
          <w:szCs w:val="20"/>
          <w:color w:val="auto"/>
        </w:rPr>
      </w:pPr>
    </w:p>
    <w:p>
      <w:pPr>
        <w:ind w:right="3340"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or amendment thereto has been signed by the following persons in the capacities and on September 7, 1995.</w:t>
      </w:r>
    </w:p>
    <w:p>
      <w:pPr>
        <w:spacing w:after="0" w:line="200" w:lineRule="exact"/>
        <w:rPr>
          <w:sz w:val="20"/>
          <w:szCs w:val="20"/>
          <w:color w:val="auto"/>
        </w:rPr>
      </w:pPr>
    </w:p>
    <w:p>
      <w:pPr>
        <w:spacing w:after="0" w:line="387" w:lineRule="exact"/>
        <w:rPr>
          <w:sz w:val="20"/>
          <w:szCs w:val="20"/>
          <w:color w:val="auto"/>
        </w:rPr>
      </w:pPr>
    </w:p>
    <w:p>
      <w:pPr>
        <w:ind w:left="2120"/>
        <w:spacing w:after="0"/>
        <w:tabs>
          <w:tab w:leader="none" w:pos="83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2" w:lineRule="exact"/>
        <w:rPr>
          <w:sz w:val="20"/>
          <w:szCs w:val="20"/>
          <w:color w:val="auto"/>
        </w:rPr>
      </w:pPr>
    </w:p>
    <w:p>
      <w:pPr>
        <w:ind w:left="2120"/>
        <w:spacing w:after="0"/>
        <w:tabs>
          <w:tab w:leader="none" w:pos="83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John E. Drury</w:t>
      </w:r>
      <w:r>
        <w:rPr>
          <w:sz w:val="20"/>
          <w:szCs w:val="20"/>
          <w:color w:val="auto"/>
        </w:rPr>
        <w:tab/>
      </w:r>
      <w:r>
        <w:rPr>
          <w:rFonts w:ascii="Courier New" w:cs="Courier New" w:eastAsia="Courier New" w:hAnsi="Courier New"/>
          <w:sz w:val="16"/>
          <w:szCs w:val="16"/>
          <w:color w:val="auto"/>
        </w:rPr>
        <w:t>Chairman of the Board and Chief Executive Officer</w:t>
      </w:r>
    </w:p>
    <w:p>
      <w:pPr>
        <w:spacing w:after="0" w:line="2" w:lineRule="exact"/>
        <w:rPr>
          <w:sz w:val="20"/>
          <w:szCs w:val="20"/>
          <w:color w:val="auto"/>
        </w:rPr>
      </w:pPr>
    </w:p>
    <w:p>
      <w:pPr>
        <w:ind w:left="200" w:hanging="196"/>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E. Drury</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Donald F. Moorehead, Jr.</w:t>
      </w:r>
      <w:r>
        <w:rPr>
          <w:sz w:val="20"/>
          <w:szCs w:val="20"/>
          <w:color w:val="auto"/>
        </w:rPr>
        <w:tab/>
      </w:r>
      <w:r>
        <w:rPr>
          <w:rFonts w:ascii="Courier New" w:cs="Courier New" w:eastAsia="Courier New" w:hAnsi="Courier New"/>
          <w:sz w:val="16"/>
          <w:szCs w:val="16"/>
          <w:color w:val="auto"/>
        </w:rPr>
        <w:t>Vice Chairman of the Board and Chief Development</w:t>
      </w:r>
    </w:p>
    <w:p>
      <w:pPr>
        <w:spacing w:after="0" w:line="2"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F. Moorehead, Jr.</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David Sutherland-Yoest</w:t>
      </w:r>
      <w:r>
        <w:rPr>
          <w:sz w:val="20"/>
          <w:szCs w:val="20"/>
          <w:color w:val="auto"/>
        </w:rPr>
        <w:tab/>
      </w:r>
      <w:r>
        <w:rPr>
          <w:rFonts w:ascii="Courier New" w:cs="Courier New" w:eastAsia="Courier New" w:hAnsi="Courier New"/>
          <w:sz w:val="16"/>
          <w:szCs w:val="16"/>
          <w:color w:val="auto"/>
        </w:rPr>
        <w:t>President, Chief Operating Officer, and Director</w:t>
      </w:r>
    </w:p>
    <w:p>
      <w:pPr>
        <w:spacing w:after="0" w:line="2" w:lineRule="exact"/>
        <w:rPr>
          <w:sz w:val="20"/>
          <w:szCs w:val="20"/>
          <w:color w:val="auto"/>
        </w:rPr>
      </w:pPr>
    </w:p>
    <w:p>
      <w:pPr>
        <w:ind w:left="200" w:hanging="196"/>
        <w:spacing w:after="0"/>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Sutherland-Yoest</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Earl E. DeFrates</w:t>
      </w:r>
      <w:r>
        <w:rPr>
          <w:sz w:val="20"/>
          <w:szCs w:val="20"/>
          <w:color w:val="auto"/>
        </w:rPr>
        <w:tab/>
      </w:r>
      <w:r>
        <w:rPr>
          <w:rFonts w:ascii="Courier New" w:cs="Courier New" w:eastAsia="Courier New" w:hAnsi="Courier New"/>
          <w:sz w:val="16"/>
          <w:szCs w:val="16"/>
          <w:color w:val="auto"/>
        </w:rPr>
        <w:t>Executive Vice President, Chief Financial Officer</w:t>
      </w:r>
    </w:p>
    <w:p>
      <w:pPr>
        <w:spacing w:after="0" w:line="2"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and Treasurer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 E. DeFrates</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Bruce E. Snyder</w:t>
      </w:r>
      <w:r>
        <w:rPr>
          <w:sz w:val="20"/>
          <w:szCs w:val="20"/>
          <w:color w:val="auto"/>
        </w:rPr>
        <w:tab/>
      </w:r>
      <w:r>
        <w:rPr>
          <w:rFonts w:ascii="Courier New" w:cs="Courier New" w:eastAsia="Courier New" w:hAnsi="Courier New"/>
          <w:sz w:val="16"/>
          <w:szCs w:val="16"/>
          <w:color w:val="auto"/>
        </w:rPr>
        <w:t>Vice President and Corporate Controller (Chief</w:t>
      </w:r>
    </w:p>
    <w:p>
      <w:pPr>
        <w:spacing w:after="0" w:line="2"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Accounting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John G. Rangos, Sr.</w:t>
      </w:r>
      <w:r>
        <w:rPr>
          <w:sz w:val="20"/>
          <w:szCs w:val="20"/>
          <w:color w:val="auto"/>
        </w:rPr>
        <w:tab/>
      </w:r>
      <w:r>
        <w:rPr>
          <w:rFonts w:ascii="Courier New" w:cs="Courier New" w:eastAsia="Courier New" w:hAnsi="Courier New"/>
          <w:sz w:val="16"/>
          <w:szCs w:val="16"/>
          <w:color w:val="auto"/>
        </w:rPr>
        <w:t>Vice Chairman of the Board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G. Rangos, Sr.</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Alexander W. Rangos</w:t>
      </w:r>
      <w:r>
        <w:rPr>
          <w:sz w:val="20"/>
          <w:szCs w:val="20"/>
          <w:color w:val="auto"/>
        </w:rPr>
        <w:tab/>
      </w:r>
      <w:r>
        <w:rPr>
          <w:rFonts w:ascii="Courier New" w:cs="Courier New" w:eastAsia="Courier New" w:hAnsi="Courier New"/>
          <w:sz w:val="16"/>
          <w:szCs w:val="16"/>
          <w:color w:val="auto"/>
        </w:rPr>
        <w:t>Executive Vice President for Development and</w:t>
      </w:r>
    </w:p>
    <w:p>
      <w:pPr>
        <w:spacing w:after="0" w:line="2"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Alexander W. Rangos</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George L. Ball</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L. Ball</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Richard J. Heckmann</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Heckmann</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William E. Moffett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William E. Moffett</w:t>
      </w:r>
    </w:p>
    <w:p>
      <w:pPr>
        <w:spacing w:after="0" w:line="196"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Peter J. Gibbons</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J. Gibbons</w:t>
      </w:r>
    </w:p>
    <w:p>
      <w:pPr>
        <w:sectPr>
          <w:pgSz w:w="11900" w:h="16838" w:orient="portrait"/>
          <w:cols w:equalWidth="0" w:num="1">
            <w:col w:w="11020"/>
          </w:cols>
          <w:pgMar w:left="240" w:top="308" w:right="639" w:bottom="9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II-8</w:t>
      </w:r>
    </w:p>
    <w:sectPr>
      <w:pgSz w:w="11900" w:h="16838" w:orient="portrait"/>
      <w:cols w:equalWidth="0" w:num="1">
        <w:col w:w="11020"/>
      </w:cols>
      <w:pgMar w:left="240" w:top="308" w:right="639" w:bottom="9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Letter"/>
      <w:start w:val="1"/>
    </w:lvl>
  </w:abstractNum>
  <w:abstractNum w:abstractNumId="1">
    <w:nsid w:val="4DB127F8"/>
    <w:multiLevelType w:val="hybridMultilevel"/>
    <w:lvl w:ilvl="0">
      <w:lvlJc w:val="left"/>
      <w:lvlText w:val="(%1)"/>
      <w:numFmt w:val="lowerRoman"/>
      <w:start w:val="2"/>
    </w:lvl>
  </w:abstractNum>
  <w:abstractNum w:abstractNumId="2">
    <w:nsid w:val="216231B"/>
    <w:multiLevelType w:val="hybridMultilevel"/>
    <w:lvl w:ilvl="0">
      <w:lvlJc w:val="left"/>
      <w:lvlText w:val="%1."/>
      <w:numFmt w:val="decimal"/>
      <w:start w:val="145"/>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lowerLetter"/>
      <w:start w:val="1"/>
    </w:lvl>
    <w:lvl w:ilvl="1">
      <w:lvlJc w:val="left"/>
      <w:lvlText w:val="(%2)"/>
      <w:numFmt w:val="lowerLetter"/>
      <w:start w:val="4"/>
    </w:lvl>
  </w:abstractNum>
  <w:abstractNum w:abstractNumId="5">
    <w:nsid w:val="66EF438D"/>
    <w:multiLevelType w:val="hybridMultilevel"/>
    <w:lvl w:ilvl="0">
      <w:lvlJc w:val="left"/>
      <w:lvlText w:val="%1"/>
      <w:numFmt w:val="lowerLetter"/>
      <w:start w:val="1"/>
    </w:lvl>
    <w:lvl w:ilvl="1">
      <w:lvlJc w:val="left"/>
      <w:lvlText w:val="(%2)"/>
      <w:numFmt w:val="lowerLetter"/>
      <w:start w:val="5"/>
    </w:lvl>
  </w:abstractNum>
  <w:abstractNum w:abstractNumId="6">
    <w:nsid w:val="140E0F76"/>
    <w:multiLevelType w:val="hybridMultilevel"/>
    <w:lvl w:ilvl="0">
      <w:lvlJc w:val="left"/>
      <w:lvlText w:val="(%1)"/>
      <w:numFmt w:val="lowerLetter"/>
      <w:start w:val="1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lowerLetter"/>
      <w:start w:val="5"/>
    </w:lvl>
  </w:abstractNum>
  <w:abstractNum w:abstractNumId="12">
    <w:nsid w:val="41A7C4C9"/>
    <w:multiLevelType w:val="hybridMultilevel"/>
    <w:lvl w:ilvl="0">
      <w:lvlJc w:val="left"/>
      <w:lvlText w:val="(%1)"/>
      <w:numFmt w:val="lowerLetter"/>
      <w:start w:val="8"/>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2019-12-20T05:15:05Z</dcterms:created>
  <dcterms:modified xsi:type="dcterms:W3CDTF">2019-12-20T05:15:05Z</dcterms:modified>
</cp:coreProperties>
</file>