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Number 333-97697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Prospectus dated November 20, 2002)</w:t>
      </w:r>
    </w:p>
    <w:p>
      <w:pPr>
        <w:spacing w:after="0" w:line="16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148,560 SHARES</w:t>
      </w:r>
    </w:p>
    <w:p>
      <w:pPr>
        <w:spacing w:after="0" w:line="18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170"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common stock is listed on the New York Stock Exchange under the trading symbol “WMI.” On February 10, 2005, the last reported sale price of the common stock on the New York Stock Exchange was $29.77 per share.</w:t>
      </w:r>
    </w:p>
    <w:p>
      <w:pPr>
        <w:spacing w:after="0" w:line="143" w:lineRule="exact"/>
        <w:rPr>
          <w:sz w:val="20"/>
          <w:szCs w:val="20"/>
          <w:color w:val="auto"/>
        </w:rPr>
      </w:pPr>
    </w:p>
    <w:p>
      <w:pPr>
        <w:ind w:right="20" w:firstLine="222"/>
        <w:spacing w:after="0" w:line="312" w:lineRule="auto"/>
        <w:rPr>
          <w:sz w:val="20"/>
          <w:szCs w:val="20"/>
          <w:color w:val="auto"/>
        </w:rPr>
      </w:pPr>
      <w:r>
        <w:rPr>
          <w:rFonts w:ascii="Arial" w:cs="Arial" w:eastAsia="Arial" w:hAnsi="Arial"/>
          <w:sz w:val="16"/>
          <w:szCs w:val="16"/>
          <w:color w:val="auto"/>
        </w:rPr>
        <w:t>We are issuing the shares directly to a warrant holder upon exercise by such holder of a currently outstanding warrant. The warrant was originally issued in September 1996 by a company later acquired by us, and as a result of the acquisition, the warrant converted into the right to purchase 148,560 shares of our common stock at a purchase price of $10.50 per share. We will use the proceeds of $2.3 million from the sale of the shares for general corporate purposes.</w:t>
      </w:r>
    </w:p>
    <w:p>
      <w:pPr>
        <w:spacing w:after="0" w:line="102" w:lineRule="exact"/>
        <w:rPr>
          <w:sz w:val="20"/>
          <w:szCs w:val="20"/>
          <w:color w:val="auto"/>
        </w:rPr>
      </w:pPr>
    </w:p>
    <w:p>
      <w:pPr>
        <w:ind w:right="680" w:firstLine="225"/>
        <w:spacing w:after="0" w:line="282" w:lineRule="auto"/>
        <w:rPr>
          <w:sz w:val="20"/>
          <w:szCs w:val="20"/>
          <w:color w:val="auto"/>
        </w:rPr>
      </w:pPr>
      <w:r>
        <w:rPr>
          <w:rFonts w:ascii="Arial" w:cs="Arial" w:eastAsia="Arial" w:hAnsi="Arial"/>
          <w:sz w:val="18"/>
          <w:szCs w:val="18"/>
          <w:b w:val="1"/>
          <w:bCs w:val="1"/>
          <w:color w:val="auto"/>
        </w:rPr>
        <w:t>Investing in the common stock involves risks that are described in the “Risk Factors” section beginning on page 4 of the prospectus dated November 20, 2002.</w:t>
      </w:r>
    </w:p>
    <w:p>
      <w:pPr>
        <w:spacing w:after="0" w:line="121" w:lineRule="exact"/>
        <w:rPr>
          <w:sz w:val="20"/>
          <w:szCs w:val="20"/>
          <w:color w:val="auto"/>
        </w:rPr>
      </w:pPr>
    </w:p>
    <w:p>
      <w:pPr>
        <w:ind w:right="220" w:firstLine="225"/>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We expect to deliver the shares against payment therefor in Houston, Texas on or about February 14, 2005.</w:t>
      </w:r>
    </w:p>
    <w:p>
      <w:pPr>
        <w:spacing w:after="0" w:line="189"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Prospectus Supplement dated February 11, 2005</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2019-12-20T03:46:23Z</dcterms:created>
  <dcterms:modified xsi:type="dcterms:W3CDTF">2019-12-20T03:46:23Z</dcterms:modified>
</cp:coreProperties>
</file>