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REGISTRATION NO. 333-101811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424(B)(3)</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ind w:left="3280"/>
        <w:spacing w:after="0" w:line="238" w:lineRule="auto"/>
        <w:rPr>
          <w:sz w:val="20"/>
          <w:szCs w:val="20"/>
          <w:color w:val="auto"/>
        </w:rPr>
      </w:pPr>
      <w:r>
        <w:rPr>
          <w:rFonts w:ascii="Courier New" w:cs="Courier New" w:eastAsia="Courier New" w:hAnsi="Courier New"/>
          <w:sz w:val="18"/>
          <w:szCs w:val="18"/>
          <w:color w:val="auto"/>
        </w:rPr>
        <w:t>OFFER TO EXCHANGE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$400,000,000 6 3/8% SENIOR NOTES DUE 2012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$400,000,000 6 3/8% SENIOR NOTES DUE 2012</w:t>
      </w:r>
    </w:p>
    <w:p>
      <w:pPr>
        <w:ind w:left="30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4"/>
          <w:szCs w:val="24"/>
          <w:color w:val="auto"/>
        </w:rPr>
      </w:pPr>
    </w:p>
    <w:p>
      <w:pPr>
        <w:ind w:left="740" w:right="187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exchange all outstanding notes that are validly tendered and not validly withdrawn for an equal principal amount of exchange notes.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outstanding notes at any time prior to the expiration of the exchange offer.</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expires at 5:00 p.m., New York City time, on February 10, 2003, unless extended. We do not currently intend to extend the expiration date.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4"/>
          <w:szCs w:val="24"/>
          <w:color w:val="auto"/>
        </w:rPr>
      </w:pPr>
    </w:p>
    <w:p>
      <w:pPr>
        <w:ind w:left="740" w:right="1999" w:hanging="205"/>
        <w:spacing w:after="0" w:line="237"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exchange notes will be substantially identical to the outstanding notes except for transfer restrictions and registration rights relating to the outstanding notes will not apply to the exchange notes.</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like the outstanding notes, will be unsecured obligations of Waste Management and will be unconditionally guaranteed by our wholly-owned subsidiary, Waste Management Holdings, Inc. The exchange notes will rank equally in contractual right of payment with all of our other unsecured and unsubordinated senior indebtedness and the unsecured and unsubordinated senior indebtedness of Waste Management Holdings. However, the exchange notes and the guarantees will be structurally subordinated to the indebtedness of our non-guarantor subsidiaries, which amounted to approximately $1.6 billion as of September 30, 2002. Additionally, the indenture under which we are issuing the exchange notes does not restrict our ability to incur additional senior indebtedness.</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RESALES OF EXCHANGE NOTES:</w:t>
      </w:r>
    </w:p>
    <w:p>
      <w:pPr>
        <w:spacing w:after="0" w:line="207" w:lineRule="exact"/>
        <w:rPr>
          <w:sz w:val="24"/>
          <w:szCs w:val="24"/>
          <w:color w:val="auto"/>
        </w:rPr>
      </w:pPr>
    </w:p>
    <w:p>
      <w:pPr>
        <w:jc w:val="both"/>
        <w:ind w:left="740" w:right="2619" w:hanging="205"/>
        <w:spacing w:after="0" w:line="268"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may be sold in the over-the-counter market, in negotiated transactions or through a combination of such methods.</w:t>
      </w:r>
    </w:p>
    <w:p>
      <w:pPr>
        <w:ind w:left="3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YOU SHOULD CONSIDER CAREFULLY THE RISK FACTORS BEGINNING ON PAGE 10 OF THIS PROSPECTUS BEFORE PARTICIPATING IN THE EXCHANGE OFFER.</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9, 2003.</w:t>
      </w:r>
    </w:p>
    <w:p>
      <w:pPr>
        <w:sectPr>
          <w:pgSz w:w="11900" w:h="16838" w:orient="portrait"/>
          <w:cols w:equalWidth="0" w:num="1">
            <w:col w:w="10219"/>
          </w:cols>
          <w:pgMar w:left="240" w:top="649" w:right="1440" w:bottom="1440" w:gutter="0" w:footer="0" w:header="0"/>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PAGE ---- Where to Find More</w:t>
      </w: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ii Incorporation</w:t>
      </w:r>
    </w:p>
    <w:p>
      <w:pPr>
        <w:ind w:left="580"/>
        <w:spacing w:after="0"/>
        <w:tabs>
          <w:tab w:leader="dot" w:pos="5520" w:val="left"/>
        </w:tabs>
        <w:rPr>
          <w:sz w:val="20"/>
          <w:szCs w:val="20"/>
          <w:color w:val="auto"/>
        </w:rPr>
      </w:pPr>
      <w:r>
        <w:rPr>
          <w:rFonts w:ascii="Courier New" w:cs="Courier New" w:eastAsia="Courier New" w:hAnsi="Courier New"/>
          <w:sz w:val="18"/>
          <w:szCs w:val="18"/>
          <w:color w:val="auto"/>
        </w:rPr>
        <w:t>by Reference</w:t>
      </w:r>
      <w:r>
        <w:rPr>
          <w:sz w:val="20"/>
          <w:szCs w:val="20"/>
          <w:color w:val="auto"/>
        </w:rPr>
        <w:tab/>
      </w:r>
      <w:r>
        <w:rPr>
          <w:rFonts w:ascii="Courier New" w:cs="Courier New" w:eastAsia="Courier New" w:hAnsi="Courier New"/>
          <w:sz w:val="16"/>
          <w:szCs w:val="16"/>
          <w:color w:val="auto"/>
        </w:rPr>
        <w:t>ii</w:t>
      </w:r>
    </w:p>
    <w:p>
      <w:pPr>
        <w:ind w:left="2640"/>
        <w:spacing w:after="0" w:line="237" w:lineRule="auto"/>
        <w:rPr>
          <w:sz w:val="20"/>
          <w:szCs w:val="20"/>
          <w:color w:val="auto"/>
        </w:rPr>
      </w:pPr>
      <w:r>
        <w:rPr>
          <w:rFonts w:ascii="Courier New" w:cs="Courier New" w:eastAsia="Courier New" w:hAnsi="Courier New"/>
          <w:sz w:val="18"/>
          <w:szCs w:val="18"/>
          <w:color w:val="auto"/>
        </w:rPr>
        <w:t>Prospectus</w:t>
      </w:r>
    </w:p>
    <w:p>
      <w:pPr>
        <w:ind w:left="480"/>
        <w:spacing w:after="0" w:line="238" w:lineRule="auto"/>
        <w:tabs>
          <w:tab w:leader="dot" w:pos="5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ind w:left="1420"/>
        <w:spacing w:after="0"/>
        <w:rPr>
          <w:sz w:val="20"/>
          <w:szCs w:val="20"/>
          <w:color w:val="auto"/>
        </w:rPr>
      </w:pPr>
      <w:r>
        <w:rPr>
          <w:rFonts w:ascii="Courier New" w:cs="Courier New" w:eastAsia="Courier New" w:hAnsi="Courier New"/>
          <w:sz w:val="18"/>
          <w:szCs w:val="18"/>
          <w:color w:val="auto"/>
        </w:rPr>
        <w:t>Historical and Selected Financial</w:t>
      </w:r>
    </w:p>
    <w:p>
      <w:pPr>
        <w:ind w:left="1420"/>
        <w:spacing w:after="0"/>
        <w:tabs>
          <w:tab w:leader="dot" w:pos="42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8 Risk</w:t>
      </w:r>
    </w:p>
    <w:p>
      <w:pPr>
        <w:ind w:left="120"/>
        <w:spacing w:after="0"/>
        <w:tabs>
          <w:tab w:leader="dot" w:pos="600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10</w:t>
      </w:r>
    </w:p>
    <w:p>
      <w:pPr>
        <w:ind w:left="2380"/>
        <w:spacing w:after="0" w:line="237" w:lineRule="auto"/>
        <w:rPr>
          <w:sz w:val="20"/>
          <w:szCs w:val="20"/>
          <w:color w:val="auto"/>
        </w:rPr>
      </w:pPr>
      <w:r>
        <w:rPr>
          <w:rFonts w:ascii="Courier New" w:cs="Courier New" w:eastAsia="Courier New" w:hAnsi="Courier New"/>
          <w:sz w:val="18"/>
          <w:szCs w:val="18"/>
          <w:color w:val="auto"/>
        </w:rPr>
        <w:t>Forward-Looking</w:t>
      </w:r>
    </w:p>
    <w:p>
      <w:pPr>
        <w:ind w:left="320"/>
        <w:spacing w:after="0"/>
        <w:tabs>
          <w:tab w:leader="dot" w:pos="504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15 Use of</w:t>
      </w:r>
    </w:p>
    <w:p>
      <w:pPr>
        <w:ind w:left="220"/>
        <w:spacing w:after="0" w:line="237"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16</w:t>
      </w:r>
    </w:p>
    <w:p>
      <w:pPr>
        <w:ind w:left="1800"/>
        <w:spacing w:after="0" w:line="238" w:lineRule="auto"/>
        <w:rPr>
          <w:sz w:val="20"/>
          <w:szCs w:val="20"/>
          <w:color w:val="auto"/>
        </w:rPr>
      </w:pPr>
      <w:r>
        <w:rPr>
          <w:rFonts w:ascii="Courier New" w:cs="Courier New" w:eastAsia="Courier New" w:hAnsi="Courier New"/>
          <w:sz w:val="18"/>
          <w:szCs w:val="18"/>
          <w:color w:val="auto"/>
        </w:rPr>
        <w:t>Ratio of Earnings to Fixed</w:t>
      </w:r>
    </w:p>
    <w:p>
      <w:pPr>
        <w:ind w:left="280"/>
        <w:spacing w:after="0"/>
        <w:tabs>
          <w:tab w:leader="dot" w:pos="384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16 Description of the</w:t>
      </w:r>
    </w:p>
    <w:p>
      <w:pPr>
        <w:ind w:left="160"/>
        <w:spacing w:after="0"/>
        <w:tabs>
          <w:tab w:leader="dot" w:pos="4580" w:val="left"/>
        </w:tabs>
        <w:rPr>
          <w:sz w:val="20"/>
          <w:szCs w:val="20"/>
          <w:color w:val="auto"/>
        </w:rPr>
      </w:pPr>
      <w:r>
        <w:rPr>
          <w:rFonts w:ascii="Courier New" w:cs="Courier New" w:eastAsia="Courier New" w:hAnsi="Courier New"/>
          <w:sz w:val="18"/>
          <w:szCs w:val="18"/>
          <w:color w:val="auto"/>
        </w:rPr>
        <w:t>Exchange Notes</w:t>
      </w:r>
      <w:r>
        <w:rPr>
          <w:sz w:val="20"/>
          <w:szCs w:val="20"/>
          <w:color w:val="auto"/>
        </w:rPr>
        <w:tab/>
      </w:r>
      <w:r>
        <w:rPr>
          <w:rFonts w:ascii="Courier New" w:cs="Courier New" w:eastAsia="Courier New" w:hAnsi="Courier New"/>
          <w:sz w:val="16"/>
          <w:szCs w:val="16"/>
          <w:color w:val="auto"/>
        </w:rPr>
        <w:t>17 The Exchange</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Offer</w:t>
      </w:r>
      <w:r>
        <w:rPr>
          <w:sz w:val="20"/>
          <w:szCs w:val="20"/>
          <w:color w:val="auto"/>
        </w:rPr>
        <w:tab/>
      </w:r>
      <w:r>
        <w:rPr>
          <w:rFonts w:ascii="Courier New" w:cs="Courier New" w:eastAsia="Courier New" w:hAnsi="Courier New"/>
          <w:sz w:val="16"/>
          <w:szCs w:val="16"/>
          <w:color w:val="auto"/>
        </w:rPr>
        <w:t>36 United</w:t>
      </w:r>
    </w:p>
    <w:p>
      <w:pPr>
        <w:ind w:left="540"/>
        <w:spacing w:after="0" w:line="237" w:lineRule="auto"/>
        <w:rPr>
          <w:sz w:val="20"/>
          <w:szCs w:val="20"/>
          <w:color w:val="auto"/>
        </w:rPr>
      </w:pPr>
      <w:r>
        <w:rPr>
          <w:rFonts w:ascii="Courier New" w:cs="Courier New" w:eastAsia="Courier New" w:hAnsi="Courier New"/>
          <w:sz w:val="18"/>
          <w:szCs w:val="18"/>
          <w:color w:val="auto"/>
        </w:rPr>
        <w:t>States Federal Income Tax Consequences to Non-U.S.</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6"/>
          <w:szCs w:val="16"/>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44 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46</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7"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47</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line="237" w:lineRule="auto"/>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209" w:lineRule="exact"/>
        <w:rPr>
          <w:sz w:val="20"/>
          <w:szCs w:val="20"/>
          <w:color w:val="auto"/>
        </w:rPr>
      </w:pPr>
    </w:p>
    <w:p>
      <w:pPr>
        <w:ind w:left="740" w:right="177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you can inspect material filed by us at the offices of the New York Stock Exchange, 20 Broad Street, New York, New York 10005, on which shares of our common stock are listed.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FILINGS</w:t>
      </w:r>
    </w:p>
    <w:p>
      <w:pPr>
        <w:jc w:val="center"/>
        <w:ind w:right="9059"/>
        <w:spacing w:after="0"/>
        <w:rPr>
          <w:sz w:val="20"/>
          <w:szCs w:val="20"/>
          <w:color w:val="auto"/>
        </w:rPr>
      </w:pPr>
      <w:r>
        <w:rPr>
          <w:rFonts w:ascii="Courier New" w:cs="Courier New" w:eastAsia="Courier New" w:hAnsi="Courier New"/>
          <w:sz w:val="18"/>
          <w:szCs w:val="18"/>
          <w:color w:val="auto"/>
        </w:rPr>
        <w:t>(FILE NO.</w:t>
      </w:r>
    </w:p>
    <w:p>
      <w:pPr>
        <w:jc w:val="center"/>
        <w:ind w:right="9059"/>
        <w:spacing w:after="0" w:line="237" w:lineRule="auto"/>
        <w:rPr>
          <w:sz w:val="20"/>
          <w:szCs w:val="20"/>
          <w:color w:val="auto"/>
        </w:rPr>
      </w:pPr>
      <w:r>
        <w:rPr>
          <w:rFonts w:ascii="Courier New" w:cs="Courier New" w:eastAsia="Courier New" w:hAnsi="Courier New"/>
          <w:sz w:val="18"/>
          <w:szCs w:val="18"/>
          <w:color w:val="auto"/>
        </w:rPr>
        <w:t>1-12154)</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PERIOD/DATE</w:t>
      </w:r>
    </w:p>
    <w:p>
      <w:pPr>
        <w:spacing w:after="0" w:line="16" w:lineRule="exact"/>
        <w:rPr>
          <w:sz w:val="20"/>
          <w:szCs w:val="20"/>
          <w:color w:val="auto"/>
        </w:rPr>
      </w:pPr>
    </w:p>
    <w:p>
      <w:pPr>
        <w:ind w:left="260" w:hanging="205"/>
        <w:spacing w:after="0"/>
        <w:tabs>
          <w:tab w:leader="none" w:pos="2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119" w:firstLine="101"/>
        <w:spacing w:after="0" w:line="269" w:lineRule="auto"/>
        <w:tabs>
          <w:tab w:leader="none" w:pos="37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Year ended December 31, 2001 Quarterly Reports on Form 10-Q Quarters ended March 31, 2002, June 30, 2002 and September 30, 2002 Current Reports on Form 8-K March 22, 2002 and August 13, 2002</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 (other than Current Reports furnished under Item 9 of Form 8-K).</w:t>
      </w:r>
    </w:p>
    <w:p>
      <w:pPr>
        <w:sectPr>
          <w:pgSz w:w="11900" w:h="16838" w:orient="portrait"/>
          <w:cols w:equalWidth="0" w:num="1">
            <w:col w:w="10219"/>
          </w:cols>
          <w:pgMar w:left="240" w:top="717" w:right="1440" w:bottom="0" w:gutter="0" w:footer="0" w:header="0"/>
        </w:sectPr>
      </w:pPr>
    </w:p>
    <w:bookmarkStart w:id="3" w:name="page4"/>
    <w:bookmarkEnd w:id="3"/>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You may request a copy of this information, the exchange offer registration statement and the Commission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TO INSURE TIMELY DELIVERY, YOU SHOULD REQUEST THE DOCUMENTS AND INFORMATION NO LATER THAN JANUARY 20, 2003.</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42"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hazardous waste landfills. However, hazardous waste can sometimes be treated before disposal. We operate a hazardous waste facility where we isolate treated hazardous wastes in liquid form by injection into deep wells that have been drilled into rock formations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nine months ended September 30, 2002 were $8.3 billion and $586 million, respectively.</w:t>
      </w:r>
    </w:p>
    <w:p>
      <w:pPr>
        <w:spacing w:after="0" w:line="210"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5" w:name="page6"/>
    <w:bookmarkEnd w:id="5"/>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recorded $1 million and $38 million of pre-tax charges for costs associated with the implementation of the new structure for the three and nine months ended September 30, 2002, respectively. These charges include $36 million for employee severance and benefit costs and $2 million related to abandoned operating lease agreements. We expect to incur approximately $3 million of additional restructuring expenses in the last quarter of 2002 primarily related to the relocation of employees and the consolidation of facilities to support the new organizational structure.</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SUMMARY OF THE EXCHANGE OFFER</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November 26, 2002, we completed the private offering of the outstanding notes, consisting of $400 million principal amount of 6 3/8% Senior Notes due 2012.</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209" w:lineRule="exact"/>
        <w:rPr>
          <w:sz w:val="20"/>
          <w:szCs w:val="20"/>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 exchange offer registration statement with the Commission within 120 days after November 26, 2002;</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exchange offer registration statement declared effective by the Commission within 210 days after November 26, 2002;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 the exchange offer within 260 days after November 26, 2002.</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are entitled to exchange in the exchange offer your outstanding notes for exchange notes which are identical in all material respects to the outstanding notes except that:</w:t>
      </w:r>
    </w:p>
    <w:p>
      <w:pPr>
        <w:spacing w:after="0" w:line="209" w:lineRule="exact"/>
        <w:rPr>
          <w:sz w:val="20"/>
          <w:szCs w:val="20"/>
          <w:color w:val="auto"/>
        </w:rPr>
      </w:pPr>
    </w:p>
    <w:p>
      <w:pPr>
        <w:ind w:left="740" w:right="1779" w:hanging="205"/>
        <w:spacing w:after="0" w:line="236"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notes have been registered under the Securities Act and are freely tradeable if the conditions in "Resales of Exchange Notes," below, have been met; and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6" w:name="page7"/>
    <w:bookmarkEnd w:id="6"/>
    <w:p>
      <w:pPr>
        <w:ind w:left="740" w:right="219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contingent interest rate provisions that require us to pay increased interest rates if we don't meet our obligations under the registration rights agreement that are described above will no longer applicable.</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summarize the terms of the exchange offer below. You should read the discussion under the heading "The Exchange Offer" for further information regarding the exchange offer and the exchange notes.</w:t>
      </w:r>
    </w:p>
    <w:p>
      <w:pPr>
        <w:spacing w:after="0" w:line="20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The Exchange Offer............</w:t>
      </w:r>
      <w:r>
        <w:rPr>
          <w:sz w:val="20"/>
          <w:szCs w:val="20"/>
          <w:color w:val="auto"/>
        </w:rPr>
        <w:tab/>
      </w:r>
      <w:r>
        <w:rPr>
          <w:rFonts w:ascii="Courier New" w:cs="Courier New" w:eastAsia="Courier New" w:hAnsi="Courier New"/>
          <w:sz w:val="16"/>
          <w:szCs w:val="16"/>
          <w:color w:val="auto"/>
        </w:rPr>
        <w:t>We are offering to exchange the aggregate</w:t>
      </w:r>
    </w:p>
    <w:p>
      <w:pPr>
        <w:ind w:left="3480"/>
        <w:spacing w:after="0" w:line="238" w:lineRule="auto"/>
        <w:rPr>
          <w:sz w:val="20"/>
          <w:szCs w:val="20"/>
          <w:color w:val="auto"/>
        </w:rPr>
      </w:pPr>
      <w:r>
        <w:rPr>
          <w:rFonts w:ascii="Courier New" w:cs="Courier New" w:eastAsia="Courier New" w:hAnsi="Courier New"/>
          <w:sz w:val="18"/>
          <w:szCs w:val="18"/>
          <w:color w:val="auto"/>
        </w:rPr>
        <w:t>principal amount of exchange notes for the</w:t>
      </w:r>
    </w:p>
    <w:p>
      <w:pPr>
        <w:ind w:left="3480"/>
        <w:spacing w:after="0"/>
        <w:rPr>
          <w:sz w:val="20"/>
          <w:szCs w:val="20"/>
          <w:color w:val="auto"/>
        </w:rPr>
      </w:pPr>
      <w:r>
        <w:rPr>
          <w:rFonts w:ascii="Courier New" w:cs="Courier New" w:eastAsia="Courier New" w:hAnsi="Courier New"/>
          <w:sz w:val="18"/>
          <w:szCs w:val="18"/>
          <w:color w:val="auto"/>
        </w:rPr>
        <w:t>identical aggregate principal amount of</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outstanding notes. The outstanding notes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exchanged only in amounts which are equal to</w:t>
      </w:r>
    </w:p>
    <w:p>
      <w:pPr>
        <w:ind w:left="3480"/>
        <w:spacing w:after="0" w:line="238" w:lineRule="auto"/>
        <w:rPr>
          <w:sz w:val="20"/>
          <w:szCs w:val="20"/>
          <w:color w:val="auto"/>
        </w:rPr>
      </w:pPr>
      <w:r>
        <w:rPr>
          <w:rFonts w:ascii="Courier New" w:cs="Courier New" w:eastAsia="Courier New" w:hAnsi="Courier New"/>
          <w:sz w:val="18"/>
          <w:szCs w:val="18"/>
          <w:color w:val="auto"/>
        </w:rPr>
        <w:t>whole multiples of $1,000.</w:t>
      </w:r>
    </w:p>
    <w:p>
      <w:pPr>
        <w:spacing w:after="0" w:line="20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Resales of Exchange Notes.....</w:t>
      </w:r>
      <w:r>
        <w:rPr>
          <w:sz w:val="20"/>
          <w:szCs w:val="20"/>
          <w:color w:val="auto"/>
        </w:rPr>
        <w:tab/>
      </w:r>
      <w:r>
        <w:rPr>
          <w:rFonts w:ascii="Courier New" w:cs="Courier New" w:eastAsia="Courier New" w:hAnsi="Courier New"/>
          <w:sz w:val="16"/>
          <w:szCs w:val="16"/>
          <w:color w:val="auto"/>
        </w:rPr>
        <w:t>Based on Commission no-action letters, we</w:t>
      </w:r>
    </w:p>
    <w:p>
      <w:pPr>
        <w:ind w:left="3480"/>
        <w:spacing w:after="0" w:line="238" w:lineRule="auto"/>
        <w:rPr>
          <w:sz w:val="20"/>
          <w:szCs w:val="20"/>
          <w:color w:val="auto"/>
        </w:rPr>
      </w:pPr>
      <w:r>
        <w:rPr>
          <w:rFonts w:ascii="Courier New" w:cs="Courier New" w:eastAsia="Courier New" w:hAnsi="Courier New"/>
          <w:sz w:val="18"/>
          <w:szCs w:val="18"/>
          <w:color w:val="auto"/>
        </w:rPr>
        <w:t>believe that after the exchange offer you may</w:t>
      </w:r>
    </w:p>
    <w:p>
      <w:pPr>
        <w:ind w:left="3480"/>
        <w:spacing w:after="0"/>
        <w:rPr>
          <w:sz w:val="20"/>
          <w:szCs w:val="20"/>
          <w:color w:val="auto"/>
        </w:rPr>
      </w:pPr>
      <w:r>
        <w:rPr>
          <w:rFonts w:ascii="Courier New" w:cs="Courier New" w:eastAsia="Courier New" w:hAnsi="Courier New"/>
          <w:sz w:val="18"/>
          <w:szCs w:val="18"/>
          <w:color w:val="auto"/>
        </w:rPr>
        <w:t>offer and sell the exchange notes without</w:t>
      </w:r>
    </w:p>
    <w:p>
      <w:pPr>
        <w:ind w:left="3480"/>
        <w:spacing w:after="0" w:line="237" w:lineRule="auto"/>
        <w:rPr>
          <w:sz w:val="20"/>
          <w:szCs w:val="20"/>
          <w:color w:val="auto"/>
        </w:rPr>
      </w:pPr>
      <w:r>
        <w:rPr>
          <w:rFonts w:ascii="Courier New" w:cs="Courier New" w:eastAsia="Courier New" w:hAnsi="Courier New"/>
          <w:sz w:val="18"/>
          <w:szCs w:val="18"/>
          <w:color w:val="auto"/>
        </w:rPr>
        <w:t>registration under the Securities Act so long</w:t>
      </w:r>
    </w:p>
    <w:p>
      <w:pPr>
        <w:ind w:left="3480"/>
        <w:spacing w:after="0" w:line="238" w:lineRule="auto"/>
        <w:rPr>
          <w:sz w:val="20"/>
          <w:szCs w:val="20"/>
          <w:color w:val="auto"/>
        </w:rPr>
      </w:pPr>
      <w:r>
        <w:rPr>
          <w:rFonts w:ascii="Courier New" w:cs="Courier New" w:eastAsia="Courier New" w:hAnsi="Courier New"/>
          <w:sz w:val="18"/>
          <w:szCs w:val="18"/>
          <w:color w:val="auto"/>
        </w:rPr>
        <w:t>as:</w:t>
      </w:r>
    </w:p>
    <w:p>
      <w:pPr>
        <w:spacing w:after="0" w:line="208" w:lineRule="exact"/>
        <w:rPr>
          <w:sz w:val="20"/>
          <w:szCs w:val="20"/>
          <w:color w:val="auto"/>
        </w:rPr>
      </w:pPr>
    </w:p>
    <w:p>
      <w:pPr>
        <w:ind w:left="3700" w:right="2619" w:hanging="216"/>
        <w:spacing w:after="0" w:line="235" w:lineRule="auto"/>
        <w:tabs>
          <w:tab w:leader="none" w:pos="3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1779" w:hanging="216"/>
        <w:spacing w:after="0" w:line="237" w:lineRule="auto"/>
        <w:tabs>
          <w:tab w:leader="none" w:pos="3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do not have an arrangement with another person to participate in a distribution of the exchange notes.</w:t>
      </w:r>
    </w:p>
    <w:p>
      <w:pPr>
        <w:spacing w:after="0" w:line="207" w:lineRule="exact"/>
        <w:rPr>
          <w:rFonts w:ascii="Courier New" w:cs="Courier New" w:eastAsia="Courier New" w:hAnsi="Courier New"/>
          <w:sz w:val="18"/>
          <w:szCs w:val="18"/>
          <w:color w:val="auto"/>
        </w:rPr>
      </w:pPr>
    </w:p>
    <w:p>
      <w:pPr>
        <w:ind w:left="3700" w:right="1779" w:hanging="216"/>
        <w:spacing w:after="0" w:line="236" w:lineRule="auto"/>
        <w:tabs>
          <w:tab w:leader="none" w:pos="3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engaged in a distribution of, nor do you intend to distribute, the exchange notes.</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ask you to represent to us, among other things,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left="3700" w:right="1779" w:hanging="216"/>
        <w:spacing w:after="0" w:line="279" w:lineRule="auto"/>
        <w:tabs>
          <w:tab w:leader="none" w:pos="3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of Waste Management. "Affiliate" in this instance has the meaning set forth in Rule 405 of the Securities Act.</w:t>
      </w:r>
    </w:p>
    <w:p>
      <w:pPr>
        <w:spacing w:after="0" w:line="178" w:lineRule="exact"/>
        <w:rPr>
          <w:rFonts w:ascii="Courier New" w:cs="Courier New" w:eastAsia="Courier New" w:hAnsi="Courier New"/>
          <w:sz w:val="16"/>
          <w:szCs w:val="16"/>
          <w:color w:val="auto"/>
        </w:rPr>
      </w:pPr>
    </w:p>
    <w:p>
      <w:pPr>
        <w:ind w:left="3700" w:right="2099" w:hanging="216"/>
        <w:spacing w:after="0" w:line="235" w:lineRule="auto"/>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the exchange notes in the ordinary course of business.</w:t>
      </w:r>
    </w:p>
    <w:p>
      <w:pPr>
        <w:spacing w:after="0" w:line="208" w:lineRule="exact"/>
        <w:rPr>
          <w:rFonts w:ascii="Courier New" w:cs="Courier New" w:eastAsia="Courier New" w:hAnsi="Courier New"/>
          <w:sz w:val="18"/>
          <w:szCs w:val="18"/>
          <w:color w:val="auto"/>
        </w:rPr>
      </w:pPr>
    </w:p>
    <w:p>
      <w:pPr>
        <w:ind w:left="3700" w:right="2099" w:hanging="216"/>
        <w:spacing w:after="0" w:line="237" w:lineRule="auto"/>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are not engaged in, nor do you have plans with another person to be engaged in, a distribution of the exchange notes.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If you are unable to make these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representations, you will be required to comply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the registration and Prospectus delivery</w:t>
      </w:r>
    </w:p>
    <w:p>
      <w:pPr>
        <w:ind w:left="3480"/>
        <w:spacing w:after="0" w:line="238" w:lineRule="auto"/>
        <w:rPr>
          <w:sz w:val="20"/>
          <w:szCs w:val="20"/>
          <w:color w:val="auto"/>
        </w:rPr>
      </w:pPr>
      <w:r>
        <w:rPr>
          <w:rFonts w:ascii="Courier New" w:cs="Courier New" w:eastAsia="Courier New" w:hAnsi="Courier New"/>
          <w:sz w:val="18"/>
          <w:szCs w:val="18"/>
          <w:color w:val="auto"/>
        </w:rPr>
        <w:t>requirements under the Securities Act in</w:t>
      </w:r>
    </w:p>
    <w:p>
      <w:pPr>
        <w:ind w:left="3480"/>
        <w:spacing w:after="0"/>
        <w:rPr>
          <w:sz w:val="20"/>
          <w:szCs w:val="20"/>
          <w:color w:val="auto"/>
        </w:rPr>
      </w:pPr>
      <w:r>
        <w:rPr>
          <w:rFonts w:ascii="Courier New" w:cs="Courier New" w:eastAsia="Courier New" w:hAnsi="Courier New"/>
          <w:sz w:val="18"/>
          <w:szCs w:val="18"/>
          <w:color w:val="auto"/>
        </w:rPr>
        <w:t>connection with any resale transaction.</w:t>
      </w: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If you are a broker-dealer and receive exchange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that those outstanding notes were acquired as a</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result of market-making or other trading</w:t>
      </w:r>
    </w:p>
    <w:p>
      <w:pPr>
        <w:ind w:left="3480"/>
        <w:spacing w:after="0" w:line="238" w:lineRule="auto"/>
        <w:rPr>
          <w:sz w:val="20"/>
          <w:szCs w:val="20"/>
          <w:color w:val="auto"/>
        </w:rPr>
      </w:pPr>
      <w:r>
        <w:rPr>
          <w:rFonts w:ascii="Courier New" w:cs="Courier New" w:eastAsia="Courier New" w:hAnsi="Courier New"/>
          <w:sz w:val="18"/>
          <w:szCs w:val="18"/>
          <w:color w:val="auto"/>
        </w:rPr>
        <w:t>activities and you must acknowledge that you</w:t>
      </w:r>
    </w:p>
    <w:p>
      <w:pPr>
        <w:ind w:left="3480"/>
        <w:spacing w:after="0"/>
        <w:rPr>
          <w:sz w:val="20"/>
          <w:szCs w:val="20"/>
          <w:color w:val="auto"/>
        </w:rPr>
      </w:pPr>
      <w:r>
        <w:rPr>
          <w:rFonts w:ascii="Courier New" w:cs="Courier New" w:eastAsia="Courier New" w:hAnsi="Courier New"/>
          <w:sz w:val="18"/>
          <w:szCs w:val="18"/>
          <w:color w:val="auto"/>
        </w:rPr>
        <w:t>will deliver a Prospectus if you resell the</w:t>
      </w:r>
    </w:p>
    <w:p>
      <w:pPr>
        <w:ind w:left="3480"/>
        <w:spacing w:after="0" w:line="237" w:lineRule="auto"/>
        <w:rPr>
          <w:sz w:val="20"/>
          <w:szCs w:val="20"/>
          <w:color w:val="auto"/>
        </w:rPr>
      </w:pPr>
      <w:r>
        <w:rPr>
          <w:rFonts w:ascii="Courier New" w:cs="Courier New" w:eastAsia="Courier New" w:hAnsi="Courier New"/>
          <w:sz w:val="18"/>
          <w:szCs w:val="18"/>
          <w:color w:val="auto"/>
        </w:rPr>
        <w:t>exchange notes. By acknowledging your intent</w:t>
      </w:r>
    </w:p>
    <w:p>
      <w:pPr>
        <w:ind w:left="3480"/>
        <w:spacing w:after="0" w:line="238" w:lineRule="auto"/>
        <w:rPr>
          <w:sz w:val="20"/>
          <w:szCs w:val="20"/>
          <w:color w:val="auto"/>
        </w:rPr>
      </w:pPr>
      <w:r>
        <w:rPr>
          <w:rFonts w:ascii="Courier New" w:cs="Courier New" w:eastAsia="Courier New" w:hAnsi="Courier New"/>
          <w:sz w:val="18"/>
          <w:szCs w:val="18"/>
          <w:color w:val="auto"/>
        </w:rPr>
        <w:t>and delivering a Prospectus you will not be</w:t>
      </w:r>
    </w:p>
    <w:p>
      <w:pPr>
        <w:ind w:left="3480"/>
        <w:spacing w:after="0"/>
        <w:rPr>
          <w:sz w:val="20"/>
          <w:szCs w:val="20"/>
          <w:color w:val="auto"/>
        </w:rPr>
      </w:pPr>
      <w:r>
        <w:rPr>
          <w:rFonts w:ascii="Courier New" w:cs="Courier New" w:eastAsia="Courier New" w:hAnsi="Courier New"/>
          <w:sz w:val="18"/>
          <w:szCs w:val="18"/>
          <w:color w:val="auto"/>
        </w:rPr>
        <w:t>deemed to admit that you are an "underwriter"</w:t>
      </w:r>
    </w:p>
    <w:p>
      <w:pPr>
        <w:ind w:left="3480"/>
        <w:spacing w:after="0" w:line="237" w:lineRule="auto"/>
        <w:rPr>
          <w:sz w:val="20"/>
          <w:szCs w:val="20"/>
          <w:color w:val="auto"/>
        </w:rPr>
      </w:pPr>
      <w:r>
        <w:rPr>
          <w:rFonts w:ascii="Courier New" w:cs="Courier New" w:eastAsia="Courier New" w:hAnsi="Courier New"/>
          <w:sz w:val="18"/>
          <w:szCs w:val="18"/>
          <w:color w:val="auto"/>
        </w:rPr>
        <w:t>as defined under the Securities Act. You may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time when you resell exchange notes which</w:t>
      </w:r>
    </w:p>
    <w:p>
      <w:pPr>
        <w:ind w:left="3480"/>
        <w:spacing w:after="0" w:line="238" w:lineRule="auto"/>
        <w:rPr>
          <w:sz w:val="20"/>
          <w:szCs w:val="20"/>
          <w:color w:val="auto"/>
        </w:rPr>
      </w:pPr>
      <w:r>
        <w:rPr>
          <w:rFonts w:ascii="Courier New" w:cs="Courier New" w:eastAsia="Courier New" w:hAnsi="Courier New"/>
          <w:sz w:val="18"/>
          <w:szCs w:val="18"/>
          <w:color w:val="auto"/>
        </w:rPr>
        <w:t>were acquired from market-making or trading</w:t>
      </w:r>
    </w:p>
    <w:p>
      <w:pPr>
        <w:ind w:left="3480"/>
        <w:spacing w:after="0"/>
        <w:rPr>
          <w:sz w:val="20"/>
          <w:szCs w:val="20"/>
          <w:color w:val="auto"/>
        </w:rPr>
      </w:pPr>
      <w:r>
        <w:rPr>
          <w:rFonts w:ascii="Courier New" w:cs="Courier New" w:eastAsia="Courier New" w:hAnsi="Courier New"/>
          <w:sz w:val="18"/>
          <w:szCs w:val="18"/>
          <w:color w:val="auto"/>
        </w:rPr>
        <w:t>activities. For a year after the expiration</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any broker-dealer in connection with such a</w:t>
      </w:r>
    </w:p>
    <w:p>
      <w:pPr>
        <w:ind w:left="3480"/>
        <w:spacing w:after="0" w:line="238" w:lineRule="auto"/>
        <w:rPr>
          <w:sz w:val="20"/>
          <w:szCs w:val="20"/>
          <w:color w:val="auto"/>
        </w:rPr>
      </w:pPr>
      <w:r>
        <w:rPr>
          <w:rFonts w:ascii="Courier New" w:cs="Courier New" w:eastAsia="Courier New" w:hAnsi="Courier New"/>
          <w:sz w:val="18"/>
          <w:szCs w:val="18"/>
          <w:color w:val="auto"/>
        </w:rPr>
        <w:t>resale. See "Plan of Distribution."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362"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Consequences of Failure to</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Notes................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If</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you do not</w:t>
            </w:r>
          </w:p>
        </w:tc>
        <w:tc>
          <w:tcPr>
            <w:tcW w:w="100" w:type="dxa"/>
            <w:vAlign w:val="bottom"/>
          </w:tcPr>
          <w:p>
            <w:pPr>
              <w:spacing w:after="0"/>
              <w:rPr>
                <w:sz w:val="17"/>
                <w:szCs w:val="17"/>
                <w:color w:val="auto"/>
              </w:rPr>
            </w:pPr>
          </w:p>
        </w:tc>
        <w:tc>
          <w:tcPr>
            <w:tcW w:w="328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w w:val="97"/>
              </w:rPr>
              <w:t>exchange your outstanding notes</w:t>
            </w:r>
          </w:p>
        </w:tc>
      </w:tr>
      <w:tr>
        <w:trPr>
          <w:trHeight w:val="203"/>
        </w:trPr>
        <w:tc>
          <w:tcPr>
            <w:tcW w:w="3320" w:type="dxa"/>
            <w:vAlign w:val="bottom"/>
          </w:tcPr>
          <w:p>
            <w:pPr>
              <w:spacing w:after="0"/>
              <w:rPr>
                <w:sz w:val="17"/>
                <w:szCs w:val="17"/>
                <w:color w:val="auto"/>
              </w:rPr>
            </w:pPr>
          </w:p>
        </w:tc>
        <w:tc>
          <w:tcPr>
            <w:tcW w:w="2900" w:type="dxa"/>
            <w:vAlign w:val="bottom"/>
            <w:gridSpan w:val="9"/>
          </w:tcPr>
          <w:p>
            <w:pPr>
              <w:ind w:left="160"/>
              <w:spacing w:after="0" w:line="203" w:lineRule="exact"/>
              <w:rPr>
                <w:sz w:val="20"/>
                <w:szCs w:val="20"/>
                <w:color w:val="auto"/>
              </w:rPr>
            </w:pPr>
            <w:r>
              <w:rPr>
                <w:rFonts w:ascii="Courier New" w:cs="Courier New" w:eastAsia="Courier New" w:hAnsi="Courier New"/>
                <w:sz w:val="18"/>
                <w:szCs w:val="18"/>
                <w:color w:val="auto"/>
              </w:rPr>
              <w:t>during the exchange offer</w:t>
            </w:r>
          </w:p>
        </w:tc>
        <w:tc>
          <w:tcPr>
            <w:tcW w:w="2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6"/>
              </w:rPr>
              <w:t>you will no longer be</w:t>
            </w:r>
          </w:p>
        </w:tc>
      </w:tr>
      <w:tr>
        <w:trPr>
          <w:trHeight w:val="203"/>
        </w:trPr>
        <w:tc>
          <w:tcPr>
            <w:tcW w:w="3320" w:type="dxa"/>
            <w:vAlign w:val="bottom"/>
          </w:tcPr>
          <w:p>
            <w:pPr>
              <w:spacing w:after="0"/>
              <w:rPr>
                <w:sz w:val="17"/>
                <w:szCs w:val="17"/>
                <w:color w:val="auto"/>
              </w:rPr>
            </w:pPr>
          </w:p>
        </w:tc>
        <w:tc>
          <w:tcPr>
            <w:tcW w:w="2900" w:type="dxa"/>
            <w:vAlign w:val="bottom"/>
            <w:gridSpan w:val="9"/>
          </w:tcPr>
          <w:p>
            <w:pPr>
              <w:ind w:left="160"/>
              <w:spacing w:after="0" w:line="203" w:lineRule="exact"/>
              <w:rPr>
                <w:sz w:val="20"/>
                <w:szCs w:val="20"/>
                <w:color w:val="auto"/>
              </w:rPr>
            </w:pPr>
            <w:r>
              <w:rPr>
                <w:rFonts w:ascii="Courier New" w:cs="Courier New" w:eastAsia="Courier New" w:hAnsi="Courier New"/>
                <w:sz w:val="18"/>
                <w:szCs w:val="18"/>
                <w:color w:val="auto"/>
              </w:rPr>
              <w:t>entitled to registration</w:t>
            </w:r>
          </w:p>
        </w:tc>
        <w:tc>
          <w:tcPr>
            <w:tcW w:w="16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rights. You will</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not</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w:t>
            </w:r>
          </w:p>
        </w:tc>
        <w:tc>
          <w:tcPr>
            <w:tcW w:w="4540" w:type="dxa"/>
            <w:vAlign w:val="bottom"/>
            <w:gridSpan w:val="16"/>
          </w:tcPr>
          <w:p>
            <w:pPr>
              <w:spacing w:after="0" w:line="203" w:lineRule="exact"/>
              <w:rPr>
                <w:sz w:val="20"/>
                <w:szCs w:val="20"/>
                <w:color w:val="auto"/>
              </w:rPr>
            </w:pPr>
            <w:r>
              <w:rPr>
                <w:rFonts w:ascii="Courier New" w:cs="Courier New" w:eastAsia="Courier New" w:hAnsi="Courier New"/>
                <w:sz w:val="18"/>
                <w:szCs w:val="18"/>
                <w:color w:val="auto"/>
                <w:w w:val="97"/>
              </w:rPr>
              <w:t>able to offer or sell the outstanding notes</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unless they are later registered, sold pursuant</w:t>
            </w:r>
          </w:p>
        </w:tc>
      </w:tr>
      <w:tr>
        <w:trPr>
          <w:trHeight w:val="203"/>
        </w:trPr>
        <w:tc>
          <w:tcPr>
            <w:tcW w:w="3320" w:type="dxa"/>
            <w:vAlign w:val="bottom"/>
          </w:tcPr>
          <w:p>
            <w:pPr>
              <w:spacing w:after="0"/>
              <w:rPr>
                <w:sz w:val="17"/>
                <w:szCs w:val="17"/>
                <w:color w:val="auto"/>
              </w:rPr>
            </w:pPr>
          </w:p>
        </w:tc>
        <w:tc>
          <w:tcPr>
            <w:tcW w:w="4800" w:type="dxa"/>
            <w:vAlign w:val="bottom"/>
            <w:gridSpan w:val="16"/>
          </w:tcPr>
          <w:p>
            <w:pPr>
              <w:ind w:left="160"/>
              <w:spacing w:after="0" w:line="203" w:lineRule="exact"/>
              <w:rPr>
                <w:sz w:val="20"/>
                <w:szCs w:val="20"/>
                <w:color w:val="auto"/>
              </w:rPr>
            </w:pPr>
            <w:r>
              <w:rPr>
                <w:rFonts w:ascii="Courier New" w:cs="Courier New" w:eastAsia="Courier New" w:hAnsi="Courier New"/>
                <w:sz w:val="18"/>
                <w:szCs w:val="18"/>
                <w:color w:val="auto"/>
                <w:w w:val="97"/>
              </w:rPr>
              <w:t>to an exemption from registration or sold 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3320" w:type="dxa"/>
            <w:vAlign w:val="bottom"/>
          </w:tcPr>
          <w:p>
            <w:pPr>
              <w:spacing w:after="0"/>
              <w:rPr>
                <w:sz w:val="17"/>
                <w:szCs w:val="17"/>
                <w:color w:val="auto"/>
              </w:rPr>
            </w:pPr>
          </w:p>
        </w:tc>
        <w:tc>
          <w:tcPr>
            <w:tcW w:w="13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w w:val="95"/>
              </w:rPr>
              <w:t>transaction</w:t>
            </w:r>
          </w:p>
        </w:tc>
        <w:tc>
          <w:tcPr>
            <w:tcW w:w="190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rPr>
              <w:t>not subject to</w:t>
            </w:r>
          </w:p>
        </w:tc>
        <w:tc>
          <w:tcPr>
            <w:tcW w:w="1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the Securities Act</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w:t>
            </w:r>
          </w:p>
        </w:tc>
        <w:tc>
          <w:tcPr>
            <w:tcW w:w="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state</w:t>
            </w:r>
          </w:p>
        </w:tc>
        <w:tc>
          <w:tcPr>
            <w:tcW w:w="200" w:type="dxa"/>
            <w:vAlign w:val="bottom"/>
          </w:tcPr>
          <w:p>
            <w:pPr>
              <w:spacing w:after="0"/>
              <w:rPr>
                <w:sz w:val="17"/>
                <w:szCs w:val="17"/>
                <w:color w:val="auto"/>
              </w:rPr>
            </w:pPr>
          </w:p>
        </w:tc>
        <w:tc>
          <w:tcPr>
            <w:tcW w:w="1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laws.</w:t>
            </w:r>
          </w:p>
        </w:tc>
        <w:tc>
          <w:tcPr>
            <w:tcW w:w="8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Other</w:t>
            </w:r>
          </w:p>
        </w:tc>
        <w:tc>
          <w:tcPr>
            <w:tcW w:w="1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than</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3320" w:type="dxa"/>
            <w:vAlign w:val="bottom"/>
          </w:tcPr>
          <w:p>
            <w:pPr>
              <w:spacing w:after="0"/>
              <w:rPr>
                <w:sz w:val="17"/>
                <w:szCs w:val="17"/>
                <w:color w:val="auto"/>
              </w:rPr>
            </w:pPr>
          </w:p>
        </w:tc>
        <w:tc>
          <w:tcPr>
            <w:tcW w:w="13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connection</w:t>
            </w:r>
          </w:p>
        </w:tc>
        <w:tc>
          <w:tcPr>
            <w:tcW w:w="3800" w:type="dxa"/>
            <w:vAlign w:val="bottom"/>
            <w:gridSpan w:val="13"/>
          </w:tcPr>
          <w:p>
            <w:pPr>
              <w:jc w:val="right"/>
              <w:spacing w:after="0" w:line="203" w:lineRule="exact"/>
              <w:rPr>
                <w:sz w:val="20"/>
                <w:szCs w:val="20"/>
                <w:color w:val="auto"/>
              </w:rPr>
            </w:pPr>
            <w:r>
              <w:rPr>
                <w:rFonts w:ascii="Courier New" w:cs="Courier New" w:eastAsia="Courier New" w:hAnsi="Courier New"/>
                <w:sz w:val="18"/>
                <w:szCs w:val="18"/>
                <w:color w:val="auto"/>
                <w:w w:val="99"/>
              </w:rPr>
              <w:t>with the exchange offer, we are not</w:t>
            </w: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obligated to,</w:t>
            </w:r>
          </w:p>
        </w:tc>
        <w:tc>
          <w:tcPr>
            <w:tcW w:w="8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nor do</w:t>
            </w:r>
          </w:p>
        </w:tc>
        <w:tc>
          <w:tcPr>
            <w:tcW w:w="1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we currently</w:t>
            </w:r>
          </w:p>
        </w:tc>
        <w:tc>
          <w:tcPr>
            <w:tcW w:w="20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anticipate</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that</w:t>
            </w:r>
          </w:p>
        </w:tc>
        <w:tc>
          <w:tcPr>
            <w:tcW w:w="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we</w:t>
            </w:r>
          </w:p>
        </w:tc>
        <w:tc>
          <w:tcPr>
            <w:tcW w:w="14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5"/>
              </w:rPr>
              <w:t>will register</w:t>
            </w:r>
          </w:p>
        </w:tc>
        <w:tc>
          <w:tcPr>
            <w:tcW w:w="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the</w:t>
            </w:r>
          </w:p>
        </w:tc>
        <w:tc>
          <w:tcPr>
            <w:tcW w:w="1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outstanding notes</w:t>
            </w:r>
          </w:p>
        </w:tc>
      </w:tr>
      <w:tr>
        <w:trPr>
          <w:trHeight w:val="203"/>
        </w:trPr>
        <w:tc>
          <w:tcPr>
            <w:tcW w:w="3320" w:type="dxa"/>
            <w:vAlign w:val="bottom"/>
          </w:tcPr>
          <w:p>
            <w:pPr>
              <w:spacing w:after="0"/>
              <w:rPr>
                <w:sz w:val="17"/>
                <w:szCs w:val="17"/>
                <w:color w:val="auto"/>
              </w:rPr>
            </w:pPr>
          </w:p>
        </w:tc>
        <w:tc>
          <w:tcPr>
            <w:tcW w:w="1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under the</w:t>
            </w:r>
          </w:p>
        </w:tc>
        <w:tc>
          <w:tcPr>
            <w:tcW w:w="200" w:type="dxa"/>
            <w:vAlign w:val="bottom"/>
          </w:tcPr>
          <w:p>
            <w:pPr>
              <w:spacing w:after="0"/>
              <w:rPr>
                <w:sz w:val="17"/>
                <w:szCs w:val="17"/>
                <w:color w:val="auto"/>
              </w:rPr>
            </w:pPr>
          </w:p>
        </w:tc>
        <w:tc>
          <w:tcPr>
            <w:tcW w:w="1260" w:type="dxa"/>
            <w:vAlign w:val="bottom"/>
            <w:gridSpan w:val="4"/>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Act. See</w:t>
            </w:r>
          </w:p>
        </w:tc>
        <w:tc>
          <w:tcPr>
            <w:tcW w:w="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2"/>
              </w:rPr>
              <w:t>"The</w:t>
            </w: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3320" w:type="dxa"/>
            <w:vAlign w:val="bottom"/>
          </w:tcPr>
          <w:p>
            <w:pPr>
              <w:spacing w:after="0"/>
              <w:rPr>
                <w:sz w:val="17"/>
                <w:szCs w:val="17"/>
                <w:color w:val="auto"/>
              </w:rPr>
            </w:pPr>
          </w:p>
        </w:tc>
        <w:tc>
          <w:tcPr>
            <w:tcW w:w="3540" w:type="dxa"/>
            <w:vAlign w:val="bottom"/>
            <w:gridSpan w:val="11"/>
          </w:tcPr>
          <w:p>
            <w:pPr>
              <w:ind w:left="160"/>
              <w:spacing w:after="0" w:line="203" w:lineRule="exact"/>
              <w:rPr>
                <w:sz w:val="20"/>
                <w:szCs w:val="20"/>
                <w:color w:val="auto"/>
              </w:rPr>
            </w:pPr>
            <w:r>
              <w:rPr>
                <w:rFonts w:ascii="Courier New" w:cs="Courier New" w:eastAsia="Courier New" w:hAnsi="Courier New"/>
                <w:sz w:val="18"/>
                <w:szCs w:val="18"/>
                <w:color w:val="auto"/>
                <w:w w:val="97"/>
              </w:rPr>
              <w:t>Offer -- Consequences of Failure</w:t>
            </w:r>
          </w:p>
        </w:tc>
        <w:tc>
          <w:tcPr>
            <w:tcW w:w="158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to Exchange."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Expiration Date...............</w:t>
            </w:r>
          </w:p>
        </w:tc>
        <w:tc>
          <w:tcPr>
            <w:tcW w:w="9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Unless</w:t>
            </w:r>
          </w:p>
        </w:tc>
        <w:tc>
          <w:tcPr>
            <w:tcW w:w="13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terminated</w:t>
            </w:r>
          </w:p>
        </w:tc>
        <w:tc>
          <w:tcPr>
            <w:tcW w:w="126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w w:val="94"/>
              </w:rPr>
              <w:t>sooner, the</w:t>
            </w:r>
          </w:p>
        </w:tc>
        <w:tc>
          <w:tcPr>
            <w:tcW w:w="104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exchange</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offer</w:t>
            </w:r>
          </w:p>
        </w:tc>
      </w:tr>
      <w:tr>
        <w:trPr>
          <w:trHeight w:val="203"/>
        </w:trPr>
        <w:tc>
          <w:tcPr>
            <w:tcW w:w="3320" w:type="dxa"/>
            <w:vAlign w:val="bottom"/>
          </w:tcPr>
          <w:p>
            <w:pPr>
              <w:spacing w:after="0"/>
              <w:rPr>
                <w:sz w:val="17"/>
                <w:szCs w:val="17"/>
                <w:color w:val="auto"/>
              </w:rPr>
            </w:pPr>
          </w:p>
        </w:tc>
        <w:tc>
          <w:tcPr>
            <w:tcW w:w="22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will expire at 5:00</w:t>
            </w:r>
          </w:p>
        </w:tc>
        <w:tc>
          <w:tcPr>
            <w:tcW w:w="2300" w:type="dxa"/>
            <w:vAlign w:val="bottom"/>
            <w:gridSpan w:val="8"/>
          </w:tcPr>
          <w:p>
            <w:pPr>
              <w:jc w:val="right"/>
              <w:ind w:right="112"/>
              <w:spacing w:after="0" w:line="203" w:lineRule="exact"/>
              <w:rPr>
                <w:sz w:val="20"/>
                <w:szCs w:val="20"/>
                <w:color w:val="auto"/>
              </w:rPr>
            </w:pPr>
            <w:r>
              <w:rPr>
                <w:rFonts w:ascii="Courier New" w:cs="Courier New" w:eastAsia="Courier New" w:hAnsi="Courier New"/>
                <w:sz w:val="18"/>
                <w:szCs w:val="18"/>
                <w:color w:val="auto"/>
              </w:rPr>
              <w:t>p.m., New York City</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time,</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w:t>
            </w:r>
          </w:p>
        </w:tc>
        <w:tc>
          <w:tcPr>
            <w:tcW w:w="12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5"/>
              </w:rPr>
              <w:t>February 10,</w:t>
            </w:r>
          </w:p>
        </w:tc>
        <w:tc>
          <w:tcPr>
            <w:tcW w:w="1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2003, or such</w:t>
            </w:r>
          </w:p>
        </w:tc>
        <w:tc>
          <w:tcPr>
            <w:tcW w:w="1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later date and</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w w:val="96"/>
              </w:rPr>
              <w:t>time to which we extend it, referred to as</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3320" w:type="dxa"/>
            <w:vAlign w:val="bottom"/>
          </w:tcPr>
          <w:p>
            <w:pPr>
              <w:spacing w:after="0"/>
              <w:rPr>
                <w:sz w:val="17"/>
                <w:szCs w:val="17"/>
                <w:color w:val="auto"/>
              </w:rPr>
            </w:pPr>
          </w:p>
        </w:tc>
        <w:tc>
          <w:tcPr>
            <w:tcW w:w="22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"expiration date."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Conditions to the Exchange</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We</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5"/>
              </w:rPr>
              <w:t>will not be</w:t>
            </w:r>
          </w:p>
        </w:tc>
        <w:tc>
          <w:tcPr>
            <w:tcW w:w="100" w:type="dxa"/>
            <w:vAlign w:val="bottom"/>
          </w:tcPr>
          <w:p>
            <w:pPr>
              <w:spacing w:after="0"/>
              <w:rPr>
                <w:sz w:val="17"/>
                <w:szCs w:val="17"/>
                <w:color w:val="auto"/>
              </w:rPr>
            </w:pPr>
          </w:p>
        </w:tc>
        <w:tc>
          <w:tcPr>
            <w:tcW w:w="328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rPr>
              <w:t>required to accept outstanding</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rPr>
              <w:t>notes for exchange if the exchange offer</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would</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violate</w:t>
            </w:r>
          </w:p>
        </w:tc>
        <w:tc>
          <w:tcPr>
            <w:tcW w:w="220" w:type="dxa"/>
            <w:vAlign w:val="bottom"/>
          </w:tcPr>
          <w:p>
            <w:pPr>
              <w:spacing w:after="0"/>
              <w:rPr>
                <w:sz w:val="17"/>
                <w:szCs w:val="17"/>
                <w:color w:val="auto"/>
              </w:rPr>
            </w:pP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5"/>
              </w:rPr>
              <w:t>applicable law or</w:t>
            </w:r>
          </w:p>
        </w:tc>
        <w:tc>
          <w:tcPr>
            <w:tcW w:w="2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if any legal action</w:t>
            </w:r>
          </w:p>
        </w:tc>
      </w:tr>
      <w:tr>
        <w:trPr>
          <w:trHeight w:val="203"/>
        </w:trPr>
        <w:tc>
          <w:tcPr>
            <w:tcW w:w="3320" w:type="dxa"/>
            <w:vAlign w:val="bottom"/>
          </w:tcPr>
          <w:p>
            <w:pPr>
              <w:spacing w:after="0"/>
              <w:rPr>
                <w:sz w:val="17"/>
                <w:szCs w:val="17"/>
                <w:color w:val="auto"/>
              </w:rPr>
            </w:pPr>
          </w:p>
        </w:tc>
        <w:tc>
          <w:tcPr>
            <w:tcW w:w="1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has been</w:t>
            </w:r>
          </w:p>
        </w:tc>
        <w:tc>
          <w:tcPr>
            <w:tcW w:w="146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5"/>
              </w:rPr>
              <w:t>instituted or</w:t>
            </w:r>
          </w:p>
        </w:tc>
        <w:tc>
          <w:tcPr>
            <w:tcW w:w="2000" w:type="dxa"/>
            <w:vAlign w:val="bottom"/>
            <w:gridSpan w:val="7"/>
          </w:tcPr>
          <w:p>
            <w:pPr>
              <w:jc w:val="right"/>
              <w:ind w:right="112"/>
              <w:spacing w:after="0" w:line="203" w:lineRule="exact"/>
              <w:rPr>
                <w:sz w:val="20"/>
                <w:szCs w:val="20"/>
                <w:color w:val="auto"/>
              </w:rPr>
            </w:pPr>
            <w:r>
              <w:rPr>
                <w:rFonts w:ascii="Courier New" w:cs="Courier New" w:eastAsia="Courier New" w:hAnsi="Courier New"/>
                <w:sz w:val="18"/>
                <w:szCs w:val="18"/>
                <w:color w:val="auto"/>
              </w:rPr>
              <w:t>threatened that</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would</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impair our ability to proceed with the exchange</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w w:val="96"/>
              </w:rPr>
              <w:t>offer.   No   minimum   principal   amount</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320" w:type="dxa"/>
            <w:vAlign w:val="bottom"/>
          </w:tcPr>
          <w:p>
            <w:pPr>
              <w:spacing w:after="0"/>
              <w:rPr>
                <w:sz w:val="17"/>
                <w:szCs w:val="17"/>
                <w:color w:val="auto"/>
              </w:rPr>
            </w:pPr>
          </w:p>
        </w:tc>
        <w:tc>
          <w:tcPr>
            <w:tcW w:w="4060" w:type="dxa"/>
            <w:vAlign w:val="bottom"/>
            <w:gridSpan w:val="13"/>
          </w:tcPr>
          <w:p>
            <w:pPr>
              <w:ind w:left="160"/>
              <w:spacing w:after="0" w:line="203" w:lineRule="exact"/>
              <w:rPr>
                <w:sz w:val="20"/>
                <w:szCs w:val="20"/>
                <w:color w:val="auto"/>
              </w:rPr>
            </w:pPr>
            <w:r>
              <w:rPr>
                <w:rFonts w:ascii="Courier New" w:cs="Courier New" w:eastAsia="Courier New" w:hAnsi="Courier New"/>
                <w:sz w:val="18"/>
                <w:szCs w:val="18"/>
                <w:color w:val="auto"/>
                <w:w w:val="97"/>
              </w:rPr>
              <w:t>outstanding notes must be tendered to</w:t>
            </w: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complete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the exchange offer. However, the exchange offer</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is  subject  to  certain  customary  conditions</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which</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w:t>
            </w:r>
          </w:p>
        </w:tc>
        <w:tc>
          <w:tcPr>
            <w:tcW w:w="200" w:type="dxa"/>
            <w:vAlign w:val="bottom"/>
          </w:tcPr>
          <w:p>
            <w:pPr>
              <w:spacing w:after="0"/>
              <w:rPr>
                <w:sz w:val="17"/>
                <w:szCs w:val="17"/>
                <w:color w:val="auto"/>
              </w:rPr>
            </w:pP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may</w:t>
            </w:r>
          </w:p>
        </w:tc>
        <w:tc>
          <w:tcPr>
            <w:tcW w:w="100" w:type="dxa"/>
            <w:vAlign w:val="bottom"/>
          </w:tcPr>
          <w:p>
            <w:pPr>
              <w:spacing w:after="0"/>
              <w:rPr>
                <w:sz w:val="17"/>
                <w:szCs w:val="17"/>
                <w:color w:val="auto"/>
              </w:rPr>
            </w:pPr>
          </w:p>
        </w:tc>
        <w:tc>
          <w:tcPr>
            <w:tcW w:w="10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waive.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See</w:t>
            </w:r>
          </w:p>
        </w:tc>
        <w:tc>
          <w:tcPr>
            <w:tcW w:w="320" w:type="dxa"/>
            <w:vAlign w:val="bottom"/>
          </w:tcPr>
          <w:p>
            <w:pPr>
              <w:spacing w:after="0"/>
              <w:rPr>
                <w:sz w:val="17"/>
                <w:szCs w:val="17"/>
                <w:color w:val="auto"/>
              </w:rPr>
            </w:pPr>
          </w:p>
        </w:tc>
        <w:tc>
          <w:tcPr>
            <w:tcW w:w="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Exchange</w:t>
            </w:r>
          </w:p>
        </w:tc>
      </w:tr>
      <w:tr>
        <w:trPr>
          <w:trHeight w:val="203"/>
        </w:trPr>
        <w:tc>
          <w:tcPr>
            <w:tcW w:w="3320" w:type="dxa"/>
            <w:vAlign w:val="bottom"/>
          </w:tcPr>
          <w:p>
            <w:pPr>
              <w:spacing w:after="0"/>
              <w:rPr>
                <w:sz w:val="17"/>
                <w:szCs w:val="17"/>
                <w:color w:val="auto"/>
              </w:rPr>
            </w:pPr>
          </w:p>
        </w:tc>
        <w:tc>
          <w:tcPr>
            <w:tcW w:w="2580" w:type="dxa"/>
            <w:vAlign w:val="bottom"/>
            <w:gridSpan w:val="8"/>
          </w:tcPr>
          <w:p>
            <w:pPr>
              <w:ind w:left="160"/>
              <w:spacing w:after="0" w:line="203" w:lineRule="exact"/>
              <w:rPr>
                <w:sz w:val="20"/>
                <w:szCs w:val="20"/>
                <w:color w:val="auto"/>
              </w:rPr>
            </w:pPr>
            <w:r>
              <w:rPr>
                <w:rFonts w:ascii="Courier New" w:cs="Courier New" w:eastAsia="Courier New" w:hAnsi="Courier New"/>
                <w:sz w:val="18"/>
                <w:szCs w:val="18"/>
                <w:color w:val="auto"/>
              </w:rPr>
              <w:t>Offer -- Conditions."</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Procedures for Tendering</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Notes.............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If</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you</w:t>
            </w:r>
          </w:p>
        </w:tc>
        <w:tc>
          <w:tcPr>
            <w:tcW w:w="220" w:type="dxa"/>
            <w:vAlign w:val="bottom"/>
          </w:tcPr>
          <w:p>
            <w:pPr>
              <w:spacing w:after="0"/>
              <w:rPr>
                <w:sz w:val="17"/>
                <w:szCs w:val="17"/>
                <w:color w:val="auto"/>
              </w:rPr>
            </w:pPr>
          </w:p>
        </w:tc>
        <w:tc>
          <w:tcPr>
            <w:tcW w:w="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wish</w:t>
            </w:r>
          </w:p>
        </w:tc>
        <w:tc>
          <w:tcPr>
            <w:tcW w:w="1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6"/>
              </w:rPr>
              <w:t>to participate</w:t>
            </w:r>
          </w:p>
        </w:tc>
        <w:tc>
          <w:tcPr>
            <w:tcW w:w="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5"/>
              </w:rPr>
              <w:t>the exchange</w:t>
            </w:r>
          </w:p>
        </w:tc>
      </w:tr>
      <w:tr>
        <w:trPr>
          <w:trHeight w:val="203"/>
        </w:trPr>
        <w:tc>
          <w:tcPr>
            <w:tcW w:w="3320" w:type="dxa"/>
            <w:vAlign w:val="bottom"/>
          </w:tcPr>
          <w:p>
            <w:pPr>
              <w:spacing w:after="0"/>
              <w:rPr>
                <w:sz w:val="17"/>
                <w:szCs w:val="17"/>
                <w:color w:val="auto"/>
              </w:rPr>
            </w:pPr>
          </w:p>
        </w:tc>
        <w:tc>
          <w:tcPr>
            <w:tcW w:w="13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offer, you</w:t>
            </w: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must complete,</w:t>
            </w:r>
          </w:p>
        </w:tc>
        <w:tc>
          <w:tcPr>
            <w:tcW w:w="11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sign and</w:t>
            </w:r>
          </w:p>
        </w:tc>
        <w:tc>
          <w:tcPr>
            <w:tcW w:w="10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date</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accompanying</w:t>
            </w:r>
          </w:p>
        </w:tc>
        <w:tc>
          <w:tcPr>
            <w:tcW w:w="8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letter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rPr>
              <w:t>transmittal</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3320" w:type="dxa"/>
            <w:vAlign w:val="bottom"/>
          </w:tcPr>
          <w:p>
            <w:pPr>
              <w:spacing w:after="0"/>
              <w:rPr>
                <w:sz w:val="17"/>
                <w:szCs w:val="17"/>
                <w:color w:val="auto"/>
              </w:rPr>
            </w:pPr>
          </w:p>
        </w:tc>
        <w:tc>
          <w:tcPr>
            <w:tcW w:w="22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facsimile copy and</w:t>
            </w: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mail or deliver</w:t>
            </w:r>
          </w:p>
        </w:tc>
        <w:tc>
          <w:tcPr>
            <w:tcW w:w="200" w:type="dxa"/>
            <w:vAlign w:val="bottom"/>
          </w:tcPr>
          <w:p>
            <w:pPr>
              <w:spacing w:after="0"/>
              <w:rPr>
                <w:sz w:val="17"/>
                <w:szCs w:val="17"/>
                <w:color w:val="auto"/>
              </w:rPr>
            </w:pP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it to</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3320" w:type="dxa"/>
            <w:vAlign w:val="bottom"/>
          </w:tcPr>
          <w:p>
            <w:pPr>
              <w:spacing w:after="0"/>
              <w:rPr>
                <w:sz w:val="17"/>
                <w:szCs w:val="17"/>
                <w:color w:val="auto"/>
              </w:rPr>
            </w:pPr>
          </w:p>
        </w:tc>
        <w:tc>
          <w:tcPr>
            <w:tcW w:w="1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exchange</w:t>
            </w: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agent along with</w:t>
            </w:r>
          </w:p>
        </w:tc>
        <w:tc>
          <w:tcPr>
            <w:tcW w:w="2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any other necessary</w:t>
            </w:r>
          </w:p>
        </w:tc>
      </w:tr>
      <w:tr>
        <w:trPr>
          <w:trHeight w:val="203"/>
        </w:trPr>
        <w:tc>
          <w:tcPr>
            <w:tcW w:w="3320" w:type="dxa"/>
            <w:vAlign w:val="bottom"/>
          </w:tcPr>
          <w:p>
            <w:pPr>
              <w:spacing w:after="0"/>
              <w:rPr>
                <w:sz w:val="17"/>
                <w:szCs w:val="17"/>
                <w:color w:val="auto"/>
              </w:rPr>
            </w:pPr>
          </w:p>
        </w:tc>
        <w:tc>
          <w:tcPr>
            <w:tcW w:w="3540" w:type="dxa"/>
            <w:vAlign w:val="bottom"/>
            <w:gridSpan w:val="11"/>
          </w:tcPr>
          <w:p>
            <w:pPr>
              <w:ind w:left="160"/>
              <w:spacing w:after="0" w:line="203" w:lineRule="exact"/>
              <w:rPr>
                <w:sz w:val="20"/>
                <w:szCs w:val="20"/>
                <w:color w:val="auto"/>
              </w:rPr>
            </w:pPr>
            <w:r>
              <w:rPr>
                <w:rFonts w:ascii="Courier New" w:cs="Courier New" w:eastAsia="Courier New" w:hAnsi="Courier New"/>
                <w:sz w:val="18"/>
                <w:szCs w:val="18"/>
                <w:color w:val="auto"/>
              </w:rPr>
              <w:t>documentation. Instructions and</w:t>
            </w:r>
          </w:p>
        </w:tc>
        <w:tc>
          <w:tcPr>
            <w:tcW w:w="12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address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exchange</w:t>
            </w:r>
          </w:p>
        </w:tc>
        <w:tc>
          <w:tcPr>
            <w:tcW w:w="100" w:type="dxa"/>
            <w:vAlign w:val="bottom"/>
          </w:tcPr>
          <w:p>
            <w:pPr>
              <w:spacing w:after="0"/>
              <w:rPr>
                <w:sz w:val="17"/>
                <w:szCs w:val="17"/>
                <w:color w:val="auto"/>
              </w:rPr>
            </w:pPr>
          </w:p>
        </w:tc>
        <w:tc>
          <w:tcPr>
            <w:tcW w:w="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agent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are</w:t>
            </w:r>
          </w:p>
        </w:tc>
        <w:tc>
          <w:tcPr>
            <w:tcW w:w="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c>
          <w:tcPr>
            <w:tcW w:w="200" w:type="dxa"/>
            <w:vAlign w:val="bottom"/>
          </w:tcPr>
          <w:p>
            <w:pPr>
              <w:spacing w:after="0"/>
              <w:rPr>
                <w:sz w:val="17"/>
                <w:szCs w:val="17"/>
                <w:color w:val="auto"/>
              </w:rPr>
            </w:pPr>
          </w:p>
        </w:tc>
        <w:tc>
          <w:tcPr>
            <w:tcW w:w="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letter</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w w:val="96"/>
              </w:rPr>
              <w:t>transmittal and  in  this  Prospectus.  In</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w w:val="96"/>
              </w:rPr>
              <w:t>alternative, if your outstanding notes are</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held</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through</w:t>
            </w:r>
          </w:p>
        </w:tc>
        <w:tc>
          <w:tcPr>
            <w:tcW w:w="220" w:type="dxa"/>
            <w:vAlign w:val="bottom"/>
          </w:tcPr>
          <w:p>
            <w:pPr>
              <w:spacing w:after="0"/>
              <w:rPr>
                <w:sz w:val="17"/>
                <w:szCs w:val="17"/>
                <w:color w:val="auto"/>
              </w:rPr>
            </w:pP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Depository</w:t>
            </w:r>
          </w:p>
        </w:tc>
        <w:tc>
          <w:tcPr>
            <w:tcW w:w="6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Trust</w:t>
            </w:r>
          </w:p>
        </w:tc>
        <w:tc>
          <w:tcPr>
            <w:tcW w:w="1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Company</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"DTC") and  you  wish  to  participate  in  the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exchange  offer,  you  may  do  so  through the</w:t>
            </w:r>
          </w:p>
        </w:tc>
      </w:tr>
      <w:tr>
        <w:trPr>
          <w:trHeight w:val="203"/>
        </w:trPr>
        <w:tc>
          <w:tcPr>
            <w:tcW w:w="3320" w:type="dxa"/>
            <w:vAlign w:val="bottom"/>
          </w:tcPr>
          <w:p>
            <w:pPr>
              <w:spacing w:after="0"/>
              <w:rPr>
                <w:sz w:val="17"/>
                <w:szCs w:val="17"/>
                <w:color w:val="auto"/>
              </w:rPr>
            </w:pPr>
          </w:p>
        </w:tc>
        <w:tc>
          <w:tcPr>
            <w:tcW w:w="3540" w:type="dxa"/>
            <w:vAlign w:val="bottom"/>
            <w:gridSpan w:val="11"/>
          </w:tcPr>
          <w:p>
            <w:pPr>
              <w:ind w:left="160"/>
              <w:spacing w:after="0" w:line="203" w:lineRule="exact"/>
              <w:rPr>
                <w:sz w:val="20"/>
                <w:szCs w:val="20"/>
                <w:color w:val="auto"/>
              </w:rPr>
            </w:pPr>
            <w:r>
              <w:rPr>
                <w:rFonts w:ascii="Courier New" w:cs="Courier New" w:eastAsia="Courier New" w:hAnsi="Courier New"/>
                <w:sz w:val="18"/>
                <w:szCs w:val="18"/>
                <w:color w:val="auto"/>
              </w:rPr>
              <w:t>automated tender offer program</w:t>
            </w:r>
          </w:p>
        </w:tc>
        <w:tc>
          <w:tcPr>
            <w:tcW w:w="10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4"/>
              </w:rPr>
              <w:t>of DTC. If</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you</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tender</w:t>
            </w:r>
          </w:p>
        </w:tc>
        <w:tc>
          <w:tcPr>
            <w:tcW w:w="422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w w:val="99"/>
              </w:rPr>
              <w:t>under this program you will agree to be</w:t>
            </w:r>
          </w:p>
        </w:tc>
      </w:tr>
      <w:tr>
        <w:trPr>
          <w:trHeight w:val="203"/>
        </w:trPr>
        <w:tc>
          <w:tcPr>
            <w:tcW w:w="3320" w:type="dxa"/>
            <w:vAlign w:val="bottom"/>
          </w:tcPr>
          <w:p>
            <w:pPr>
              <w:spacing w:after="0"/>
              <w:rPr>
                <w:sz w:val="17"/>
                <w:szCs w:val="17"/>
                <w:color w:val="auto"/>
              </w:rPr>
            </w:pPr>
          </w:p>
        </w:tc>
        <w:tc>
          <w:tcPr>
            <w:tcW w:w="4580" w:type="dxa"/>
            <w:vAlign w:val="bottom"/>
            <w:gridSpan w:val="15"/>
          </w:tcPr>
          <w:p>
            <w:pPr>
              <w:ind w:left="160"/>
              <w:spacing w:after="0" w:line="203" w:lineRule="exact"/>
              <w:rPr>
                <w:sz w:val="20"/>
                <w:szCs w:val="20"/>
                <w:color w:val="auto"/>
              </w:rPr>
            </w:pPr>
            <w:r>
              <w:rPr>
                <w:rFonts w:ascii="Courier New" w:cs="Courier New" w:eastAsia="Courier New" w:hAnsi="Courier New"/>
                <w:sz w:val="18"/>
                <w:szCs w:val="18"/>
                <w:color w:val="auto"/>
                <w:w w:val="96"/>
              </w:rPr>
              <w:t>bound by the letter of transmittal that we</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are</w:t>
            </w:r>
          </w:p>
        </w:tc>
      </w:tr>
      <w:tr>
        <w:trPr>
          <w:trHeight w:val="203"/>
        </w:trPr>
        <w:tc>
          <w:tcPr>
            <w:tcW w:w="3320" w:type="dxa"/>
            <w:vAlign w:val="bottom"/>
          </w:tcPr>
          <w:p>
            <w:pPr>
              <w:spacing w:after="0"/>
              <w:rPr>
                <w:sz w:val="17"/>
                <w:szCs w:val="17"/>
                <w:color w:val="auto"/>
              </w:rPr>
            </w:pPr>
          </w:p>
        </w:tc>
        <w:tc>
          <w:tcPr>
            <w:tcW w:w="11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providing</w:t>
            </w:r>
          </w:p>
        </w:tc>
        <w:tc>
          <w:tcPr>
            <w:tcW w:w="200" w:type="dxa"/>
            <w:vAlign w:val="bottom"/>
          </w:tcPr>
          <w:p>
            <w:pPr>
              <w:spacing w:after="0"/>
              <w:rPr>
                <w:sz w:val="17"/>
                <w:szCs w:val="17"/>
                <w:color w:val="auto"/>
              </w:rPr>
            </w:pPr>
          </w:p>
        </w:tc>
        <w:tc>
          <w:tcPr>
            <w:tcW w:w="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with this</w:t>
            </w: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Prospectus as</w:t>
            </w:r>
          </w:p>
        </w:tc>
        <w:tc>
          <w:tcPr>
            <w:tcW w:w="200" w:type="dxa"/>
            <w:vAlign w:val="bottom"/>
          </w:tcPr>
          <w:p>
            <w:pPr>
              <w:spacing w:after="0"/>
              <w:rPr>
                <w:sz w:val="17"/>
                <w:szCs w:val="17"/>
                <w:color w:val="auto"/>
              </w:rPr>
            </w:pPr>
          </w:p>
        </w:tc>
        <w:tc>
          <w:tcPr>
            <w:tcW w:w="1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though you</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had  signed  the  letter  of  transmittal.   By</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signing</w:t>
            </w:r>
          </w:p>
        </w:tc>
        <w:tc>
          <w:tcPr>
            <w:tcW w:w="220" w:type="dxa"/>
            <w:vAlign w:val="bottom"/>
          </w:tcPr>
          <w:p>
            <w:pPr>
              <w:spacing w:after="0"/>
              <w:rPr>
                <w:sz w:val="17"/>
                <w:szCs w:val="17"/>
                <w:color w:val="auto"/>
              </w:rPr>
            </w:pPr>
          </w:p>
        </w:tc>
        <w:tc>
          <w:tcPr>
            <w:tcW w:w="17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5"/>
              </w:rPr>
              <w:t>or agreeing to be</w:t>
            </w:r>
          </w:p>
        </w:tc>
        <w:tc>
          <w:tcPr>
            <w:tcW w:w="2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bound by the letter</w:t>
            </w:r>
          </w:p>
        </w:tc>
      </w:tr>
      <w:tr>
        <w:trPr>
          <w:trHeight w:val="203"/>
        </w:trPr>
        <w:tc>
          <w:tcPr>
            <w:tcW w:w="3320" w:type="dxa"/>
            <w:vAlign w:val="bottom"/>
          </w:tcPr>
          <w:p>
            <w:pPr>
              <w:spacing w:after="0"/>
              <w:rPr>
                <w:sz w:val="17"/>
                <w:szCs w:val="17"/>
                <w:color w:val="auto"/>
              </w:rPr>
            </w:pPr>
          </w:p>
        </w:tc>
        <w:tc>
          <w:tcPr>
            <w:tcW w:w="4060" w:type="dxa"/>
            <w:vAlign w:val="bottom"/>
            <w:gridSpan w:val="13"/>
          </w:tcPr>
          <w:p>
            <w:pPr>
              <w:ind w:left="160"/>
              <w:spacing w:after="0" w:line="203" w:lineRule="exact"/>
              <w:rPr>
                <w:sz w:val="20"/>
                <w:szCs w:val="20"/>
                <w:color w:val="auto"/>
              </w:rPr>
            </w:pPr>
            <w:r>
              <w:rPr>
                <w:rFonts w:ascii="Courier New" w:cs="Courier New" w:eastAsia="Courier New" w:hAnsi="Courier New"/>
                <w:sz w:val="18"/>
                <w:szCs w:val="18"/>
                <w:color w:val="auto"/>
                <w:w w:val="97"/>
              </w:rPr>
              <w:t>of transmittal, you will represent to</w:t>
            </w: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us, among</w:t>
            </w:r>
          </w:p>
        </w:tc>
      </w:tr>
      <w:tr>
        <w:trPr>
          <w:trHeight w:val="203"/>
        </w:trPr>
        <w:tc>
          <w:tcPr>
            <w:tcW w:w="3320" w:type="dxa"/>
            <w:vAlign w:val="bottom"/>
          </w:tcPr>
          <w:p>
            <w:pPr>
              <w:spacing w:after="0"/>
              <w:rPr>
                <w:sz w:val="17"/>
                <w:szCs w:val="17"/>
                <w:color w:val="auto"/>
              </w:rPr>
            </w:pPr>
          </w:p>
        </w:tc>
        <w:tc>
          <w:tcPr>
            <w:tcW w:w="4060" w:type="dxa"/>
            <w:vAlign w:val="bottom"/>
            <w:gridSpan w:val="13"/>
          </w:tcPr>
          <w:p>
            <w:pPr>
              <w:ind w:left="160"/>
              <w:spacing w:after="0" w:line="203" w:lineRule="exact"/>
              <w:rPr>
                <w:sz w:val="20"/>
                <w:szCs w:val="20"/>
                <w:color w:val="auto"/>
              </w:rPr>
            </w:pPr>
            <w:r>
              <w:rPr>
                <w:rFonts w:ascii="Courier New" w:cs="Courier New" w:eastAsia="Courier New" w:hAnsi="Courier New"/>
                <w:sz w:val="18"/>
                <w:szCs w:val="18"/>
                <w:color w:val="auto"/>
                <w:w w:val="99"/>
              </w:rPr>
              <w:t>other things, the applicable matters</w:t>
            </w:r>
          </w:p>
        </w:tc>
        <w:tc>
          <w:tcPr>
            <w:tcW w:w="100" w:type="dxa"/>
            <w:vAlign w:val="bottom"/>
          </w:tcPr>
          <w:p>
            <w:pPr>
              <w:spacing w:after="0"/>
              <w:rPr>
                <w:sz w:val="17"/>
                <w:szCs w:val="17"/>
                <w:color w:val="auto"/>
              </w:rPr>
            </w:pP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described</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above</w:t>
            </w:r>
          </w:p>
        </w:tc>
        <w:tc>
          <w:tcPr>
            <w:tcW w:w="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 "--</w:t>
            </w:r>
          </w:p>
        </w:tc>
        <w:tc>
          <w:tcPr>
            <w:tcW w:w="1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Resales of</w:t>
            </w:r>
          </w:p>
        </w:tc>
        <w:tc>
          <w:tcPr>
            <w:tcW w:w="222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Exchange Notes." See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"The   Exchange   Offer   --   Procedures   for</w:t>
            </w:r>
          </w:p>
        </w:tc>
      </w:tr>
      <w:tr>
        <w:trPr>
          <w:trHeight w:val="203"/>
        </w:trPr>
        <w:tc>
          <w:tcPr>
            <w:tcW w:w="3320" w:type="dxa"/>
            <w:vAlign w:val="bottom"/>
          </w:tcPr>
          <w:p>
            <w:pPr>
              <w:spacing w:after="0"/>
              <w:rPr>
                <w:sz w:val="17"/>
                <w:szCs w:val="17"/>
                <w:color w:val="auto"/>
              </w:rPr>
            </w:pPr>
          </w:p>
        </w:tc>
        <w:tc>
          <w:tcPr>
            <w:tcW w:w="3860" w:type="dxa"/>
            <w:vAlign w:val="bottom"/>
            <w:gridSpan w:val="12"/>
          </w:tcPr>
          <w:p>
            <w:pPr>
              <w:ind w:left="160"/>
              <w:spacing w:after="0" w:line="203" w:lineRule="exact"/>
              <w:rPr>
                <w:sz w:val="20"/>
                <w:szCs w:val="20"/>
                <w:color w:val="auto"/>
              </w:rPr>
            </w:pPr>
            <w:r>
              <w:rPr>
                <w:rFonts w:ascii="Courier New" w:cs="Courier New" w:eastAsia="Courier New" w:hAnsi="Courier New"/>
                <w:sz w:val="18"/>
                <w:szCs w:val="18"/>
                <w:color w:val="auto"/>
                <w:w w:val="97"/>
              </w:rPr>
              <w:t>Tendering" and "-- Exchange Agent."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Guaranteed Delivery</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If</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you</w:t>
            </w:r>
          </w:p>
        </w:tc>
        <w:tc>
          <w:tcPr>
            <w:tcW w:w="220" w:type="dxa"/>
            <w:vAlign w:val="bottom"/>
          </w:tcPr>
          <w:p>
            <w:pPr>
              <w:spacing w:after="0"/>
              <w:rPr>
                <w:sz w:val="17"/>
                <w:szCs w:val="17"/>
                <w:color w:val="auto"/>
              </w:rPr>
            </w:pPr>
          </w:p>
        </w:tc>
        <w:tc>
          <w:tcPr>
            <w:tcW w:w="14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cannot tender</w:t>
            </w:r>
          </w:p>
        </w:tc>
        <w:tc>
          <w:tcPr>
            <w:tcW w:w="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the</w:t>
            </w:r>
          </w:p>
        </w:tc>
        <w:tc>
          <w:tcPr>
            <w:tcW w:w="1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outstanding notes,</w:t>
            </w:r>
          </w:p>
        </w:tc>
      </w:tr>
      <w:tr>
        <w:trPr>
          <w:trHeight w:val="203"/>
        </w:trPr>
        <w:tc>
          <w:tcPr>
            <w:tcW w:w="3320" w:type="dxa"/>
            <w:vAlign w:val="bottom"/>
          </w:tcPr>
          <w:p>
            <w:pPr>
              <w:spacing w:after="0"/>
              <w:rPr>
                <w:sz w:val="17"/>
                <w:szCs w:val="17"/>
                <w:color w:val="auto"/>
              </w:rPr>
            </w:pPr>
          </w:p>
        </w:tc>
        <w:tc>
          <w:tcPr>
            <w:tcW w:w="228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complete the letter</w:t>
            </w:r>
          </w:p>
        </w:tc>
        <w:tc>
          <w:tcPr>
            <w:tcW w:w="1880" w:type="dxa"/>
            <w:vAlign w:val="bottom"/>
            <w:gridSpan w:val="7"/>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of transmittal or</w:t>
            </w:r>
          </w:p>
        </w:tc>
        <w:tc>
          <w:tcPr>
            <w:tcW w:w="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provide</w:t>
            </w:r>
          </w:p>
        </w:tc>
      </w:tr>
      <w:tr>
        <w:trPr>
          <w:trHeight w:val="203"/>
        </w:trPr>
        <w:tc>
          <w:tcPr>
            <w:tcW w:w="3320" w:type="dxa"/>
            <w:vAlign w:val="bottom"/>
          </w:tcPr>
          <w:p>
            <w:pPr>
              <w:spacing w:after="0"/>
              <w:rPr>
                <w:sz w:val="17"/>
                <w:szCs w:val="17"/>
                <w:color w:val="auto"/>
              </w:rPr>
            </w:pP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4"/>
              </w:rPr>
              <w:t>necessary</w:t>
            </w:r>
          </w:p>
        </w:tc>
        <w:tc>
          <w:tcPr>
            <w:tcW w:w="100" w:type="dxa"/>
            <w:vAlign w:val="bottom"/>
          </w:tcPr>
          <w:p>
            <w:pPr>
              <w:spacing w:after="0"/>
              <w:rPr>
                <w:sz w:val="17"/>
                <w:szCs w:val="17"/>
                <w:color w:val="auto"/>
              </w:rPr>
            </w:pPr>
          </w:p>
        </w:tc>
        <w:tc>
          <w:tcPr>
            <w:tcW w:w="17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documentation</w:t>
            </w:r>
          </w:p>
        </w:tc>
        <w:tc>
          <w:tcPr>
            <w:tcW w:w="6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2"/>
              </w:rPr>
              <w:t>prior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22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termination of  the  exchange  offer,  you  may</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tender</w:t>
            </w:r>
          </w:p>
        </w:tc>
        <w:tc>
          <w:tcPr>
            <w:tcW w:w="422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w w:val="99"/>
              </w:rPr>
              <w:t>your outstanding notes according to the</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guaranteed delivery  procedures  set  forth  in</w:t>
            </w:r>
          </w:p>
        </w:tc>
      </w:tr>
      <w:tr>
        <w:trPr>
          <w:trHeight w:val="203"/>
        </w:trPr>
        <w:tc>
          <w:tcPr>
            <w:tcW w:w="3320" w:type="dxa"/>
            <w:vAlign w:val="bottom"/>
          </w:tcPr>
          <w:p>
            <w:pPr>
              <w:spacing w:after="0"/>
              <w:rPr>
                <w:sz w:val="17"/>
                <w:szCs w:val="17"/>
                <w:color w:val="auto"/>
              </w:rPr>
            </w:pPr>
          </w:p>
        </w:tc>
        <w:tc>
          <w:tcPr>
            <w:tcW w:w="5120" w:type="dxa"/>
            <w:vAlign w:val="bottom"/>
            <w:gridSpan w:val="17"/>
          </w:tcPr>
          <w:p>
            <w:pPr>
              <w:ind w:left="160"/>
              <w:spacing w:after="0" w:line="203" w:lineRule="exact"/>
              <w:rPr>
                <w:sz w:val="20"/>
                <w:szCs w:val="20"/>
                <w:color w:val="auto"/>
              </w:rPr>
            </w:pPr>
            <w:r>
              <w:rPr>
                <w:rFonts w:ascii="Courier New" w:cs="Courier New" w:eastAsia="Courier New" w:hAnsi="Courier New"/>
                <w:sz w:val="18"/>
                <w:szCs w:val="18"/>
                <w:color w:val="auto"/>
                <w:w w:val="97"/>
              </w:rPr>
              <w:t>"The  Exchange  Offer  --  Guaranteed  Delivery</w:t>
            </w:r>
          </w:p>
        </w:tc>
      </w:tr>
      <w:tr>
        <w:trPr>
          <w:trHeight w:val="203"/>
        </w:trPr>
        <w:tc>
          <w:tcPr>
            <w:tcW w:w="3320" w:type="dxa"/>
            <w:vAlign w:val="bottom"/>
          </w:tcPr>
          <w:p>
            <w:pPr>
              <w:spacing w:after="0"/>
              <w:rPr>
                <w:sz w:val="17"/>
                <w:szCs w:val="17"/>
                <w:color w:val="auto"/>
              </w:rPr>
            </w:pPr>
          </w:p>
        </w:tc>
        <w:tc>
          <w:tcPr>
            <w:tcW w:w="17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Procedures."</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Special Procedures for</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Owners.............</w:t>
            </w:r>
          </w:p>
        </w:tc>
        <w:tc>
          <w:tcPr>
            <w:tcW w:w="13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If you are</w:t>
            </w:r>
          </w:p>
        </w:tc>
        <w:tc>
          <w:tcPr>
            <w:tcW w:w="158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a beneficial</w:t>
            </w:r>
          </w:p>
        </w:tc>
        <w:tc>
          <w:tcPr>
            <w:tcW w:w="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owner of</w:t>
            </w:r>
          </w:p>
        </w:tc>
        <w:tc>
          <w:tcPr>
            <w:tcW w:w="12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r>
      <w:tr>
        <w:trPr>
          <w:trHeight w:val="203"/>
        </w:trPr>
        <w:tc>
          <w:tcPr>
            <w:tcW w:w="3320" w:type="dxa"/>
            <w:vAlign w:val="bottom"/>
          </w:tcPr>
          <w:p>
            <w:pPr>
              <w:spacing w:after="0"/>
              <w:rPr>
                <w:sz w:val="17"/>
                <w:szCs w:val="17"/>
                <w:color w:val="auto"/>
              </w:rPr>
            </w:pPr>
          </w:p>
        </w:tc>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notes</w:t>
            </w:r>
          </w:p>
        </w:tc>
        <w:tc>
          <w:tcPr>
            <w:tcW w:w="9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4"/>
              </w:rPr>
              <w:t>which are</w:t>
            </w:r>
          </w:p>
        </w:tc>
        <w:tc>
          <w:tcPr>
            <w:tcW w:w="1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registered in</w:t>
            </w:r>
          </w:p>
        </w:tc>
        <w:tc>
          <w:tcPr>
            <w:tcW w:w="10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the name</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a</w:t>
            </w:r>
          </w:p>
        </w:tc>
      </w:tr>
      <w:tr>
        <w:trPr>
          <w:trHeight w:val="203"/>
        </w:trPr>
        <w:tc>
          <w:tcPr>
            <w:tcW w:w="3320" w:type="dxa"/>
            <w:vAlign w:val="bottom"/>
          </w:tcPr>
          <w:p>
            <w:pPr>
              <w:spacing w:after="0"/>
              <w:rPr>
                <w:sz w:val="17"/>
                <w:szCs w:val="17"/>
                <w:color w:val="auto"/>
              </w:rPr>
            </w:pPr>
          </w:p>
        </w:tc>
        <w:tc>
          <w:tcPr>
            <w:tcW w:w="3540" w:type="dxa"/>
            <w:vAlign w:val="bottom"/>
            <w:gridSpan w:val="11"/>
          </w:tcPr>
          <w:p>
            <w:pPr>
              <w:ind w:left="160"/>
              <w:spacing w:after="0" w:line="203" w:lineRule="exact"/>
              <w:rPr>
                <w:sz w:val="20"/>
                <w:szCs w:val="20"/>
                <w:color w:val="auto"/>
              </w:rPr>
            </w:pPr>
            <w:r>
              <w:rPr>
                <w:rFonts w:ascii="Courier New" w:cs="Courier New" w:eastAsia="Courier New" w:hAnsi="Courier New"/>
                <w:sz w:val="18"/>
                <w:szCs w:val="18"/>
                <w:color w:val="auto"/>
                <w:w w:val="97"/>
              </w:rPr>
              <w:t>broker, dealer, commercial bank,</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5"/>
        </w:trPr>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8" w:name="page9"/>
    <w:bookmarkEnd w:id="8"/>
    <w:p>
      <w:pPr>
        <w:ind w:left="3480"/>
        <w:spacing w:after="0"/>
        <w:rPr>
          <w:sz w:val="20"/>
          <w:szCs w:val="20"/>
          <w:color w:val="auto"/>
        </w:rPr>
      </w:pPr>
      <w:r>
        <w:rPr>
          <w:rFonts w:ascii="Courier New" w:cs="Courier New" w:eastAsia="Courier New" w:hAnsi="Courier New"/>
          <w:sz w:val="16"/>
          <w:szCs w:val="16"/>
          <w:color w:val="auto"/>
        </w:rPr>
        <w:t>trust company or other nominee, and you wish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outstanding notes in the exchange offer,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should contact the registered holder</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promptly and instruct the registered holder to</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tender on your behalf. If you wish to tender on</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your own behalf, you must, prior to completing</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 executing the letter of transmittal and</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delivering your outstanding notes, either make</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appropriate arrangements to register ownership</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the outstanding notes in your name or obtain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 properly completed bond power from the</w:t>
      </w:r>
    </w:p>
    <w:p>
      <w:pPr>
        <w:ind w:left="3480"/>
        <w:spacing w:after="0" w:line="238" w:lineRule="auto"/>
        <w:rPr>
          <w:sz w:val="20"/>
          <w:szCs w:val="20"/>
          <w:color w:val="auto"/>
        </w:rPr>
      </w:pPr>
      <w:r>
        <w:rPr>
          <w:rFonts w:ascii="Courier New" w:cs="Courier New" w:eastAsia="Courier New" w:hAnsi="Courier New"/>
          <w:sz w:val="18"/>
          <w:szCs w:val="18"/>
          <w:color w:val="auto"/>
        </w:rPr>
        <w:t>registered holder. The transfer of registered</w:t>
      </w:r>
    </w:p>
    <w:p>
      <w:pPr>
        <w:ind w:left="3480"/>
        <w:spacing w:after="0"/>
        <w:rPr>
          <w:sz w:val="20"/>
          <w:szCs w:val="20"/>
          <w:color w:val="auto"/>
        </w:rPr>
      </w:pPr>
      <w:r>
        <w:rPr>
          <w:rFonts w:ascii="Courier New" w:cs="Courier New" w:eastAsia="Courier New" w:hAnsi="Courier New"/>
          <w:sz w:val="18"/>
          <w:szCs w:val="18"/>
          <w:color w:val="auto"/>
        </w:rPr>
        <w:t>ownership may take considerable time and may</w:t>
      </w:r>
    </w:p>
    <w:p>
      <w:pPr>
        <w:ind w:left="3480"/>
        <w:spacing w:after="0" w:line="237" w:lineRule="auto"/>
        <w:rPr>
          <w:sz w:val="20"/>
          <w:szCs w:val="20"/>
          <w:color w:val="auto"/>
        </w:rPr>
      </w:pPr>
      <w:r>
        <w:rPr>
          <w:rFonts w:ascii="Courier New" w:cs="Courier New" w:eastAsia="Courier New" w:hAnsi="Courier New"/>
          <w:sz w:val="18"/>
          <w:szCs w:val="18"/>
          <w:color w:val="auto"/>
        </w:rPr>
        <w:t>not be able to be completed prior to the</w:t>
      </w:r>
    </w:p>
    <w:p>
      <w:pPr>
        <w:ind w:left="3480"/>
        <w:spacing w:after="0" w:line="238" w:lineRule="auto"/>
        <w:rPr>
          <w:sz w:val="20"/>
          <w:szCs w:val="20"/>
          <w:color w:val="auto"/>
        </w:rPr>
      </w:pPr>
      <w:r>
        <w:rPr>
          <w:rFonts w:ascii="Courier New" w:cs="Courier New" w:eastAsia="Courier New" w:hAnsi="Courier New"/>
          <w:sz w:val="18"/>
          <w:szCs w:val="18"/>
          <w:color w:val="auto"/>
        </w:rPr>
        <w:t>expiration date.</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Rights.............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may withdraw outstanding notes that have been tendered at any time prior to the expiration date by sending a written or facsimile withdrawal notice to the Exchange Agent.</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Acceptance of Outstanding Notes and Delivery of Exchange Notes.........................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All outstanding notes properly tendered to the Exchange Agent and not withdrawn by the expiration date will be accepted for exchange. The exchange notes will be delivered promptly after the expiration date. See "The Exchange Offer -- Acceptance of Notes for Exchange; Delivery of Exchange Notes."</w:t>
      </w:r>
    </w:p>
    <w:p>
      <w:pPr>
        <w:spacing w:after="0" w:line="188"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U.S. Federal Income Tax Consequences..................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exchange of outstanding notes for exchange notes will not be a taxable event for U.S. federal income tax purposes. See "United States Federal Income Tax Consequences for Non-U.S. Holders."</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type w:val="continuous"/>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2220"/>
        <w:spacing w:after="0"/>
        <w:rPr>
          <w:sz w:val="20"/>
          <w:szCs w:val="20"/>
          <w:color w:val="auto"/>
        </w:rPr>
      </w:pPr>
      <w:r>
        <w:rPr>
          <w:rFonts w:ascii="Courier New" w:cs="Courier New" w:eastAsia="Courier New" w:hAnsi="Courier New"/>
          <w:sz w:val="16"/>
          <w:szCs w:val="16"/>
          <w:color w:val="auto"/>
        </w:rPr>
        <w:t>SUMMARY OF TERMS OF THE EXCHANGE NOTES</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$400 million principal amount of 6 3/8% Senior Notes due 2012.</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November 15, 2012.</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Interest on all exchange notes will be paid semi-annually in cash in arrears on May 15 and November 15 of each year, commencing May 15, 2003.</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879"/>
        <w:spacing w:after="0" w:line="272" w:lineRule="auto"/>
        <w:rPr>
          <w:sz w:val="20"/>
          <w:szCs w:val="20"/>
          <w:color w:val="auto"/>
        </w:rPr>
      </w:pPr>
      <w:r>
        <w:rPr>
          <w:rFonts w:ascii="Courier New" w:cs="Courier New" w:eastAsia="Courier New" w:hAnsi="Courier New"/>
          <w:sz w:val="16"/>
          <w:szCs w:val="16"/>
          <w:color w:val="auto"/>
        </w:rPr>
        <w:t>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186"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The outstanding notes are, and the exchange notes will be, our general unsecured senior obligations and will rank equal in right of payment to all of our other existing and future senior and unsecured indebtedness, including debt under our credit facilities. However, the exchange notes will be structurally subordinated to the indebtedness of all of our subsidiaries other than Waste Management Holdings. The amount of that debt as of September 30, 2002 was approximately $1.6 billion. The indenture does not limit the amount of senior debt we can issue, nor does it limit the amount of debt that can be issued by our subsidiaries. See "Description of Exchange Notes -- Ranking."</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outstanding notes are, and the exchange notes will be, guaranteed by our wholly-owned subsidiary, Waste Management Holdings, on a full and unconditional basis. The subsidiary guarantee will be unsecured senior indebtedness of Waste Management Holdings, will be equal in right of payment to all senior and unsecured indebtedness of Waste Management Holdings and will also be structurally subordinated to our non-guarantor subsidiaries' indebtedness. See "Description of Exchange Notes -- Subsidiary Guarantee."</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issued the outstanding notes, and will issue the exchange notes, under an indenture with JPMorgan Chase Bank, the trustee. The indenture, among other things, restricts our ability and the ability of our subsidiaries to:</w:t>
      </w:r>
    </w:p>
    <w:p>
      <w:pPr>
        <w:spacing w:after="0" w:line="179"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ind w:left="3480"/>
        <w:spacing w:after="0"/>
        <w:rPr>
          <w:sz w:val="20"/>
          <w:szCs w:val="20"/>
          <w:color w:val="auto"/>
        </w:rPr>
      </w:pPr>
      <w:r>
        <w:rPr>
          <w:rFonts w:ascii="Courier New" w:cs="Courier New" w:eastAsia="Courier New" w:hAnsi="Courier New"/>
          <w:sz w:val="18"/>
          <w:szCs w:val="18"/>
          <w:color w:val="auto"/>
        </w:rPr>
        <w:t>- create liens securing indebtedness; and</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engage in sale and leaseback transactions.</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However, the indenture does not limit the</w:t>
      </w:r>
    </w:p>
    <w:p>
      <w:pPr>
        <w:ind w:left="3480"/>
        <w:spacing w:after="0" w:line="238" w:lineRule="auto"/>
        <w:rPr>
          <w:sz w:val="20"/>
          <w:szCs w:val="20"/>
          <w:color w:val="auto"/>
        </w:rPr>
      </w:pPr>
      <w:r>
        <w:rPr>
          <w:rFonts w:ascii="Courier New" w:cs="Courier New" w:eastAsia="Courier New" w:hAnsi="Courier New"/>
          <w:sz w:val="18"/>
          <w:szCs w:val="18"/>
          <w:color w:val="auto"/>
        </w:rPr>
        <w:t>amount of indebtedness that we or our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subsidiaries can incur. For more details, see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"Description of Exchange Notes -- Certain</w:t>
      </w:r>
    </w:p>
    <w:p>
      <w:pPr>
        <w:ind w:left="3480"/>
        <w:spacing w:after="0" w:line="238" w:lineRule="auto"/>
        <w:rPr>
          <w:sz w:val="20"/>
          <w:szCs w:val="20"/>
          <w:color w:val="auto"/>
        </w:rPr>
      </w:pPr>
      <w:r>
        <w:rPr>
          <w:rFonts w:ascii="Courier New" w:cs="Courier New" w:eastAsia="Courier New" w:hAnsi="Courier New"/>
          <w:sz w:val="18"/>
          <w:szCs w:val="18"/>
          <w:color w:val="auto"/>
        </w:rPr>
        <w:t>Covenants."</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will not receive any cash proceeds from the issuance of the exchange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will be registered securities but will also be new securities for which there will not initially be a market. Accordingly, we cannot assure you whether a market for the exchange notes will develop or as to the liquidity of any such market. We do not intend to apply for a listing of the exchange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0" w:gutter="0" w:footer="0" w:header="0"/>
          <w:type w:val="continuous"/>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AGENT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delivery by mail, overnight delivery or hand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JPMorgan Chase Bank</w:t>
      </w:r>
    </w:p>
    <w:p>
      <w:pPr>
        <w:jc w:val="center"/>
        <w:ind w:right="1879"/>
        <w:spacing w:after="0" w:line="238" w:lineRule="auto"/>
        <w:rPr>
          <w:sz w:val="20"/>
          <w:szCs w:val="20"/>
          <w:color w:val="auto"/>
        </w:rPr>
      </w:pPr>
      <w:r>
        <w:rPr>
          <w:rFonts w:ascii="Courier New" w:cs="Courier New" w:eastAsia="Courier New" w:hAnsi="Courier New"/>
          <w:sz w:val="18"/>
          <w:szCs w:val="18"/>
          <w:color w:val="auto"/>
        </w:rPr>
        <w:t>700 Lavaca, 5th floor</w:t>
      </w:r>
    </w:p>
    <w:p>
      <w:pPr>
        <w:jc w:val="center"/>
        <w:ind w:right="1879"/>
        <w:spacing w:after="0"/>
        <w:rPr>
          <w:sz w:val="20"/>
          <w:szCs w:val="20"/>
          <w:color w:val="auto"/>
        </w:rPr>
      </w:pPr>
      <w:r>
        <w:rPr>
          <w:rFonts w:ascii="Courier New" w:cs="Courier New" w:eastAsia="Courier New" w:hAnsi="Courier New"/>
          <w:sz w:val="18"/>
          <w:szCs w:val="18"/>
          <w:color w:val="auto"/>
        </w:rPr>
        <w:t>Austin, Texas 78701</w:t>
      </w:r>
    </w:p>
    <w:p>
      <w:pPr>
        <w:jc w:val="center"/>
        <w:ind w:right="1879"/>
        <w:spacing w:after="0" w:line="237" w:lineRule="auto"/>
        <w:rPr>
          <w:sz w:val="20"/>
          <w:szCs w:val="20"/>
          <w:color w:val="auto"/>
        </w:rPr>
      </w:pPr>
      <w:r>
        <w:rPr>
          <w:rFonts w:ascii="Courier New" w:cs="Courier New" w:eastAsia="Courier New" w:hAnsi="Courier New"/>
          <w:sz w:val="18"/>
          <w:szCs w:val="18"/>
          <w:color w:val="auto"/>
        </w:rPr>
        <w:t>Attention: Mr. Cary Gilliam</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Telephone (512) 479-2575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facsimile transmission (for eligible institutions only):</w:t>
      </w:r>
    </w:p>
    <w:p>
      <w:pPr>
        <w:spacing w:after="0" w:line="201" w:lineRule="exact"/>
        <w:rPr>
          <w:sz w:val="20"/>
          <w:szCs w:val="20"/>
          <w:color w:val="auto"/>
        </w:rPr>
      </w:pPr>
    </w:p>
    <w:p>
      <w:pPr>
        <w:ind w:left="4120" w:hanging="636"/>
        <w:spacing w:after="0"/>
        <w:tabs>
          <w:tab w:leader="none" w:pos="4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479-2553</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Mr. Cary Gilliam</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confirm receipt:</w:t>
      </w:r>
    </w:p>
    <w:p>
      <w:pPr>
        <w:ind w:left="4120" w:hanging="636"/>
        <w:spacing w:after="0" w:line="238" w:lineRule="auto"/>
        <w:tabs>
          <w:tab w:leader="none" w:pos="4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479-2575</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left="1800"/>
        <w:spacing w:after="0"/>
        <w:rPr>
          <w:sz w:val="20"/>
          <w:szCs w:val="20"/>
          <w:color w:val="auto"/>
        </w:rPr>
      </w:pPr>
      <w:r>
        <w:rPr>
          <w:rFonts w:ascii="Courier New" w:cs="Courier New" w:eastAsia="Courier New" w:hAnsi="Courier New"/>
          <w:sz w:val="18"/>
          <w:szCs w:val="18"/>
          <w:color w:val="auto"/>
        </w:rPr>
        <w:t>HISTORICAL AND SELECTED FINANCIAL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nine months ended September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2002 are not necessarily indicative of the results that may be expected for the full year.</w:t>
      </w:r>
    </w:p>
    <w:p>
      <w:pPr>
        <w:spacing w:after="0" w:line="202"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NINE MONTHS ENDED YEARS ENDED</w:t>
      </w:r>
    </w:p>
    <w:p>
      <w:pPr>
        <w:ind w:left="60"/>
        <w:spacing w:after="0" w:line="238" w:lineRule="auto"/>
        <w:rPr>
          <w:sz w:val="20"/>
          <w:szCs w:val="20"/>
          <w:color w:val="auto"/>
        </w:rPr>
      </w:pPr>
      <w:r>
        <w:rPr>
          <w:rFonts w:ascii="Courier New" w:cs="Courier New" w:eastAsia="Courier New" w:hAnsi="Courier New"/>
          <w:sz w:val="18"/>
          <w:szCs w:val="18"/>
          <w:color w:val="auto"/>
        </w:rPr>
        <w:t>DECEMBER 31, SEPTEMBER 30,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--------------- 1997 1998 1999</w:t>
      </w:r>
    </w:p>
    <w:p>
      <w:pPr>
        <w:ind w:left="60"/>
        <w:spacing w:after="0" w:line="238" w:lineRule="auto"/>
        <w:rPr>
          <w:sz w:val="20"/>
          <w:szCs w:val="20"/>
          <w:color w:val="auto"/>
        </w:rPr>
      </w:pPr>
      <w:r>
        <w:rPr>
          <w:rFonts w:ascii="Courier New" w:cs="Courier New" w:eastAsia="Courier New" w:hAnsi="Courier New"/>
          <w:sz w:val="18"/>
          <w:szCs w:val="18"/>
          <w:color w:val="auto"/>
        </w:rPr>
        <w:t>2000 2001 2001 2002 ------- -------</w:t>
      </w:r>
    </w:p>
    <w:p>
      <w:pPr>
        <w:ind w:left="60"/>
        <w:spacing w:after="0"/>
        <w:rPr>
          <w:sz w:val="20"/>
          <w:szCs w:val="20"/>
          <w:color w:val="auto"/>
        </w:rPr>
      </w:pPr>
      <w:r>
        <w:rPr>
          <w:rFonts w:ascii="Courier New" w:cs="Courier New" w:eastAsia="Courier New" w:hAnsi="Courier New"/>
          <w:sz w:val="18"/>
          <w:szCs w:val="18"/>
          <w:color w:val="auto"/>
        </w:rPr>
        <w:t>------- ------- ------- ------ ----</w:t>
      </w:r>
    </w:p>
    <w:p>
      <w:pPr>
        <w:spacing w:after="0" w:line="4" w:lineRule="exact"/>
        <w:rPr>
          <w:sz w:val="20"/>
          <w:szCs w:val="20"/>
          <w:color w:val="auto"/>
        </w:rPr>
      </w:pPr>
    </w:p>
    <w:p>
      <w:pPr>
        <w:jc w:val="both"/>
        <w:ind w:left="220" w:right="6579" w:hanging="60"/>
        <w:spacing w:after="0" w:line="268" w:lineRule="auto"/>
        <w:tabs>
          <w:tab w:leader="none" w:pos="48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STATEMENT OF OPERATIONS</w:t>
      </w:r>
    </w:p>
    <w:p>
      <w:pPr>
        <w:ind w:left="1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DATA: Operating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$11,972 $12,626 $13,127 $12,492</w:t>
      </w:r>
    </w:p>
    <w:p>
      <w:pPr>
        <w:ind w:left="60"/>
        <w:spacing w:after="0"/>
        <w:rPr>
          <w:sz w:val="20"/>
          <w:szCs w:val="20"/>
          <w:color w:val="auto"/>
        </w:rPr>
      </w:pPr>
      <w:r>
        <w:rPr>
          <w:rFonts w:ascii="Courier New" w:cs="Courier New" w:eastAsia="Courier New" w:hAnsi="Courier New"/>
          <w:sz w:val="18"/>
          <w:szCs w:val="18"/>
          <w:color w:val="auto"/>
        </w:rPr>
        <w:t>$11,322 $8,531 $8,330 ------- -----</w:t>
      </w:r>
    </w:p>
    <w:p>
      <w:pPr>
        <w:ind w:left="380" w:hanging="325"/>
        <w:spacing w:after="0" w:line="237" w:lineRule="auto"/>
        <w:tabs>
          <w:tab w:leader="none" w:pos="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Costs and expenses: Operating</w:t>
      </w:r>
    </w:p>
    <w:p>
      <w:pPr>
        <w:spacing w:after="0" w:line="4" w:lineRule="exact"/>
        <w:rPr>
          <w:rFonts w:ascii="Courier New" w:cs="Courier New" w:eastAsia="Courier New" w:hAnsi="Courier New"/>
          <w:sz w:val="18"/>
          <w:szCs w:val="18"/>
          <w:color w:val="auto"/>
        </w:rPr>
      </w:pPr>
    </w:p>
    <w:p>
      <w:pPr>
        <w:jc w:val="both"/>
        <w:ind w:left="320" w:right="6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(exclusive of depreciation and amortization shown below).....</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7,482 7,283 8,269 7,538 6,666 5,071</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5,000 Selling, general and</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1,438 1,333 1,920 1,738 1,622 1,170</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1,122 Depreciation and</w:t>
      </w:r>
    </w:p>
    <w:tbl>
      <w:tblPr>
        <w:tblLayout w:type="fixed"/>
        <w:tblInd w:w="60" w:type="dxa"/>
        <w:tblCellMar>
          <w:top w:w="0" w:type="dxa"/>
          <w:left w:w="0" w:type="dxa"/>
          <w:bottom w:w="0" w:type="dxa"/>
          <w:right w:w="0" w:type="dxa"/>
        </w:tblCellMar>
      </w:tblPr>
      <w:tr>
        <w:trPr>
          <w:trHeight w:val="203"/>
        </w:trPr>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w w:val="96"/>
              </w:rPr>
              <w:t>amortization.......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1,392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1,499</w:t>
            </w:r>
          </w:p>
        </w:tc>
        <w:tc>
          <w:tcPr>
            <w:tcW w:w="160" w:type="dxa"/>
            <w:vAlign w:val="bottom"/>
          </w:tcPr>
          <w:p>
            <w:pPr>
              <w:spacing w:after="0"/>
              <w:rPr>
                <w:sz w:val="17"/>
                <w:szCs w:val="17"/>
                <w:color w:val="auto"/>
              </w:rPr>
            </w:pPr>
          </w:p>
        </w:tc>
      </w:tr>
      <w:tr>
        <w:trPr>
          <w:trHeight w:val="203"/>
        </w:trPr>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1,614 1,429 1,371 1,028 918</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Merger,</w:t>
            </w:r>
          </w:p>
        </w:tc>
      </w:tr>
      <w:tr>
        <w:trPr>
          <w:trHeight w:val="203"/>
        </w:trPr>
        <w:tc>
          <w:tcPr>
            <w:tcW w:w="35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acquisition and restructuring</w:t>
            </w:r>
          </w:p>
        </w:tc>
        <w:tc>
          <w:tcPr>
            <w:tcW w:w="160" w:type="dxa"/>
            <w:vAlign w:val="bottom"/>
          </w:tcPr>
          <w:p>
            <w:pPr>
              <w:spacing w:after="0"/>
              <w:rPr>
                <w:sz w:val="17"/>
                <w:szCs w:val="17"/>
                <w:color w:val="auto"/>
              </w:rPr>
            </w:pPr>
          </w:p>
        </w:tc>
      </w:tr>
      <w:tr>
        <w:trPr>
          <w:trHeight w:val="203"/>
        </w:trPr>
        <w:tc>
          <w:tcPr>
            <w:tcW w:w="220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related costs.......</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113 1,807 45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1540" w:right="6639" w:hanging="1327"/>
        <w:spacing w:after="0" w:line="235" w:lineRule="auto"/>
        <w:tabs>
          <w:tab w:leader="none" w:pos="43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-- 38 Asset impairments and unusual</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000" w:type="dxa"/>
            <w:vAlign w:val="bottom"/>
            <w:gridSpan w:val="2"/>
          </w:tcPr>
          <w:p>
            <w:pPr>
              <w:spacing w:after="0"/>
              <w:rPr>
                <w:sz w:val="20"/>
                <w:szCs w:val="20"/>
                <w:color w:val="auto"/>
              </w:rPr>
            </w:pPr>
            <w:r>
              <w:rPr>
                <w:rFonts w:ascii="Courier New" w:cs="Courier New" w:eastAsia="Courier New" w:hAnsi="Courier New"/>
                <w:sz w:val="5"/>
                <w:szCs w:val="5"/>
                <w:color w:val="auto"/>
                <w:w w:val="96"/>
              </w:rPr>
              <w:t>items.............................</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1,771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864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(9) Loss</w:t>
            </w:r>
          </w:p>
        </w:tc>
      </w:tr>
    </w:tbl>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from continuing operations held for</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sale, net of minority</w:t>
      </w:r>
    </w:p>
    <w:p>
      <w:pPr>
        <w:spacing w:after="0" w:line="238" w:lineRule="auto"/>
        <w:rPr>
          <w:sz w:val="20"/>
          <w:szCs w:val="20"/>
          <w:color w:val="auto"/>
        </w:rPr>
      </w:pPr>
      <w:r>
        <w:rPr>
          <w:rFonts w:ascii="Courier New" w:cs="Courier New" w:eastAsia="Courier New" w:hAnsi="Courier New"/>
          <w:sz w:val="18"/>
          <w:szCs w:val="18"/>
          <w:color w:val="auto"/>
        </w:rPr>
        <w:t>interest............................</w:t>
      </w:r>
    </w:p>
    <w:p>
      <w:pPr>
        <w:ind w:left="60"/>
        <w:spacing w:after="0"/>
        <w:rPr>
          <w:sz w:val="20"/>
          <w:szCs w:val="20"/>
          <w:color w:val="auto"/>
        </w:rPr>
      </w:pPr>
      <w:r>
        <w:rPr>
          <w:rFonts w:ascii="Courier New" w:cs="Courier New" w:eastAsia="Courier New" w:hAnsi="Courier New"/>
          <w:sz w:val="18"/>
          <w:szCs w:val="18"/>
          <w:color w:val="auto"/>
        </w:rPr>
        <w:t>10 -- -- -- -- -- -- ------- ------</w:t>
      </w:r>
    </w:p>
    <w:p>
      <w:pPr>
        <w:ind w:left="60"/>
        <w:spacing w:after="0" w:line="237" w:lineRule="auto"/>
        <w:rPr>
          <w:sz w:val="20"/>
          <w:szCs w:val="20"/>
          <w:color w:val="auto"/>
        </w:rPr>
      </w:pPr>
      <w:r>
        <w:rPr>
          <w:rFonts w:ascii="Courier New" w:cs="Courier New" w:eastAsia="Courier New" w:hAnsi="Courier New"/>
          <w:sz w:val="18"/>
          <w:szCs w:val="18"/>
          <w:color w:val="auto"/>
        </w:rPr>
        <w:t>- ------- ------- ------- ------ --</w:t>
      </w:r>
    </w:p>
    <w:tbl>
      <w:tblPr>
        <w:tblLayout w:type="fixed"/>
        <w:tblInd w:w="60" w:type="dxa"/>
        <w:tblCellMar>
          <w:top w:w="0" w:type="dxa"/>
          <w:left w:w="0" w:type="dxa"/>
          <w:bottom w:w="0" w:type="dxa"/>
          <w:right w:w="0" w:type="dxa"/>
        </w:tblCellMar>
      </w:tblPr>
      <w:tr>
        <w:trPr>
          <w:trHeight w:val="203"/>
        </w:trPr>
        <w:tc>
          <w:tcPr>
            <w:tcW w:w="14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---- 12,206</w:t>
            </w:r>
          </w:p>
        </w:tc>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12,786 12,587 11,454</w:t>
            </w:r>
          </w:p>
        </w:tc>
      </w:tr>
      <w:tr>
        <w:trPr>
          <w:trHeight w:val="203"/>
        </w:trPr>
        <w:tc>
          <w:tcPr>
            <w:tcW w:w="14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10,039 7,631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7,069 -------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 ------- ------- ------ ----</w:t>
            </w:r>
          </w:p>
        </w:tc>
      </w:tr>
      <w:tr>
        <w:trPr>
          <w:trHeight w:val="203"/>
        </w:trPr>
        <w:tc>
          <w:tcPr>
            <w:tcW w:w="368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 Income (loss) from</w:t>
            </w:r>
          </w:p>
        </w:tc>
      </w:tr>
      <w:tr>
        <w:trPr>
          <w:trHeight w:val="203"/>
        </w:trPr>
        <w:tc>
          <w:tcPr>
            <w:tcW w:w="1420" w:type="dxa"/>
            <w:vAlign w:val="bottom"/>
          </w:tcPr>
          <w:p>
            <w:pPr>
              <w:spacing w:after="0"/>
              <w:rPr>
                <w:sz w:val="20"/>
                <w:szCs w:val="20"/>
                <w:color w:val="auto"/>
              </w:rPr>
            </w:pPr>
            <w:r>
              <w:rPr>
                <w:rFonts w:ascii="Courier New" w:cs="Courier New" w:eastAsia="Courier New" w:hAnsi="Courier New"/>
                <w:sz w:val="16"/>
                <w:szCs w:val="16"/>
                <w:color w:val="auto"/>
                <w:w w:val="76"/>
              </w:rPr>
              <w:t>operations.........</w:t>
            </w: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 (160) 540</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1"/>
              </w:rPr>
              <w:t>1,038 1,283 900 1,261 -------</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380" w:hanging="325"/>
        <w:spacing w:after="0" w:line="238" w:lineRule="auto"/>
        <w:tabs>
          <w:tab w:leader="none" w:pos="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Other income (expense):</w:t>
      </w:r>
    </w:p>
    <w:p>
      <w:pPr>
        <w:jc w:val="center"/>
        <w:ind w:right="6439"/>
        <w:spacing w:after="0"/>
        <w:rPr>
          <w:sz w:val="20"/>
          <w:szCs w:val="20"/>
          <w:color w:val="auto"/>
        </w:rPr>
      </w:pPr>
      <w:r>
        <w:rPr>
          <w:rFonts w:ascii="Courier New" w:cs="Courier New" w:eastAsia="Courier New" w:hAnsi="Courier New"/>
          <w:sz w:val="18"/>
          <w:szCs w:val="18"/>
          <w:color w:val="auto"/>
        </w:rPr>
        <w:t>Interest</w:t>
      </w:r>
    </w:p>
    <w:p>
      <w:pPr>
        <w:jc w:val="center"/>
        <w:ind w:right="6439"/>
        <w:spacing w:after="0" w:line="237" w:lineRule="auto"/>
        <w:rPr>
          <w:sz w:val="20"/>
          <w:szCs w:val="20"/>
          <w:color w:val="auto"/>
        </w:rPr>
      </w:pPr>
      <w:r>
        <w:rPr>
          <w:rFonts w:ascii="Courier New" w:cs="Courier New" w:eastAsia="Courier New" w:hAnsi="Courier New"/>
          <w:sz w:val="18"/>
          <w:szCs w:val="18"/>
          <w:color w:val="auto"/>
        </w:rPr>
        <w:t>expense.................... (556)</w:t>
      </w:r>
    </w:p>
    <w:p>
      <w:pPr>
        <w:spacing w:after="0" w:line="5" w:lineRule="exact"/>
        <w:rPr>
          <w:sz w:val="20"/>
          <w:szCs w:val="20"/>
          <w:color w:val="auto"/>
        </w:rPr>
      </w:pPr>
    </w:p>
    <w:p>
      <w:pPr>
        <w:ind w:left="1480" w:right="6479" w:hanging="1425"/>
        <w:spacing w:after="0" w:line="235" w:lineRule="auto"/>
        <w:tabs>
          <w:tab w:leader="none" w:pos="69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(770) (748) (541) (425) (350) Interest</w:t>
      </w:r>
    </w:p>
    <w:tbl>
      <w:tblPr>
        <w:tblLayout w:type="fixed"/>
        <w:tblInd w:w="60" w:type="dxa"/>
        <w:tblCellMar>
          <w:top w:w="0" w:type="dxa"/>
          <w:left w:w="0" w:type="dxa"/>
          <w:bottom w:w="0" w:type="dxa"/>
          <w:right w:w="0" w:type="dxa"/>
        </w:tblCellMar>
      </w:tblPr>
      <w:tr>
        <w:trPr>
          <w:trHeight w:val="204"/>
        </w:trPr>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3"/>
              </w:rPr>
              <w:t>income.....................</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45 27</w:t>
            </w:r>
          </w:p>
        </w:tc>
      </w:tr>
      <w:tr>
        <w:trPr>
          <w:trHeight w:val="203"/>
        </w:trPr>
        <w:tc>
          <w:tcPr>
            <w:tcW w:w="3680" w:type="dxa"/>
            <w:vAlign w:val="bottom"/>
            <w:gridSpan w:val="5"/>
          </w:tcPr>
          <w:p>
            <w:pPr>
              <w:jc w:val="right"/>
              <w:ind w:right="552"/>
              <w:spacing w:after="0" w:line="203" w:lineRule="exact"/>
              <w:rPr>
                <w:sz w:val="20"/>
                <w:szCs w:val="20"/>
                <w:color w:val="auto"/>
              </w:rPr>
            </w:pPr>
            <w:r>
              <w:rPr>
                <w:rFonts w:ascii="Courier New" w:cs="Courier New" w:eastAsia="Courier New" w:hAnsi="Courier New"/>
                <w:sz w:val="18"/>
                <w:szCs w:val="18"/>
                <w:color w:val="auto"/>
              </w:rPr>
              <w:t>38 31 37 34 14 Minority</w:t>
            </w: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interest...................</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 (24)</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w w:val="94"/>
              </w:rPr>
              <w:t>(23) (5)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income, net</w:t>
            </w:r>
          </w:p>
        </w:tc>
        <w:tc>
          <w:tcPr>
            <w:tcW w:w="1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w:t>
            </w:r>
          </w:p>
        </w:tc>
        <w:tc>
          <w:tcPr>
            <w:tcW w:w="4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139 53 23 13 9 4 -------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80" w:hanging="625"/>
        <w:spacing w:after="0" w:line="238" w:lineRule="auto"/>
        <w:tabs>
          <w:tab w:leader="none" w:pos="6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80" w:hanging="625"/>
        <w:spacing w:after="0" w:line="238" w:lineRule="auto"/>
        <w:tabs>
          <w:tab w:leader="none" w:pos="6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(540) (703) (717) (496) (385)</w:t>
      </w:r>
    </w:p>
    <w:p>
      <w:pPr>
        <w:ind w:left="680" w:hanging="625"/>
        <w:spacing w:after="0" w:line="238" w:lineRule="auto"/>
        <w:tabs>
          <w:tab w:leader="none" w:pos="6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Income</w:t>
      </w:r>
    </w:p>
    <w:p>
      <w:pPr>
        <w:ind w:left="160"/>
        <w:spacing w:after="0"/>
        <w:rPr>
          <w:sz w:val="20"/>
          <w:szCs w:val="20"/>
          <w:color w:val="auto"/>
        </w:rPr>
      </w:pPr>
      <w:r>
        <w:rPr>
          <w:rFonts w:ascii="Courier New" w:cs="Courier New" w:eastAsia="Courier New" w:hAnsi="Courier New"/>
          <w:sz w:val="18"/>
          <w:szCs w:val="18"/>
          <w:color w:val="auto"/>
        </w:rPr>
        <w:t>(loss) from continuing operations</w:t>
      </w:r>
    </w:p>
    <w:tbl>
      <w:tblPr>
        <w:tblLayout w:type="fixed"/>
        <w:tblInd w:w="260" w:type="dxa"/>
        <w:tblCellMar>
          <w:top w:w="0" w:type="dxa"/>
          <w:left w:w="0" w:type="dxa"/>
          <w:bottom w:w="0" w:type="dxa"/>
          <w:right w:w="0" w:type="dxa"/>
        </w:tblCellMar>
      </w:tblPr>
      <w:tr>
        <w:trPr>
          <w:trHeight w:val="202"/>
        </w:trPr>
        <w:tc>
          <w:tcPr>
            <w:tcW w:w="270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before income taxes......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(663)</w:t>
            </w:r>
          </w:p>
        </w:tc>
      </w:tr>
    </w:tbl>
    <w:p>
      <w:pPr>
        <w:spacing w:after="0" w:line="4" w:lineRule="exact"/>
        <w:rPr>
          <w:sz w:val="20"/>
          <w:szCs w:val="20"/>
          <w:color w:val="auto"/>
        </w:rPr>
      </w:pPr>
    </w:p>
    <w:p>
      <w:pPr>
        <w:ind w:left="840" w:right="6899" w:hanging="363"/>
        <w:spacing w:after="0" w:line="268" w:lineRule="auto"/>
        <w:tabs>
          <w:tab w:leader="none" w:pos="11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(163) 321 787 515 925 Provision for income</w:t>
      </w:r>
    </w:p>
    <w:p>
      <w:pPr>
        <w:jc w:val="center"/>
        <w:ind w:right="6439"/>
        <w:spacing w:after="0" w:line="233" w:lineRule="auto"/>
        <w:rPr>
          <w:sz w:val="20"/>
          <w:szCs w:val="20"/>
          <w:color w:val="auto"/>
        </w:rPr>
      </w:pPr>
      <w:r>
        <w:rPr>
          <w:rFonts w:ascii="Courier New" w:cs="Courier New" w:eastAsia="Courier New" w:hAnsi="Courier New"/>
          <w:sz w:val="18"/>
          <w:szCs w:val="18"/>
          <w:color w:val="auto"/>
        </w:rPr>
        <w:t>taxes............ 363 67 232 418</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284 170 340 ------- ------- -------</w:t>
      </w:r>
    </w:p>
    <w:p>
      <w:pPr>
        <w:sectPr>
          <w:pgSz w:w="11900" w:h="16838" w:orient="portrait"/>
          <w:cols w:equalWidth="0" w:num="1">
            <w:col w:w="10219"/>
          </w:cols>
          <w:pgMar w:left="240" w:top="717" w:right="1440" w:bottom="0" w:gutter="0" w:footer="0" w:header="0"/>
        </w:sectPr>
      </w:pPr>
    </w:p>
    <w:bookmarkStart w:id="12" w:name="page13"/>
    <w:bookmarkEnd w:id="12"/>
    <w:p>
      <w:pPr>
        <w:jc w:val="center"/>
        <w:ind w:right="6439"/>
        <w:spacing w:after="0"/>
        <w:rPr>
          <w:sz w:val="20"/>
          <w:szCs w:val="20"/>
          <w:color w:val="auto"/>
        </w:rPr>
      </w:pPr>
      <w:r>
        <w:rPr>
          <w:rFonts w:ascii="Courier New" w:cs="Courier New" w:eastAsia="Courier New" w:hAnsi="Courier New"/>
          <w:sz w:val="18"/>
          <w:szCs w:val="18"/>
          <w:color w:val="auto"/>
        </w:rPr>
        <w:t>------- -------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 from continuing</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operations..........................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(1,026) (767) (395) (97) 503 345</w:t>
      </w:r>
    </w:p>
    <w:p>
      <w:pPr>
        <w:jc w:val="center"/>
        <w:ind w:right="6439"/>
        <w:spacing w:after="0" w:line="238" w:lineRule="auto"/>
        <w:rPr>
          <w:sz w:val="20"/>
          <w:szCs w:val="20"/>
          <w:color w:val="auto"/>
        </w:rPr>
      </w:pPr>
      <w:r>
        <w:rPr>
          <w:rFonts w:ascii="Courier New" w:cs="Courier New" w:eastAsia="Courier New" w:hAnsi="Courier New"/>
          <w:sz w:val="18"/>
          <w:szCs w:val="18"/>
          <w:color w:val="auto"/>
        </w:rPr>
        <w:t>585 Income from discontinued</w:t>
      </w:r>
    </w:p>
    <w:p>
      <w:pPr>
        <w:jc w:val="center"/>
        <w:ind w:right="6439"/>
        <w:spacing w:after="0"/>
        <w:rPr>
          <w:sz w:val="20"/>
          <w:szCs w:val="20"/>
          <w:color w:val="auto"/>
        </w:rPr>
      </w:pPr>
      <w:r>
        <w:rPr>
          <w:rFonts w:ascii="Courier New" w:cs="Courier New" w:eastAsia="Courier New" w:hAnsi="Courier New"/>
          <w:sz w:val="18"/>
          <w:szCs w:val="18"/>
          <w:color w:val="auto"/>
        </w:rPr>
        <w:t>operations... 96 -- -- -- --</w:t>
      </w:r>
    </w:p>
    <w:p>
      <w:pPr>
        <w:jc w:val="center"/>
        <w:ind w:right="643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6439"/>
        <w:spacing w:after="0" w:line="238" w:lineRule="auto"/>
        <w:rPr>
          <w:sz w:val="20"/>
          <w:szCs w:val="20"/>
          <w:color w:val="auto"/>
        </w:rPr>
      </w:pPr>
      <w:r>
        <w:rPr>
          <w:rFonts w:ascii="Courier New" w:cs="Courier New" w:eastAsia="Courier New" w:hAnsi="Courier New"/>
          <w:sz w:val="18"/>
          <w:szCs w:val="18"/>
          <w:color w:val="auto"/>
        </w:rPr>
        <w:t>item.................... (7) (4)</w:t>
      </w:r>
    </w:p>
    <w:p>
      <w:pPr>
        <w:jc w:val="center"/>
        <w:ind w:right="6439"/>
        <w:spacing w:after="0"/>
        <w:rPr>
          <w:sz w:val="20"/>
          <w:szCs w:val="20"/>
          <w:color w:val="auto"/>
        </w:rPr>
      </w:pPr>
      <w:r>
        <w:rPr>
          <w:rFonts w:ascii="Courier New" w:cs="Courier New" w:eastAsia="Courier New" w:hAnsi="Courier New"/>
          <w:sz w:val="18"/>
          <w:szCs w:val="18"/>
          <w:color w:val="auto"/>
        </w:rPr>
        <w:t>(3) -- (2) (2) (1) Accounting</w:t>
      </w:r>
    </w:p>
    <w:p>
      <w:pPr>
        <w:jc w:val="center"/>
        <w:ind w:right="6439"/>
        <w:spacing w:after="0" w:line="237" w:lineRule="auto"/>
        <w:rPr>
          <w:sz w:val="20"/>
          <w:szCs w:val="20"/>
          <w:color w:val="auto"/>
        </w:rPr>
      </w:pPr>
      <w:r>
        <w:rPr>
          <w:rFonts w:ascii="Courier New" w:cs="Courier New" w:eastAsia="Courier New" w:hAnsi="Courier New"/>
          <w:sz w:val="18"/>
          <w:szCs w:val="18"/>
          <w:color w:val="auto"/>
        </w:rPr>
        <w:t>change..................... (2) --</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-- 2 2 2 -------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 ------ Net</w:t>
      </w:r>
    </w:p>
    <w:p>
      <w:pPr>
        <w:jc w:val="center"/>
        <w:ind w:right="6439"/>
        <w:spacing w:after="0" w:line="238" w:lineRule="auto"/>
        <w:rPr>
          <w:sz w:val="20"/>
          <w:szCs w:val="20"/>
          <w:color w:val="auto"/>
        </w:rPr>
      </w:pPr>
      <w:r>
        <w:rPr>
          <w:rFonts w:ascii="Courier New" w:cs="Courier New" w:eastAsia="Courier New" w:hAnsi="Courier New"/>
          <w:sz w:val="18"/>
          <w:szCs w:val="18"/>
          <w:color w:val="auto"/>
        </w:rPr>
        <w:t>income (loss).....................</w:t>
      </w:r>
    </w:p>
    <w:p>
      <w:pPr>
        <w:jc w:val="center"/>
        <w:ind w:right="6439"/>
        <w:spacing w:after="0"/>
        <w:rPr>
          <w:sz w:val="20"/>
          <w:szCs w:val="20"/>
          <w:color w:val="auto"/>
        </w:rPr>
      </w:pPr>
      <w:r>
        <w:rPr>
          <w:rFonts w:ascii="Courier New" w:cs="Courier New" w:eastAsia="Courier New" w:hAnsi="Courier New"/>
          <w:sz w:val="18"/>
          <w:szCs w:val="18"/>
          <w:color w:val="auto"/>
        </w:rPr>
        <w:t>$ (939) $ (771) $ (398) $ (97) $</w:t>
      </w:r>
    </w:p>
    <w:p>
      <w:pPr>
        <w:jc w:val="center"/>
        <w:ind w:right="6439"/>
        <w:spacing w:after="0" w:line="237" w:lineRule="auto"/>
        <w:rPr>
          <w:sz w:val="20"/>
          <w:szCs w:val="20"/>
          <w:color w:val="auto"/>
        </w:rPr>
      </w:pPr>
      <w:r>
        <w:rPr>
          <w:rFonts w:ascii="Courier New" w:cs="Courier New" w:eastAsia="Courier New" w:hAnsi="Courier New"/>
          <w:sz w:val="18"/>
          <w:szCs w:val="18"/>
          <w:color w:val="auto"/>
        </w:rPr>
        <w:t>503 $ 345 $ 586 ======= =======</w:t>
      </w:r>
    </w:p>
    <w:p>
      <w:pPr>
        <w:jc w:val="center"/>
        <w:ind w:right="6439"/>
        <w:spacing w:after="0" w:line="238" w:lineRule="auto"/>
        <w:rPr>
          <w:sz w:val="20"/>
          <w:szCs w:val="20"/>
          <w:color w:val="auto"/>
        </w:rPr>
      </w:pPr>
      <w:r>
        <w:rPr>
          <w:rFonts w:ascii="Courier New" w:cs="Courier New" w:eastAsia="Courier New" w:hAnsi="Courier New"/>
          <w:sz w:val="18"/>
          <w:szCs w:val="18"/>
          <w:color w:val="auto"/>
        </w:rPr>
        <w:t>======= ======= ======= ======</w:t>
      </w:r>
    </w:p>
    <w:p>
      <w:pPr>
        <w:jc w:val="center"/>
        <w:ind w:right="643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3" w:name="page14"/>
    <w:bookmarkEnd w:id="13"/>
    <w:p>
      <w:pPr>
        <w:jc w:val="center"/>
        <w:ind w:right="6419"/>
        <w:spacing w:after="0"/>
        <w:rPr>
          <w:sz w:val="20"/>
          <w:szCs w:val="20"/>
          <w:color w:val="auto"/>
        </w:rPr>
      </w:pPr>
      <w:r>
        <w:rPr>
          <w:rFonts w:ascii="Courier New" w:cs="Courier New" w:eastAsia="Courier New" w:hAnsi="Courier New"/>
          <w:sz w:val="18"/>
          <w:szCs w:val="18"/>
          <w:color w:val="auto"/>
        </w:rPr>
        <w:t>NINE MONTHS ENDED YEARS ENDED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DECEMBER 31, SEPTEMBER 30,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--------------- 1997 1998 1999</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2000 2001 2001 2002 -------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w:t>
      </w:r>
    </w:p>
    <w:p>
      <w:pPr>
        <w:spacing w:after="0" w:line="21" w:lineRule="exact"/>
        <w:rPr>
          <w:sz w:val="20"/>
          <w:szCs w:val="20"/>
          <w:color w:val="auto"/>
        </w:rPr>
      </w:pPr>
    </w:p>
    <w:p>
      <w:pPr>
        <w:jc w:val="both"/>
        <w:ind w:left="100" w:right="6539" w:firstLine="60"/>
        <w:spacing w:after="0" w:line="268" w:lineRule="auto"/>
        <w:tabs>
          <w:tab w:leader="none" w:pos="4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EXCEPT PER SHARE AMOUNTS) Basic earnings (loss) per</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0.55 $ 0.95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380" w:hanging="324"/>
        <w:spacing w:after="0"/>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Net</w:t>
      </w:r>
    </w:p>
    <w:tbl>
      <w:tblPr>
        <w:tblLayout w:type="fixed"/>
        <w:tblInd w:w="60" w:type="dxa"/>
        <w:tblCellMar>
          <w:top w:w="0" w:type="dxa"/>
          <w:left w:w="0" w:type="dxa"/>
          <w:bottom w:w="0" w:type="dxa"/>
          <w:right w:w="0" w:type="dxa"/>
        </w:tblCellMar>
      </w:tblP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income (loss)...................</w:t>
            </w:r>
          </w:p>
        </w:tc>
        <w:tc>
          <w:tcPr>
            <w:tcW w:w="9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(1.68) $ (1.32)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(0.65)</w:t>
            </w:r>
          </w:p>
        </w:tc>
        <w:tc>
          <w:tcPr>
            <w:tcW w:w="9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(0.16)</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0.80 $ 0.55 $ 0.95 ======= =======</w:t>
      </w:r>
    </w:p>
    <w:p>
      <w:pPr>
        <w:jc w:val="center"/>
        <w:ind w:right="6419"/>
        <w:spacing w:after="0"/>
        <w:rPr>
          <w:sz w:val="20"/>
          <w:szCs w:val="20"/>
          <w:color w:val="auto"/>
        </w:rPr>
      </w:pPr>
      <w:r>
        <w:rPr>
          <w:rFonts w:ascii="Courier New" w:cs="Courier New" w:eastAsia="Courier New" w:hAnsi="Courier New"/>
          <w:sz w:val="18"/>
          <w:szCs w:val="18"/>
          <w:color w:val="auto"/>
        </w:rPr>
        <w:t>=======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 Diluted earnings (loss) per</w:t>
      </w:r>
    </w:p>
    <w:p>
      <w:pPr>
        <w:jc w:val="center"/>
        <w:ind w:right="6419"/>
        <w:spacing w:after="0" w:line="238" w:lineRule="auto"/>
        <w:rPr>
          <w:sz w:val="20"/>
          <w:szCs w:val="20"/>
          <w:color w:val="auto"/>
        </w:rPr>
      </w:pPr>
      <w:r>
        <w:rPr>
          <w:rFonts w:ascii="Courier New" w:cs="Courier New" w:eastAsia="Courier New" w:hAnsi="Courier New"/>
          <w:sz w:val="18"/>
          <w:szCs w:val="18"/>
          <w:color w:val="auto"/>
        </w:rPr>
        <w:t>common share: Continuing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 (1.84)</w:t>
      </w:r>
    </w:p>
    <w:p>
      <w:pPr>
        <w:spacing w:after="0" w:line="2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 (1.31) $ (0.64) $ (0.16) $ 0.80 $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0.55 $ 0.94 Discontinued</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operations............. 0.17 -- --</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 -- -- Extraordinary</w:t>
      </w:r>
    </w:p>
    <w:p>
      <w:pPr>
        <w:ind w:left="380"/>
        <w:spacing w:after="0" w:line="238" w:lineRule="auto"/>
        <w:rPr>
          <w:sz w:val="20"/>
          <w:szCs w:val="20"/>
          <w:color w:val="auto"/>
        </w:rPr>
      </w:pPr>
      <w:r>
        <w:rPr>
          <w:rFonts w:ascii="Courier New" w:cs="Courier New" w:eastAsia="Courier New" w:hAnsi="Courier New"/>
          <w:sz w:val="18"/>
          <w:szCs w:val="18"/>
          <w:color w:val="auto"/>
        </w:rPr>
        <w:t>item.................. (0.01)</w:t>
      </w:r>
    </w:p>
    <w:p>
      <w:pPr>
        <w:jc w:val="center"/>
        <w:ind w:right="6419"/>
        <w:spacing w:after="0"/>
        <w:rPr>
          <w:sz w:val="20"/>
          <w:szCs w:val="20"/>
          <w:color w:val="auto"/>
        </w:rPr>
      </w:pPr>
      <w:r>
        <w:rPr>
          <w:rFonts w:ascii="Courier New" w:cs="Courier New" w:eastAsia="Courier New" w:hAnsi="Courier New"/>
          <w:sz w:val="18"/>
          <w:szCs w:val="18"/>
          <w:color w:val="auto"/>
        </w:rPr>
        <w:t>(0.01) (0.01) -- -- -- --</w:t>
      </w:r>
    </w:p>
    <w:p>
      <w:pPr>
        <w:jc w:val="center"/>
        <w:ind w:right="6419"/>
        <w:spacing w:after="0" w:line="237" w:lineRule="auto"/>
        <w:rPr>
          <w:sz w:val="20"/>
          <w:szCs w:val="20"/>
          <w:color w:val="auto"/>
        </w:rPr>
      </w:pPr>
      <w:r>
        <w:rPr>
          <w:rFonts w:ascii="Courier New" w:cs="Courier New" w:eastAsia="Courier New" w:hAnsi="Courier New"/>
          <w:sz w:val="18"/>
          <w:szCs w:val="18"/>
          <w:color w:val="auto"/>
        </w:rPr>
        <w:t>Accounting</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 ------- -------</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74"/>
              </w:rPr>
              <w:t>-------</w:t>
            </w:r>
          </w:p>
        </w:tc>
        <w:tc>
          <w:tcPr>
            <w:tcW w:w="30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 ------ ------ Net</w:t>
            </w:r>
          </w:p>
        </w:tc>
        <w:tc>
          <w:tcPr>
            <w:tcW w:w="100" w:type="dxa"/>
            <w:vAlign w:val="bottom"/>
          </w:tcPr>
          <w:p>
            <w:pPr>
              <w:spacing w:after="0"/>
              <w:rPr>
                <w:sz w:val="17"/>
                <w:szCs w:val="17"/>
                <w:color w:val="auto"/>
              </w:rPr>
            </w:pPr>
          </w:p>
        </w:tc>
      </w:tr>
      <w:tr>
        <w:trPr>
          <w:trHeight w:val="203"/>
        </w:trPr>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71"/>
              </w:rPr>
              <w:t>income (loss)...................</w:t>
            </w:r>
          </w:p>
        </w:tc>
        <w:tc>
          <w:tcPr>
            <w:tcW w:w="5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(1.68) $ (1.32) $ (0.65) $</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0.80</w:t>
            </w:r>
          </w:p>
        </w:tc>
        <w:tc>
          <w:tcPr>
            <w:tcW w:w="31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6"/>
              </w:rPr>
              <w:t>$ 0.55 $ 0.94 ======= =======</w:t>
            </w:r>
          </w:p>
        </w:tc>
      </w:tr>
      <w:tr>
        <w:trPr>
          <w:trHeight w:val="203"/>
        </w:trPr>
        <w:tc>
          <w:tcPr>
            <w:tcW w:w="358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 ======= ======= ======</w:t>
            </w:r>
          </w:p>
        </w:tc>
        <w:tc>
          <w:tcPr>
            <w:tcW w:w="100" w:type="dxa"/>
            <w:vAlign w:val="bottom"/>
          </w:tcPr>
          <w:p>
            <w:pPr>
              <w:spacing w:after="0"/>
              <w:rPr>
                <w:sz w:val="17"/>
                <w:szCs w:val="17"/>
                <w:color w:val="auto"/>
              </w:rPr>
            </w:pPr>
          </w:p>
        </w:tc>
      </w:tr>
      <w:tr>
        <w:trPr>
          <w:trHeight w:val="203"/>
        </w:trPr>
        <w:tc>
          <w:tcPr>
            <w:tcW w:w="3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Cash dividends per common</w:t>
            </w:r>
          </w:p>
        </w:tc>
        <w:tc>
          <w:tcPr>
            <w:tcW w:w="100" w:type="dxa"/>
            <w:vAlign w:val="bottom"/>
          </w:tcPr>
          <w:p>
            <w:pPr>
              <w:spacing w:after="0"/>
              <w:rPr>
                <w:sz w:val="17"/>
                <w:szCs w:val="17"/>
                <w:color w:val="auto"/>
              </w:rPr>
            </w:pP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1"/>
                <w:szCs w:val="11"/>
                <w:color w:val="auto"/>
                <w:w w:val="70"/>
              </w:rPr>
              <w:t>share.......</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$ 0.01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$ 0.01 $ 0.01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35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 ======= ======= =======</w:t>
            </w:r>
          </w:p>
        </w:tc>
        <w:tc>
          <w:tcPr>
            <w:tcW w:w="100" w:type="dxa"/>
            <w:vAlign w:val="bottom"/>
          </w:tcPr>
          <w:p>
            <w:pPr>
              <w:spacing w:after="0"/>
              <w:rPr>
                <w:sz w:val="17"/>
                <w:szCs w:val="17"/>
                <w:color w:val="auto"/>
              </w:rPr>
            </w:pPr>
          </w:p>
        </w:tc>
      </w:tr>
    </w:tbl>
    <w:p>
      <w:pPr>
        <w:jc w:val="center"/>
        <w:ind w:right="6419"/>
        <w:spacing w:after="0" w:line="238" w:lineRule="auto"/>
        <w:rPr>
          <w:sz w:val="20"/>
          <w:szCs w:val="20"/>
          <w:color w:val="auto"/>
        </w:rPr>
      </w:pPr>
      <w:r>
        <w:rPr>
          <w:rFonts w:ascii="Courier New" w:cs="Courier New" w:eastAsia="Courier New" w:hAnsi="Courier New"/>
          <w:sz w:val="18"/>
          <w:szCs w:val="18"/>
          <w:color w:val="auto"/>
        </w:rPr>
        <w:t>====== ====== BALANCE SHEET DATA</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(AT END OF PERIOD): Working capital</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(deficit)............. $(1,967) $</w:t>
      </w:r>
    </w:p>
    <w:p>
      <w:pPr>
        <w:ind w:left="840" w:hanging="627"/>
        <w:spacing w:after="0" w:line="238" w:lineRule="auto"/>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$(1,269) $ (582) $ (597) $</w:t>
      </w:r>
    </w:p>
    <w:p>
      <w:pPr>
        <w:ind w:left="840" w:hanging="627"/>
        <w:spacing w:after="0" w:line="238" w:lineRule="auto"/>
        <w:tabs>
          <w:tab w:leader="none" w:pos="8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(556) Intangible assets,</w:t>
      </w:r>
    </w:p>
    <w:p>
      <w:pPr>
        <w:ind w:left="260"/>
        <w:spacing w:after="0"/>
        <w:rPr>
          <w:sz w:val="20"/>
          <w:szCs w:val="20"/>
          <w:color w:val="auto"/>
        </w:rPr>
      </w:pPr>
      <w:r>
        <w:rPr>
          <w:rFonts w:ascii="Courier New" w:cs="Courier New" w:eastAsia="Courier New" w:hAnsi="Courier New"/>
          <w:sz w:val="18"/>
          <w:szCs w:val="18"/>
          <w:color w:val="auto"/>
        </w:rPr>
        <w:t>net................ 4,848 6,250</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5,356 5,193 5,121 5,141 5,156 Total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assets..........................</w:t>
      </w:r>
    </w:p>
    <w:tbl>
      <w:tblPr>
        <w:tblLayout w:type="fixed"/>
        <w:tblInd w:w="0" w:type="dxa"/>
        <w:tblCellMar>
          <w:top w:w="0" w:type="dxa"/>
          <w:left w:w="0" w:type="dxa"/>
          <w:bottom w:w="0" w:type="dxa"/>
          <w:right w:w="0" w:type="dxa"/>
        </w:tblCellMar>
      </w:tblPr>
      <w:tr>
        <w:trPr>
          <w:trHeight w:val="203"/>
        </w:trPr>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20,156</w:t>
            </w:r>
          </w:p>
        </w:tc>
        <w:tc>
          <w:tcPr>
            <w:tcW w:w="290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22,882 22,681 18,565 19,490</w:t>
            </w:r>
          </w:p>
        </w:tc>
      </w:tr>
      <w:tr>
        <w:trPr>
          <w:trHeight w:val="203"/>
        </w:trPr>
        <w:tc>
          <w:tcPr>
            <w:tcW w:w="1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18,880 19,989</w:t>
            </w:r>
          </w:p>
        </w:tc>
        <w:tc>
          <w:tcPr>
            <w:tcW w:w="19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Long-term debt,</w:t>
            </w:r>
          </w:p>
        </w:tc>
      </w:tr>
      <w:tr>
        <w:trPr>
          <w:trHeight w:val="203"/>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rPr>
              <w:t>including current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1320" w:type="dxa"/>
            <w:vAlign w:val="bottom"/>
            <w:gridSpan w:val="3"/>
          </w:tcPr>
          <w:p>
            <w:pPr>
              <w:jc w:val="right"/>
              <w:spacing w:after="0"/>
              <w:rPr>
                <w:sz w:val="20"/>
                <w:szCs w:val="20"/>
                <w:color w:val="auto"/>
              </w:rPr>
            </w:pPr>
            <w:r>
              <w:rPr>
                <w:rFonts w:ascii="Courier New" w:cs="Courier New" w:eastAsia="Courier New" w:hAnsi="Courier New"/>
                <w:sz w:val="8"/>
                <w:szCs w:val="8"/>
                <w:color w:val="auto"/>
                <w:w w:val="75"/>
              </w:rPr>
              <w:t>portion.............................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9,480</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11,732 11,498</w:t>
            </w:r>
          </w:p>
        </w:tc>
        <w:tc>
          <w:tcPr>
            <w:tcW w:w="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8,485</w:t>
            </w:r>
          </w:p>
        </w:tc>
        <w:tc>
          <w:tcPr>
            <w:tcW w:w="8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8,224</w:t>
            </w:r>
          </w:p>
        </w:tc>
      </w:tr>
      <w:tr>
        <w:trPr>
          <w:trHeight w:val="203"/>
        </w:trPr>
        <w:tc>
          <w:tcPr>
            <w:tcW w:w="580" w:type="dxa"/>
            <w:vAlign w:val="bottom"/>
          </w:tcPr>
          <w:p>
            <w:pPr>
              <w:spacing w:after="0"/>
              <w:rPr>
                <w:sz w:val="17"/>
                <w:szCs w:val="17"/>
                <w:color w:val="auto"/>
              </w:rPr>
            </w:pPr>
          </w:p>
        </w:tc>
        <w:tc>
          <w:tcPr>
            <w:tcW w:w="12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7,942 8,526</w:t>
            </w: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Stockholders'</w:t>
            </w:r>
          </w:p>
        </w:tc>
        <w:tc>
          <w:tcPr>
            <w:tcW w:w="520" w:type="dxa"/>
            <w:vAlign w:val="bottom"/>
          </w:tcPr>
          <w:p>
            <w:pPr>
              <w:spacing w:after="0"/>
              <w:rPr>
                <w:sz w:val="17"/>
                <w:szCs w:val="17"/>
                <w:color w:val="auto"/>
              </w:rPr>
            </w:pPr>
          </w:p>
        </w:tc>
      </w:tr>
      <w:tr>
        <w:trPr>
          <w:trHeight w:val="203"/>
        </w:trPr>
        <w:tc>
          <w:tcPr>
            <w:tcW w:w="18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70"/>
              </w:rPr>
              <w:t>equity..................</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3,855</w:t>
            </w: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4,372</w:t>
            </w:r>
          </w:p>
        </w:tc>
        <w:tc>
          <w:tcPr>
            <w:tcW w:w="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4,402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4,801</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5,392</w:t>
            </w:r>
          </w:p>
        </w:tc>
        <w:tc>
          <w:tcPr>
            <w:tcW w:w="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5,207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5,410</w:t>
            </w:r>
          </w:p>
        </w:tc>
      </w:tr>
    </w:tbl>
    <w:p>
      <w:pPr>
        <w:spacing w:after="0" w:line="200" w:lineRule="exact"/>
        <w:rPr>
          <w:sz w:val="20"/>
          <w:szCs w:val="20"/>
          <w:color w:val="auto"/>
        </w:rPr>
      </w:pP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717" w:right="1440" w:bottom="1440" w:gutter="0" w:footer="0" w:header="0"/>
          <w:type w:val="continuous"/>
        </w:sectPr>
      </w:pPr>
    </w:p>
    <w:bookmarkStart w:id="14" w:name="page15"/>
    <w:bookmarkEnd w:id="14"/>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RISKS RELATING TO THE EXCHANGE OFFER AND HOLDING THE EXCHANGE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WILL NOT BE GUARANTEED BY OUR OPERATING SUBSIDIARIES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a holding company, we conduct our operations through our subsidiaries, and our only significant assets are the capital stock of our subsidiaries. Accordingly, our ability to meet our cash obligations, including our obligations under the exchange notes, depends in part upon the ability of our subsidiaries to make cash distributions to us. None of our subsidiaries other than Waste Management Holdings (which is not an operating subsidiary) will guarantee the exchange notes. This means that the exchange notes will be subordinated in right of payment to the claims of creditors of all of our operating subsidiaries. Additionally, any of our subsidiaries' declaration of bankruptcy, liquidation or reorganization could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Any inability to pay amounts to us, whether by reason of financial difficulties or other restrictions, could have a material adverse effect on our ability to service and repay our debt, including the exchange notes.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HAVE SUBSTANTIAL INDEBTEDNESS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substantial indebtedness. At September 30, 2002, our ratio of total debt to total capitalization was approximately 61%. Our total consolidated indebtedness as of September 30, 2002 was approximately $8.5 billion, of which approximately $1.6 billion is senior to, or effectively senior to, the exchange notes. Our annual debt service obligations vary due to differing maturities on all of our debt instruments; however, our total interest expense for the twelve months ended September 30, 2002 was approximately $466 million. A 1% increase in interest rates would increase our forecasted interest expense for 2002 by approximately 5.5%, or $26 million. Such an increase would cause our coverage ratio, which is one of our debt covenants and is calculated as consolidated net income plus interest and income taxes over interest expense, to decrease from</w:t>
      </w:r>
    </w:p>
    <w:p>
      <w:pPr>
        <w:spacing w:after="0" w:line="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3.44 to 1 to 3.27 to 1 as of September 30, 2002. Although such an interest rate increase would also affect our other debt covenants, we would still be in compliance with all of these covenants, including the coverage ratio covenant. However, any more substantial increases in interest rates could affect our compliance with our debt covenants, liquidity and ability to service our debt, including making payments on the exchange notes.</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degree to which we are leveraged could adversely affect our ability to obtain additional financing and could make us more vulnerable to industry downturns or competitive pressures, all of which could adversely affect our ability to meet our debt service obligations, including payments on the exchange notes. Additionally, the indenture does not limit the amount of future indebtedness that we can create, incur, assume or guarantee. The incurrence of additional debt would exacerbate any risks associated with our liquidity.</w:t>
      </w:r>
    </w:p>
    <w:p>
      <w:pPr>
        <w:spacing w:after="0" w:line="18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THE GUARANTEE OF THE NOTES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Waste Management Holdings' guarantee of the exchange notes may be subject to review under various laws for the protection of creditors. It is possible that the creditors of Waste Management Holdings may challenge the guarantee as a fraudulent transfer under relevant federal and state laws. Under certain circumstances, including a finding that Waste Management Holdings was insolvent at the time it issued the guarantee, a court could hold that the obligations of Waste Management Holdings under the guarantee may be voided or are subordinate to other obligations of Waste Management Holdings. It could also find</w:t>
      </w:r>
    </w:p>
    <w:p>
      <w:pPr>
        <w:ind w:left="4220"/>
        <w:spacing w:after="0" w:line="235" w:lineRule="auto"/>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that the amount for which Waste Management Holdings is liable under its guarantee of the exchange notes is limited. If a court determined that Waste Management Holdings was insolvent on the date the guarantee was issued or that the guarantee constituted a fraudulent transfer on another ground, the claims of creditors of Waste Management Holdings would effectively have priority with respect to Waste Management Holdings' assets and earnings over the claims of our creditors, including the holders of the exchange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NOT BE ABLE TO SELL YOUR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are a new issue of securities for which there is currently no trading market. We do not intend to apply for listing of the exchange notes on any securities exchange or automated dealer quotation system.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207"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historical financial performance and future prospects.</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8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ind w:left="4220"/>
        <w:spacing w:after="0" w:line="234"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6" w:name="page17"/>
    <w:bookmarkEnd w:id="16"/>
    <w:p>
      <w:pPr>
        <w:ind w:right="209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under the notes.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362" w:gutter="0" w:footer="0" w:header="0"/>
        </w:sectPr>
      </w:pPr>
    </w:p>
    <w:bookmarkStart w:id="17" w:name="page18"/>
    <w:bookmarkEnd w:id="17"/>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papers, fibers,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109%. The same comparisons for ONP have ranged from a decrease of as much as 46% to an increase of as much as 47%. These fluctuations can affect future operating income and cash flows; for example, our operating revenues for the year ended December 31, 2001 were approximately $161 million less than the corresponding prior period due to such declines.</w:t>
      </w:r>
    </w:p>
    <w:p>
      <w:pPr>
        <w:spacing w:after="0" w:line="39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nine months ended September 30, 2002, our revenues decreased by $2 million and $35 million, respectively, due to lower electricity prices.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w:t>
      </w: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ind w:right="1779"/>
        <w:spacing w:after="0" w:line="269" w:lineRule="auto"/>
        <w:rPr>
          <w:sz w:val="20"/>
          <w:szCs w:val="20"/>
          <w:color w:val="auto"/>
        </w:rPr>
      </w:pPr>
      <w:r>
        <w:rPr>
          <w:rFonts w:ascii="Courier New" w:cs="Courier New" w:eastAsia="Courier New" w:hAnsi="Courier New"/>
          <w:sz w:val="16"/>
          <w:szCs w:val="16"/>
          <w:color w:val="auto"/>
        </w:rPr>
        <w:t>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also result in additional legal expenses.</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September 30, 2002 incorporated by reference herein.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ability to meet our obligation under the notes.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39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currently expect to meet our anticipated cash needs for capital expenditures, acquisitions and other cash expenditures with our cash flows from operations and, to the extent necessary, additional financings. However, we currently have a stock buy back program pursuant to which we anticipate buying back up to $1 billion of our common stock annually, we expect to pay $230 to $240 million (net of a tax benefit, insurance and related settlement costs) in settlement of the class action lawsuit in the first half of 2003 and have approximately $350 million of debt maturities remaining in the fourth quarter of 2002. If our cash flows from operations are less than is currently expected, or our capital expenditures increase, we may elect to incur even more indebtedness. However, there can be no assurances that we will be able to obtain additional financings on acceptable terms. In these circumstances, our strategy is to use our revolving credit facilities to meet our cash needs.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$393.2 million from the sale of the outstanding notes, after deducting discounts to the initial purchasers and expenses of the offering, was used to repay in full approximately $350 million of our outstanding 6.5% Senior Notes due December 15, 2002, together with accrued interest of $11.4 million and the remaining amounts were used for general corporate purposes. Pending application, we temporarily invested the net proceeds in short-term investments.</w:t>
      </w:r>
    </w:p>
    <w:p>
      <w:pPr>
        <w:spacing w:after="0" w:line="18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YEARS</w:t>
      </w:r>
    </w:p>
    <w:p>
      <w:pPr>
        <w:ind w:left="220"/>
        <w:spacing w:after="0" w:line="238" w:lineRule="auto"/>
        <w:rPr>
          <w:sz w:val="20"/>
          <w:szCs w:val="20"/>
          <w:color w:val="auto"/>
        </w:rPr>
      </w:pPr>
      <w:r>
        <w:rPr>
          <w:rFonts w:ascii="Courier New" w:cs="Courier New" w:eastAsia="Courier New" w:hAnsi="Courier New"/>
          <w:sz w:val="18"/>
          <w:szCs w:val="18"/>
          <w:color w:val="auto"/>
        </w:rPr>
        <w:t>ENDED</w:t>
      </w:r>
    </w:p>
    <w:p>
      <w:pPr>
        <w:ind w:left="60"/>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NINE</w:t>
      </w:r>
    </w:p>
    <w:p>
      <w:pPr>
        <w:ind w:left="60"/>
        <w:spacing w:after="0" w:line="238" w:lineRule="auto"/>
        <w:rPr>
          <w:sz w:val="20"/>
          <w:szCs w:val="20"/>
          <w:color w:val="auto"/>
        </w:rPr>
      </w:pPr>
      <w:r>
        <w:rPr>
          <w:rFonts w:ascii="Courier New" w:cs="Courier New" w:eastAsia="Courier New" w:hAnsi="Courier New"/>
          <w:sz w:val="18"/>
          <w:szCs w:val="18"/>
          <w:color w:val="auto"/>
        </w:rPr>
        <w:t>MONTHS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ENDED</w:t>
      </w:r>
    </w:p>
    <w:p>
      <w:pPr>
        <w:spacing w:after="0" w:line="3"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SEPTEMBER</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30, 1997</w:t>
      </w:r>
    </w:p>
    <w:p>
      <w:pPr>
        <w:jc w:val="center"/>
        <w:ind w:right="9259"/>
        <w:spacing w:after="0" w:line="238" w:lineRule="auto"/>
        <w:rPr>
          <w:sz w:val="20"/>
          <w:szCs w:val="20"/>
          <w:color w:val="auto"/>
        </w:rPr>
      </w:pPr>
      <w:r>
        <w:rPr>
          <w:rFonts w:ascii="Courier New" w:cs="Courier New" w:eastAsia="Courier New" w:hAnsi="Courier New"/>
          <w:sz w:val="18"/>
          <w:szCs w:val="18"/>
          <w:color w:val="auto"/>
        </w:rPr>
        <w:t>1998</w:t>
      </w:r>
    </w:p>
    <w:p>
      <w:pPr>
        <w:jc w:val="center"/>
        <w:ind w:right="9259"/>
        <w:spacing w:after="0"/>
        <w:rPr>
          <w:sz w:val="20"/>
          <w:szCs w:val="20"/>
          <w:color w:val="auto"/>
        </w:rPr>
      </w:pPr>
      <w:r>
        <w:rPr>
          <w:rFonts w:ascii="Courier New" w:cs="Courier New" w:eastAsia="Courier New" w:hAnsi="Courier New"/>
          <w:sz w:val="18"/>
          <w:szCs w:val="18"/>
          <w:color w:val="auto"/>
        </w:rPr>
        <w:t>1999</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9259"/>
        <w:spacing w:after="0"/>
        <w:rPr>
          <w:sz w:val="20"/>
          <w:szCs w:val="20"/>
          <w:color w:val="auto"/>
        </w:rPr>
      </w:pPr>
      <w:r>
        <w:rPr>
          <w:rFonts w:ascii="Courier New" w:cs="Courier New" w:eastAsia="Courier New" w:hAnsi="Courier New"/>
          <w:sz w:val="18"/>
          <w:szCs w:val="18"/>
          <w:color w:val="auto"/>
        </w:rPr>
        <w:t>2002 - -</w:t>
      </w:r>
    </w:p>
    <w:p>
      <w:pPr>
        <w:ind w:left="480" w:hanging="421"/>
        <w:spacing w:after="0" w:line="237" w:lineRule="auto"/>
        <w:tabs>
          <w:tab w:leader="none" w:pos="48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37"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w:t>
      </w:r>
    </w:p>
    <w:p>
      <w:pPr>
        <w:sectPr>
          <w:pgSz w:w="11900" w:h="16838" w:orient="portrait"/>
          <w:cols w:equalWidth="0" w:num="1">
            <w:col w:w="10219"/>
          </w:cols>
          <w:pgMar w:left="240" w:top="723" w:right="1440" w:bottom="0" w:gutter="0" w:footer="0" w:header="0"/>
        </w:sectPr>
      </w:pPr>
    </w:p>
    <w:bookmarkStart w:id="21" w:name="page22"/>
    <w:bookmarkEnd w:id="21"/>
    <w:p>
      <w:pPr>
        <w:ind w:left="412" w:right="2419"/>
        <w:spacing w:after="0" w:line="235" w:lineRule="auto"/>
        <w:rPr>
          <w:sz w:val="20"/>
          <w:szCs w:val="20"/>
          <w:color w:val="auto"/>
        </w:rPr>
      </w:pPr>
      <w:r>
        <w:rPr>
          <w:rFonts w:ascii="Courier New" w:cs="Courier New" w:eastAsia="Courier New" w:hAnsi="Courier New"/>
          <w:sz w:val="18"/>
          <w:szCs w:val="18"/>
          <w:color w:val="auto"/>
        </w:rPr>
        <w:t>billion primarily related to a comprehensive review performed by Waste Management Holdings of its operating assets and investments.</w:t>
      </w:r>
    </w:p>
    <w:p>
      <w:pPr>
        <w:spacing w:after="0" w:line="208" w:lineRule="exact"/>
        <w:rPr>
          <w:sz w:val="20"/>
          <w:szCs w:val="20"/>
          <w:color w:val="auto"/>
        </w:rPr>
      </w:pPr>
    </w:p>
    <w:p>
      <w:pPr>
        <w:ind w:left="412" w:right="1779" w:hanging="412"/>
        <w:spacing w:after="0" w:line="237" w:lineRule="auto"/>
        <w:tabs>
          <w:tab w:leader="none" w:pos="41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$172.8 million were needed to cover fixed charges for this period. The earnings available for fixed charges were negatively impacted by merger costs of $44.6 million primarily related to the merger between Waste Management and Waste Management Holdings during July 1998 and asset impairments and unusual items of $738.8 million primarily related to losses on businesses sold and held-for-sale adjustments for businesses to be sold and, to a lesser extent, asset impairments related to</w:t>
      </w:r>
    </w:p>
    <w:p>
      <w:pPr>
        <w:spacing w:after="0" w:line="208"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1"/>
          </w:cols>
          <w:pgMar w:left="248" w:top="142" w:right="1440" w:bottom="1440" w:gutter="0" w:footer="0" w:header="0"/>
        </w:sectPr>
      </w:pPr>
    </w:p>
    <w:bookmarkStart w:id="22" w:name="page23"/>
    <w:bookmarkEnd w:id="22"/>
    <w:p>
      <w:pPr>
        <w:ind w:left="420" w:right="1779"/>
        <w:spacing w:after="0" w:line="237" w:lineRule="auto"/>
        <w:rPr>
          <w:sz w:val="20"/>
          <w:szCs w:val="20"/>
          <w:color w:val="auto"/>
        </w:rPr>
      </w:pPr>
      <w:r>
        <w:rPr>
          <w:rFonts w:ascii="Courier New" w:cs="Courier New" w:eastAsia="Courier New" w:hAnsi="Courier New"/>
          <w:sz w:val="18"/>
          <w:szCs w:val="18"/>
          <w:color w:val="auto"/>
        </w:rPr>
        <w:t>landfill sites and other operating assets due to abandonment and closures of facilities, denials of permits, regulatory problems and a more stringent criteria used by Waste Management in determining the probability of landfill expansions.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DESCRIPTION OF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issue the Exchange Notes under an indenture (the "Senior Indenture") dated as of September 10, 1997 between the Company and JPMorgan Chase Bank, as trustee (the "Trustee"). The Senior Indenture is an exhibit to the Registration Statement of which this Prospectus is a part.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w:t>
      </w:r>
    </w:p>
    <w:p>
      <w:pPr>
        <w:spacing w:after="0" w:line="207" w:lineRule="exact"/>
        <w:rPr>
          <w:sz w:val="20"/>
          <w:szCs w:val="20"/>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constitute a single series of Senior Securities with the Notes under the Senior Indenture;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our general unsecured senior obligations;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with all of our other senior and unsecured obligations, including debt under our credit facilities; and</w:t>
      </w:r>
    </w:p>
    <w:p>
      <w:pPr>
        <w:spacing w:after="0" w:line="208" w:lineRule="exact"/>
        <w:rPr>
          <w:rFonts w:ascii="Courier New" w:cs="Courier New" w:eastAsia="Courier New" w:hAnsi="Courier New"/>
          <w:sz w:val="18"/>
          <w:szCs w:val="18"/>
          <w:color w:val="auto"/>
        </w:rPr>
      </w:pPr>
    </w:p>
    <w:p>
      <w:pPr>
        <w:ind w:left="740" w:right="2099" w:hanging="205"/>
        <w:spacing w:after="0" w:line="268"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(the "Subsidiary Guarantee") by our subsidiary, Waste Management Holdings (the "Subsidiary Guarantor").</w:t>
      </w:r>
    </w:p>
    <w:p>
      <w:pPr>
        <w:ind w:left="4220"/>
        <w:spacing w:after="0" w:line="233" w:lineRule="auto"/>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1440" w:gutter="0" w:footer="0" w:header="0"/>
        </w:sectPr>
      </w:pPr>
    </w:p>
    <w:bookmarkStart w:id="23" w:name="page24"/>
    <w:bookmarkEnd w:id="23"/>
    <w:p>
      <w:pPr>
        <w:ind w:right="1779" w:firstLine="527"/>
        <w:spacing w:after="0" w:line="269" w:lineRule="auto"/>
        <w:rPr>
          <w:sz w:val="20"/>
          <w:szCs w:val="20"/>
          <w:color w:val="auto"/>
        </w:rPr>
      </w:pPr>
      <w:r>
        <w:rPr>
          <w:rFonts w:ascii="Courier New" w:cs="Courier New" w:eastAsia="Courier New" w:hAnsi="Courier New"/>
          <w:sz w:val="16"/>
          <w:szCs w:val="16"/>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of the Exchange Notes:</w:t>
      </w:r>
    </w:p>
    <w:p>
      <w:pPr>
        <w:spacing w:after="0" w:line="207" w:lineRule="exact"/>
        <w:rPr>
          <w:sz w:val="20"/>
          <w:szCs w:val="20"/>
          <w:color w:val="auto"/>
        </w:rPr>
      </w:pPr>
    </w:p>
    <w:p>
      <w:pPr>
        <w:ind w:left="740" w:hanging="205"/>
        <w:spacing w:after="0"/>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a general, unsecured obligation of the Subsidiary Guarantor; and</w:t>
      </w:r>
    </w:p>
    <w:p>
      <w:pPr>
        <w:spacing w:after="0" w:line="223"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in right of payment with all existing and future senior and unsecured indebtedness of the Subsidiary Guarantor.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issue the Exchange Notes in an aggregate principal amount of</w:t>
      </w:r>
    </w:p>
    <w:p>
      <w:pPr>
        <w:spacing w:after="0" w:line="238" w:lineRule="auto"/>
        <w:rPr>
          <w:sz w:val="20"/>
          <w:szCs w:val="20"/>
          <w:color w:val="auto"/>
        </w:rPr>
      </w:pPr>
      <w:r>
        <w:rPr>
          <w:rFonts w:ascii="Courier New" w:cs="Courier New" w:eastAsia="Courier New" w:hAnsi="Courier New"/>
          <w:sz w:val="18"/>
          <w:szCs w:val="18"/>
          <w:color w:val="auto"/>
        </w:rPr>
        <w:t>$400,000,000. We will issue the Exchange Notes only in fully registered form,</w:t>
      </w:r>
    </w:p>
    <w:p>
      <w:pPr>
        <w:spacing w:after="0"/>
        <w:rPr>
          <w:sz w:val="20"/>
          <w:szCs w:val="20"/>
          <w:color w:val="auto"/>
        </w:rPr>
      </w:pPr>
      <w:r>
        <w:rPr>
          <w:rFonts w:ascii="Courier New" w:cs="Courier New" w:eastAsia="Courier New" w:hAnsi="Courier New"/>
          <w:sz w:val="18"/>
          <w:szCs w:val="18"/>
          <w:color w:val="auto"/>
        </w:rPr>
        <w:t>without coupons, in denominations of $100,000 and integral multiples of $1,000</w:t>
      </w:r>
    </w:p>
    <w:p>
      <w:pPr>
        <w:spacing w:after="0" w:line="237" w:lineRule="auto"/>
        <w:rPr>
          <w:sz w:val="20"/>
          <w:szCs w:val="20"/>
          <w:color w:val="auto"/>
        </w:rPr>
      </w:pPr>
      <w:r>
        <w:rPr>
          <w:rFonts w:ascii="Courier New" w:cs="Courier New" w:eastAsia="Courier New" w:hAnsi="Courier New"/>
          <w:sz w:val="18"/>
          <w:szCs w:val="18"/>
          <w:color w:val="auto"/>
        </w:rPr>
        <w:t>in excess thereof. There is no sinking fund applicable to the Exchange Notes.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 will mature on November 15, 2012.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Notes will bear interest at the rate per year set forth on the front cover of this Prospectus. Interest on Exchange Notes will be payable semi-annually in arrears on May 15 and November 15 of each year until maturity, commencing on May 15, 2003. We will make each interest payment to the persons in whose name the Exchange Notes are registered at the close of business on the May 1 and November 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entered into a registration rights agreement obligating us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METHODS OF RECEIVING PAYMENTS ON THE EXCHANGE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FOR THE NOTES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a paying agent, as we may designate from time to time, except that at our option, payment of any interest may be made by check mailed on or before the due date to the address of the person entitled thereto as such address shall appear in the register of holders. We may at any time rescind the designation of any paying agent or approve a change in the office through which any paying agent acts. Payment of any installment of interest on an Exchange Note will be made to the person in whose name such Exchange Note is registered at the close of business on the regular record date, as described above under "-- Principal, Maturity and Interest."</w:t>
      </w:r>
    </w:p>
    <w:p>
      <w:pPr>
        <w:spacing w:after="0" w:line="3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registered holder of an Exchange Note will be treated as the owner of it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Subsidiary Guarantor will fully and unconditionally guarantee our obligations under the Exchange Notes on a senior basis. The Subsidiary Guarantee will be a general, unsecured obligation of the Subsidiary Guarantor and will rank equally in right of payment with all existing and future senior and</w:t>
      </w:r>
    </w:p>
    <w:p>
      <w:pPr>
        <w:ind w:left="4220"/>
        <w:spacing w:after="0" w:line="234"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5" w:name="page26"/>
    <w:bookmarkEnd w:id="25"/>
    <w:p>
      <w:pPr>
        <w:ind w:right="1779"/>
        <w:spacing w:after="0" w:line="238" w:lineRule="auto"/>
        <w:rPr>
          <w:sz w:val="20"/>
          <w:szCs w:val="20"/>
          <w:color w:val="auto"/>
        </w:rPr>
      </w:pPr>
      <w:r>
        <w:rPr>
          <w:rFonts w:ascii="Courier New" w:cs="Courier New" w:eastAsia="Courier New" w:hAnsi="Courier New"/>
          <w:sz w:val="18"/>
          <w:szCs w:val="18"/>
          <w:color w:val="auto"/>
        </w:rPr>
        <w:t>unsecured indebtedness of the Subsidiary Guarantor. However, the guarantee may be subject to review under various laws for the protection of creditors. Creditors of the Subsidiary Guarantor could claim that the guarantee was incurred for our benefit (and only indirectly, if at all, for the benefit of the Subsidiary Guarantor) and therefore the obligations of the guarantor were incurred for less than reasonably equivalent value or fair consideration. Under certain circumstances, including a finding that the Subsidiary Guarantor was insolvent at the time it issued the guarantee, a court could hold that the obligations of the Subsidiary Guarantor under the guarantee may be voided or are subordinate to other obligations of the Subsidiary Guarantor. It could also find that the amount for which the Subsidiary Guarantor is liable under its guarantee of the exchange notes is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Different jurisdictions define "insolvency" differently. However, the Subsidiary Guarantor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the Subsidiary Guarantor were incurring debts beyond its ability to pay as such debts mature.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 attempt to limit the applicability of fraudulent transfer laws, the Subsidiary Guarantee limits the amount of the guarantee to the amount that will result in the guarantee not constituting a fraudulent transfer or improper corporate distribution.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will be released:</w:t>
      </w:r>
    </w:p>
    <w:p>
      <w:pPr>
        <w:spacing w:after="0" w:line="201" w:lineRule="exact"/>
        <w:rPr>
          <w:sz w:val="20"/>
          <w:szCs w:val="20"/>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our consolidation or merger with or into the Subsidiary Guarantor;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payment in full of all principal, premium, if any, and interest on the Exchange Notes;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release of the Subsidiary Guarantor's guarantees under our credit facilities (or any replacement facility). Our credit facilities currently state that the Subsidiary Guarantor's guarantees under the credit facilities can only be released with the written consent of each of the banks that is a party thereto. However, the Subsidiary Guarantee provides that if that happens, the Subsidiary Guarantee will also be released.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w:t>
      </w:r>
    </w:p>
    <w:p>
      <w:pPr>
        <w:spacing w:after="0" w:line="18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of September 30, 2002, our subsidiaries (excluding Waste Management Holdings) had approximately $1.6 billion of indebtedness and Waste Management Holdings had approximately</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362" w:gutter="0" w:footer="0" w:header="0"/>
        </w:sectPr>
      </w:pPr>
    </w:p>
    <w:bookmarkStart w:id="26" w:name="page27"/>
    <w:bookmarkEnd w:id="26"/>
    <w:p>
      <w:pPr>
        <w:ind w:right="2099"/>
        <w:spacing w:after="0" w:line="235" w:lineRule="auto"/>
        <w:rPr>
          <w:sz w:val="20"/>
          <w:szCs w:val="20"/>
          <w:color w:val="auto"/>
        </w:rPr>
      </w:pPr>
      <w:r>
        <w:rPr>
          <w:rFonts w:ascii="Courier New" w:cs="Courier New" w:eastAsia="Courier New" w:hAnsi="Courier New"/>
          <w:sz w:val="18"/>
          <w:szCs w:val="18"/>
          <w:color w:val="auto"/>
        </w:rPr>
        <w:t>$2.4 billion of indebtedness (excluding guarantees of Waste Management senior debt), in each case excluding intercompany loans.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 claims of our creditors, including the holders of the Exchange Notes. See "-- Subsidiary Guarantee."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 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3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factors that we generally consider in determining whether to redeem notes are (i) whether then current rates on new notes would be considerably less than the interest rates on the redeemable notes after consideration of the make-whole provision; (ii) whether we have excess cash on hand and decide to reduce debt levels and; (iii) whether we are involved in a substantial merger or acquisition in which it becomes necessary to redeem the notes because of a debt restructuring agreement. However, given the substantial expense we would incur in redeeming the Exchange Notes due to the calculation of the redemption price described above, we do not believe that we would redeem the Exchange Notes in the ordinary course of our business. Additionally, we are currently unaware of any circumstances under which we would redeem the Exchange Notes.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21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"Independent Investment Banker" means any of Credit Suisse First Boston Corporation, J.P. Morgan Securities, Inc. and Salomon Smith Barney Inc. (and their respective successors), or, if all of such firms are unwilling or unable to select the Comparable Treasury Issue, an investment banking institution of national standing appointed by the Trustee and reasonably acceptable to us.</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7" w:name="page28"/>
    <w:bookmarkEnd w:id="27"/>
    <w:p>
      <w:pPr>
        <w:ind w:right="1879" w:firstLine="527"/>
        <w:spacing w:after="0" w:line="237" w:lineRule="auto"/>
        <w:rPr>
          <w:sz w:val="20"/>
          <w:szCs w:val="20"/>
          <w:color w:val="auto"/>
        </w:rPr>
      </w:pPr>
      <w:r>
        <w:rPr>
          <w:rFonts w:ascii="Courier New" w:cs="Courier New" w:eastAsia="Courier New" w:hAnsi="Courier New"/>
          <w:sz w:val="18"/>
          <w:szCs w:val="18"/>
          <w:color w:val="auto"/>
        </w:rPr>
        <w:t>"Reference Treasury Dealer" means (1) each of Credit Suisse First Boston Corporation, J.P. Morgan Securities Inc. and Salomon Smith Barney Inc. (and their respective successors), unless any of them ceases to be a primary U.S. government securities dealer in new York City (a "Primary Treasury Dealer"), in which case we will substitute therefor another Primary Treasury Dealer, and (2) any other Primary Treasury Dealer selected by us.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Except as set forth above, the Exchange Notes will not be redeemable by us before maturity and will not be entitled to the benefit of any sinking fund.</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178"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1779" w:firstLine="8"/>
        <w:spacing w:after="0" w:line="270" w:lineRule="auto"/>
        <w:tabs>
          <w:tab w:leader="none" w:pos="5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to a time that is more than 12 months after the time at which the amount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w:t>
      </w: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8" w:name="page29"/>
    <w:bookmarkEnd w:id="28"/>
    <w:p>
      <w:pPr>
        <w:ind w:right="1879"/>
        <w:spacing w:after="0" w:line="237" w:lineRule="auto"/>
        <w:rPr>
          <w:sz w:val="20"/>
          <w:szCs w:val="20"/>
          <w:color w:val="auto"/>
        </w:rPr>
      </w:pPr>
      <w:r>
        <w:rPr>
          <w:rFonts w:ascii="Courier New" w:cs="Courier New" w:eastAsia="Courier New" w:hAnsi="Courier New"/>
          <w:sz w:val="18"/>
          <w:szCs w:val="18"/>
          <w:color w:val="auto"/>
        </w:rPr>
        <w:t>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740" w:right="18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1380" w:right="1779" w:hanging="424"/>
        <w:spacing w:after="0" w:line="237" w:lineRule="auto"/>
        <w:tabs>
          <w:tab w:leader="none" w:pos="13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18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9" w:name="page30"/>
    <w:bookmarkEnd w:id="29"/>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178" w:lineRule="exact"/>
        <w:rPr>
          <w:sz w:val="20"/>
          <w:szCs w:val="20"/>
          <w:color w:val="auto"/>
        </w:rPr>
      </w:pPr>
    </w:p>
    <w:p>
      <w:pPr>
        <w:ind w:left="740" w:right="177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215"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178"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Limitation on Liens.</w:t>
      </w:r>
      <w:r>
        <w:rPr>
          <w:sz w:val="20"/>
          <w:szCs w:val="20"/>
          <w:color w:val="auto"/>
        </w:rPr>
        <w:tab/>
      </w:r>
      <w:r>
        <w:rPr>
          <w:rFonts w:ascii="Courier New" w:cs="Courier New" w:eastAsia="Courier New" w:hAnsi="Courier New"/>
          <w:sz w:val="16"/>
          <w:szCs w:val="16"/>
          <w:color w:val="auto"/>
        </w:rPr>
        <w:t>The Senior Indenture provides that:</w:t>
      </w:r>
    </w:p>
    <w:p>
      <w:pPr>
        <w:spacing w:after="0" w:line="207" w:lineRule="exact"/>
        <w:rPr>
          <w:sz w:val="20"/>
          <w:szCs w:val="20"/>
          <w:color w:val="auto"/>
        </w:rPr>
      </w:pPr>
    </w:p>
    <w:p>
      <w:pPr>
        <w:ind w:left="540" w:right="1779" w:firstLine="521"/>
        <w:spacing w:after="0" w:line="270" w:lineRule="auto"/>
        <w:tabs>
          <w:tab w:leader="none" w:pos="148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of our Restricted Subsidiaries to, create, incur, assume or suffer to exist, directly or indirectly, any Indebtedness secured by a Security Interest upon any Principal Property, whether owned as of the date of the Senior Indenture or acquired after the date of the Senior Indenture, without making effective provision (and we hereby covenant that in any such case we shall make or cause to be made effective provision) whereby the Senior Securities then outstanding and any other Indebtedness of ours or our Restricted Subsidiaries then entitled thereto shall also be secured, equally and ratably, by such Security Interest, for so long as any of such Indebtedness is secured by the Security Interest; but nothing in the Senior Indenture shall prevent, restrict or apply to Indebtedness secured by:</w:t>
      </w:r>
    </w:p>
    <w:p>
      <w:pPr>
        <w:spacing w:after="0" w:line="390" w:lineRule="exact"/>
        <w:rPr>
          <w:rFonts w:ascii="Courier New" w:cs="Courier New" w:eastAsia="Courier New" w:hAnsi="Courier New"/>
          <w:sz w:val="16"/>
          <w:szCs w:val="16"/>
          <w:color w:val="auto"/>
        </w:rPr>
      </w:pPr>
    </w:p>
    <w:p>
      <w:pPr>
        <w:ind w:left="860" w:right="2099" w:firstLine="517"/>
        <w:spacing w:after="0" w:line="268" w:lineRule="auto"/>
        <w:tabs>
          <w:tab w:leader="none" w:pos="1808"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37" w:lineRule="auto"/>
        <w:tabs>
          <w:tab w:leader="none" w:pos="128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214" w:lineRule="exact"/>
        <w:rPr>
          <w:sz w:val="20"/>
          <w:szCs w:val="20"/>
          <w:color w:val="auto"/>
        </w:rPr>
      </w:pPr>
    </w:p>
    <w:p>
      <w:pPr>
        <w:ind w:left="860" w:right="1999" w:firstLine="517"/>
        <w:spacing w:after="0" w:line="236" w:lineRule="auto"/>
        <w:tabs>
          <w:tab w:leader="none" w:pos="180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upon property or assets existing at the time of its acquisition, which Security Interest secures obligations assumed by us or any of our Restricted Subsidiaries; or</w:t>
      </w:r>
    </w:p>
    <w:p>
      <w:pPr>
        <w:spacing w:after="0" w:line="208" w:lineRule="exact"/>
        <w:rPr>
          <w:rFonts w:ascii="Courier New" w:cs="Courier New" w:eastAsia="Courier New" w:hAnsi="Courier New"/>
          <w:sz w:val="18"/>
          <w:szCs w:val="18"/>
          <w:color w:val="auto"/>
        </w:rPr>
      </w:pPr>
    </w:p>
    <w:p>
      <w:pPr>
        <w:ind w:left="860" w:right="1999" w:firstLine="517"/>
        <w:spacing w:after="0" w:line="236" w:lineRule="auto"/>
        <w:tabs>
          <w:tab w:leader="none" w:pos="180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conditional sales agreement or other title retention agreement with respect to any property or assets acquired by us or any of our Restricted Subsidiaries, or</w:t>
      </w:r>
    </w:p>
    <w:p>
      <w:pPr>
        <w:spacing w:after="0" w:line="208"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existing on the property or assets or shares of stock of a corporation or firm at the time such corporation or firm is merged into or consolidated with us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767" w:gutter="0" w:footer="0" w:header="0"/>
        </w:sectPr>
      </w:pPr>
    </w:p>
    <w:bookmarkStart w:id="30" w:name="page31"/>
    <w:bookmarkEnd w:id="30"/>
    <w:p>
      <w:pPr>
        <w:ind w:left="320" w:right="1879"/>
        <w:spacing w:after="0" w:line="237" w:lineRule="auto"/>
        <w:rPr>
          <w:sz w:val="20"/>
          <w:szCs w:val="20"/>
          <w:color w:val="auto"/>
        </w:rPr>
      </w:pPr>
      <w:r>
        <w:rPr>
          <w:rFonts w:ascii="Courier New" w:cs="Courier New" w:eastAsia="Courier New" w:hAnsi="Courier New"/>
          <w:sz w:val="18"/>
          <w:szCs w:val="18"/>
          <w:color w:val="auto"/>
        </w:rPr>
        <w:t>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209" w:lineRule="exact"/>
        <w:rPr>
          <w:sz w:val="20"/>
          <w:szCs w:val="20"/>
          <w:color w:val="auto"/>
        </w:rPr>
      </w:pPr>
    </w:p>
    <w:p>
      <w:pPr>
        <w:ind w:left="320" w:right="1779" w:firstLine="517"/>
        <w:spacing w:after="0" w:line="279" w:lineRule="auto"/>
        <w:tabs>
          <w:tab w:leader="none" w:pos="126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assets or shares of stock of any successor to us in accordance with the provisions of the covenant described in "-- Consolidation, Merger, Sale";</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207" w:lineRule="exact"/>
        <w:rPr>
          <w:sz w:val="20"/>
          <w:szCs w:val="20"/>
          <w:color w:val="auto"/>
        </w:rPr>
      </w:pPr>
    </w:p>
    <w:p>
      <w:pPr>
        <w:jc w:val="both"/>
        <w:ind w:right="17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213"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right="2199" w:firstLine="521"/>
        <w:spacing w:after="0" w:line="237"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right="1999" w:firstLine="521"/>
        <w:spacing w:after="0" w:line="23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by any of our Restricted Subsidiaries in the ordinary course of business; or</w:t>
      </w:r>
    </w:p>
    <w:p>
      <w:pPr>
        <w:spacing w:after="0" w:line="208" w:lineRule="exact"/>
        <w:rPr>
          <w:rFonts w:ascii="Courier New" w:cs="Courier New" w:eastAsia="Courier New" w:hAnsi="Courier New"/>
          <w:sz w:val="18"/>
          <w:szCs w:val="18"/>
          <w:color w:val="auto"/>
        </w:rPr>
      </w:pPr>
    </w:p>
    <w:p>
      <w:pPr>
        <w:ind w:right="1779" w:firstLine="521"/>
        <w:spacing w:after="0" w:line="23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right="1879" w:firstLine="521"/>
        <w:spacing w:after="0" w:line="279" w:lineRule="auto"/>
        <w:tabs>
          <w:tab w:leader="none" w:pos="94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of our Restricted Subsidiaries to conduct business, to maintain self-insurance, or to obtain the benefit of, or comply with, laws; or</w:t>
      </w:r>
    </w:p>
    <w:p>
      <w:pPr>
        <w:spacing w:after="0" w:line="178" w:lineRule="exact"/>
        <w:rPr>
          <w:rFonts w:ascii="Courier New" w:cs="Courier New" w:eastAsia="Courier New" w:hAnsi="Courier New"/>
          <w:sz w:val="16"/>
          <w:szCs w:val="16"/>
          <w:color w:val="auto"/>
        </w:rPr>
      </w:pPr>
    </w:p>
    <w:p>
      <w:pPr>
        <w:ind w:right="1779" w:firstLine="521"/>
        <w:spacing w:after="0" w:line="23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of our Restricted Subsidiaries or by us to a Restricted Subsidiary, or</w:t>
      </w:r>
    </w:p>
    <w:p>
      <w:pPr>
        <w:spacing w:after="0" w:line="208" w:lineRule="exact"/>
        <w:rPr>
          <w:rFonts w:ascii="Courier New" w:cs="Courier New" w:eastAsia="Courier New" w:hAnsi="Courier New"/>
          <w:sz w:val="18"/>
          <w:szCs w:val="18"/>
          <w:color w:val="auto"/>
        </w:rPr>
      </w:pPr>
    </w:p>
    <w:p>
      <w:pPr>
        <w:ind w:right="2319" w:firstLine="521"/>
        <w:spacing w:after="0" w:line="236"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right="1879" w:firstLine="521"/>
        <w:spacing w:after="0" w:line="236"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w:t>
      </w: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679"/>
          </w:cols>
          <w:pgMar w:left="780" w:top="723" w:right="1440" w:bottom="362" w:gutter="0" w:footer="0" w:header="0"/>
        </w:sectPr>
      </w:pPr>
    </w:p>
    <w:bookmarkStart w:id="31" w:name="page32"/>
    <w:bookmarkEnd w:id="31"/>
    <w:p>
      <w:pPr>
        <w:ind w:left="540" w:right="2199"/>
        <w:spacing w:after="0" w:line="237" w:lineRule="auto"/>
        <w:rPr>
          <w:sz w:val="20"/>
          <w:szCs w:val="20"/>
          <w:color w:val="auto"/>
        </w:rPr>
      </w:pPr>
      <w:r>
        <w:rPr>
          <w:rFonts w:ascii="Courier New" w:cs="Courier New" w:eastAsia="Courier New" w:hAnsi="Courier New"/>
          <w:sz w:val="18"/>
          <w:szCs w:val="18"/>
          <w:color w:val="auto"/>
        </w:rPr>
        <w:t>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207" w:lineRule="exact"/>
        <w:rPr>
          <w:sz w:val="20"/>
          <w:szCs w:val="20"/>
          <w:color w:val="auto"/>
        </w:rPr>
      </w:pPr>
    </w:p>
    <w:p>
      <w:pPr>
        <w:ind w:left="540" w:right="17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also securing the Senior Securities if, at the time such Security Interest becomes a Security Interest upon the Principal Property and after giving effect thereto, the aggregate outstanding principal amount of all our Indebtedness and our Restricted Subsidiaries' Indebtedness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than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200" w:lineRule="exact"/>
        <w:rPr>
          <w:sz w:val="20"/>
          <w:szCs w:val="20"/>
          <w:color w:val="auto"/>
        </w:rPr>
      </w:pPr>
    </w:p>
    <w:p>
      <w:pPr>
        <w:spacing w:after="0" w:line="399" w:lineRule="exact"/>
        <w:rPr>
          <w:sz w:val="20"/>
          <w:szCs w:val="20"/>
          <w:color w:val="auto"/>
        </w:rPr>
      </w:pPr>
    </w:p>
    <w:p>
      <w:pPr>
        <w:ind w:left="540" w:right="1779" w:firstLine="521"/>
        <w:spacing w:after="0" w:line="238"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15" w:lineRule="exact"/>
        <w:rPr>
          <w:sz w:val="20"/>
          <w:szCs w:val="20"/>
          <w:color w:val="auto"/>
        </w:rPr>
      </w:pPr>
    </w:p>
    <w:p>
      <w:pPr>
        <w:ind w:left="740" w:right="219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207"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89" w:lineRule="exact"/>
        <w:rPr>
          <w:rFonts w:ascii="Courier New" w:cs="Courier New" w:eastAsia="Courier New" w:hAnsi="Courier New"/>
          <w:sz w:val="16"/>
          <w:szCs w:val="16"/>
          <w:color w:val="auto"/>
        </w:rPr>
      </w:pPr>
    </w:p>
    <w:p>
      <w:pPr>
        <w:ind w:left="740" w:right="1999" w:hanging="205"/>
        <w:spacing w:after="0" w:line="268"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w:t>
      </w:r>
    </w:p>
    <w:p>
      <w:pPr>
        <w:ind w:left="740"/>
        <w:spacing w:after="0" w:line="233" w:lineRule="auto"/>
        <w:rPr>
          <w:sz w:val="20"/>
          <w:szCs w:val="20"/>
          <w:color w:val="auto"/>
        </w:rPr>
      </w:pPr>
      <w:r>
        <w:rPr>
          <w:rFonts w:ascii="Courier New" w:cs="Courier New" w:eastAsia="Courier New" w:hAnsi="Courier New"/>
          <w:sz w:val="18"/>
          <w:szCs w:val="18"/>
          <w:color w:val="auto"/>
        </w:rPr>
        <w:t>for the acquisition or capital improvement of a</w:t>
      </w: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564" w:gutter="0" w:footer="0" w:header="0"/>
        </w:sectPr>
      </w:pPr>
    </w:p>
    <w:bookmarkStart w:id="32" w:name="page33"/>
    <w:bookmarkEnd w:id="32"/>
    <w:p>
      <w:pPr>
        <w:ind w:left="740" w:right="2619"/>
        <w:spacing w:after="0" w:line="235" w:lineRule="auto"/>
        <w:rPr>
          <w:sz w:val="20"/>
          <w:szCs w:val="20"/>
          <w:color w:val="auto"/>
        </w:rPr>
      </w:pPr>
      <w:r>
        <w:rPr>
          <w:rFonts w:ascii="Courier New" w:cs="Courier New" w:eastAsia="Courier New" w:hAnsi="Courier New"/>
          <w:sz w:val="18"/>
          <w:szCs w:val="18"/>
          <w:color w:val="auto"/>
        </w:rPr>
        <w:t>Principal Property an amount at least equal to the fair value (as determined by our Board of Directors) of such property.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Compliance Certificates. We are required to furnish to the Trustee annually a statement as to our compliance with all conditions and covenants under the Senior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REMEDIES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Events of Default. An Event of Default with respect to the Exchange Notes is defined under the Senior Indenture as being one or more of the following events:</w:t>
      </w:r>
    </w:p>
    <w:p>
      <w:pPr>
        <w:spacing w:after="0" w:line="209" w:lineRule="exact"/>
        <w:rPr>
          <w:sz w:val="20"/>
          <w:szCs w:val="20"/>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Exchange Note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Exchange Note as and when the same becomes due and payable whether at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Indenture and continuance of such default or breach for a period of 60 days after there has been given, by registered or certified mail, to us by the Trustee or to us and the Trustee by the holders of at least 25% in principal amount of the Exchange Notes a written notice specifying such default or breach and requiring it to be remedied and stating that such notice is a "Notice of Default" under the Senior Indenture; or</w:t>
      </w:r>
    </w:p>
    <w:p>
      <w:pPr>
        <w:spacing w:after="0" w:line="212"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69"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39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Remedies. If an Event of Default with respect to the Exchange Notes occurs and is continuing, then in every such case, either the Trustee or the holders of not less than 25% in principal amount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59"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208"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Exchange Notes,</w:t>
      </w:r>
    </w:p>
    <w:p>
      <w:pPr>
        <w:spacing w:after="0" w:line="206" w:lineRule="exact"/>
        <w:rPr>
          <w:rFonts w:ascii="Courier New" w:cs="Courier New" w:eastAsia="Courier New" w:hAnsi="Courier New"/>
          <w:sz w:val="18"/>
          <w:szCs w:val="18"/>
          <w:color w:val="auto"/>
        </w:rPr>
      </w:pPr>
    </w:p>
    <w:p>
      <w:pPr>
        <w:ind w:left="640" w:right="2099" w:firstLine="316"/>
        <w:spacing w:after="0" w:line="279" w:lineRule="auto"/>
        <w:tabs>
          <w:tab w:leader="none" w:pos="148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the Exchange Notes which has become due otherwise than by such declaration of acceleration and any interest thereon at the rate prescribed therefor,</w:t>
      </w:r>
    </w:p>
    <w:p>
      <w:pPr>
        <w:spacing w:after="0" w:line="178" w:lineRule="exact"/>
        <w:rPr>
          <w:rFonts w:ascii="Courier New" w:cs="Courier New" w:eastAsia="Courier New" w:hAnsi="Courier New"/>
          <w:sz w:val="16"/>
          <w:szCs w:val="16"/>
          <w:color w:val="auto"/>
        </w:rPr>
      </w:pPr>
    </w:p>
    <w:p>
      <w:pPr>
        <w:ind w:left="640" w:right="1999" w:firstLine="316"/>
        <w:spacing w:after="0" w:line="235" w:lineRule="auto"/>
        <w:tabs>
          <w:tab w:leader="none" w:pos="158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prescribed therefor, and</w:t>
      </w:r>
    </w:p>
    <w:p>
      <w:pPr>
        <w:spacing w:after="0" w:line="208" w:lineRule="exact"/>
        <w:rPr>
          <w:rFonts w:ascii="Courier New" w:cs="Courier New" w:eastAsia="Courier New" w:hAnsi="Courier New"/>
          <w:sz w:val="18"/>
          <w:szCs w:val="18"/>
          <w:color w:val="auto"/>
        </w:rPr>
      </w:pPr>
    </w:p>
    <w:p>
      <w:pPr>
        <w:ind w:left="640" w:right="2199" w:firstLine="316"/>
        <w:spacing w:after="0" w:line="236" w:lineRule="auto"/>
        <w:tabs>
          <w:tab w:leader="none" w:pos="1483"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212" w:lineRule="exact"/>
        <w:rPr>
          <w:sz w:val="20"/>
          <w:szCs w:val="20"/>
          <w:color w:val="auto"/>
        </w:rPr>
      </w:pPr>
    </w:p>
    <w:p>
      <w:pPr>
        <w:ind w:left="740" w:right="2419" w:hanging="205"/>
        <w:spacing w:after="0" w:line="235"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Exchange Notes;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Exchange Notes.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Notwithstanding any other provision in the Senior Indenture, the right of any holder of any Exchange Note to receive payment of the principal of and premium, if any on such Exchange Note on the Stated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767"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39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 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OF INDENTURE</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39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767" w:gutter="0" w:footer="0" w:header="0"/>
        </w:sectPr>
      </w:pPr>
    </w:p>
    <w:bookmarkStart w:id="35" w:name="page36"/>
    <w:bookmarkEnd w:id="35"/>
    <w:p>
      <w:pPr>
        <w:ind w:right="1779"/>
        <w:spacing w:after="0" w:line="269" w:lineRule="auto"/>
        <w:rPr>
          <w:sz w:val="20"/>
          <w:szCs w:val="20"/>
          <w:color w:val="auto"/>
        </w:rPr>
      </w:pPr>
      <w:r>
        <w:rPr>
          <w:rFonts w:ascii="Courier New" w:cs="Courier New" w:eastAsia="Courier New" w:hAnsi="Courier New"/>
          <w:sz w:val="16"/>
          <w:szCs w:val="16"/>
          <w:color w:val="auto"/>
        </w:rPr>
        <w:t>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of any legal defeasance and discharge of the Exchange Notes, holders would be entitled to look only to such trust for payment of principal of and any premium or interest on the Exchange Notes until maturity. Upon legal defeasance and discharge of the Exchange Notes, Waste Management will be released from its Subsidiary Guarantee. See "-- Subsidiary Guarantee."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 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85" w:lineRule="exact"/>
        <w:rPr>
          <w:sz w:val="20"/>
          <w:szCs w:val="20"/>
          <w:color w:val="auto"/>
        </w:rPr>
      </w:pPr>
    </w:p>
    <w:p>
      <w:pPr>
        <w:ind w:left="740" w:right="219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Senior Security;</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Senior Security;</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of our obligations to pay additional amounts;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Senior Security or any premium or interest thereon is payable;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Senior Security;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the Senior Indenture for quorum or voting;</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maintain an office or agency in the places and for the purposes required by the Senior Indenture; or</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may make modifications and amendments of the Senior Indenture without the consent of any holders of Senior Securities, when authorized by a Board Resolution, and the Trustee, to:</w:t>
      </w:r>
    </w:p>
    <w:p>
      <w:pPr>
        <w:spacing w:after="0" w:line="209" w:lineRule="exact"/>
        <w:rPr>
          <w:sz w:val="20"/>
          <w:szCs w:val="20"/>
          <w:color w:val="auto"/>
        </w:rPr>
      </w:pPr>
    </w:p>
    <w:p>
      <w:pPr>
        <w:jc w:val="both"/>
        <w:ind w:left="740" w:right="1879" w:hanging="205"/>
        <w:spacing w:after="0" w:line="236"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the succession of another person and the assumption by any such successor of our covenants therein and in the Senior Securities pursuant to the provisions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any additional Events of Default;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212"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the Senior Securities pursuant to the requirements of the Senior Indenture or otherwise;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564" w:gutter="0" w:footer="0" w:header="0"/>
        </w:sectPr>
      </w:pPr>
    </w:p>
    <w:bookmarkStart w:id="37" w:name="page38"/>
    <w:bookmarkEnd w:id="37"/>
    <w:p>
      <w:pPr>
        <w:ind w:left="740" w:right="261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the form or terms of Senior Securities of any series as permitted by of the Senior Indenture;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1" w:lineRule="exact"/>
        <w:rPr>
          <w:sz w:val="20"/>
          <w:szCs w:val="20"/>
          <w:color w:val="auto"/>
        </w:rPr>
      </w:pPr>
    </w:p>
    <w:p>
      <w:pPr>
        <w:ind w:right="1999" w:firstLine="8"/>
        <w:spacing w:after="0" w:line="236" w:lineRule="auto"/>
        <w:tabs>
          <w:tab w:leader="none" w:pos="42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the Senior Indenture which cannot be modified or amended without the consent of the holder of each outstanding Exchange Note.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 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 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Governing Law. The Senior Indenture, the Subsidiary Guarantee, the Notes and the Exchange Notes will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We will give notices to holders of the Exchange Notes by first-class mail to the addresses of such holders as they appear in the security register.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Trustee appointed and serving as trustee pursuant to the Senior Indenture is JPMorgan Chase Bank ("JPMorgan Chase").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970" w:gutter="0" w:footer="0" w:header="0"/>
        </w:sectPr>
      </w:pPr>
    </w:p>
    <w:bookmarkStart w:id="38" w:name="page39"/>
    <w:bookmarkEnd w:id="38"/>
    <w:p>
      <w:pPr>
        <w:ind w:right="1779"/>
        <w:spacing w:after="0" w:line="272" w:lineRule="auto"/>
        <w:rPr>
          <w:sz w:val="20"/>
          <w:szCs w:val="20"/>
          <w:color w:val="auto"/>
        </w:rPr>
      </w:pPr>
      <w:r>
        <w:rPr>
          <w:rFonts w:ascii="Courier New" w:cs="Courier New" w:eastAsia="Courier New" w:hAnsi="Courier New"/>
          <w:sz w:val="16"/>
          <w:szCs w:val="16"/>
          <w:color w:val="auto"/>
        </w:rPr>
        <w:t>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case an Event of Default with respect to the Exchange Notes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FORM AND TRANSFER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DEPOSITARY PROCEDURES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9" w:name="page40"/>
    <w:bookmarkEnd w:id="39"/>
    <w:p>
      <w:pPr>
        <w:ind w:right="1779" w:firstLine="527"/>
        <w:spacing w:after="0" w:line="270" w:lineRule="auto"/>
        <w:rPr>
          <w:sz w:val="20"/>
          <w:szCs w:val="20"/>
          <w:color w:val="auto"/>
        </w:rPr>
      </w:pPr>
      <w:r>
        <w:rPr>
          <w:rFonts w:ascii="Courier New" w:cs="Courier New" w:eastAsia="Courier New" w:hAnsi="Courier New"/>
          <w:sz w:val="16"/>
          <w:szCs w:val="16"/>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39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8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 Transfers of Interests in Global Exchange Notes for Certificated Exchange Notes."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767"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its book-entry system has been obtained from sources that we believe to be reliable, but we do not take any responsibility for the accuracy thereof.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OF INTERESTS IN GLOBAL EXCHANGE NOTES FOR CERTIFICATED EXCHANGE NOTES</w:t>
      </w:r>
    </w:p>
    <w:p>
      <w:pPr>
        <w:spacing w:after="0" w:line="22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exchange an entire Global Exchange Note for notes in certificated form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EXCHANGE NOTES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21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35" w:lineRule="auto"/>
        <w:rPr>
          <w:sz w:val="20"/>
          <w:szCs w:val="20"/>
          <w:color w:val="auto"/>
        </w:rPr>
      </w:pPr>
      <w:r>
        <w:rPr>
          <w:rFonts w:ascii="Courier New" w:cs="Courier New" w:eastAsia="Courier New" w:hAnsi="Courier New"/>
          <w:sz w:val="18"/>
          <w:szCs w:val="18"/>
          <w:color w:val="auto"/>
        </w:rPr>
        <w:t>the Security Registrar may require. Mutilated Exchange Notes must be surrendered before new Exchange Notes will be issued.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DAY SETTLEMENT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sold the Notes on November 26, 2002, pursuant to the Purchase Agreement dated as of November 21, 2002 (the "Purchase Agreement") by and among Waste Management Holdings, the initial purchasers of the Notes named in the Purchase Agreement, which is an exhibit to the Registration Statement of which this Prospectus is a part (the "Initial Purchasers"), and us. The Notes were subsequently offered by the Initial Purchasers to qualified institutional buyers pursuant to Rule 144A and to purchasers pursuant to Regulation S under the Securities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the Subsidiary Guarantor and the Initial Purchasers entered into a Senior Notes Registration Rights agreement dated as of November 26, 2002 (the "Registration Rights Agreement"). The following description is a summary of the material provisions of the Registration Rights Agreement, which is an exhibit to the Registration Statement of which this Prospectus is a part.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who are able to make certain representations, as described below under "-- Your Representations to Us," the opportunity to exchange their Transfer Restricted Securities for Exchange Notes.</w:t>
      </w:r>
    </w:p>
    <w:p>
      <w:pPr>
        <w:spacing w:after="0" w:line="3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241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permitted by applicable law or Commission policy;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holder of Transfer Restricted Securities notifies us prior to the 20th business day following the date by which the Exchange Offer is required to be consummated that:</w:t>
      </w:r>
    </w:p>
    <w:p>
      <w:pPr>
        <w:spacing w:after="0" w:line="208" w:lineRule="exact"/>
        <w:rPr>
          <w:rFonts w:ascii="Courier New" w:cs="Courier New" w:eastAsia="Courier New" w:hAnsi="Courier New"/>
          <w:sz w:val="18"/>
          <w:szCs w:val="18"/>
          <w:color w:val="auto"/>
        </w:rPr>
      </w:pPr>
    </w:p>
    <w:p>
      <w:pPr>
        <w:ind w:left="640" w:right="1879" w:firstLine="316"/>
        <w:spacing w:after="0" w:line="235" w:lineRule="auto"/>
        <w:tabs>
          <w:tab w:leader="none" w:pos="1377"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prohibited by law or Commission policy from participating in the Exchange Offer; or</w:t>
      </w:r>
    </w:p>
    <w:p>
      <w:pPr>
        <w:spacing w:after="0" w:line="208" w:lineRule="exact"/>
        <w:rPr>
          <w:rFonts w:ascii="Courier New" w:cs="Courier New" w:eastAsia="Courier New" w:hAnsi="Courier New"/>
          <w:sz w:val="18"/>
          <w:szCs w:val="18"/>
          <w:color w:val="auto"/>
        </w:rPr>
      </w:pPr>
    </w:p>
    <w:p>
      <w:pPr>
        <w:ind w:left="640" w:right="1879" w:firstLine="316"/>
        <w:spacing w:after="0" w:line="237" w:lineRule="auto"/>
        <w:tabs>
          <w:tab w:leader="none" w:pos="148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208" w:lineRule="exact"/>
        <w:rPr>
          <w:rFonts w:ascii="Courier New" w:cs="Courier New" w:eastAsia="Courier New" w:hAnsi="Courier New"/>
          <w:sz w:val="18"/>
          <w:szCs w:val="18"/>
          <w:color w:val="auto"/>
        </w:rPr>
      </w:pPr>
    </w:p>
    <w:p>
      <w:pPr>
        <w:ind w:left="640" w:right="1879" w:firstLine="316"/>
        <w:spacing w:after="0" w:line="235" w:lineRule="auto"/>
        <w:tabs>
          <w:tab w:leader="none" w:pos="158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is a broker-dealer and owns Notes acquired directly from us or one of our affiliates,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2" w:name="page43"/>
    <w:bookmarkEnd w:id="42"/>
    <w:p>
      <w:pPr>
        <w:ind w:left="540"/>
        <w:spacing w:after="0"/>
        <w:rPr>
          <w:sz w:val="20"/>
          <w:szCs w:val="20"/>
          <w:color w:val="auto"/>
        </w:rPr>
      </w:pPr>
      <w:r>
        <w:rPr>
          <w:rFonts w:ascii="Courier New" w:cs="Courier New" w:eastAsia="Courier New" w:hAnsi="Courier New"/>
          <w:sz w:val="18"/>
          <w:szCs w:val="18"/>
          <w:color w:val="auto"/>
        </w:rPr>
        <w:t>"Transfer Restricted Securities" means:</w:t>
      </w:r>
    </w:p>
    <w:p>
      <w:pPr>
        <w:spacing w:after="0" w:line="201" w:lineRule="exact"/>
        <w:rPr>
          <w:sz w:val="20"/>
          <w:szCs w:val="20"/>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Note, until the earliest to occur of:</w:t>
      </w:r>
    </w:p>
    <w:p>
      <w:pPr>
        <w:spacing w:after="0" w:line="206" w:lineRule="exact"/>
        <w:rPr>
          <w:rFonts w:ascii="Courier New" w:cs="Courier New" w:eastAsia="Courier New" w:hAnsi="Courier New"/>
          <w:sz w:val="18"/>
          <w:szCs w:val="18"/>
          <w:color w:val="auto"/>
        </w:rPr>
      </w:pPr>
    </w:p>
    <w:p>
      <w:pPr>
        <w:ind w:left="640" w:right="1879" w:firstLine="316"/>
        <w:spacing w:after="0" w:line="235" w:lineRule="auto"/>
        <w:tabs>
          <w:tab w:leader="none" w:pos="137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is exchanged in the Exchange Offer for an Exchange Note;</w:t>
      </w:r>
    </w:p>
    <w:p>
      <w:pPr>
        <w:spacing w:after="0" w:line="208" w:lineRule="exact"/>
        <w:rPr>
          <w:rFonts w:ascii="Courier New" w:cs="Courier New" w:eastAsia="Courier New" w:hAnsi="Courier New"/>
          <w:sz w:val="18"/>
          <w:szCs w:val="18"/>
          <w:color w:val="auto"/>
        </w:rPr>
      </w:pPr>
    </w:p>
    <w:p>
      <w:pPr>
        <w:ind w:left="640" w:right="1879" w:firstLine="316"/>
        <w:spacing w:after="0" w:line="236" w:lineRule="auto"/>
        <w:tabs>
          <w:tab w:leader="none" w:pos="148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has been disposed of in accordance with a Shelf Registration Statement (and the purchasers thereof have been issued Exchange Notes); and</w:t>
      </w:r>
    </w:p>
    <w:p>
      <w:pPr>
        <w:spacing w:after="0" w:line="209" w:lineRule="exact"/>
        <w:rPr>
          <w:sz w:val="20"/>
          <w:szCs w:val="20"/>
          <w:color w:val="auto"/>
        </w:rPr>
      </w:pPr>
    </w:p>
    <w:p>
      <w:pPr>
        <w:ind w:left="640" w:right="1879" w:firstLine="316"/>
        <w:spacing w:after="0" w:line="290" w:lineRule="auto"/>
        <w:tabs>
          <w:tab w:leader="none" w:pos="1483"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distributed to the public pursuant to Rule 144 (and purchasers thereof have been issued Exchange Notes).</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Exchange Note until the date on which such Exchange Note is disposed of by a broker-dealer pursuant to the Plan of Distribution section of this Prospectus.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Registration Rights Agreement provides that, unless the Exchange Offer is not permitted by applicable law or Commission policy:</w:t>
      </w:r>
    </w:p>
    <w:p>
      <w:pPr>
        <w:spacing w:after="0" w:line="208" w:lineRule="exact"/>
        <w:rPr>
          <w:sz w:val="20"/>
          <w:szCs w:val="20"/>
          <w:color w:val="auto"/>
        </w:rPr>
      </w:pPr>
    </w:p>
    <w:p>
      <w:pPr>
        <w:ind w:left="740" w:right="1779" w:hanging="205"/>
        <w:spacing w:after="0" w:line="235"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 Exchange Order Registration Statement with the Commission on or prior to 120 days after November 26, 2002;</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use our best efforts to have the Exchange Offer Registration Statement declared effective by the Commission on or prior to 210 days after November 26, 2002;</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w:t>
      </w:r>
    </w:p>
    <w:p>
      <w:pPr>
        <w:spacing w:after="0" w:line="206" w:lineRule="exact"/>
        <w:rPr>
          <w:rFonts w:ascii="Courier New" w:cs="Courier New" w:eastAsia="Courier New" w:hAnsi="Courier New"/>
          <w:sz w:val="18"/>
          <w:szCs w:val="18"/>
          <w:color w:val="auto"/>
        </w:rPr>
      </w:pPr>
    </w:p>
    <w:p>
      <w:pPr>
        <w:ind w:left="640" w:right="1879" w:firstLine="316"/>
        <w:spacing w:after="0" w:line="237" w:lineRule="auto"/>
        <w:tabs>
          <w:tab w:leader="none" w:pos="1377"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207" w:lineRule="exact"/>
        <w:rPr>
          <w:rFonts w:ascii="Courier New" w:cs="Courier New" w:eastAsia="Courier New" w:hAnsi="Courier New"/>
          <w:sz w:val="18"/>
          <w:szCs w:val="18"/>
          <w:color w:val="auto"/>
        </w:rPr>
      </w:pPr>
    </w:p>
    <w:p>
      <w:pPr>
        <w:ind w:left="640" w:right="1879" w:firstLine="316"/>
        <w:spacing w:after="0" w:line="290" w:lineRule="auto"/>
        <w:tabs>
          <w:tab w:leader="none" w:pos="148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our best efforts to consummate the Exchange Offer on or prior to 260 days after November 26, 2002 (the "Consummation Deadline");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7" w:lineRule="exact"/>
        <w:rPr>
          <w:sz w:val="20"/>
          <w:szCs w:val="20"/>
          <w:color w:val="auto"/>
        </w:rPr>
      </w:pPr>
    </w:p>
    <w:p>
      <w:pPr>
        <w:ind w:left="740" w:right="1879" w:hanging="205"/>
        <w:spacing w:after="0" w:line="236"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file any of the registration statements required to be filed by the Registration Rights Agreement on or before the date specified for such filing;</w:t>
      </w:r>
    </w:p>
    <w:p>
      <w:pPr>
        <w:spacing w:after="0" w:line="208" w:lineRule="exact"/>
        <w:rPr>
          <w:rFonts w:ascii="Courier New" w:cs="Courier New" w:eastAsia="Courier New" w:hAnsi="Courier New"/>
          <w:sz w:val="18"/>
          <w:szCs w:val="18"/>
          <w:color w:val="auto"/>
        </w:rPr>
      </w:pPr>
    </w:p>
    <w:p>
      <w:pPr>
        <w:jc w:val="both"/>
        <w:ind w:left="740" w:right="2319" w:hanging="205"/>
        <w:spacing w:after="0" w:line="290" w:lineRule="auto"/>
        <w:tabs>
          <w:tab w:leader="none" w:pos="7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such registration statements is not declared effective by the Commission on or prior to the date specified for such effectiveness;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consummate the Exchange Offer on or prior to the Consummation Deadline;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362" w:gutter="0" w:footer="0" w:header="0"/>
        </w:sectPr>
      </w:pPr>
    </w:p>
    <w:bookmarkStart w:id="43" w:name="page44"/>
    <w:bookmarkEnd w:id="43"/>
    <w:p>
      <w:pPr>
        <w:ind w:right="1779" w:firstLine="527"/>
        <w:spacing w:after="0" w:line="236" w:lineRule="auto"/>
        <w:rPr>
          <w:sz w:val="20"/>
          <w:szCs w:val="20"/>
          <w:color w:val="auto"/>
        </w:rPr>
      </w:pPr>
      <w:r>
        <w:rPr>
          <w:rFonts w:ascii="Courier New" w:cs="Courier New" w:eastAsia="Courier New" w:hAnsi="Courier New"/>
          <w:sz w:val="18"/>
          <w:szCs w:val="18"/>
          <w:color w:val="auto"/>
        </w:rPr>
        <w:t>Any Additional Interest due will be paid directly by us on each relevant Interest Payment Date for the Notes to the persons whose names are registered at the close of business on the relevant Regular Record Date.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Following the cure of all Registration Defaults, the accrual of Additional Interest will cease.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Each holder of Notes will be required to make certain representations to us (as described in the Registration Rights Agreement and the Letter of Transmittal, the form of which is an exhibit to the Registration Statement of which this Prospectus is a part)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 TERMINATION</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term "Expiration Date" shall mean February 10, 2003, unless we, in our sole discretion, extend the Exchange Offer, in which case the term "Expiration Date" shall mean the latest date to which the Exchange Offer is extended.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21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Notes will accrue interest at a rate of 6 3/8% per annum. Interest on the Exchange Notes will accrue from the last date on which interest was paid on the Notes, or, if we have paid no interest on such Notes, from November 26, 2002, the date of issuance of the Notes for which the Exchange Offer is being made. Interest on the Exchange Notes is payable semi-annually on May 15 and November 15, commencing on May 15, 2003.</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8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395"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we reserve the right, in our sole discretion, subject to the provisions of the Senior Indenture, to purchase or make offers for any Notes that remain outstanding subsequent to the Expiration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5" w:name="page46"/>
    <w:bookmarkEnd w:id="45"/>
    <w:p>
      <w:pPr>
        <w:ind w:right="1879"/>
        <w:spacing w:after="0" w:line="237" w:lineRule="auto"/>
        <w:rPr>
          <w:sz w:val="20"/>
          <w:szCs w:val="20"/>
          <w:color w:val="auto"/>
        </w:rPr>
      </w:pPr>
      <w:r>
        <w:rPr>
          <w:rFonts w:ascii="Courier New" w:cs="Courier New" w:eastAsia="Courier New" w:hAnsi="Courier New"/>
          <w:sz w:val="18"/>
          <w:szCs w:val="18"/>
          <w:color w:val="auto"/>
        </w:rPr>
        <w:t>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REPRESENTATIONS TO US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By signing or agreeing to be bound by the Letter of Transmittal, you will represent that, among other things:</w:t>
      </w:r>
    </w:p>
    <w:p>
      <w:pPr>
        <w:spacing w:after="0" w:line="208" w:lineRule="exact"/>
        <w:rPr>
          <w:sz w:val="20"/>
          <w:szCs w:val="20"/>
          <w:color w:val="auto"/>
        </w:rPr>
      </w:pPr>
    </w:p>
    <w:p>
      <w:pPr>
        <w:ind w:left="740" w:right="1779" w:hanging="205"/>
        <w:spacing w:after="0" w:line="236"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(as defined in Rule 405 of the Securities Act) of us or a broker-dealer tendering Notes acquired directly from us for your own account;</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207"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 arrangement or understanding with any person to participate in a distribution of the Notes or the Exchange Notes within the meaning of the Securities Act;</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Exchange Notes in the ordinary course of your business;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ACCEPTANCE OF NOTES FOR EXCHANGE; DELIVERY OF EXCHANGE NOTES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970" w:gutter="0" w:footer="0" w:header="0"/>
        </w:sectPr>
      </w:pPr>
    </w:p>
    <w:bookmarkStart w:id="46" w:name="page47"/>
    <w:bookmarkEnd w:id="46"/>
    <w:p>
      <w:pPr>
        <w:ind w:right="1999"/>
        <w:spacing w:after="0" w:line="235" w:lineRule="auto"/>
        <w:rPr>
          <w:sz w:val="20"/>
          <w:szCs w:val="20"/>
          <w:color w:val="auto"/>
        </w:rPr>
      </w:pPr>
      <w:r>
        <w:rPr>
          <w:rFonts w:ascii="Courier New" w:cs="Courier New" w:eastAsia="Courier New" w:hAnsi="Courier New"/>
          <w:sz w:val="18"/>
          <w:szCs w:val="18"/>
          <w:color w:val="auto"/>
        </w:rPr>
        <w:t>Agent" no later than the Expiration Date or the guaranteed delivery procedures described below must be complied with.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TENDERING THROUGH DTC'S AUTOMATED TENDER OFFER PROGRAM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215" w:lineRule="exact"/>
        <w:rPr>
          <w:sz w:val="20"/>
          <w:szCs w:val="20"/>
          <w:color w:val="auto"/>
        </w:rPr>
      </w:pPr>
    </w:p>
    <w:p>
      <w:pPr>
        <w:ind w:left="740" w:right="1879" w:hanging="205"/>
        <w:spacing w:after="0" w:line="236"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has received an express acknowledgement from a participant in its automated tender program that is tendering Notes that are the subject of Book-Entry Confirmation;</w:t>
      </w:r>
    </w:p>
    <w:p>
      <w:pPr>
        <w:spacing w:after="0" w:line="208" w:lineRule="exact"/>
        <w:rPr>
          <w:rFonts w:ascii="Courier New" w:cs="Courier New" w:eastAsia="Courier New" w:hAnsi="Courier New"/>
          <w:sz w:val="18"/>
          <w:szCs w:val="18"/>
          <w:color w:val="auto"/>
        </w:rPr>
      </w:pPr>
    </w:p>
    <w:p>
      <w:pPr>
        <w:jc w:val="both"/>
        <w:ind w:left="740" w:right="1999" w:hanging="205"/>
        <w:spacing w:after="0" w:line="23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may be enforced against the participant.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Tenders of Notes may be withdrawn at any time prior to 5:00 p.m., New York City time, on the Expiration Date.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w:t>
      </w: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7" w:name="page48"/>
    <w:bookmarkEnd w:id="47"/>
    <w:p>
      <w:pPr>
        <w:ind w:right="1879"/>
        <w:spacing w:after="0" w:line="236" w:lineRule="auto"/>
        <w:rPr>
          <w:sz w:val="20"/>
          <w:szCs w:val="20"/>
          <w:color w:val="auto"/>
        </w:rPr>
      </w:pPr>
      <w:r>
        <w:rPr>
          <w:rFonts w:ascii="Courier New" w:cs="Courier New" w:eastAsia="Courier New" w:hAnsi="Courier New"/>
          <w:sz w:val="18"/>
          <w:szCs w:val="18"/>
          <w:color w:val="auto"/>
        </w:rPr>
        <w:t>withdrawn Notes may be retendered by following one of the procedures described under "-- Procedures for Tendering" and "-- Book-Entry Transfer" at any time on or prior to the Expiration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212" w:lineRule="exact"/>
        <w:rPr>
          <w:sz w:val="20"/>
          <w:szCs w:val="20"/>
          <w:color w:val="auto"/>
        </w:rPr>
      </w:pPr>
    </w:p>
    <w:p>
      <w:pPr>
        <w:ind w:left="740" w:right="1779" w:hanging="205"/>
        <w:spacing w:after="0" w:line="235"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in the Letter of Transmittal described under "-- Your Representations to Us"; and</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representations as may be necessary under applicable Commission rules, regulations or interpretations to make available to us an appropriate form for registration of the Exchange Notes under the Securities Act.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AGENT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By Mail (Certified, Registered, Overnight or First Class) or Hand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JPMorgan Chase Bank</w:t>
      </w:r>
    </w:p>
    <w:p>
      <w:pPr>
        <w:jc w:val="center"/>
        <w:ind w:right="1879"/>
        <w:spacing w:after="0" w:line="238" w:lineRule="auto"/>
        <w:rPr>
          <w:sz w:val="20"/>
          <w:szCs w:val="20"/>
          <w:color w:val="auto"/>
        </w:rPr>
      </w:pPr>
      <w:r>
        <w:rPr>
          <w:rFonts w:ascii="Courier New" w:cs="Courier New" w:eastAsia="Courier New" w:hAnsi="Courier New"/>
          <w:sz w:val="18"/>
          <w:szCs w:val="18"/>
          <w:color w:val="auto"/>
        </w:rPr>
        <w:t>700 Lavaca, 5th floor</w:t>
      </w:r>
    </w:p>
    <w:p>
      <w:pPr>
        <w:jc w:val="center"/>
        <w:ind w:right="1879"/>
        <w:spacing w:after="0"/>
        <w:rPr>
          <w:sz w:val="20"/>
          <w:szCs w:val="20"/>
          <w:color w:val="auto"/>
        </w:rPr>
      </w:pPr>
      <w:r>
        <w:rPr>
          <w:rFonts w:ascii="Courier New" w:cs="Courier New" w:eastAsia="Courier New" w:hAnsi="Courier New"/>
          <w:sz w:val="18"/>
          <w:szCs w:val="18"/>
          <w:color w:val="auto"/>
        </w:rPr>
        <w:t>Austin, Texas 78701</w:t>
      </w:r>
    </w:p>
    <w:p>
      <w:pPr>
        <w:jc w:val="center"/>
        <w:ind w:right="1879"/>
        <w:spacing w:after="0" w:line="237" w:lineRule="auto"/>
        <w:rPr>
          <w:sz w:val="20"/>
          <w:szCs w:val="20"/>
          <w:color w:val="auto"/>
        </w:rPr>
      </w:pPr>
      <w:r>
        <w:rPr>
          <w:rFonts w:ascii="Courier New" w:cs="Courier New" w:eastAsia="Courier New" w:hAnsi="Courier New"/>
          <w:sz w:val="18"/>
          <w:szCs w:val="18"/>
          <w:color w:val="auto"/>
        </w:rPr>
        <w:t>Telephone Number (512) 479-2575</w:t>
      </w:r>
    </w:p>
    <w:p>
      <w:pPr>
        <w:jc w:val="center"/>
        <w:ind w:right="1879"/>
        <w:spacing w:after="0" w:line="238" w:lineRule="auto"/>
        <w:rPr>
          <w:sz w:val="20"/>
          <w:szCs w:val="20"/>
          <w:color w:val="auto"/>
        </w:rPr>
      </w:pPr>
      <w:r>
        <w:rPr>
          <w:rFonts w:ascii="Courier New" w:cs="Courier New" w:eastAsia="Courier New" w:hAnsi="Courier New"/>
          <w:sz w:val="18"/>
          <w:szCs w:val="18"/>
          <w:color w:val="auto"/>
        </w:rPr>
        <w:t>Attention: Mr. Cary Gilliam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will bear the expenses to be incurred in connection with the Exchange Offer, including fees and expenses of the Exchange Agent and the Trustee, and accounting, legal, printing and related fees and expenses.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will pay all transfer taxes, if any, applicable to the exchange of Notes pursuant to the Exchange Offer. If, however, Exchange Notes or Notes for principal amounts not tendered or accepted for exchange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969" w:gutter="0" w:footer="0" w:header="0"/>
        </w:sectPr>
      </w:pPr>
    </w:p>
    <w:bookmarkStart w:id="48" w:name="page49"/>
    <w:bookmarkEnd w:id="48"/>
    <w:p>
      <w:pPr>
        <w:ind w:right="1879"/>
        <w:spacing w:after="0" w:line="271" w:lineRule="auto"/>
        <w:rPr>
          <w:sz w:val="20"/>
          <w:szCs w:val="20"/>
          <w:color w:val="auto"/>
        </w:rPr>
      </w:pPr>
      <w:r>
        <w:rPr>
          <w:rFonts w:ascii="Courier New" w:cs="Courier New" w:eastAsia="Courier New" w:hAnsi="Courier New"/>
          <w:sz w:val="16"/>
          <w:szCs w:val="16"/>
          <w:color w:val="auto"/>
        </w:rPr>
        <w:t>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EXCHANGE NOTES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CONSEQUENCES OF FAILURE TO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 FEDERAL INCOME TAX CONSEQUENCES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203" w:lineRule="exact"/>
        <w:rPr>
          <w:sz w:val="20"/>
          <w:szCs w:val="20"/>
          <w:color w:val="auto"/>
        </w:rPr>
      </w:pPr>
    </w:p>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nonresident alien individual;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corporation;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estate or trust that is not subject to United States federal income taxation on its worldwide income.</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 United States federal income tax consequences of purchasing, owning and disposing of the Exchange Notes.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summary assumes that investors will hold the Exchange Notes as "capital assets" (generally, property held for investment) under the Code. Prospective investors are urged to consult their tax advisors regarding the United States federal, state, local and foreign income and other tax consequences of the exchange of the Notes for Exchange Notes and ownership and disposition of the Exchange Notes.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Interest paid by Waste Management to non-U.S. holders will not be subject to United States federal income or withholding tax provided:</w:t>
      </w:r>
    </w:p>
    <w:p>
      <w:pPr>
        <w:spacing w:after="0" w:line="208" w:lineRule="exact"/>
        <w:rPr>
          <w:sz w:val="20"/>
          <w:szCs w:val="20"/>
          <w:color w:val="auto"/>
        </w:rPr>
      </w:pPr>
    </w:p>
    <w:p>
      <w:pPr>
        <w:ind w:left="740" w:right="1879" w:hanging="205"/>
        <w:spacing w:after="0" w:line="236"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does not actually or constructively own 10% or more of the total combined voting power of all classes of stock of Waste Management entitled to vote;</w:t>
      </w:r>
    </w:p>
    <w:p>
      <w:pPr>
        <w:spacing w:after="0" w:line="208"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is not a controlled foreign corporation that is related to Waste Management through stock ownership;</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is not a bank that acquired the Note as an extension of credit made pursuant to a loan agreement made in the ordinary course of business;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of section 871(h) or 881(c) of the Code are satisfied as described below under the heading "Owner Statement Requirement."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207" w:lineRule="exact"/>
        <w:rPr>
          <w:sz w:val="20"/>
          <w:szCs w:val="20"/>
          <w:color w:val="auto"/>
        </w:rPr>
      </w:pPr>
    </w:p>
    <w:p>
      <w:pPr>
        <w:ind w:left="740" w:right="2739" w:hanging="205"/>
        <w:spacing w:after="0" w:line="290" w:lineRule="auto"/>
        <w:tabs>
          <w:tab w:leader="none" w:pos="7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on interest that is effectively connected with the conduct of such trade or business; and</w:t>
      </w:r>
    </w:p>
    <w:p>
      <w:pPr>
        <w:spacing w:after="0" w:line="169" w:lineRule="exact"/>
        <w:rPr>
          <w:rFonts w:ascii="Courier New" w:cs="Courier New" w:eastAsia="Courier New" w:hAnsi="Courier New"/>
          <w:sz w:val="16"/>
          <w:szCs w:val="16"/>
          <w:color w:val="auto"/>
        </w:rPr>
      </w:pPr>
    </w:p>
    <w:p>
      <w:pPr>
        <w:jc w:val="both"/>
        <w:ind w:left="740" w:right="1999" w:hanging="205"/>
        <w:spacing w:after="0" w:line="236"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non-U.S. holder is a corporation, a United States branch profits tax equal to 30% of its "effectively connected earnings and profits" as adjusted for the taxable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GAIN ON DISPOSITION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will generally not be subject to United states federal income tax on gain recognized on a sale, redemption or other disposition of an Exchange Note unless:</w:t>
      </w:r>
    </w:p>
    <w:p>
      <w:pPr>
        <w:spacing w:after="0" w:line="209" w:lineRule="exact"/>
        <w:rPr>
          <w:sz w:val="20"/>
          <w:szCs w:val="20"/>
          <w:color w:val="auto"/>
        </w:rPr>
      </w:pPr>
    </w:p>
    <w:p>
      <w:pPr>
        <w:ind w:left="740" w:right="1779" w:hanging="205"/>
        <w:spacing w:after="0" w:line="235"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the conduct of a trade or business within the United States by the non-U.S. holder; or</w:t>
      </w:r>
    </w:p>
    <w:p>
      <w:pPr>
        <w:spacing w:after="0" w:line="208" w:lineRule="exact"/>
        <w:rPr>
          <w:rFonts w:ascii="Courier New" w:cs="Courier New" w:eastAsia="Courier New" w:hAnsi="Courier New"/>
          <w:sz w:val="18"/>
          <w:szCs w:val="18"/>
          <w:color w:val="auto"/>
        </w:rPr>
      </w:pPr>
    </w:p>
    <w:p>
      <w:pPr>
        <w:jc w:val="both"/>
        <w:ind w:left="740" w:right="1999" w:hanging="205"/>
        <w:spacing w:after="0" w:line="279" w:lineRule="auto"/>
        <w:tabs>
          <w:tab w:leader="none" w:pos="74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non-U.S. holder who is a nonresident alien individual, such holder is present in the United States for 183 or more days during the taxable year and certain other requirements are met.</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An Exchange Note held by an individual who at the time of death is not a citizen or resident of the United States will not be subject to United States federal estate tax as a result of such individual's death, provided;</w:t>
      </w:r>
    </w:p>
    <w:p>
      <w:pPr>
        <w:spacing w:after="0" w:line="209" w:lineRule="exact"/>
        <w:rPr>
          <w:sz w:val="20"/>
          <w:szCs w:val="20"/>
          <w:color w:val="auto"/>
        </w:rPr>
      </w:pPr>
    </w:p>
    <w:p>
      <w:pPr>
        <w:ind w:left="740" w:right="177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does not actually or constructively own 10% or more of the total combined voting power of all classes of stock of Waste Management entitled to vote; and</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accrued on the Exchange Note was not effectively connected with a United States trade or business of the individual at the individual's death.</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969"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OWNER STATEMENT REQUIREMENT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 that the beneficial owner is not a United States person. Under current regulations, this requirement will be satisfied if Waste Management or its agent receives:</w:t>
      </w:r>
    </w:p>
    <w:p>
      <w:pPr>
        <w:spacing w:after="0" w:line="214" w:lineRule="exact"/>
        <w:rPr>
          <w:sz w:val="20"/>
          <w:szCs w:val="20"/>
          <w:color w:val="auto"/>
        </w:rPr>
      </w:pPr>
    </w:p>
    <w:p>
      <w:pPr>
        <w:ind w:left="740" w:right="1779" w:hanging="205"/>
        <w:spacing w:after="0" w:line="236"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beneficial owner certifying under penalty of perjury that such owner is not a United States person and that provides certain information required under the regulations;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beneficial owner must inform Waste Management or its agent, as applicable, or the financial institution, as applicable, within 30 days of any change in information on the owner's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17" w:right="1440" w:bottom="970" w:gutter="0" w:footer="0" w:header="0"/>
        </w:sectPr>
      </w:pPr>
    </w:p>
    <w:bookmarkStart w:id="52" w:name="page53"/>
    <w:bookmarkEnd w:id="52"/>
    <w:p>
      <w:pPr>
        <w:ind w:right="1879"/>
        <w:spacing w:after="0" w:line="237" w:lineRule="auto"/>
        <w:rPr>
          <w:sz w:val="20"/>
          <w:szCs w:val="20"/>
          <w:color w:val="auto"/>
        </w:rPr>
      </w:pPr>
      <w:r>
        <w:rPr>
          <w:rFonts w:ascii="Courier New" w:cs="Courier New" w:eastAsia="Courier New" w:hAnsi="Courier New"/>
          <w:sz w:val="18"/>
          <w:szCs w:val="18"/>
          <w:color w:val="auto"/>
        </w:rPr>
        <w:t>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a period of one year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and will indemnify the holders of the Exchange Notes against certain liabilities, including liabilities under the Securities Act.</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Baker Botts L.L.P. has issued an opinion about the legality of the Exchange Notes.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audited consolidated financial statements as of December 31, 1999, 2000 and 2001 and for the three years ended December 31, 2001 appearing in Waste Management's Annual Report on Form 10-K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53" w:name="page54"/>
    <w:bookmarkEnd w:id="53"/>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 DEALER, SALESPERSON OR OTHER PERSON TO GIVE ANY INFORMATION OR REPRESENT ANY INFORMATION OTHER THAN THE INFORMATION CONTAINED IN THIS PROSPECTUS. THIS PROSPECTUS IS AN OFFER TO EXCHANGE THE EXCHANGE NOTES FOR THE OUTSTANDING NOTES ONLY UNDER CIRCUMSTANCES AND IN JURISDICTIONS WHERE IT IS LAWFUL TO DO SO.</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[WASTE MANAGEMENT LOGO]</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OFFER TO EXCHANGE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$400,000,000 6 3/8% SENIOR NOTES DUE 2012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$400,000,000 6 3/8% SENIOR NOTES DUE 2012</w:t>
      </w:r>
    </w:p>
    <w:p>
      <w:pPr>
        <w:spacing w:after="0" w:line="207"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lvl w:ilvl="1">
      <w:lvlJc w:val="left"/>
      <w:lvlText w:val="-"/>
      <w:numFmt w:val="bullet"/>
      <w:start w:val="1"/>
    </w:lvl>
  </w:abstractNum>
  <w:abstractNum w:abstractNumId="4">
    <w:nsid w:val="5072367"/>
    <w:multiLevelType w:val="hybridMultilevel"/>
    <w:lvl w:ilvl="0">
      <w:lvlJc w:val="left"/>
      <w:lvlText w:val="-"/>
      <w:numFmt w:val="bullet"/>
      <w:start w:val="1"/>
    </w:lvl>
    <w:lvl w:ilvl="1">
      <w:lvlJc w:val="left"/>
      <w:lvlText w:val="-"/>
      <w:numFmt w:val="bullet"/>
      <w:start w:val="1"/>
    </w:lvl>
  </w:abstractNum>
  <w:abstractNum w:abstractNumId="5">
    <w:nsid w:val="3804823E"/>
    <w:multiLevelType w:val="hybridMultilevel"/>
    <w:lvl w:ilvl="0">
      <w:lvlJc w:val="left"/>
      <w:lvlText w:val="(%1)"/>
      <w:numFmt w:val="decimal"/>
      <w:start w:val="713"/>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1)"/>
      <w:numFmt w:val="decimal"/>
      <w:start w:val="512"/>
    </w:lvl>
  </w:abstractNum>
  <w:abstractNum w:abstractNumId="12">
    <w:nsid w:val="2D517796"/>
    <w:multiLevelType w:val="hybridMultilevel"/>
    <w:lvl w:ilvl="0">
      <w:lvlJc w:val="left"/>
      <w:lvlText w:val="(%1)"/>
      <w:numFmt w:val="decimal"/>
      <w:start w:val="512"/>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1)"/>
      <w:numFmt w:val="decimal"/>
      <w:start w:val="682"/>
    </w:lvl>
  </w:abstractNum>
  <w:abstractNum w:abstractNumId="18">
    <w:nsid w:val="2A487CB0"/>
    <w:multiLevelType w:val="hybridMultilevel"/>
    <w:lvl w:ilvl="0">
      <w:lvlJc w:val="left"/>
      <w:lvlText w:val="(%1)"/>
      <w:numFmt w:val="decimal"/>
      <w:start w:val="428"/>
    </w:lvl>
    <w:lvl w:ilvl="1">
      <w:lvlJc w:val="left"/>
      <w:lvlText w:val="-----"/>
      <w:numFmt w:val="bullet"/>
      <w:start w:val="1"/>
    </w:lvl>
  </w:abstractNum>
  <w:abstractNum w:abstractNumId="19">
    <w:nsid w:val="1D4ED43B"/>
    <w:multiLevelType w:val="hybridMultilevel"/>
    <w:lvl w:ilvl="0">
      <w:lvlJc w:val="left"/>
      <w:lvlText w:val="(%1)"/>
      <w:numFmt w:val="decimal"/>
      <w:start w:val="336"/>
    </w:lvl>
    <w:lvl w:ilvl="1">
      <w:lvlJc w:val="left"/>
      <w:lvlText w:val="-----"/>
      <w:numFmt w:val="bullet"/>
      <w:start w:val="1"/>
    </w:lvl>
  </w:abstractNum>
  <w:abstractNum w:abstractNumId="20">
    <w:nsid w:val="725A06FB"/>
    <w:multiLevelType w:val="hybridMultilevel"/>
    <w:lvl w:ilvl="0">
      <w:lvlJc w:val="left"/>
      <w:lvlText w:val="(%1)"/>
      <w:numFmt w:val="decimal"/>
      <w:start w:val="700"/>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412"/>
    </w:lvl>
    <w:lvl w:ilvl="1">
      <w:lvlJc w:val="left"/>
      <w:lvlText w:val="%2"/>
      <w:numFmt w:val="decimal"/>
      <w:start w:val="1"/>
    </w:lvl>
  </w:abstractNum>
  <w:abstractNum w:abstractNumId="24">
    <w:nsid w:val="4B588F54"/>
    <w:multiLevelType w:val="hybridMultilevel"/>
    <w:lvl w:ilvl="0">
      <w:lvlJc w:val="left"/>
      <w:lvlText w:val="(%1)"/>
      <w:numFmt w:val="decimal"/>
      <w:start w:val="638"/>
    </w:lvl>
    <w:lvl w:ilvl="1">
      <w:lvlJc w:val="left"/>
      <w:lvlText w:val="%2"/>
      <w:numFmt w:val="decimal"/>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lvl w:ilvl="1">
      <w:lvlJc w:val="left"/>
      <w:lvlText w:val="---"/>
      <w:numFmt w:val="bullet"/>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lowerRoman"/>
      <w:start w:val="2"/>
    </w:lvl>
  </w:abstractNum>
  <w:abstractNum w:abstractNumId="35">
    <w:nsid w:val="79A1DEAA"/>
    <w:multiLevelType w:val="hybridMultilevel"/>
    <w:lvl w:ilvl="0">
      <w:lvlJc w:val="left"/>
      <w:lvlText w:val="-"/>
      <w:numFmt w:val="bullet"/>
      <w:start w:val="1"/>
    </w:lvl>
    <w:lvl w:ilvl="1">
      <w:lvlJc w:val="left"/>
      <w:lvlText w:val="(%2)"/>
      <w:numFmt w:val="lowerRoman"/>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8">
    <w:nsid w:val="70C6A529"/>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9">
    <w:nsid w:val="520EEDD1"/>
    <w:multiLevelType w:val="hybridMultilevel"/>
    <w:lvl w:ilvl="0">
      <w:lvlJc w:val="left"/>
      <w:lvlText w:val="(%1)"/>
      <w:numFmt w:val="lowerLetter"/>
      <w:start w:val="2"/>
    </w:lvl>
  </w:abstractNum>
  <w:abstractNum w:abstractNumId="40">
    <w:nsid w:val="374A3FE6"/>
    <w:multiLevelType w:val="hybridMultilevel"/>
    <w:lvl w:ilvl="0">
      <w:lvlJc w:val="left"/>
      <w:lvlText w:val="(%1)"/>
      <w:numFmt w:val="lowerLetter"/>
      <w:start w:val="5"/>
    </w:lvl>
  </w:abstractNum>
  <w:abstractNum w:abstractNumId="41">
    <w:nsid w:val="4F4EF005"/>
    <w:multiLevelType w:val="hybridMultilevel"/>
    <w:lvl w:ilvl="0">
      <w:lvlJc w:val="left"/>
      <w:lvlText w:val="(%1)"/>
      <w:numFmt w:val="decimal"/>
      <w:start w:val="2"/>
    </w:lvl>
  </w:abstractNum>
  <w:abstractNum w:abstractNumId="42">
    <w:nsid w:val="23F9C13C"/>
    <w:multiLevelType w:val="hybridMultilevel"/>
    <w:lvl w:ilvl="0">
      <w:lvlJc w:val="left"/>
      <w:lvlText w:val="(%1)"/>
      <w:numFmt w:val="lowerLetter"/>
      <w:start w:val="2"/>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lvl w:ilvl="1">
      <w:lvlJc w:val="left"/>
      <w:lvlText w:val="(%2)"/>
      <w:numFmt w:val="lowerRoman"/>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lowerLetter"/>
      <w:start w:val="2"/>
    </w:lvl>
  </w:abstractNum>
  <w:abstractNum w:abstractNumId="51">
    <w:nsid w:val="15B5AF5C"/>
    <w:multiLevelType w:val="hybridMultilevel"/>
    <w:lvl w:ilvl="0">
      <w:lvlJc w:val="left"/>
      <w:lvlText w:val="-"/>
      <w:numFmt w:val="bullet"/>
      <w:start w:val="1"/>
    </w:lvl>
    <w:lvl w:ilvl="1">
      <w:lvlJc w:val="left"/>
      <w:lvlText w:val="(%2)"/>
      <w:numFmt w:val="lowerRoman"/>
      <w:start w:val="1"/>
    </w:lvl>
  </w:abstractNum>
  <w:abstractNum w:abstractNumId="52">
    <w:nsid w:val="741226BB"/>
    <w:multiLevelType w:val="hybridMultilevel"/>
    <w:lvl w:ilvl="0">
      <w:lvlJc w:val="left"/>
      <w:lvlText w:val="-"/>
      <w:numFmt w:val="bullet"/>
      <w:start w:val="1"/>
    </w:lvl>
    <w:lvl w:ilvl="1">
      <w:lvlJc w:val="left"/>
      <w:lvlText w:val="(%2)"/>
      <w:numFmt w:val="lowerRoman"/>
      <w:start w:val="1"/>
    </w:lvl>
  </w:abstractNum>
  <w:abstractNum w:abstractNumId="53">
    <w:nsid w:val="D34B6A8"/>
    <w:multiLevelType w:val="hybridMultilevel"/>
    <w:lvl w:ilvl="0">
      <w:lvlJc w:val="left"/>
      <w:lvlText w:val="-"/>
      <w:numFmt w:val="bullet"/>
      <w:start w:val="1"/>
    </w:lvl>
    <w:lvl w:ilvl="1">
      <w:lvlJc w:val="left"/>
      <w:lvlText w:val="(%2)"/>
      <w:numFmt w:val="lowerRoman"/>
      <w:start w:val="2"/>
    </w:lvl>
  </w:abstractNum>
  <w:abstractNum w:abstractNumId="54">
    <w:nsid w:val="10233C99"/>
    <w:multiLevelType w:val="hybridMultilevel"/>
    <w:lvl w:ilvl="0">
      <w:lvlJc w:val="left"/>
      <w:lvlText w:val="-"/>
      <w:numFmt w:val="bullet"/>
      <w:start w:val="1"/>
    </w:lvl>
    <w:lvl w:ilvl="1">
      <w:lvlJc w:val="left"/>
      <w:lvlText w:val="(%2)"/>
      <w:numFmt w:val="lowerRoman"/>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2019-12-20T03:44:00Z</dcterms:created>
  <dcterms:modified xsi:type="dcterms:W3CDTF">2019-12-20T03:44:00Z</dcterms:modified>
</cp:coreProperties>
</file>