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9)*</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94106L109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080" w:hanging="647"/>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17" w:lineRule="exact"/>
        <w:rPr>
          <w:sz w:val="24"/>
          <w:szCs w:val="24"/>
          <w:color w:val="auto"/>
        </w:rPr>
      </w:pPr>
    </w:p>
    <w:p>
      <w:pPr>
        <w:ind w:left="1080" w:hanging="647"/>
        <w:spacing w:after="0"/>
        <w:tabs>
          <w:tab w:leader="none" w:pos="10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17" w:lineRule="exact"/>
        <w:rPr>
          <w:sz w:val="24"/>
          <w:szCs w:val="24"/>
          <w:color w:val="auto"/>
        </w:rPr>
      </w:pPr>
    </w:p>
    <w:p>
      <w:pPr>
        <w:ind w:left="1080" w:hanging="647"/>
        <w:spacing w:after="0"/>
        <w:tabs>
          <w:tab w:leader="none" w:pos="10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637540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33" w:right="37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p>
      <w:pPr>
        <w:ind w:left="760" w:hanging="469"/>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 &amp; Melinda Gates Foundation Trust</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760" w:hanging="469"/>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rFonts w:ascii="Times New Roman" w:cs="Times New Roman" w:eastAsia="Times New Roman" w:hAnsi="Times New Roman"/>
          <w:sz w:val="18"/>
          <w:szCs w:val="18"/>
          <w:color w:val="auto"/>
        </w:rPr>
      </w:pPr>
    </w:p>
    <w:p>
      <w:pPr>
        <w:ind w:left="1540" w:hanging="790"/>
        <w:spacing w:after="0" w:line="207" w:lineRule="exact"/>
        <w:tabs>
          <w:tab w:leader="none" w:pos="154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790"/>
        <w:spacing w:after="0" w:line="207" w:lineRule="exact"/>
        <w:tabs>
          <w:tab w:leader="none" w:pos="154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56" w:lineRule="exact"/>
        <w:rPr>
          <w:rFonts w:ascii="Times New Roman" w:cs="Times New Roman" w:eastAsia="Times New Roman" w:hAnsi="Times New Roman"/>
          <w:sz w:val="18"/>
          <w:szCs w:val="18"/>
          <w:color w:val="auto"/>
        </w:rPr>
      </w:pPr>
    </w:p>
    <w:p>
      <w:pPr>
        <w:ind w:left="760" w:hanging="469"/>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760" w:right="7860" w:hanging="469"/>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State of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11430</wp:posOffset>
            </wp:positionV>
            <wp:extent cx="66948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-536575</wp:posOffset>
            </wp:positionV>
            <wp:extent cx="66948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-948055</wp:posOffset>
            </wp:positionV>
            <wp:extent cx="6197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-1153795</wp:posOffset>
            </wp:positionV>
            <wp:extent cx="6197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-1771015</wp:posOffset>
            </wp:positionV>
            <wp:extent cx="66948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40" w:type="dxa"/>
            <w:vAlign w:val="bottom"/>
          </w:tcPr>
          <w:p>
            <w:pPr>
              <w:spacing w:after="0"/>
              <w:rPr>
                <w:sz w:val="23"/>
                <w:szCs w:val="23"/>
                <w:color w:val="auto"/>
              </w:rPr>
            </w:pPr>
          </w:p>
        </w:tc>
        <w:tc>
          <w:tcPr>
            <w:tcW w:w="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w:t>
            </w:r>
          </w:p>
        </w:tc>
        <w:tc>
          <w:tcPr>
            <w:tcW w:w="9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90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88"/>
        </w:trPr>
        <w:tc>
          <w:tcPr>
            <w:tcW w:w="1140" w:type="dxa"/>
            <w:vAlign w:val="bottom"/>
            <w:vMerge w:val="continue"/>
          </w:tcPr>
          <w:p>
            <w:pPr>
              <w:spacing w:after="0"/>
              <w:rPr>
                <w:sz w:val="24"/>
                <w:szCs w:val="24"/>
                <w:color w:val="auto"/>
              </w:rPr>
            </w:pPr>
          </w:p>
        </w:tc>
        <w:tc>
          <w:tcPr>
            <w:tcW w:w="9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71"/>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900" w:type="dxa"/>
            <w:vAlign w:val="bottom"/>
            <w:vMerge w:val="continue"/>
          </w:tcPr>
          <w:p>
            <w:pPr>
              <w:spacing w:after="0"/>
              <w:rPr>
                <w:sz w:val="6"/>
                <w:szCs w:val="6"/>
                <w:color w:val="auto"/>
              </w:rPr>
            </w:pPr>
          </w:p>
        </w:tc>
        <w:tc>
          <w:tcPr>
            <w:tcW w:w="9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14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9200" w:type="dxa"/>
            <w:vAlign w:val="bottom"/>
            <w:vMerge w:val="restart"/>
          </w:tcPr>
          <w:p>
            <w:pPr>
              <w:ind w:left="40"/>
              <w:spacing w:after="0" w:line="324" w:lineRule="exact"/>
              <w:rPr>
                <w:sz w:val="20"/>
                <w:szCs w:val="20"/>
                <w:color w:val="auto"/>
              </w:rPr>
            </w:pPr>
            <w:r>
              <w:rPr>
                <w:rFonts w:ascii="Times New Roman" w:cs="Times New Roman" w:eastAsia="Times New Roman" w:hAnsi="Times New Roman"/>
                <w:sz w:val="18"/>
                <w:szCs w:val="18"/>
                <w:color w:val="auto"/>
              </w:rPr>
              <w:t xml:space="preserve">35,234,344 </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99"/>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Beneficially</w:t>
            </w:r>
          </w:p>
        </w:tc>
        <w:tc>
          <w:tcPr>
            <w:tcW w:w="900" w:type="dxa"/>
            <w:vAlign w:val="bottom"/>
          </w:tcPr>
          <w:p>
            <w:pPr>
              <w:spacing w:after="0"/>
              <w:rPr>
                <w:sz w:val="16"/>
                <w:szCs w:val="16"/>
                <w:color w:val="auto"/>
              </w:rPr>
            </w:pPr>
          </w:p>
        </w:tc>
        <w:tc>
          <w:tcPr>
            <w:tcW w:w="9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90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9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7.</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08"/>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90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6"/>
        </w:trPr>
        <w:tc>
          <w:tcPr>
            <w:tcW w:w="114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90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4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2080" w:right="7280" w:hanging="655"/>
        <w:spacing w:after="0" w:line="292" w:lineRule="auto"/>
        <w:tabs>
          <w:tab w:leader="none" w:pos="208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Shared Dispositive Power 35,234,344 </w:t>
      </w:r>
      <w:r>
        <w:rPr>
          <w:rFonts w:ascii="Times New Roman" w:cs="Times New Roman" w:eastAsia="Times New Roman" w:hAnsi="Times New Roman"/>
          <w:sz w:val="29"/>
          <w:szCs w:val="29"/>
          <w:color w:val="auto"/>
          <w:vertAlign w:val="superscript"/>
        </w:rPr>
        <w:t>(1)</w:t>
      </w:r>
    </w:p>
    <w:p>
      <w:pPr>
        <w:spacing w:after="0" w:line="246" w:lineRule="exact"/>
        <w:rPr>
          <w:rFonts w:ascii="Times New Roman" w:cs="Times New Roman" w:eastAsia="Times New Roman" w:hAnsi="Times New Roman"/>
          <w:sz w:val="18"/>
          <w:szCs w:val="18"/>
          <w:color w:val="auto"/>
        </w:rPr>
      </w:pPr>
    </w:p>
    <w:p>
      <w:pPr>
        <w:ind w:left="760" w:right="5680" w:hanging="469"/>
        <w:spacing w:after="0" w:line="292" w:lineRule="auto"/>
        <w:tabs>
          <w:tab w:leader="none" w:pos="7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Aggregate Amount Beneficially Owned by Each Reporting Person 35,234,344 </w:t>
      </w:r>
      <w:r>
        <w:rPr>
          <w:rFonts w:ascii="Times New Roman" w:cs="Times New Roman" w:eastAsia="Times New Roman" w:hAnsi="Times New Roman"/>
          <w:sz w:val="29"/>
          <w:szCs w:val="29"/>
          <w:color w:val="auto"/>
          <w:vertAlign w:val="superscript"/>
        </w:rPr>
        <w:t>(1)</w:t>
      </w:r>
    </w:p>
    <w:p>
      <w:pPr>
        <w:spacing w:after="0" w:line="218" w:lineRule="exact"/>
        <w:rPr>
          <w:rFonts w:ascii="Times New Roman" w:cs="Times New Roman" w:eastAsia="Times New Roman" w:hAnsi="Times New Roman"/>
          <w:sz w:val="18"/>
          <w:szCs w:val="18"/>
          <w:color w:val="auto"/>
        </w:rPr>
      </w:pPr>
    </w:p>
    <w:p>
      <w:pPr>
        <w:ind w:left="760" w:hanging="469"/>
        <w:spacing w:after="0" w:line="207" w:lineRule="exact"/>
        <w:tabs>
          <w:tab w:leader="none" w:pos="7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760" w:hanging="469"/>
        <w:spacing w:after="0"/>
        <w:tabs>
          <w:tab w:leader="none" w:pos="7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29"/>
          <w:szCs w:val="29"/>
          <w:color w:val="auto"/>
          <w:vertAlign w:val="superscript"/>
        </w:rPr>
        <w:t>(2)</w:t>
      </w:r>
    </w:p>
    <w:p>
      <w:pPr>
        <w:spacing w:after="0" w:line="336" w:lineRule="exact"/>
        <w:rPr>
          <w:rFonts w:ascii="Times New Roman" w:cs="Times New Roman" w:eastAsia="Times New Roman" w:hAnsi="Times New Roman"/>
          <w:sz w:val="18"/>
          <w:szCs w:val="18"/>
          <w:color w:val="auto"/>
        </w:rPr>
      </w:pPr>
    </w:p>
    <w:p>
      <w:pPr>
        <w:ind w:left="760" w:hanging="469"/>
        <w:spacing w:after="0"/>
        <w:tabs>
          <w:tab w:leader="none" w:pos="7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0" w:lineRule="exact"/>
        <w:rPr>
          <w:rFonts w:ascii="Times New Roman" w:cs="Times New Roman" w:eastAsia="Times New Roman" w:hAnsi="Times New Roman"/>
          <w:sz w:val="18"/>
          <w:szCs w:val="18"/>
          <w:color w:val="auto"/>
        </w:rPr>
      </w:pPr>
    </w:p>
    <w:p>
      <w:pPr>
        <w:spacing w:after="0" w:line="330" w:lineRule="exact"/>
        <w:rPr>
          <w:rFonts w:ascii="Times New Roman" w:cs="Times New Roman" w:eastAsia="Times New Roman" w:hAnsi="Times New Roman"/>
          <w:sz w:val="18"/>
          <w:szCs w:val="18"/>
          <w:color w:val="auto"/>
        </w:rPr>
      </w:pPr>
    </w:p>
    <w:p>
      <w:pPr>
        <w:ind w:left="260" w:right="340" w:hanging="252"/>
        <w:spacing w:after="0" w:line="231" w:lineRule="auto"/>
        <w:tabs>
          <w:tab w:leader="none" w:pos="26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For purposes of Rule 13d-3 under the Securities Exchange Act of 1934, as amended (the “Exchange Act”), all shares of common stock (“Common Stock”) of Waste Management, Inc. (the “Issuer”) beneficially owned by Bill &amp; Melinda Gates Foundation Trust (the “Trust”) may be deemed to be beneficially owned by William H. Gates III and Melinda French Gates as Co-Trustees of the Trust.</w:t>
      </w:r>
    </w:p>
    <w:p>
      <w:pPr>
        <w:spacing w:after="0" w:line="158" w:lineRule="exact"/>
        <w:rPr>
          <w:rFonts w:ascii="Times New Roman" w:cs="Times New Roman" w:eastAsia="Times New Roman" w:hAnsi="Times New Roman"/>
          <w:sz w:val="24"/>
          <w:szCs w:val="24"/>
          <w:color w:val="auto"/>
          <w:vertAlign w:val="superscript"/>
        </w:rPr>
      </w:pPr>
    </w:p>
    <w:p>
      <w:pPr>
        <w:ind w:left="260" w:hanging="252"/>
        <w:spacing w:after="0"/>
        <w:tabs>
          <w:tab w:leader="none" w:pos="26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Based on 408,152,162 shares of Common Stock outstanding as of January 31, 2023, as reported in the Issuer’s Form 10-K filed on February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-993775</wp:posOffset>
            </wp:positionV>
            <wp:extent cx="66948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-1542415</wp:posOffset>
            </wp:positionV>
            <wp:extent cx="66948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-2116455</wp:posOffset>
            </wp:positionV>
            <wp:extent cx="66948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-2527935</wp:posOffset>
            </wp:positionV>
            <wp:extent cx="66948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-3102610</wp:posOffset>
            </wp:positionV>
            <wp:extent cx="58464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-813435</wp:posOffset>
            </wp:positionV>
            <wp:extent cx="17830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2" w:name="page3"/>
    <w:bookmarkEnd w:id="2"/>
    <w:p>
      <w:pPr>
        <w:ind w:left="52"/>
        <w:spacing w:after="0"/>
        <w:rPr>
          <w:sz w:val="20"/>
          <w:szCs w:val="20"/>
          <w:color w:val="auto"/>
        </w:rPr>
      </w:pPr>
      <w:r>
        <w:rPr>
          <w:rFonts w:ascii="Times New Roman" w:cs="Times New Roman" w:eastAsia="Times New Roman" w:hAnsi="Times New Roman"/>
          <w:sz w:val="18"/>
          <w:szCs w:val="18"/>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p>
      <w:pPr>
        <w:ind w:left="752" w:right="8420" w:hanging="469"/>
        <w:spacing w:after="0" w:line="312" w:lineRule="auto"/>
        <w:tabs>
          <w:tab w:leader="none" w:pos="75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William H. Gates III</w:t>
      </w:r>
    </w:p>
    <w:p>
      <w:pPr>
        <w:spacing w:after="0" w:line="355" w:lineRule="exact"/>
        <w:rPr>
          <w:rFonts w:ascii="Times New Roman" w:cs="Times New Roman" w:eastAsia="Times New Roman" w:hAnsi="Times New Roman"/>
          <w:sz w:val="17"/>
          <w:szCs w:val="17"/>
          <w:color w:val="auto"/>
        </w:rPr>
      </w:pPr>
    </w:p>
    <w:p>
      <w:pPr>
        <w:ind w:left="752" w:hanging="469"/>
        <w:spacing w:after="0"/>
        <w:tabs>
          <w:tab w:leader="none" w:pos="7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rFonts w:ascii="Times New Roman" w:cs="Times New Roman" w:eastAsia="Times New Roman" w:hAnsi="Times New Roman"/>
          <w:sz w:val="18"/>
          <w:szCs w:val="18"/>
          <w:color w:val="auto"/>
        </w:rPr>
      </w:pPr>
    </w:p>
    <w:p>
      <w:pPr>
        <w:ind w:left="1532" w:hanging="790"/>
        <w:spacing w:after="0" w:line="207" w:lineRule="exact"/>
        <w:tabs>
          <w:tab w:leader="none" w:pos="1532"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32" w:hanging="790"/>
        <w:spacing w:after="0" w:line="207" w:lineRule="exact"/>
        <w:tabs>
          <w:tab w:leader="none" w:pos="1532"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56" w:lineRule="exact"/>
        <w:rPr>
          <w:rFonts w:ascii="Times New Roman" w:cs="Times New Roman" w:eastAsia="Times New Roman" w:hAnsi="Times New Roman"/>
          <w:sz w:val="18"/>
          <w:szCs w:val="18"/>
          <w:color w:val="auto"/>
        </w:rPr>
      </w:pPr>
    </w:p>
    <w:p>
      <w:pPr>
        <w:ind w:left="752" w:hanging="469"/>
        <w:spacing w:after="0"/>
        <w:tabs>
          <w:tab w:leader="none" w:pos="7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752" w:right="7860" w:hanging="469"/>
        <w:spacing w:after="0" w:line="312" w:lineRule="auto"/>
        <w:tabs>
          <w:tab w:leader="none" w:pos="75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-1905</wp:posOffset>
            </wp:positionV>
            <wp:extent cx="66948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-550545</wp:posOffset>
            </wp:positionV>
            <wp:extent cx="66948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-962025</wp:posOffset>
            </wp:positionV>
            <wp:extent cx="61976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-1167765</wp:posOffset>
            </wp:positionV>
            <wp:extent cx="61976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-1784985</wp:posOffset>
            </wp:positionV>
            <wp:extent cx="66948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349" w:lineRule="exact"/>
        <w:rPr>
          <w:sz w:val="20"/>
          <w:szCs w:val="20"/>
          <w:color w:val="auto"/>
        </w:rPr>
      </w:pPr>
    </w:p>
    <w:tbl>
      <w:tblPr>
        <w:tblLayout w:type="fixed"/>
        <w:tblInd w:w="52"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w:t>
            </w:r>
          </w:p>
        </w:tc>
        <w:tc>
          <w:tcPr>
            <w:tcW w:w="9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88"/>
        </w:trPr>
        <w:tc>
          <w:tcPr>
            <w:tcW w:w="1120" w:type="dxa"/>
            <w:vAlign w:val="bottom"/>
            <w:vMerge w:val="continue"/>
          </w:tcPr>
          <w:p>
            <w:pPr>
              <w:spacing w:after="0"/>
              <w:rPr>
                <w:sz w:val="24"/>
                <w:szCs w:val="24"/>
                <w:color w:val="auto"/>
              </w:rPr>
            </w:pP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71"/>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vMerge w:val="continue"/>
          </w:tcPr>
          <w:p>
            <w:pPr>
              <w:spacing w:after="0"/>
              <w:rPr>
                <w:sz w:val="6"/>
                <w:szCs w:val="6"/>
                <w:color w:val="auto"/>
              </w:rPr>
            </w:pPr>
          </w:p>
        </w:tc>
        <w:tc>
          <w:tcPr>
            <w:tcW w:w="9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12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9200" w:type="dxa"/>
            <w:vAlign w:val="bottom"/>
            <w:vMerge w:val="restart"/>
          </w:tcPr>
          <w:p>
            <w:pPr>
              <w:ind w:left="40"/>
              <w:spacing w:after="0" w:line="324" w:lineRule="exact"/>
              <w:rPr>
                <w:sz w:val="20"/>
                <w:szCs w:val="20"/>
                <w:color w:val="auto"/>
              </w:rPr>
            </w:pPr>
            <w:r>
              <w:rPr>
                <w:rFonts w:ascii="Times New Roman" w:cs="Times New Roman" w:eastAsia="Times New Roman" w:hAnsi="Times New Roman"/>
                <w:sz w:val="18"/>
                <w:szCs w:val="18"/>
                <w:color w:val="auto"/>
              </w:rPr>
              <w:t xml:space="preserve">35,234,344 </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99"/>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Beneficially</w:t>
            </w:r>
          </w:p>
        </w:tc>
        <w:tc>
          <w:tcPr>
            <w:tcW w:w="860" w:type="dxa"/>
            <w:vAlign w:val="bottom"/>
          </w:tcPr>
          <w:p>
            <w:pPr>
              <w:spacing w:after="0"/>
              <w:rPr>
                <w:sz w:val="16"/>
                <w:szCs w:val="16"/>
                <w:color w:val="auto"/>
              </w:rPr>
            </w:pPr>
          </w:p>
        </w:tc>
        <w:tc>
          <w:tcPr>
            <w:tcW w:w="9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86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7.</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2072" w:right="7280" w:hanging="655"/>
        <w:spacing w:after="0" w:line="292" w:lineRule="auto"/>
        <w:tabs>
          <w:tab w:leader="none" w:pos="2072"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Shared Dispositive Power 35,234,344 </w:t>
      </w:r>
      <w:r>
        <w:rPr>
          <w:rFonts w:ascii="Times New Roman" w:cs="Times New Roman" w:eastAsia="Times New Roman" w:hAnsi="Times New Roman"/>
          <w:sz w:val="29"/>
          <w:szCs w:val="29"/>
          <w:color w:val="auto"/>
          <w:vertAlign w:val="superscript"/>
        </w:rPr>
        <w:t>(1)</w:t>
      </w:r>
    </w:p>
    <w:p>
      <w:pPr>
        <w:spacing w:after="0" w:line="246" w:lineRule="exact"/>
        <w:rPr>
          <w:rFonts w:ascii="Times New Roman" w:cs="Times New Roman" w:eastAsia="Times New Roman" w:hAnsi="Times New Roman"/>
          <w:sz w:val="18"/>
          <w:szCs w:val="18"/>
          <w:color w:val="auto"/>
        </w:rPr>
      </w:pPr>
    </w:p>
    <w:p>
      <w:pPr>
        <w:ind w:left="752" w:right="5680" w:hanging="469"/>
        <w:spacing w:after="0" w:line="292" w:lineRule="auto"/>
        <w:tabs>
          <w:tab w:leader="none" w:pos="75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Aggregate Amount Beneficially Owned by Each Reporting Person 35,234,344 </w:t>
      </w:r>
      <w:r>
        <w:rPr>
          <w:rFonts w:ascii="Times New Roman" w:cs="Times New Roman" w:eastAsia="Times New Roman" w:hAnsi="Times New Roman"/>
          <w:sz w:val="29"/>
          <w:szCs w:val="29"/>
          <w:color w:val="auto"/>
          <w:vertAlign w:val="superscript"/>
        </w:rPr>
        <w:t>(1)</w:t>
      </w:r>
    </w:p>
    <w:p>
      <w:pPr>
        <w:spacing w:after="0" w:line="218" w:lineRule="exact"/>
        <w:rPr>
          <w:rFonts w:ascii="Times New Roman" w:cs="Times New Roman" w:eastAsia="Times New Roman" w:hAnsi="Times New Roman"/>
          <w:sz w:val="18"/>
          <w:szCs w:val="18"/>
          <w:color w:val="auto"/>
        </w:rPr>
      </w:pPr>
    </w:p>
    <w:p>
      <w:pPr>
        <w:ind w:left="752" w:hanging="469"/>
        <w:spacing w:after="0" w:line="207" w:lineRule="exact"/>
        <w:tabs>
          <w:tab w:leader="none" w:pos="75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752" w:hanging="469"/>
        <w:spacing w:after="0"/>
        <w:tabs>
          <w:tab w:leader="none" w:pos="75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29"/>
          <w:szCs w:val="29"/>
          <w:color w:val="auto"/>
          <w:vertAlign w:val="superscript"/>
        </w:rPr>
        <w:t>(2)</w:t>
      </w:r>
    </w:p>
    <w:p>
      <w:pPr>
        <w:spacing w:after="0" w:line="336" w:lineRule="exact"/>
        <w:rPr>
          <w:rFonts w:ascii="Times New Roman" w:cs="Times New Roman" w:eastAsia="Times New Roman" w:hAnsi="Times New Roman"/>
          <w:sz w:val="18"/>
          <w:szCs w:val="18"/>
          <w:color w:val="auto"/>
        </w:rPr>
      </w:pPr>
    </w:p>
    <w:p>
      <w:pPr>
        <w:ind w:left="752" w:hanging="469"/>
        <w:spacing w:after="0"/>
        <w:tabs>
          <w:tab w:leader="none" w:pos="75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color w:val="auto"/>
        </w:rPr>
      </w:pPr>
    </w:p>
    <w:p>
      <w:pPr>
        <w:spacing w:after="0" w:line="209" w:lineRule="exact"/>
        <w:rPr>
          <w:rFonts w:ascii="Times New Roman" w:cs="Times New Roman" w:eastAsia="Times New Roman" w:hAnsi="Times New Roman"/>
          <w:sz w:val="18"/>
          <w:szCs w:val="18"/>
          <w:color w:val="auto"/>
        </w:rPr>
      </w:pPr>
    </w:p>
    <w:p>
      <w:pPr>
        <w:ind w:left="252" w:right="340" w:hanging="252"/>
        <w:spacing w:after="0" w:line="231" w:lineRule="auto"/>
        <w:tabs>
          <w:tab w:leader="none" w:pos="252"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Trust beneficially owns 35,234,344 shares of Common Stock of the Issuer. For purposes of Rule 13d-3 of the Exchange Act, all shares of the Common Stock beneficially owned by the Trust may be deemed to be beneficially owned by William H. Gates III and Melinda French Gates as Co-Trustees of the Trust.</w:t>
      </w:r>
    </w:p>
    <w:p>
      <w:pPr>
        <w:spacing w:after="0" w:line="158" w:lineRule="exact"/>
        <w:rPr>
          <w:rFonts w:ascii="Times New Roman" w:cs="Times New Roman" w:eastAsia="Times New Roman" w:hAnsi="Times New Roman"/>
          <w:sz w:val="24"/>
          <w:szCs w:val="24"/>
          <w:color w:val="auto"/>
          <w:vertAlign w:val="superscript"/>
        </w:rPr>
      </w:pPr>
    </w:p>
    <w:p>
      <w:pPr>
        <w:ind w:left="252" w:hanging="252"/>
        <w:spacing w:after="0"/>
        <w:tabs>
          <w:tab w:leader="none" w:pos="252"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Based on 408,152,162 shares of Common Stock outstanding as of January 31, 2023, as reported in the Issuer’s Form 10-K filed on February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-916305</wp:posOffset>
            </wp:positionV>
            <wp:extent cx="66948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-1464945</wp:posOffset>
            </wp:positionV>
            <wp:extent cx="66948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-2039620</wp:posOffset>
            </wp:positionV>
            <wp:extent cx="66948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-2451100</wp:posOffset>
            </wp:positionV>
            <wp:extent cx="66948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-3025140</wp:posOffset>
            </wp:positionV>
            <wp:extent cx="58464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-736600</wp:posOffset>
            </wp:positionV>
            <wp:extent cx="17830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437515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58" w:right="339" w:bottom="1440" w:gutter="0" w:footer="0" w:header="0"/>
        </w:sectPr>
      </w:pPr>
    </w:p>
    <w:bookmarkStart w:id="3" w:name="page4"/>
    <w:bookmarkEnd w:id="3"/>
    <w:p>
      <w:pPr>
        <w:ind w:left="52"/>
        <w:spacing w:after="0"/>
        <w:rPr>
          <w:sz w:val="20"/>
          <w:szCs w:val="20"/>
          <w:color w:val="auto"/>
        </w:rPr>
      </w:pPr>
      <w:r>
        <w:rPr>
          <w:rFonts w:ascii="Times New Roman" w:cs="Times New Roman" w:eastAsia="Times New Roman" w:hAnsi="Times New Roman"/>
          <w:sz w:val="18"/>
          <w:szCs w:val="18"/>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p>
      <w:pPr>
        <w:ind w:left="752" w:right="8420" w:hanging="469"/>
        <w:spacing w:after="0" w:line="312" w:lineRule="auto"/>
        <w:tabs>
          <w:tab w:leader="none" w:pos="75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Melinda French Gates</w:t>
      </w:r>
    </w:p>
    <w:p>
      <w:pPr>
        <w:spacing w:after="0" w:line="355" w:lineRule="exact"/>
        <w:rPr>
          <w:rFonts w:ascii="Times New Roman" w:cs="Times New Roman" w:eastAsia="Times New Roman" w:hAnsi="Times New Roman"/>
          <w:sz w:val="17"/>
          <w:szCs w:val="17"/>
          <w:color w:val="auto"/>
        </w:rPr>
      </w:pPr>
    </w:p>
    <w:p>
      <w:pPr>
        <w:ind w:left="752" w:hanging="469"/>
        <w:spacing w:after="0"/>
        <w:tabs>
          <w:tab w:leader="none" w:pos="7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rFonts w:ascii="Times New Roman" w:cs="Times New Roman" w:eastAsia="Times New Roman" w:hAnsi="Times New Roman"/>
          <w:sz w:val="18"/>
          <w:szCs w:val="18"/>
          <w:color w:val="auto"/>
        </w:rPr>
      </w:pPr>
    </w:p>
    <w:p>
      <w:pPr>
        <w:ind w:left="1532" w:hanging="790"/>
        <w:spacing w:after="0" w:line="207" w:lineRule="exact"/>
        <w:tabs>
          <w:tab w:leader="none" w:pos="1532" w:val="left"/>
        </w:tabs>
        <w:numPr>
          <w:ilvl w:val="1"/>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32" w:hanging="790"/>
        <w:spacing w:after="0" w:line="207" w:lineRule="exact"/>
        <w:tabs>
          <w:tab w:leader="none" w:pos="1532" w:val="left"/>
        </w:tabs>
        <w:numPr>
          <w:ilvl w:val="1"/>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56" w:lineRule="exact"/>
        <w:rPr>
          <w:rFonts w:ascii="Times New Roman" w:cs="Times New Roman" w:eastAsia="Times New Roman" w:hAnsi="Times New Roman"/>
          <w:sz w:val="18"/>
          <w:szCs w:val="18"/>
          <w:color w:val="auto"/>
        </w:rPr>
      </w:pPr>
    </w:p>
    <w:p>
      <w:pPr>
        <w:ind w:left="752" w:hanging="469"/>
        <w:spacing w:after="0"/>
        <w:tabs>
          <w:tab w:leader="none" w:pos="7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752" w:right="7860" w:hanging="469"/>
        <w:spacing w:after="0" w:line="312" w:lineRule="auto"/>
        <w:tabs>
          <w:tab w:leader="none" w:pos="75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-1905</wp:posOffset>
            </wp:positionV>
            <wp:extent cx="66948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-550545</wp:posOffset>
            </wp:positionV>
            <wp:extent cx="66948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-962025</wp:posOffset>
            </wp:positionV>
            <wp:extent cx="61976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-1167765</wp:posOffset>
            </wp:positionV>
            <wp:extent cx="61976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-1784985</wp:posOffset>
            </wp:positionV>
            <wp:extent cx="66948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349" w:lineRule="exact"/>
        <w:rPr>
          <w:sz w:val="20"/>
          <w:szCs w:val="20"/>
          <w:color w:val="auto"/>
        </w:rPr>
      </w:pPr>
    </w:p>
    <w:tbl>
      <w:tblPr>
        <w:tblLayout w:type="fixed"/>
        <w:tblInd w:w="52"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w:t>
            </w:r>
          </w:p>
        </w:tc>
        <w:tc>
          <w:tcPr>
            <w:tcW w:w="9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3,810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88"/>
        </w:trPr>
        <w:tc>
          <w:tcPr>
            <w:tcW w:w="1120" w:type="dxa"/>
            <w:vAlign w:val="bottom"/>
            <w:vMerge w:val="continue"/>
          </w:tcPr>
          <w:p>
            <w:pPr>
              <w:spacing w:after="0"/>
              <w:rPr>
                <w:sz w:val="24"/>
                <w:szCs w:val="24"/>
                <w:color w:val="auto"/>
              </w:rPr>
            </w:pP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71"/>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vMerge w:val="continue"/>
          </w:tcPr>
          <w:p>
            <w:pPr>
              <w:spacing w:after="0"/>
              <w:rPr>
                <w:sz w:val="6"/>
                <w:szCs w:val="6"/>
                <w:color w:val="auto"/>
              </w:rPr>
            </w:pPr>
          </w:p>
        </w:tc>
        <w:tc>
          <w:tcPr>
            <w:tcW w:w="9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12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9200" w:type="dxa"/>
            <w:vAlign w:val="bottom"/>
            <w:vMerge w:val="restart"/>
          </w:tcPr>
          <w:p>
            <w:pPr>
              <w:ind w:left="40"/>
              <w:spacing w:after="0" w:line="324" w:lineRule="exact"/>
              <w:rPr>
                <w:sz w:val="20"/>
                <w:szCs w:val="20"/>
                <w:color w:val="auto"/>
              </w:rPr>
            </w:pPr>
            <w:r>
              <w:rPr>
                <w:rFonts w:ascii="Times New Roman" w:cs="Times New Roman" w:eastAsia="Times New Roman" w:hAnsi="Times New Roman"/>
                <w:sz w:val="18"/>
                <w:szCs w:val="18"/>
                <w:color w:val="auto"/>
              </w:rPr>
              <w:t xml:space="preserve">35,234,344 </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99"/>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Beneficially</w:t>
            </w:r>
          </w:p>
        </w:tc>
        <w:tc>
          <w:tcPr>
            <w:tcW w:w="860" w:type="dxa"/>
            <w:vAlign w:val="bottom"/>
          </w:tcPr>
          <w:p>
            <w:pPr>
              <w:spacing w:after="0"/>
              <w:rPr>
                <w:sz w:val="16"/>
                <w:szCs w:val="16"/>
                <w:color w:val="auto"/>
              </w:rPr>
            </w:pPr>
          </w:p>
        </w:tc>
        <w:tc>
          <w:tcPr>
            <w:tcW w:w="9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86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8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7.</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3,810</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2072" w:right="7280" w:hanging="655"/>
        <w:spacing w:after="0" w:line="292" w:lineRule="auto"/>
        <w:tabs>
          <w:tab w:leader="none" w:pos="2072"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Shared Dispositive Power 35,234,344 </w:t>
      </w:r>
      <w:r>
        <w:rPr>
          <w:rFonts w:ascii="Times New Roman" w:cs="Times New Roman" w:eastAsia="Times New Roman" w:hAnsi="Times New Roman"/>
          <w:sz w:val="29"/>
          <w:szCs w:val="29"/>
          <w:color w:val="auto"/>
          <w:vertAlign w:val="superscript"/>
        </w:rPr>
        <w:t>(1)</w:t>
      </w:r>
    </w:p>
    <w:p>
      <w:pPr>
        <w:spacing w:after="0" w:line="246" w:lineRule="exact"/>
        <w:rPr>
          <w:rFonts w:ascii="Times New Roman" w:cs="Times New Roman" w:eastAsia="Times New Roman" w:hAnsi="Times New Roman"/>
          <w:sz w:val="18"/>
          <w:szCs w:val="18"/>
          <w:color w:val="auto"/>
        </w:rPr>
      </w:pPr>
    </w:p>
    <w:p>
      <w:pPr>
        <w:ind w:left="752" w:right="5680" w:hanging="469"/>
        <w:spacing w:after="0" w:line="292" w:lineRule="auto"/>
        <w:tabs>
          <w:tab w:leader="none" w:pos="75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Aggregate Amount Beneficially Owned by Each Reporting Person 35,238,154 </w:t>
      </w:r>
      <w:r>
        <w:rPr>
          <w:rFonts w:ascii="Times New Roman" w:cs="Times New Roman" w:eastAsia="Times New Roman" w:hAnsi="Times New Roman"/>
          <w:sz w:val="29"/>
          <w:szCs w:val="29"/>
          <w:color w:val="auto"/>
          <w:vertAlign w:val="superscript"/>
        </w:rPr>
        <w:t>(1)</w:t>
      </w:r>
    </w:p>
    <w:p>
      <w:pPr>
        <w:spacing w:after="0" w:line="218" w:lineRule="exact"/>
        <w:rPr>
          <w:rFonts w:ascii="Times New Roman" w:cs="Times New Roman" w:eastAsia="Times New Roman" w:hAnsi="Times New Roman"/>
          <w:sz w:val="18"/>
          <w:szCs w:val="18"/>
          <w:color w:val="auto"/>
        </w:rPr>
      </w:pPr>
    </w:p>
    <w:p>
      <w:pPr>
        <w:ind w:left="752" w:hanging="469"/>
        <w:spacing w:after="0" w:line="207" w:lineRule="exact"/>
        <w:tabs>
          <w:tab w:leader="none" w:pos="75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752" w:hanging="469"/>
        <w:spacing w:after="0"/>
        <w:tabs>
          <w:tab w:leader="none" w:pos="75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29"/>
          <w:szCs w:val="29"/>
          <w:color w:val="auto"/>
          <w:vertAlign w:val="superscript"/>
        </w:rPr>
        <w:t>(2)</w:t>
      </w:r>
    </w:p>
    <w:p>
      <w:pPr>
        <w:spacing w:after="0" w:line="336" w:lineRule="exact"/>
        <w:rPr>
          <w:rFonts w:ascii="Times New Roman" w:cs="Times New Roman" w:eastAsia="Times New Roman" w:hAnsi="Times New Roman"/>
          <w:sz w:val="18"/>
          <w:szCs w:val="18"/>
          <w:color w:val="auto"/>
        </w:rPr>
      </w:pPr>
    </w:p>
    <w:p>
      <w:pPr>
        <w:ind w:left="752" w:hanging="469"/>
        <w:spacing w:after="0"/>
        <w:tabs>
          <w:tab w:leader="none" w:pos="75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color w:val="auto"/>
        </w:rPr>
      </w:pPr>
    </w:p>
    <w:p>
      <w:pPr>
        <w:spacing w:after="0" w:line="209" w:lineRule="exact"/>
        <w:rPr>
          <w:rFonts w:ascii="Times New Roman" w:cs="Times New Roman" w:eastAsia="Times New Roman" w:hAnsi="Times New Roman"/>
          <w:sz w:val="18"/>
          <w:szCs w:val="18"/>
          <w:color w:val="auto"/>
        </w:rPr>
      </w:pPr>
    </w:p>
    <w:p>
      <w:pPr>
        <w:ind w:left="252" w:right="340" w:hanging="252"/>
        <w:spacing w:after="0" w:line="231" w:lineRule="auto"/>
        <w:tabs>
          <w:tab w:leader="none" w:pos="252"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Trust beneficially owns 35,234,344 shares of Common Stock of the Issuer. For purposes of Rule 13d-3 of the Exchange Act, all shares of the Common Stock beneficially owned by the Trust may be deemed to be beneficially owned by William H. Gates III and Melinda French Gates as Co-Trustees of the Trust.</w:t>
      </w:r>
    </w:p>
    <w:p>
      <w:pPr>
        <w:spacing w:after="0" w:line="158" w:lineRule="exact"/>
        <w:rPr>
          <w:rFonts w:ascii="Times New Roman" w:cs="Times New Roman" w:eastAsia="Times New Roman" w:hAnsi="Times New Roman"/>
          <w:sz w:val="24"/>
          <w:szCs w:val="24"/>
          <w:color w:val="auto"/>
          <w:vertAlign w:val="superscript"/>
        </w:rPr>
      </w:pPr>
    </w:p>
    <w:p>
      <w:pPr>
        <w:ind w:left="252" w:hanging="252"/>
        <w:spacing w:after="0"/>
        <w:tabs>
          <w:tab w:leader="none" w:pos="252"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Based on 408,152,162 shares of Common Stock outstanding as of January 31, 2023, as reported in the Issuer’s Form 10-K filed on February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-916305</wp:posOffset>
            </wp:positionV>
            <wp:extent cx="66948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-1464945</wp:posOffset>
            </wp:positionV>
            <wp:extent cx="66948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-2039620</wp:posOffset>
            </wp:positionV>
            <wp:extent cx="66948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-2451100</wp:posOffset>
            </wp:positionV>
            <wp:extent cx="66948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-3025140</wp:posOffset>
            </wp:positionV>
            <wp:extent cx="58464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-736600</wp:posOffset>
            </wp:positionV>
            <wp:extent cx="17830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437515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58" w:right="339"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p>
      <w:pPr>
        <w:jc w:val="both"/>
        <w:ind w:left="760" w:right="8420" w:hanging="469"/>
        <w:spacing w:after="0" w:line="312" w:lineRule="auto"/>
        <w:tabs>
          <w:tab w:leader="none" w:pos="7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Cascade Investment, L.L.C.</w:t>
      </w:r>
    </w:p>
    <w:p>
      <w:pPr>
        <w:spacing w:after="0" w:line="355" w:lineRule="exact"/>
        <w:rPr>
          <w:rFonts w:ascii="Times New Roman" w:cs="Times New Roman" w:eastAsia="Times New Roman" w:hAnsi="Times New Roman"/>
          <w:sz w:val="17"/>
          <w:szCs w:val="17"/>
          <w:color w:val="auto"/>
        </w:rPr>
      </w:pPr>
    </w:p>
    <w:p>
      <w:pPr>
        <w:ind w:left="760" w:hanging="469"/>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rFonts w:ascii="Times New Roman" w:cs="Times New Roman" w:eastAsia="Times New Roman" w:hAnsi="Times New Roman"/>
          <w:sz w:val="18"/>
          <w:szCs w:val="18"/>
          <w:color w:val="auto"/>
        </w:rPr>
      </w:pPr>
    </w:p>
    <w:p>
      <w:pPr>
        <w:ind w:left="1540" w:hanging="790"/>
        <w:spacing w:after="0" w:line="207" w:lineRule="exact"/>
        <w:tabs>
          <w:tab w:leader="none" w:pos="1540" w:val="left"/>
        </w:tabs>
        <w:numPr>
          <w:ilvl w:val="1"/>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790"/>
        <w:spacing w:after="0" w:line="207" w:lineRule="exact"/>
        <w:tabs>
          <w:tab w:leader="none" w:pos="1540" w:val="left"/>
        </w:tabs>
        <w:numPr>
          <w:ilvl w:val="1"/>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56" w:lineRule="exact"/>
        <w:rPr>
          <w:rFonts w:ascii="Times New Roman" w:cs="Times New Roman" w:eastAsia="Times New Roman" w:hAnsi="Times New Roman"/>
          <w:sz w:val="18"/>
          <w:szCs w:val="18"/>
          <w:color w:val="auto"/>
        </w:rPr>
      </w:pPr>
    </w:p>
    <w:p>
      <w:pPr>
        <w:ind w:left="760" w:hanging="469"/>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760" w:right="7860" w:hanging="469"/>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State of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11430</wp:posOffset>
            </wp:positionV>
            <wp:extent cx="66948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-536575</wp:posOffset>
            </wp:positionV>
            <wp:extent cx="66948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-948055</wp:posOffset>
            </wp:positionV>
            <wp:extent cx="61976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-1153795</wp:posOffset>
            </wp:positionV>
            <wp:extent cx="61976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-1771015</wp:posOffset>
            </wp:positionV>
            <wp:extent cx="66948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40" w:type="dxa"/>
            <w:vAlign w:val="bottom"/>
          </w:tcPr>
          <w:p>
            <w:pPr>
              <w:spacing w:after="0"/>
              <w:rPr>
                <w:sz w:val="23"/>
                <w:szCs w:val="23"/>
                <w:color w:val="auto"/>
              </w:rPr>
            </w:pPr>
          </w:p>
        </w:tc>
        <w:tc>
          <w:tcPr>
            <w:tcW w:w="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w:t>
            </w:r>
          </w:p>
        </w:tc>
        <w:tc>
          <w:tcPr>
            <w:tcW w:w="9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90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8"/>
        </w:trPr>
        <w:tc>
          <w:tcPr>
            <w:tcW w:w="1140" w:type="dxa"/>
            <w:vAlign w:val="bottom"/>
            <w:vMerge w:val="continue"/>
          </w:tcPr>
          <w:p>
            <w:pPr>
              <w:spacing w:after="0"/>
              <w:rPr>
                <w:sz w:val="24"/>
                <w:szCs w:val="24"/>
                <w:color w:val="auto"/>
              </w:rPr>
            </w:pPr>
          </w:p>
        </w:tc>
        <w:tc>
          <w:tcPr>
            <w:tcW w:w="9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90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6"/>
        </w:trPr>
        <w:tc>
          <w:tcPr>
            <w:tcW w:w="114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Beneficially</w:t>
            </w:r>
          </w:p>
        </w:tc>
        <w:tc>
          <w:tcPr>
            <w:tcW w:w="90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4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90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9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7.</w:t>
            </w: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08"/>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90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6"/>
        </w:trPr>
        <w:tc>
          <w:tcPr>
            <w:tcW w:w="114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90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4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2080" w:right="7280" w:hanging="655"/>
        <w:spacing w:after="0" w:line="282" w:lineRule="auto"/>
        <w:tabs>
          <w:tab w:leader="none" w:pos="20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377" w:lineRule="exact"/>
        <w:rPr>
          <w:rFonts w:ascii="Times New Roman" w:cs="Times New Roman" w:eastAsia="Times New Roman" w:hAnsi="Times New Roman"/>
          <w:sz w:val="18"/>
          <w:szCs w:val="18"/>
          <w:color w:val="auto"/>
        </w:rPr>
      </w:pPr>
    </w:p>
    <w:p>
      <w:pPr>
        <w:ind w:left="760" w:right="5680" w:hanging="469"/>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348" w:lineRule="exact"/>
        <w:rPr>
          <w:rFonts w:ascii="Times New Roman" w:cs="Times New Roman" w:eastAsia="Times New Roman" w:hAnsi="Times New Roman"/>
          <w:sz w:val="18"/>
          <w:szCs w:val="18"/>
          <w:color w:val="auto"/>
        </w:rPr>
      </w:pPr>
    </w:p>
    <w:p>
      <w:pPr>
        <w:ind w:left="760" w:hanging="469"/>
        <w:spacing w:after="0" w:line="207" w:lineRule="exact"/>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760" w:right="6700" w:hanging="469"/>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w:t>
      </w:r>
    </w:p>
    <w:p>
      <w:pPr>
        <w:spacing w:after="0" w:line="377" w:lineRule="exact"/>
        <w:rPr>
          <w:rFonts w:ascii="Times New Roman" w:cs="Times New Roman" w:eastAsia="Times New Roman" w:hAnsi="Times New Roman"/>
          <w:sz w:val="18"/>
          <w:szCs w:val="18"/>
          <w:color w:val="auto"/>
        </w:rPr>
      </w:pPr>
    </w:p>
    <w:p>
      <w:pPr>
        <w:ind w:left="760" w:hanging="469"/>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40005</wp:posOffset>
            </wp:positionV>
            <wp:extent cx="66948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-508000</wp:posOffset>
            </wp:positionV>
            <wp:extent cx="66948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-1056640</wp:posOffset>
            </wp:positionV>
            <wp:extent cx="66948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-1468120</wp:posOffset>
            </wp:positionV>
            <wp:extent cx="66948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-2016760</wp:posOffset>
            </wp:positionV>
            <wp:extent cx="58464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5" w:name="page6"/>
    <w:bookmarkEnd w:id="5"/>
    <w:p>
      <w:pPr>
        <w:ind w:left="52"/>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117" w:lineRule="exact"/>
        <w:rPr>
          <w:sz w:val="20"/>
          <w:szCs w:val="20"/>
          <w:color w:val="auto"/>
        </w:rPr>
      </w:pPr>
    </w:p>
    <w:p>
      <w:pPr>
        <w:ind w:left="1412" w:hanging="454"/>
        <w:spacing w:after="0"/>
        <w:tabs>
          <w:tab w:leader="none" w:pos="141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 of Issuer:</w:t>
      </w:r>
    </w:p>
    <w:p>
      <w:pPr>
        <w:spacing w:after="0" w:line="31" w:lineRule="exact"/>
        <w:rPr>
          <w:rFonts w:ascii="Times New Roman" w:cs="Times New Roman" w:eastAsia="Times New Roman" w:hAnsi="Times New Roman"/>
          <w:sz w:val="18"/>
          <w:szCs w:val="18"/>
          <w:color w:val="auto"/>
        </w:rPr>
      </w:pPr>
    </w:p>
    <w:p>
      <w:pPr>
        <w:ind w:left="14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Management, Inc. (the “Issuer”)</w:t>
      </w:r>
    </w:p>
    <w:p>
      <w:pPr>
        <w:spacing w:after="0" w:line="108" w:lineRule="exact"/>
        <w:rPr>
          <w:rFonts w:ascii="Times New Roman" w:cs="Times New Roman" w:eastAsia="Times New Roman" w:hAnsi="Times New Roman"/>
          <w:sz w:val="18"/>
          <w:szCs w:val="18"/>
          <w:color w:val="auto"/>
        </w:rPr>
      </w:pPr>
    </w:p>
    <w:p>
      <w:pPr>
        <w:ind w:left="1412" w:right="5660" w:hanging="454"/>
        <w:spacing w:after="0" w:line="317" w:lineRule="auto"/>
        <w:tabs>
          <w:tab w:leader="none" w:pos="1412"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Address of Issuer’s Principal Executive Offices: </w:t>
      </w:r>
      <w:r>
        <w:rPr>
          <w:rFonts w:ascii="Times New Roman" w:cs="Times New Roman" w:eastAsia="Times New Roman" w:hAnsi="Times New Roman"/>
          <w:sz w:val="17"/>
          <w:szCs w:val="17"/>
          <w:color w:val="auto"/>
        </w:rPr>
        <w:t>800 Capitol Street, Suite 3000, 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-4445</wp:posOffset>
            </wp:positionV>
            <wp:extent cx="62750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857250</wp:posOffset>
            </wp:positionH>
            <wp:positionV relativeFrom="paragraph">
              <wp:posOffset>-356235</wp:posOffset>
            </wp:positionV>
            <wp:extent cx="62750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274" w:lineRule="exact"/>
        <w:rPr>
          <w:sz w:val="20"/>
          <w:szCs w:val="20"/>
          <w:color w:val="auto"/>
        </w:rPr>
      </w:pPr>
    </w:p>
    <w:p>
      <w:pPr>
        <w:ind w:left="52"/>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17" w:lineRule="exact"/>
        <w:rPr>
          <w:sz w:val="20"/>
          <w:szCs w:val="20"/>
          <w:color w:val="auto"/>
        </w:rPr>
      </w:pPr>
    </w:p>
    <w:p>
      <w:pPr>
        <w:ind w:left="1412" w:hanging="454"/>
        <w:spacing w:after="0"/>
        <w:tabs>
          <w:tab w:leader="none" w:pos="141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 of Person Filing:</w:t>
      </w:r>
    </w:p>
    <w:p>
      <w:pPr>
        <w:spacing w:after="0" w:line="31" w:lineRule="exact"/>
        <w:rPr>
          <w:rFonts w:ascii="Times New Roman" w:cs="Times New Roman" w:eastAsia="Times New Roman" w:hAnsi="Times New Roman"/>
          <w:sz w:val="18"/>
          <w:szCs w:val="18"/>
          <w:color w:val="auto"/>
        </w:rPr>
      </w:pPr>
    </w:p>
    <w:p>
      <w:pPr>
        <w:ind w:left="1412"/>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Bill &amp; Melinda Gates Foundation Trust (the “Trust”), William H. Gates III (“WHG”), Melinda French Gates (“MFG”), and Cascade Investment, L.L.C. (“Cascade”, and together with the Trust, WHG, and MFG, the “Reporting Persons”) </w:t>
      </w:r>
      <w:r>
        <w:rPr>
          <w:rFonts w:ascii="Times New Roman" w:cs="Times New Roman" w:eastAsia="Times New Roman" w:hAnsi="Times New Roman"/>
          <w:sz w:val="29"/>
          <w:szCs w:val="29"/>
          <w:color w:val="auto"/>
          <w:vertAlign w:val="superscript"/>
        </w:rPr>
        <w:t>(1)</w:t>
      </w:r>
    </w:p>
    <w:p>
      <w:pPr>
        <w:ind w:left="1412" w:right="5000" w:hanging="454"/>
        <w:spacing w:after="0" w:line="271" w:lineRule="auto"/>
        <w:tabs>
          <w:tab w:leader="none" w:pos="141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Address of Principal Business Office or, if none, Residence: </w:t>
      </w:r>
      <w:r>
        <w:rPr>
          <w:rFonts w:ascii="Times New Roman" w:cs="Times New Roman" w:eastAsia="Times New Roman" w:hAnsi="Times New Roman"/>
          <w:sz w:val="17"/>
          <w:szCs w:val="17"/>
          <w:color w:val="auto"/>
        </w:rPr>
        <w:t>The Trust – 2365 Carillon Point, Kirkland, Washington 98033 WHG – 500 Fifth Avenue North, Seattle, Washington 98109 MFG – 500 Fifth Avenue North, Seattle, Washington 98109 Cascade – 2365 Carillon Point, Kirkland, Washington 98033</w:t>
      </w:r>
    </w:p>
    <w:p>
      <w:pPr>
        <w:spacing w:after="0" w:line="74" w:lineRule="exact"/>
        <w:rPr>
          <w:rFonts w:ascii="Times New Roman" w:cs="Times New Roman" w:eastAsia="Times New Roman" w:hAnsi="Times New Roman"/>
          <w:sz w:val="17"/>
          <w:szCs w:val="17"/>
          <w:color w:val="auto"/>
        </w:rPr>
      </w:pPr>
    </w:p>
    <w:p>
      <w:pPr>
        <w:ind w:left="1412" w:hanging="454"/>
        <w:spacing w:after="0"/>
        <w:tabs>
          <w:tab w:leader="none" w:pos="141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Citizenship:</w:t>
      </w:r>
    </w:p>
    <w:p>
      <w:pPr>
        <w:spacing w:after="0" w:line="31" w:lineRule="exact"/>
        <w:rPr>
          <w:rFonts w:ascii="Times New Roman" w:cs="Times New Roman" w:eastAsia="Times New Roman" w:hAnsi="Times New Roman"/>
          <w:sz w:val="18"/>
          <w:szCs w:val="18"/>
          <w:color w:val="auto"/>
        </w:rPr>
      </w:pPr>
    </w:p>
    <w:p>
      <w:pPr>
        <w:ind w:left="1412" w:right="35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is a charitable trust organized under the laws of the State of Washington. WHG is a citizen of the United States of America.</w:t>
      </w:r>
    </w:p>
    <w:p>
      <w:pPr>
        <w:ind w:left="14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MFG is a citizen of the United States of America.</w:t>
      </w:r>
    </w:p>
    <w:p>
      <w:pPr>
        <w:spacing w:after="0" w:line="9" w:lineRule="exact"/>
        <w:rPr>
          <w:rFonts w:ascii="Times New Roman" w:cs="Times New Roman" w:eastAsia="Times New Roman" w:hAnsi="Times New Roman"/>
          <w:sz w:val="18"/>
          <w:szCs w:val="18"/>
          <w:color w:val="auto"/>
        </w:rPr>
      </w:pPr>
    </w:p>
    <w:p>
      <w:pPr>
        <w:ind w:left="14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Cascade is a limited liability company organized under the laws of the State of Washington.</w:t>
      </w:r>
    </w:p>
    <w:p>
      <w:pPr>
        <w:spacing w:after="0" w:line="108" w:lineRule="exact"/>
        <w:rPr>
          <w:rFonts w:ascii="Times New Roman" w:cs="Times New Roman" w:eastAsia="Times New Roman" w:hAnsi="Times New Roman"/>
          <w:sz w:val="18"/>
          <w:szCs w:val="18"/>
          <w:color w:val="auto"/>
        </w:rPr>
      </w:pPr>
    </w:p>
    <w:p>
      <w:pPr>
        <w:ind w:left="1412" w:right="7200" w:hanging="454"/>
        <w:spacing w:after="0" w:line="317" w:lineRule="auto"/>
        <w:tabs>
          <w:tab w:leader="none" w:pos="141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Title of Class of Securities: </w:t>
      </w:r>
      <w:r>
        <w:rPr>
          <w:rFonts w:ascii="Times New Roman" w:cs="Times New Roman" w:eastAsia="Times New Roman" w:hAnsi="Times New Roman"/>
          <w:sz w:val="17"/>
          <w:szCs w:val="17"/>
          <w:color w:val="auto"/>
        </w:rPr>
        <w:t>Common Stock, $0.01 par value</w:t>
      </w:r>
    </w:p>
    <w:p>
      <w:pPr>
        <w:spacing w:after="0" w:line="37" w:lineRule="exact"/>
        <w:rPr>
          <w:rFonts w:ascii="Times New Roman" w:cs="Times New Roman" w:eastAsia="Times New Roman" w:hAnsi="Times New Roman"/>
          <w:sz w:val="17"/>
          <w:szCs w:val="17"/>
          <w:color w:val="auto"/>
        </w:rPr>
      </w:pPr>
    </w:p>
    <w:p>
      <w:pPr>
        <w:ind w:left="1412" w:right="8240" w:hanging="454"/>
        <w:spacing w:after="0" w:line="317" w:lineRule="auto"/>
        <w:tabs>
          <w:tab w:leader="none" w:pos="141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CUSIP Number: </w:t>
      </w:r>
      <w:r>
        <w:rPr>
          <w:rFonts w:ascii="Times New Roman" w:cs="Times New Roman" w:eastAsia="Times New Roman" w:hAnsi="Times New Roman"/>
          <w:sz w:val="17"/>
          <w:szCs w:val="17"/>
          <w:color w:val="auto"/>
        </w:rPr>
        <w:t>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-4445</wp:posOffset>
            </wp:positionV>
            <wp:extent cx="62750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857250</wp:posOffset>
            </wp:positionH>
            <wp:positionV relativeFrom="paragraph">
              <wp:posOffset>-356235</wp:posOffset>
            </wp:positionV>
            <wp:extent cx="62750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857250</wp:posOffset>
            </wp:positionH>
            <wp:positionV relativeFrom="paragraph">
              <wp:posOffset>-707390</wp:posOffset>
            </wp:positionV>
            <wp:extent cx="62750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857250</wp:posOffset>
            </wp:positionH>
            <wp:positionV relativeFrom="paragraph">
              <wp:posOffset>-1470660</wp:posOffset>
            </wp:positionV>
            <wp:extent cx="62750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857250</wp:posOffset>
            </wp:positionH>
            <wp:positionV relativeFrom="paragraph">
              <wp:posOffset>-2233295</wp:posOffset>
            </wp:positionV>
            <wp:extent cx="62750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75070" cy="8890"/>
                    </a:xfrm>
                    <a:prstGeom prst="rect">
                      <a:avLst/>
                    </a:prstGeom>
                    <a:noFill/>
                  </pic:spPr>
                </pic:pic>
              </a:graphicData>
            </a:graphic>
          </wp:anchor>
        </w:drawing>
      </w:r>
    </w:p>
    <w:p>
      <w:pPr>
        <w:spacing w:after="0" w:line="274" w:lineRule="exact"/>
        <w:rPr>
          <w:sz w:val="20"/>
          <w:szCs w:val="20"/>
          <w:color w:val="auto"/>
        </w:rPr>
      </w:pPr>
    </w:p>
    <w:p>
      <w:pPr>
        <w:ind w:left="52"/>
        <w:spacing w:after="0"/>
        <w:tabs>
          <w:tab w:leader="none" w:pos="932"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121" w:lineRule="exact"/>
        <w:rPr>
          <w:sz w:val="20"/>
          <w:szCs w:val="20"/>
          <w:color w:val="auto"/>
        </w:rPr>
      </w:pPr>
    </w:p>
    <w:p>
      <w:pPr>
        <w:ind w:left="952"/>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17830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4" w:lineRule="exact"/>
        <w:rPr>
          <w:sz w:val="20"/>
          <w:szCs w:val="20"/>
          <w:color w:val="auto"/>
        </w:rPr>
      </w:pPr>
    </w:p>
    <w:p>
      <w:pPr>
        <w:ind w:left="252" w:right="160" w:hanging="252"/>
        <w:spacing w:after="0" w:line="223" w:lineRule="auto"/>
        <w:tabs>
          <w:tab w:leader="none" w:pos="252"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Neither the present filing nor anything contained herein shall be construed as an admission that the Reporting Persons constitute a “group” for any purpose and each expressly disclaims membership in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32"/>
          </w:cols>
          <w:pgMar w:left="328" w:top="954" w:right="639" w:bottom="1440" w:gutter="0" w:footer="0" w:header="0"/>
        </w:sectPr>
      </w:pPr>
    </w:p>
    <w:bookmarkStart w:id="6" w:name="page7"/>
    <w:bookmarkEnd w:id="6"/>
    <w:p>
      <w:pPr>
        <w:ind w:left="52"/>
        <w:spacing w:after="0"/>
        <w:tabs>
          <w:tab w:leader="none" w:pos="932"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ind w:left="952"/>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412" w:hanging="378"/>
        <w:spacing w:after="0"/>
        <w:tabs>
          <w:tab w:leader="none" w:pos="141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7" w:lineRule="exact"/>
        <w:rPr>
          <w:rFonts w:ascii="Times New Roman" w:cs="Times New Roman" w:eastAsia="Times New Roman" w:hAnsi="Times New Roman"/>
          <w:sz w:val="18"/>
          <w:szCs w:val="18"/>
          <w:color w:val="auto"/>
        </w:rPr>
      </w:pPr>
    </w:p>
    <w:p>
      <w:pPr>
        <w:ind w:left="14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responses to Item 9 on the attached cover pages.</w:t>
      </w:r>
    </w:p>
    <w:p>
      <w:pPr>
        <w:spacing w:after="0" w:line="112" w:lineRule="exact"/>
        <w:rPr>
          <w:rFonts w:ascii="Times New Roman" w:cs="Times New Roman" w:eastAsia="Times New Roman" w:hAnsi="Times New Roman"/>
          <w:sz w:val="18"/>
          <w:szCs w:val="18"/>
          <w:color w:val="auto"/>
        </w:rPr>
      </w:pPr>
    </w:p>
    <w:p>
      <w:pPr>
        <w:ind w:left="1412" w:hanging="383"/>
        <w:spacing w:after="0"/>
        <w:tabs>
          <w:tab w:leader="none" w:pos="141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7" w:lineRule="exact"/>
        <w:rPr>
          <w:rFonts w:ascii="Times New Roman" w:cs="Times New Roman" w:eastAsia="Times New Roman" w:hAnsi="Times New Roman"/>
          <w:sz w:val="18"/>
          <w:szCs w:val="18"/>
          <w:color w:val="auto"/>
        </w:rPr>
      </w:pPr>
    </w:p>
    <w:p>
      <w:pPr>
        <w:ind w:left="14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responses to Item 11 on the attached cover pages.</w:t>
      </w:r>
    </w:p>
    <w:p>
      <w:pPr>
        <w:spacing w:after="0" w:line="112" w:lineRule="exact"/>
        <w:rPr>
          <w:rFonts w:ascii="Times New Roman" w:cs="Times New Roman" w:eastAsia="Times New Roman" w:hAnsi="Times New Roman"/>
          <w:sz w:val="18"/>
          <w:szCs w:val="18"/>
          <w:color w:val="auto"/>
        </w:rPr>
      </w:pPr>
    </w:p>
    <w:p>
      <w:pPr>
        <w:ind w:left="1412" w:hanging="378"/>
        <w:spacing w:after="0"/>
        <w:tabs>
          <w:tab w:leader="none" w:pos="141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17" w:lineRule="exact"/>
        <w:rPr>
          <w:rFonts w:ascii="Times New Roman" w:cs="Times New Roman" w:eastAsia="Times New Roman" w:hAnsi="Times New Roman"/>
          <w:sz w:val="18"/>
          <w:szCs w:val="18"/>
          <w:color w:val="auto"/>
        </w:rPr>
      </w:pPr>
    </w:p>
    <w:p>
      <w:pPr>
        <w:ind w:left="1972" w:hanging="417"/>
        <w:spacing w:after="0"/>
        <w:tabs>
          <w:tab w:leader="none" w:pos="197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7" w:lineRule="exact"/>
        <w:rPr>
          <w:rFonts w:ascii="Times New Roman" w:cs="Times New Roman" w:eastAsia="Times New Roman" w:hAnsi="Times New Roman"/>
          <w:sz w:val="18"/>
          <w:szCs w:val="18"/>
          <w:color w:val="auto"/>
        </w:rPr>
      </w:pPr>
    </w:p>
    <w:p>
      <w:pPr>
        <w:ind w:left="19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responses to Item 5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1217295</wp:posOffset>
            </wp:positionH>
            <wp:positionV relativeFrom="paragraph">
              <wp:posOffset>40005</wp:posOffset>
            </wp:positionV>
            <wp:extent cx="59150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865505</wp:posOffset>
            </wp:positionH>
            <wp:positionV relativeFrom="paragraph">
              <wp:posOffset>-516255</wp:posOffset>
            </wp:positionV>
            <wp:extent cx="62661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865505</wp:posOffset>
            </wp:positionH>
            <wp:positionV relativeFrom="paragraph">
              <wp:posOffset>-868045</wp:posOffset>
            </wp:positionV>
            <wp:extent cx="62661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92" w:lineRule="exact"/>
        <w:rPr>
          <w:sz w:val="20"/>
          <w:szCs w:val="20"/>
          <w:color w:val="auto"/>
        </w:rPr>
      </w:pPr>
    </w:p>
    <w:p>
      <w:pPr>
        <w:ind w:left="1972" w:hanging="442"/>
        <w:spacing w:after="0"/>
        <w:tabs>
          <w:tab w:leader="none" w:pos="19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7" w:lineRule="exact"/>
        <w:rPr>
          <w:rFonts w:ascii="Times New Roman" w:cs="Times New Roman" w:eastAsia="Times New Roman" w:hAnsi="Times New Roman"/>
          <w:sz w:val="18"/>
          <w:szCs w:val="18"/>
          <w:color w:val="auto"/>
        </w:rPr>
      </w:pPr>
    </w:p>
    <w:p>
      <w:pPr>
        <w:ind w:left="19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responses to Item 6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1217295</wp:posOffset>
            </wp:positionH>
            <wp:positionV relativeFrom="paragraph">
              <wp:posOffset>40005</wp:posOffset>
            </wp:positionV>
            <wp:extent cx="59150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92" w:lineRule="exact"/>
        <w:rPr>
          <w:sz w:val="20"/>
          <w:szCs w:val="20"/>
          <w:color w:val="auto"/>
        </w:rPr>
      </w:pPr>
    </w:p>
    <w:p>
      <w:pPr>
        <w:ind w:left="1972" w:right="5160" w:hanging="467"/>
        <w:spacing w:after="0" w:line="282" w:lineRule="auto"/>
        <w:tabs>
          <w:tab w:leader="none" w:pos="197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the responses to Item 7 on the attached cover pages.</w:t>
      </w:r>
    </w:p>
    <w:p>
      <w:pPr>
        <w:spacing w:after="0" w:line="67" w:lineRule="exact"/>
        <w:rPr>
          <w:rFonts w:ascii="Times New Roman" w:cs="Times New Roman" w:eastAsia="Times New Roman" w:hAnsi="Times New Roman"/>
          <w:sz w:val="18"/>
          <w:szCs w:val="18"/>
          <w:color w:val="auto"/>
        </w:rPr>
      </w:pPr>
    </w:p>
    <w:p>
      <w:pPr>
        <w:ind w:left="1972" w:right="5160" w:hanging="462"/>
        <w:spacing w:after="0" w:line="312" w:lineRule="auto"/>
        <w:tabs>
          <w:tab w:leader="none" w:pos="197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dispose or to direct the disposition of See the responses to Item 8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1217295</wp:posOffset>
            </wp:positionH>
            <wp:positionV relativeFrom="paragraph">
              <wp:posOffset>-1905</wp:posOffset>
            </wp:positionV>
            <wp:extent cx="59150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1217295</wp:posOffset>
            </wp:positionH>
            <wp:positionV relativeFrom="paragraph">
              <wp:posOffset>-353060</wp:posOffset>
            </wp:positionV>
            <wp:extent cx="59150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78" w:lineRule="exact"/>
        <w:rPr>
          <w:sz w:val="20"/>
          <w:szCs w:val="20"/>
          <w:color w:val="auto"/>
        </w:rPr>
      </w:pPr>
    </w:p>
    <w:p>
      <w:pPr>
        <w:ind w:left="52"/>
        <w:spacing w:after="0"/>
        <w:tabs>
          <w:tab w:leader="none" w:pos="932"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left="952" w:right="180"/>
        <w:spacing w:after="0" w:line="307"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(2)</w:t>
      </w:r>
    </w:p>
    <w:p>
      <w:pPr>
        <w:spacing w:after="0" w:line="234" w:lineRule="exact"/>
        <w:rPr>
          <w:sz w:val="20"/>
          <w:szCs w:val="20"/>
          <w:color w:val="auto"/>
        </w:rPr>
      </w:pPr>
    </w:p>
    <w:p>
      <w:pPr>
        <w:ind w:left="52"/>
        <w:spacing w:after="0"/>
        <w:tabs>
          <w:tab w:leader="none" w:pos="932"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ind w:left="952"/>
        <w:spacing w:after="0"/>
        <w:rPr>
          <w:sz w:val="20"/>
          <w:szCs w:val="20"/>
          <w:color w:val="auto"/>
        </w:rPr>
      </w:pPr>
      <w:r>
        <w:rPr>
          <w:rFonts w:ascii="Times New Roman" w:cs="Times New Roman" w:eastAsia="Times New Roman" w:hAnsi="Times New Roman"/>
          <w:sz w:val="18"/>
          <w:szCs w:val="18"/>
          <w:color w:val="auto"/>
        </w:rPr>
        <w:t>Not Applicable.</w:t>
      </w:r>
    </w:p>
    <w:p>
      <w:pPr>
        <w:spacing w:after="0" w:line="383" w:lineRule="exact"/>
        <w:rPr>
          <w:sz w:val="20"/>
          <w:szCs w:val="20"/>
          <w:color w:val="auto"/>
        </w:rPr>
      </w:pPr>
    </w:p>
    <w:p>
      <w:pPr>
        <w:ind w:left="952" w:right="80" w:hanging="903"/>
        <w:spacing w:after="0" w:line="286" w:lineRule="auto"/>
        <w:tabs>
          <w:tab w:leader="none" w:pos="932"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ind w:left="952"/>
        <w:spacing w:after="0"/>
        <w:rPr>
          <w:sz w:val="20"/>
          <w:szCs w:val="20"/>
          <w:color w:val="auto"/>
        </w:rPr>
      </w:pPr>
      <w:r>
        <w:rPr>
          <w:rFonts w:ascii="Times New Roman" w:cs="Times New Roman" w:eastAsia="Times New Roman" w:hAnsi="Times New Roman"/>
          <w:sz w:val="18"/>
          <w:szCs w:val="18"/>
          <w:color w:val="auto"/>
        </w:rPr>
        <w:t>Not Applicable.</w:t>
      </w:r>
    </w:p>
    <w:p>
      <w:pPr>
        <w:spacing w:after="0" w:line="383" w:lineRule="exact"/>
        <w:rPr>
          <w:sz w:val="20"/>
          <w:szCs w:val="20"/>
          <w:color w:val="auto"/>
        </w:rPr>
      </w:pPr>
    </w:p>
    <w:p>
      <w:pPr>
        <w:ind w:left="52"/>
        <w:spacing w:after="0"/>
        <w:tabs>
          <w:tab w:leader="none" w:pos="932"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Identification and Classification of Members of the Group.</w:t>
      </w:r>
    </w:p>
    <w:p>
      <w:pPr>
        <w:spacing w:after="0" w:line="121" w:lineRule="exact"/>
        <w:rPr>
          <w:sz w:val="20"/>
          <w:szCs w:val="20"/>
          <w:color w:val="auto"/>
        </w:rPr>
      </w:pPr>
    </w:p>
    <w:p>
      <w:pPr>
        <w:ind w:left="952"/>
        <w:spacing w:after="0"/>
        <w:rPr>
          <w:sz w:val="20"/>
          <w:szCs w:val="20"/>
          <w:color w:val="auto"/>
        </w:rPr>
      </w:pPr>
      <w:r>
        <w:rPr>
          <w:rFonts w:ascii="Times New Roman" w:cs="Times New Roman" w:eastAsia="Times New Roman" w:hAnsi="Times New Roman"/>
          <w:sz w:val="18"/>
          <w:szCs w:val="18"/>
          <w:color w:val="auto"/>
        </w:rPr>
        <w:t>Not Applicable.</w:t>
      </w:r>
    </w:p>
    <w:p>
      <w:pPr>
        <w:spacing w:after="0" w:line="383" w:lineRule="exact"/>
        <w:rPr>
          <w:sz w:val="20"/>
          <w:szCs w:val="20"/>
          <w:color w:val="auto"/>
        </w:rPr>
      </w:pPr>
    </w:p>
    <w:p>
      <w:pPr>
        <w:ind w:left="52"/>
        <w:spacing w:after="0"/>
        <w:tabs>
          <w:tab w:leader="none" w:pos="932"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left="952"/>
        <w:spacing w:after="0"/>
        <w:rPr>
          <w:sz w:val="20"/>
          <w:szCs w:val="20"/>
          <w:color w:val="auto"/>
        </w:rPr>
      </w:pPr>
      <w:r>
        <w:rPr>
          <w:rFonts w:ascii="Times New Roman" w:cs="Times New Roman" w:eastAsia="Times New Roman" w:hAnsi="Times New Roman"/>
          <w:sz w:val="18"/>
          <w:szCs w:val="18"/>
          <w:color w:val="auto"/>
        </w:rPr>
        <w:t>Not Applicable.</w:t>
      </w:r>
    </w:p>
    <w:p>
      <w:pPr>
        <w:spacing w:after="0" w:line="383" w:lineRule="exact"/>
        <w:rPr>
          <w:sz w:val="20"/>
          <w:szCs w:val="20"/>
          <w:color w:val="auto"/>
        </w:rPr>
      </w:pPr>
    </w:p>
    <w:p>
      <w:pPr>
        <w:ind w:left="52"/>
        <w:spacing w:after="0"/>
        <w:tabs>
          <w:tab w:leader="none" w:pos="932" w:val="left"/>
        </w:tabs>
        <w:rPr>
          <w:sz w:val="20"/>
          <w:szCs w:val="20"/>
          <w:color w:val="auto"/>
        </w:rPr>
      </w:pPr>
      <w:r>
        <w:rPr>
          <w:rFonts w:ascii="Times New Roman" w:cs="Times New Roman" w:eastAsia="Times New Roman" w:hAnsi="Times New Roman"/>
          <w:sz w:val="18"/>
          <w:szCs w:val="18"/>
          <w:b w:val="1"/>
          <w:bCs w:val="1"/>
          <w:color w:val="auto"/>
        </w:rPr>
        <w:t>Item 10.</w:t>
        <w:tab/>
        <w:t>Certification.</w:t>
      </w:r>
    </w:p>
    <w:p>
      <w:pPr>
        <w:spacing w:after="0" w:line="121" w:lineRule="exact"/>
        <w:rPr>
          <w:sz w:val="20"/>
          <w:szCs w:val="20"/>
          <w:color w:val="auto"/>
        </w:rPr>
      </w:pPr>
    </w:p>
    <w:p>
      <w:pPr>
        <w:jc w:val="both"/>
        <w:ind w:left="952"/>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191770</wp:posOffset>
            </wp:positionV>
            <wp:extent cx="17830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5" w:lineRule="exact"/>
        <w:rPr>
          <w:sz w:val="20"/>
          <w:szCs w:val="20"/>
          <w:color w:val="auto"/>
        </w:rPr>
      </w:pPr>
    </w:p>
    <w:p>
      <w:pPr>
        <w:ind w:left="332" w:right="100" w:hanging="332"/>
        <w:spacing w:after="0" w:line="223" w:lineRule="auto"/>
        <w:tabs>
          <w:tab w:leader="none" w:pos="332"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Cascade has ceased to be the beneficial owner of more than five percent of the Common Stock of the Issuer and will no longer be a Reporting Person following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72"/>
          </w:cols>
          <w:pgMar w:left="328" w:top="900" w:right="399" w:bottom="1440" w:gutter="0" w:footer="0" w:header="0"/>
        </w:sectPr>
      </w:pPr>
    </w:p>
    <w:bookmarkStart w:id="7" w:name="page8"/>
    <w:bookmarkEnd w:id="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35"/>
          <w:szCs w:val="35"/>
          <w:color w:val="auto"/>
          <w:vertAlign w:val="superscript"/>
        </w:rPr>
        <w:t>Date: February 10, 2023</w:t>
      </w:r>
      <w:r>
        <w:rPr>
          <w:sz w:val="20"/>
          <w:szCs w:val="20"/>
          <w:color w:val="auto"/>
        </w:rPr>
        <w:tab/>
      </w:r>
      <w:r>
        <w:rPr>
          <w:rFonts w:ascii="Times New Roman" w:cs="Times New Roman" w:eastAsia="Times New Roman" w:hAnsi="Times New Roman"/>
          <w:sz w:val="17"/>
          <w:szCs w:val="17"/>
          <w:color w:val="auto"/>
        </w:rPr>
        <w:t xml:space="preserve">BILL &amp; MELINDA GATES FOUNDATION TRUST </w:t>
      </w:r>
      <w:r>
        <w:rPr>
          <w:rFonts w:ascii="Times New Roman" w:cs="Times New Roman" w:eastAsia="Times New Roman" w:hAnsi="Times New Roman"/>
          <w:sz w:val="28"/>
          <w:szCs w:val="28"/>
          <w:color w:val="auto"/>
          <w:vertAlign w:val="superscript"/>
        </w:rPr>
        <w:t>(1)</w:t>
      </w:r>
    </w:p>
    <w:p>
      <w:pPr>
        <w:spacing w:after="0" w:line="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Alan Heuberger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15875</wp:posOffset>
            </wp:positionV>
            <wp:extent cx="33432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ind w:left="5980"/>
        <w:spacing w:after="0" w:line="182" w:lineRule="auto"/>
        <w:rPr>
          <w:sz w:val="20"/>
          <w:szCs w:val="20"/>
          <w:color w:val="auto"/>
        </w:rPr>
      </w:pPr>
      <w:r>
        <w:rPr>
          <w:rFonts w:ascii="Times New Roman" w:cs="Times New Roman" w:eastAsia="Times New Roman" w:hAnsi="Times New Roman"/>
          <w:sz w:val="34"/>
          <w:szCs w:val="34"/>
          <w:color w:val="auto"/>
          <w:vertAlign w:val="superscript"/>
        </w:rPr>
        <w:t>Name:</w:t>
      </w:r>
      <w:r>
        <w:rPr>
          <w:rFonts w:ascii="Times New Roman" w:cs="Times New Roman" w:eastAsia="Times New Roman" w:hAnsi="Times New Roman"/>
          <w:sz w:val="18"/>
          <w:szCs w:val="18"/>
          <w:color w:val="auto"/>
        </w:rPr>
        <w:t xml:space="preserve"> Alan Heuberger </w:t>
      </w:r>
      <w:r>
        <w:rPr>
          <w:rFonts w:ascii="Times New Roman" w:cs="Times New Roman" w:eastAsia="Times New Roman" w:hAnsi="Times New Roman"/>
          <w:sz w:val="28"/>
          <w:szCs w:val="28"/>
          <w:color w:val="auto"/>
          <w:vertAlign w:val="superscript"/>
        </w:rPr>
        <w:t>(2)</w:t>
      </w: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Attorney-in-fact for each of the Co-Trustees,</w:t>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William H. Gates III and Melinda French Gates</w:t>
      </w:r>
    </w:p>
    <w:p>
      <w:pPr>
        <w:spacing w:after="0" w:line="2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WILLIAM H. GATES III </w:t>
      </w:r>
      <w:r>
        <w:rPr>
          <w:rFonts w:ascii="Times New Roman" w:cs="Times New Roman" w:eastAsia="Times New Roman" w:hAnsi="Times New Roman"/>
          <w:sz w:val="29"/>
          <w:szCs w:val="29"/>
          <w:color w:val="auto"/>
          <w:vertAlign w:val="superscript"/>
        </w:rPr>
        <w:t>(1)</w:t>
      </w:r>
    </w:p>
    <w:p>
      <w:pPr>
        <w:spacing w:after="0" w:line="1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Alan Heuberger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ind w:left="5980"/>
        <w:spacing w:after="0" w:line="183" w:lineRule="auto"/>
        <w:rPr>
          <w:sz w:val="20"/>
          <w:szCs w:val="20"/>
          <w:color w:val="auto"/>
        </w:rPr>
      </w:pPr>
      <w:r>
        <w:rPr>
          <w:rFonts w:ascii="Times New Roman" w:cs="Times New Roman" w:eastAsia="Times New Roman" w:hAnsi="Times New Roman"/>
          <w:sz w:val="34"/>
          <w:szCs w:val="34"/>
          <w:color w:val="auto"/>
          <w:vertAlign w:val="superscript"/>
        </w:rPr>
        <w:t>Name:</w:t>
      </w:r>
      <w:r>
        <w:rPr>
          <w:rFonts w:ascii="Times New Roman" w:cs="Times New Roman" w:eastAsia="Times New Roman" w:hAnsi="Times New Roman"/>
          <w:sz w:val="18"/>
          <w:szCs w:val="18"/>
          <w:color w:val="auto"/>
        </w:rPr>
        <w:t xml:space="preserve"> Alan Heuberger </w:t>
      </w:r>
      <w:r>
        <w:rPr>
          <w:rFonts w:ascii="Times New Roman" w:cs="Times New Roman" w:eastAsia="Times New Roman" w:hAnsi="Times New Roman"/>
          <w:sz w:val="28"/>
          <w:szCs w:val="28"/>
          <w:color w:val="auto"/>
          <w:vertAlign w:val="superscript"/>
        </w:rPr>
        <w:t>(3)</w:t>
      </w:r>
    </w:p>
    <w:p>
      <w:pPr>
        <w:spacing w:after="0" w:line="1" w:lineRule="exact"/>
        <w:rPr>
          <w:sz w:val="20"/>
          <w:szCs w:val="20"/>
          <w:color w:val="auto"/>
        </w:rPr>
      </w:pPr>
    </w:p>
    <w:p>
      <w:pPr>
        <w:jc w:val="center"/>
        <w:ind w:left="2420"/>
        <w:spacing w:after="0"/>
        <w:tabs>
          <w:tab w:leader="none" w:pos="140" w:val="left"/>
        </w:tabs>
        <w:rPr>
          <w:sz w:val="20"/>
          <w:szCs w:val="20"/>
          <w:color w:val="auto"/>
        </w:rPr>
      </w:pPr>
      <w:r>
        <w:rPr>
          <w:rFonts w:ascii="Times New Roman" w:cs="Times New Roman" w:eastAsia="Times New Roman" w:hAnsi="Times New Roman"/>
          <w:sz w:val="18"/>
          <w:szCs w:val="18"/>
          <w:color w:val="auto"/>
        </w:rPr>
        <w:t>Title:</w:t>
        <w:tab/>
        <w:t>Attorney-in-fact</w:t>
      </w:r>
    </w:p>
    <w:p>
      <w:pPr>
        <w:spacing w:after="0" w:line="20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MELINDA FRENCH GATES </w:t>
      </w:r>
      <w:r>
        <w:rPr>
          <w:rFonts w:ascii="Times New Roman" w:cs="Times New Roman" w:eastAsia="Times New Roman" w:hAnsi="Times New Roman"/>
          <w:sz w:val="29"/>
          <w:szCs w:val="29"/>
          <w:color w:val="auto"/>
          <w:vertAlign w:val="superscript"/>
        </w:rPr>
        <w:t>(1)</w:t>
      </w:r>
    </w:p>
    <w:p>
      <w:pPr>
        <w:spacing w:after="0" w:line="1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John K. 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ind w:left="5980"/>
        <w:spacing w:after="0" w:line="183" w:lineRule="auto"/>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34"/>
          <w:szCs w:val="34"/>
          <w:color w:val="auto"/>
          <w:vertAlign w:val="subscript"/>
        </w:rPr>
        <w:t>John K. Sage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8"/>
          <w:szCs w:val="28"/>
          <w:color w:val="auto"/>
          <w:vertAlign w:val="superscript"/>
        </w:rPr>
        <w:t>(4)</w:t>
      </w:r>
    </w:p>
    <w:p>
      <w:pPr>
        <w:spacing w:after="0" w:line="1"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Attorney-in-fact</w:t>
      </w:r>
    </w:p>
    <w:p>
      <w:pPr>
        <w:spacing w:after="0" w:line="20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CASCADE INVESTMENT, L.L.C. </w:t>
      </w:r>
      <w:r>
        <w:rPr>
          <w:rFonts w:ascii="Times New Roman" w:cs="Times New Roman" w:eastAsia="Times New Roman" w:hAnsi="Times New Roman"/>
          <w:sz w:val="29"/>
          <w:szCs w:val="29"/>
          <w:color w:val="auto"/>
          <w:vertAlign w:val="superscript"/>
        </w:rPr>
        <w:t>(1)</w:t>
      </w:r>
    </w:p>
    <w:p>
      <w:pPr>
        <w:spacing w:after="0" w:line="1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Alan Heuberger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ind w:left="5980"/>
        <w:spacing w:after="0" w:line="183" w:lineRule="auto"/>
        <w:rPr>
          <w:sz w:val="20"/>
          <w:szCs w:val="20"/>
          <w:color w:val="auto"/>
        </w:rPr>
      </w:pPr>
      <w:r>
        <w:rPr>
          <w:rFonts w:ascii="Times New Roman" w:cs="Times New Roman" w:eastAsia="Times New Roman" w:hAnsi="Times New Roman"/>
          <w:sz w:val="34"/>
          <w:szCs w:val="34"/>
          <w:color w:val="auto"/>
          <w:vertAlign w:val="superscript"/>
        </w:rPr>
        <w:t>Name:</w:t>
      </w:r>
      <w:r>
        <w:rPr>
          <w:rFonts w:ascii="Times New Roman" w:cs="Times New Roman" w:eastAsia="Times New Roman" w:hAnsi="Times New Roman"/>
          <w:sz w:val="18"/>
          <w:szCs w:val="18"/>
          <w:color w:val="auto"/>
        </w:rPr>
        <w:t xml:space="preserve"> Alan Heuberger </w:t>
      </w:r>
      <w:r>
        <w:rPr>
          <w:rFonts w:ascii="Times New Roman" w:cs="Times New Roman" w:eastAsia="Times New Roman" w:hAnsi="Times New Roman"/>
          <w:sz w:val="28"/>
          <w:szCs w:val="28"/>
          <w:color w:val="auto"/>
          <w:vertAlign w:val="superscript"/>
        </w:rPr>
        <w:t>(5)</w:t>
      </w:r>
    </w:p>
    <w:p>
      <w:pPr>
        <w:spacing w:after="0" w:line="1"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Attorney-in-fact for Michael Larson,</w:t>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Business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2" w:lineRule="exact"/>
        <w:rPr>
          <w:sz w:val="20"/>
          <w:szCs w:val="20"/>
          <w:color w:val="auto"/>
        </w:rPr>
      </w:pPr>
    </w:p>
    <w:p>
      <w:pPr>
        <w:ind w:left="340" w:right="80" w:hanging="332"/>
        <w:spacing w:after="0" w:line="231" w:lineRule="auto"/>
        <w:tabs>
          <w:tab w:leader="none" w:pos="34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Amendment is being filed jointly by the Reporting Persons pursuant to the Joint Filing Agreement dated September 17, 2010, and included with the signature page to the Reporting Persons’ Schedule 13G with respect to the Issuer filed on September 17, 2010, SEC File No. 005-39928, and incorporated by reference herein.</w:t>
      </w:r>
    </w:p>
    <w:p>
      <w:pPr>
        <w:spacing w:after="0" w:line="199" w:lineRule="exact"/>
        <w:rPr>
          <w:rFonts w:ascii="Times New Roman" w:cs="Times New Roman" w:eastAsia="Times New Roman" w:hAnsi="Times New Roman"/>
          <w:sz w:val="24"/>
          <w:szCs w:val="24"/>
          <w:color w:val="auto"/>
          <w:vertAlign w:val="superscript"/>
        </w:rPr>
      </w:pPr>
    </w:p>
    <w:p>
      <w:pPr>
        <w:ind w:left="340" w:right="60" w:hanging="332"/>
        <w:spacing w:after="0" w:line="231" w:lineRule="auto"/>
        <w:tabs>
          <w:tab w:leader="none" w:pos="34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Duly authorized under Special Limited Power of Attorney appointing Alan Heuberger as attorney-in-fact, dated August 12, 2008, by and on behalf of William H. Gates III and Melinda French Gates as Co-Trustees, filed as Exhibit 99.5 to Cascade’s Schedule 13D with respect to Grupo Televisa, S.A.B. on May 7, 2009, SEC File No. 005-60431, and incorporated by reference herein.</w:t>
      </w:r>
    </w:p>
    <w:p>
      <w:pPr>
        <w:spacing w:after="0" w:line="199" w:lineRule="exact"/>
        <w:rPr>
          <w:rFonts w:ascii="Times New Roman" w:cs="Times New Roman" w:eastAsia="Times New Roman" w:hAnsi="Times New Roman"/>
          <w:sz w:val="24"/>
          <w:szCs w:val="24"/>
          <w:color w:val="auto"/>
          <w:vertAlign w:val="superscript"/>
        </w:rPr>
      </w:pPr>
    </w:p>
    <w:p>
      <w:pPr>
        <w:jc w:val="both"/>
        <w:ind w:left="340" w:right="60" w:hanging="332"/>
        <w:spacing w:after="0" w:line="231" w:lineRule="auto"/>
        <w:tabs>
          <w:tab w:leader="none" w:pos="34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Duly authorized under Special Limited Power of Attorney appointing Alan Heuberger as attorney-in-fact, dated August 12, 2008, by and on behalf of William H. Gates III, filed as Exhibit 99.2 to Amendment No. 1 to Cascade’s Schedule 13D with respect to Otter Tail Corporation on April 15, 2009, SEC File No. 005-06638, and incorporated by reference herein.</w:t>
      </w:r>
    </w:p>
    <w:p>
      <w:pPr>
        <w:spacing w:after="0" w:line="199" w:lineRule="exact"/>
        <w:rPr>
          <w:rFonts w:ascii="Times New Roman" w:cs="Times New Roman" w:eastAsia="Times New Roman" w:hAnsi="Times New Roman"/>
          <w:sz w:val="24"/>
          <w:szCs w:val="24"/>
          <w:color w:val="auto"/>
          <w:vertAlign w:val="superscript"/>
        </w:rPr>
      </w:pPr>
    </w:p>
    <w:p>
      <w:pPr>
        <w:ind w:left="340" w:right="180" w:hanging="332"/>
        <w:spacing w:after="0" w:line="231" w:lineRule="auto"/>
        <w:tabs>
          <w:tab w:leader="none" w:pos="34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Duly authorized under Limited Durable Power of Attorney appointing John K. Sage and Brooke Anderson as attorneys-in-fact, dated December 14, 2021, by and on behalf of Melinda French Gates, filed as Exhibit 99.2 to Amendment No. 4 to Cascade’s Schedule 13D with respect to Canadian National Railway Co. on December 20, 2021, SEC File No. 005-48661, and incorporated by reference herein.</w:t>
      </w:r>
    </w:p>
    <w:p>
      <w:pPr>
        <w:spacing w:after="0" w:line="199" w:lineRule="exact"/>
        <w:rPr>
          <w:rFonts w:ascii="Times New Roman" w:cs="Times New Roman" w:eastAsia="Times New Roman" w:hAnsi="Times New Roman"/>
          <w:sz w:val="24"/>
          <w:szCs w:val="24"/>
          <w:color w:val="auto"/>
          <w:vertAlign w:val="superscript"/>
        </w:rPr>
      </w:pPr>
    </w:p>
    <w:p>
      <w:pPr>
        <w:ind w:left="340" w:hanging="332"/>
        <w:spacing w:after="0" w:line="231" w:lineRule="auto"/>
        <w:tabs>
          <w:tab w:leader="none" w:pos="34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Duly authorized under Special Limited Power of Attorney appointing Alan Heuberger as attorney-in-fact, dated October 11, 2013, by and on behalf of Michael Larson, filed as Exhibit 99.1 to Amendment No. 9 to Cascade’s Schedule 13D with respect to Western Asset/Claymore Inflation-Linked Opportunities &amp; Income Fund on December 11, 2013, SEC File No. 005-81261, and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60"/>
      </w:cols>
      <w:pgMar w:left="320" w:top="90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lvl w:ilvl="1">
      <w:lvlJc w:val="left"/>
      <w:lvlText w:val="(%2)"/>
      <w:numFmt w:val="lowerLetter"/>
      <w:start w:val="1"/>
    </w:lvl>
  </w:abstractNum>
  <w:abstractNum w:abstractNumId="4">
    <w:nsid w:val="41A7C4C9"/>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5">
    <w:nsid w:val="6B68079A"/>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6">
    <w:nsid w:val="4E6AFB6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7">
    <w:nsid w:val="25E45D32"/>
    <w:multiLevelType w:val="hybridMultilevel"/>
    <w:lvl w:ilvl="0">
      <w:lvlJc w:val="left"/>
      <w:lvlText w:val="%1."/>
      <w:numFmt w:val="decimal"/>
      <w:start w:val="1"/>
    </w:lvl>
    <w:lvl w:ilvl="1">
      <w:lvlJc w:val="left"/>
      <w:lvlText w:val="(%2)"/>
      <w:numFmt w:val="lowerLetter"/>
      <w:start w:val="1"/>
    </w:lvl>
  </w:abstractNum>
  <w:abstractNum w:abstractNumId="8">
    <w:nsid w:val="519B500D"/>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9">
    <w:nsid w:val="431BD7B7"/>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0">
    <w:nsid w:val="3F2DBA3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1">
    <w:nsid w:val="7C83E458"/>
    <w:multiLevelType w:val="hybridMultilevel"/>
    <w:lvl w:ilvl="0">
      <w:lvlJc w:val="left"/>
      <w:lvlText w:val="%1."/>
      <w:numFmt w:val="decimal"/>
      <w:start w:val="1"/>
    </w:lvl>
    <w:lvl w:ilvl="1">
      <w:lvlJc w:val="left"/>
      <w:lvlText w:val="(%2)"/>
      <w:numFmt w:val="lowerLetter"/>
      <w:start w:val="1"/>
    </w:lvl>
  </w:abstractNum>
  <w:abstractNum w:abstractNumId="12">
    <w:nsid w:val="257130A3"/>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3">
    <w:nsid w:val="62BBD95A"/>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4">
    <w:nsid w:val="436C612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5">
    <w:nsid w:val="628C895D"/>
    <w:multiLevelType w:val="hybridMultilevel"/>
    <w:lvl w:ilvl="0">
      <w:lvlJc w:val="left"/>
      <w:lvlText w:val="%1."/>
      <w:numFmt w:val="decimal"/>
      <w:start w:val="1"/>
    </w:lvl>
    <w:lvl w:ilvl="1">
      <w:lvlJc w:val="left"/>
      <w:lvlText w:val="(%2)"/>
      <w:numFmt w:val="lowerLetter"/>
      <w:start w:val="1"/>
    </w:lvl>
  </w:abstractNum>
  <w:abstractNum w:abstractNumId="16">
    <w:nsid w:val="333AB105"/>
    <w:multiLevelType w:val="hybridMultilevel"/>
    <w:lvl w:ilvl="0">
      <w:lvlJc w:val="left"/>
      <w:lvlText w:val="%1"/>
      <w:numFmt w:val="decimal"/>
      <w:start w:val="1"/>
    </w:lvl>
    <w:lvl w:ilvl="1">
      <w:lvlJc w:val="left"/>
      <w:lvlText w:val="%2."/>
      <w:numFmt w:val="decimal"/>
      <w:start w:val="8"/>
    </w:lvl>
  </w:abstractNum>
  <w:abstractNum w:abstractNumId="17">
    <w:nsid w:val="721DA317"/>
    <w:multiLevelType w:val="hybridMultilevel"/>
    <w:lvl w:ilvl="0">
      <w:lvlJc w:val="left"/>
      <w:lvlText w:val="%1."/>
      <w:numFmt w:val="decimal"/>
      <w:start w:val="9"/>
    </w:lvl>
    <w:lvl w:ilvl="1">
      <w:lvlJc w:val="left"/>
      <w:lvlText w:val="%2"/>
      <w:numFmt w:val="decimal"/>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lvl w:ilvl="1">
      <w:lvlJc w:val="left"/>
      <w:lvlText w:val="(%2)"/>
      <w:numFmt w:val="lowerRoman"/>
      <w:start w:val="1"/>
    </w:lvl>
  </w:abstractNum>
  <w:abstractNum w:abstractNumId="22">
    <w:nsid w:val="8EDBDAB"/>
    <w:multiLevelType w:val="hybridMultilevel"/>
    <w:lvl w:ilvl="0">
      <w:lvlJc w:val="left"/>
      <w:lvlText w:val="(%1)"/>
      <w:numFmt w:val="lowerRoman"/>
      <w:start w:val="2"/>
    </w:lvl>
  </w:abstractNum>
  <w:abstractNum w:abstractNumId="23">
    <w:nsid w:val="79838CB2"/>
    <w:multiLevelType w:val="hybridMultilevel"/>
    <w:lvl w:ilvl="0">
      <w:lvlJc w:val="left"/>
      <w:lvlText w:val="(%1)"/>
      <w:numFmt w:val="lowerRoman"/>
      <w:start w:val="3"/>
    </w:lvl>
  </w:abstractNum>
  <w:abstractNum w:abstractNumId="24">
    <w:nsid w:val="4353D0CD"/>
    <w:multiLevelType w:val="hybridMultilevel"/>
    <w:lvl w:ilvl="0">
      <w:lvlJc w:val="left"/>
      <w:lvlText w:val="(%1)"/>
      <w:numFmt w:val="decimal"/>
      <w:start w:val="2"/>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2023-02-10T15:59:47Z</dcterms:created>
  <dcterms:modified xsi:type="dcterms:W3CDTF">2023-02-10T15:59:47Z</dcterms:modified>
</cp:coreProperties>
</file>