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ind w:left="3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-231775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7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5399405</wp:posOffset>
            </wp:positionH>
            <wp:positionV relativeFrom="paragraph">
              <wp:posOffset>-622935</wp:posOffset>
            </wp:positionV>
            <wp:extent cx="5778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4056380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-1788160</wp:posOffset>
            </wp:positionH>
            <wp:positionV relativeFrom="paragraph">
              <wp:posOffset>14605</wp:posOffset>
            </wp:positionV>
            <wp:extent cx="7325995" cy="42259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995" cy="4225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560"/>
            <w:col w:w="8720"/>
          </w:cols>
          <w:pgMar w:left="240" w:top="221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ROTHMEIER STEVEN G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WMI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01/15/2004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" w:right="760" w:hanging="6"/>
        <w:spacing w:after="0" w:line="236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6" w:val="left"/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7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80" w:space="714"/>
            <w:col w:w="3466"/>
          </w:cols>
          <w:pgMar w:left="240" w:top="221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8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gridSpan w:val="5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10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920" w:type="dxa"/>
            <w:vAlign w:val="bottom"/>
            <w:gridSpan w:val="11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5. Number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01/15/2004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1,251.7883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1,251.7883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4,410.9406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7"/>
                <w:szCs w:val="7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0000FF"/>
              </w:rPr>
              <w:t>Stock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7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Stock units accrued under the 2003 Waste Management, Inc. Directors' Deferred Compensation Plan. The stock units will be paid ou t in shares of common stock following termination of Board service.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Linda J. Smith, attorney-in-fact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01/16/2004</w:t>
            </w:r>
          </w:p>
        </w:tc>
      </w:tr>
      <w:tr>
        <w:trPr>
          <w:trHeight w:val="20"/>
        </w:trPr>
        <w:tc>
          <w:tcPr>
            <w:tcW w:w="2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4080" w:firstLine="1"/>
        <w:spacing w:after="0" w:line="330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1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2019-12-16T05:38:56Z</dcterms:created>
  <dcterms:modified xsi:type="dcterms:W3CDTF">2019-12-16T05:38:56Z</dcterms:modified>
</cp:coreProperties>
</file>