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4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center"/>
              <w:ind w:right="112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140" w:type="dxa"/>
            <w:vAlign w:val="bottom"/>
          </w:tcPr>
          <w:p>
            <w:pPr>
              <w:jc w:val="center"/>
              <w:ind w:right="23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jc w:val="center"/>
              <w:ind w:right="112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14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1001 Fannin, Houston, Texas</w:t>
            </w:r>
          </w:p>
        </w:tc>
        <w:tc>
          <w:tcPr>
            <w:tcW w:w="240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140" w:type="dxa"/>
            <w:vAlign w:val="bottom"/>
          </w:tcPr>
          <w:p>
            <w:pPr>
              <w:jc w:val="center"/>
              <w:ind w:left="124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first quarter of 2016,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81195417. To access a replay telephonically, please dial (855) 859-2056 and use the replay conference ID number 81195417.</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such non-GAAP measures and reconciliations of such measures to their most comparable GAAP measures in footnote (b) and the tables to the press release issued this morning.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April 28, 2016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Legal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28, 2016</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20" w:right="460"/>
        <w:spacing w:after="0" w:line="262" w:lineRule="auto"/>
        <w:rPr>
          <w:sz w:val="20"/>
          <w:szCs w:val="20"/>
          <w:color w:val="auto"/>
        </w:rPr>
      </w:pPr>
      <w:r>
        <w:rPr>
          <w:rFonts w:ascii="Arial" w:cs="Arial" w:eastAsia="Arial" w:hAnsi="Arial"/>
          <w:sz w:val="40"/>
          <w:szCs w:val="40"/>
          <w:b w:val="1"/>
          <w:bCs w:val="1"/>
          <w:color w:val="auto"/>
        </w:rPr>
        <w:t>Waste Management Announces First Quarter Earnings</w:t>
      </w:r>
    </w:p>
    <w:p>
      <w:pPr>
        <w:spacing w:after="0" w:line="151"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auto"/>
        </w:rPr>
        <w:t>Company Exceeds Plan in All Key Financial Metrics</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Revenue Growth from Both Yield and Volume Drive Strong Net Income and Cash Flow</w:t>
      </w:r>
    </w:p>
    <w:p>
      <w:pPr>
        <w:spacing w:after="0" w:line="2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HOUSTON — April 28, 2016</w:t>
      </w:r>
      <w:r>
        <w:rPr>
          <w:rFonts w:ascii="Arial" w:cs="Arial" w:eastAsia="Arial" w:hAnsi="Arial"/>
          <w:sz w:val="16"/>
          <w:szCs w:val="16"/>
          <w:color w:val="auto"/>
        </w:rPr>
        <w:t>— 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ended March 31, 2016. Revenues for the first quarter of 2016 were $3.2 billion compared with $3.0 billion for the same 2015 period. Net income for the quarter was $258 million, or $0.58 per diluted share, compared with a net loss of $129 million, or $0.28 per diluted share, for the first quarter of 2015.</w:t>
      </w:r>
      <w:r>
        <w:rPr>
          <w:rFonts w:ascii="Arial" w:cs="Arial" w:eastAsia="Arial" w:hAnsi="Arial"/>
          <w:sz w:val="13"/>
          <w:szCs w:val="13"/>
          <w:color w:val="auto"/>
        </w:rPr>
        <w:t>(a)</w:t>
      </w:r>
      <w:r>
        <w:rPr>
          <w:rFonts w:ascii="Arial" w:cs="Arial" w:eastAsia="Arial" w:hAnsi="Arial"/>
          <w:sz w:val="16"/>
          <w:szCs w:val="16"/>
          <w:color w:val="auto"/>
        </w:rPr>
        <w:t xml:space="preserve"> On an as-adjusted basis, excluding certain items, net income would have been $227 million, or $0.49 per diluted share, in the first quarter of 2015.</w:t>
      </w:r>
      <w:r>
        <w:rPr>
          <w:rFonts w:ascii="Arial" w:cs="Arial" w:eastAsia="Arial" w:hAnsi="Arial"/>
          <w:sz w:val="13"/>
          <w:szCs w:val="13"/>
          <w:color w:val="auto"/>
        </w:rPr>
        <w:t>(b)</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David P. Steiner, President and Chief Executive Officer of Waste Management, commented, “We achieved strong first quarter results and exceeded our internal targets in virtually every metric, including revenue, earnings, margins and cash flow. On an as-adjusted basis, we saw earnings growth of over 18%.</w:t>
      </w:r>
      <w:r>
        <w:rPr>
          <w:rFonts w:ascii="Arial" w:cs="Arial" w:eastAsia="Arial" w:hAnsi="Arial"/>
          <w:sz w:val="15"/>
          <w:szCs w:val="15"/>
          <w:color w:val="auto"/>
        </w:rPr>
        <w:t>(b)</w:t>
      </w:r>
      <w:r>
        <w:rPr>
          <w:rFonts w:ascii="Arial" w:cs="Arial" w:eastAsia="Arial" w:hAnsi="Arial"/>
          <w:sz w:val="18"/>
          <w:szCs w:val="18"/>
          <w:color w:val="auto"/>
        </w:rPr>
        <w:t xml:space="preserve"> Revenue grew 4.5%, and our total company volumes turned positive for the first time since 2012. Our pricing programs resulted in core price of 5.3%, a 90 basis point improvement from the first quarter of 2015, and we achieved increased price in each line of business.</w:t>
      </w:r>
      <w:r>
        <w:rPr>
          <w:rFonts w:ascii="Arial" w:cs="Arial" w:eastAsia="Arial" w:hAnsi="Arial"/>
          <w:sz w:val="15"/>
          <w:szCs w:val="15"/>
          <w:color w:val="auto"/>
        </w:rPr>
        <w:t>(c)</w:t>
      </w:r>
      <w:r>
        <w:rPr>
          <w:rFonts w:ascii="Arial" w:cs="Arial" w:eastAsia="Arial" w:hAnsi="Arial"/>
          <w:sz w:val="18"/>
          <w:szCs w:val="18"/>
          <w:color w:val="auto"/>
        </w:rPr>
        <w:t xml:space="preserve"> We also continued to see progress in our cost programs. This led to us exceeding our targets for operating EBITDA and free cash flow.”</w:t>
      </w:r>
      <w:r>
        <w:rPr>
          <w:rFonts w:ascii="Arial" w:cs="Arial" w:eastAsia="Arial" w:hAnsi="Arial"/>
          <w:sz w:val="15"/>
          <w:szCs w:val="15"/>
          <w:color w:val="auto"/>
        </w:rPr>
        <w:t>(d)</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FIRST QUARTER 2016</w:t>
      </w:r>
    </w:p>
    <w:p>
      <w:pPr>
        <w:spacing w:after="0" w:line="140" w:lineRule="exact"/>
        <w:rPr>
          <w:sz w:val="20"/>
          <w:szCs w:val="20"/>
          <w:color w:val="auto"/>
        </w:rPr>
      </w:pPr>
    </w:p>
    <w:p>
      <w:pPr>
        <w:ind w:left="900" w:right="240" w:hanging="446"/>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revenue increased by 4.5%, or $136 million. The revenue increase was driven by positive yield and volume in the Company’s collection and disposal business of $118 million. Acquisitions net of divestitures also contributed $81 million of revenue to the current quarter. These increases were partially offset by $32 million in lower fuel surcharge revenue, $18 million in foreign currency fluctuations, and $13 million in lower recycling revenues.</w:t>
      </w:r>
    </w:p>
    <w:p>
      <w:pPr>
        <w:spacing w:after="0" w:line="93"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 price, which consists of price increases net of rollbacks and fees, other than the Company’s fuel surcharge, was 5.3%, up from 4.4% in the first quarter of 2015.</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2.6%, an increase of 60 basis points compared to the first quarter of 2015.</w:t>
      </w:r>
    </w:p>
    <w:p>
      <w:pPr>
        <w:spacing w:after="0" w:line="75" w:lineRule="exact"/>
        <w:rPr>
          <w:rFonts w:ascii="Arial" w:cs="Arial" w:eastAsia="Arial" w:hAnsi="Arial"/>
          <w:sz w:val="18"/>
          <w:szCs w:val="18"/>
          <w:color w:val="auto"/>
        </w:rPr>
      </w:pPr>
    </w:p>
    <w:p>
      <w:pPr>
        <w:ind w:left="900" w:right="6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Traditional solid waste business internal revenue growth from volume was positive 2.4% in the first quarter of 2016, or 1.8% after adjusting for one additional workday in the current quarter. Total Company internal revenue growth from volume grew 1.9% in the first quarter and was 1.3% on a workday adjusted basis.</w:t>
      </w:r>
    </w:p>
    <w:p>
      <w:pPr>
        <w:spacing w:after="0" w:line="92"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recycling commodity prices were approximately 12.0% lower in the first quarter of 2016 than in the prior year period. Recycling volumes increased 3.1% in the first quarter. Results in the Company’s recycling line of business improved by almost $0.02 per diluted share when compared to the prior year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www.wm.com</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680" w:space="340"/>
            <w:col w:w="2400"/>
          </w:cols>
          <w:pgMar w:left="240" w:top="121" w:right="239" w:bottom="1440" w:gutter="0" w:footer="0" w:header="0"/>
        </w:sectPr>
      </w:pPr>
    </w:p>
    <w:bookmarkStart w:id="5" w:name="page6"/>
    <w:bookmarkEnd w:id="5"/>
    <w:p>
      <w:pPr>
        <w:ind w:left="900" w:right="2119"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percent of revenue, operating expenses were 62.8% in the first quarter of 2016, as compared to 64.0% in the first quarter of 2015.</w:t>
      </w:r>
    </w:p>
    <w:p>
      <w:pPr>
        <w:spacing w:after="0" w:line="75" w:lineRule="exact"/>
        <w:rPr>
          <w:rFonts w:ascii="Arial" w:cs="Arial" w:eastAsia="Arial" w:hAnsi="Arial"/>
          <w:sz w:val="18"/>
          <w:szCs w:val="18"/>
          <w:color w:val="auto"/>
        </w:rPr>
      </w:pPr>
    </w:p>
    <w:p>
      <w:pPr>
        <w:ind w:left="900" w:right="2079"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percent of revenue, SG&amp;A expenses were 11.4% in the first quarter of 2016, which is flat when compared to the first quarter of 2015.</w:t>
      </w:r>
    </w:p>
    <w:p>
      <w:pPr>
        <w:spacing w:after="0" w:line="75" w:lineRule="exact"/>
        <w:rPr>
          <w:rFonts w:ascii="Arial" w:cs="Arial" w:eastAsia="Arial" w:hAnsi="Arial"/>
          <w:sz w:val="18"/>
          <w:szCs w:val="18"/>
          <w:color w:val="auto"/>
        </w:rPr>
      </w:pPr>
    </w:p>
    <w:p>
      <w:pPr>
        <w:ind w:left="900" w:right="1779" w:hanging="446"/>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$706 million, compared to $499 million in the first quarter of 2015, an increase of over 40%. As a result of obtaining new Canadian dollar debt financing, the Company terminated its cross currency hedge during the first quarter of 2016. This resulted in a $67 million benefit to cash flow from operating activities and a negative $0.01 per diluted share impact to earnings.</w:t>
      </w:r>
    </w:p>
    <w:p>
      <w:pPr>
        <w:spacing w:after="0" w:line="93" w:lineRule="exact"/>
        <w:rPr>
          <w:rFonts w:ascii="Arial" w:cs="Arial" w:eastAsia="Arial" w:hAnsi="Arial"/>
          <w:sz w:val="18"/>
          <w:szCs w:val="18"/>
          <w:color w:val="auto"/>
        </w:rPr>
      </w:pPr>
    </w:p>
    <w:p>
      <w:pPr>
        <w:ind w:left="900" w:right="1839"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 were $317 million, an increase of $84 million compared to 2015. The increase was due to an intentional change in the timing of our truck purchases, and the Company still expects full-year capital expenditures to be between $1.3 and $1.4 billion.</w:t>
      </w:r>
    </w:p>
    <w:p>
      <w:pPr>
        <w:spacing w:after="0" w:line="86" w:lineRule="exact"/>
        <w:rPr>
          <w:rFonts w:ascii="Arial" w:cs="Arial" w:eastAsia="Arial" w:hAnsi="Arial"/>
          <w:sz w:val="18"/>
          <w:szCs w:val="18"/>
          <w:color w:val="auto"/>
        </w:rPr>
      </w:pPr>
    </w:p>
    <w:p>
      <w:pPr>
        <w:ind w:left="900" w:right="2199"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had $13 million of proceeds from the sale of assets and businesses in the quarter, $6 million less than the first quarter of 2015.</w:t>
      </w:r>
    </w:p>
    <w:p>
      <w:pPr>
        <w:spacing w:after="0" w:line="75" w:lineRule="exact"/>
        <w:rPr>
          <w:rFonts w:ascii="Arial" w:cs="Arial" w:eastAsia="Arial" w:hAnsi="Arial"/>
          <w:sz w:val="18"/>
          <w:szCs w:val="18"/>
          <w:color w:val="auto"/>
        </w:rPr>
      </w:pPr>
    </w:p>
    <w:p>
      <w:pPr>
        <w:ind w:left="900" w:right="1939"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improved to $402 million in the first quarter of 2016, an increase of $117 million when compared to free cash flow for the first quarter of 2015.</w:t>
      </w:r>
      <w:r>
        <w:rPr>
          <w:rFonts w:ascii="Arial" w:cs="Arial" w:eastAsia="Arial" w:hAnsi="Arial"/>
          <w:sz w:val="15"/>
          <w:szCs w:val="15"/>
          <w:color w:val="auto"/>
        </w:rPr>
        <w:t>(b)</w:t>
      </w:r>
    </w:p>
    <w:p>
      <w:pPr>
        <w:spacing w:after="0" w:line="75" w:lineRule="exact"/>
        <w:rPr>
          <w:rFonts w:ascii="Arial" w:cs="Arial" w:eastAsia="Arial" w:hAnsi="Arial"/>
          <w:sz w:val="18"/>
          <w:szCs w:val="18"/>
          <w:color w:val="auto"/>
        </w:rPr>
      </w:pPr>
    </w:p>
    <w:p>
      <w:pPr>
        <w:ind w:left="900" w:right="2139"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returned $433 million to shareholders during the first quarter, paying $183 million in dividends and repurchasing $250 million of its common stock.</w:t>
      </w:r>
    </w:p>
    <w:p>
      <w:pPr>
        <w:spacing w:after="0" w:line="75" w:lineRule="exact"/>
        <w:rPr>
          <w:rFonts w:ascii="Arial" w:cs="Arial" w:eastAsia="Arial" w:hAnsi="Arial"/>
          <w:sz w:val="18"/>
          <w:szCs w:val="18"/>
          <w:color w:val="auto"/>
        </w:rPr>
      </w:pPr>
    </w:p>
    <w:p>
      <w:pPr>
        <w:jc w:val="both"/>
        <w:ind w:left="900" w:right="1999"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tax rate was approximately 35.4%, slightly above the Company’s expected full-year tax rate of 35%. The increase was due to the timing of certain items, as the Company still expects its full-year tax rate to be 35%.</w:t>
      </w:r>
    </w:p>
    <w:p>
      <w:pPr>
        <w:spacing w:after="0" w:line="181" w:lineRule="exact"/>
        <w:rPr>
          <w:sz w:val="20"/>
          <w:szCs w:val="20"/>
          <w:color w:val="auto"/>
        </w:rPr>
      </w:pPr>
    </w:p>
    <w:p>
      <w:pPr>
        <w:ind w:right="1819"/>
        <w:spacing w:after="0" w:line="255" w:lineRule="auto"/>
        <w:rPr>
          <w:sz w:val="20"/>
          <w:szCs w:val="20"/>
          <w:color w:val="auto"/>
        </w:rPr>
      </w:pPr>
      <w:r>
        <w:rPr>
          <w:rFonts w:ascii="Arial" w:cs="Arial" w:eastAsia="Arial" w:hAnsi="Arial"/>
          <w:sz w:val="18"/>
          <w:szCs w:val="18"/>
          <w:color w:val="auto"/>
        </w:rPr>
        <w:t>Steiner concluded, “The year is off to a strong start driven by the collaboration of our corporate and field teams to drive our initiatives. We expect the momentum to continue through 2016 and expect to meet or exceed our full-year 2016 guidance of adjusted earnings per diluted share between $2.74 and $2.79, and free cash flow of between $1.5 and $1.6 billion.</w:t>
      </w:r>
      <w:r>
        <w:rPr>
          <w:rFonts w:ascii="Arial" w:cs="Arial" w:eastAsia="Arial" w:hAnsi="Arial"/>
          <w:sz w:val="15"/>
          <w:szCs w:val="15"/>
          <w:color w:val="auto"/>
        </w:rPr>
        <w:t>(b)</w:t>
      </w:r>
      <w:r>
        <w:rPr>
          <w:rFonts w:ascii="Arial" w:cs="Arial" w:eastAsia="Arial" w:hAnsi="Arial"/>
          <w:sz w:val="18"/>
          <w:szCs w:val="18"/>
          <w:color w:val="auto"/>
        </w:rPr>
        <w:t xml:space="preserve"> However, before we give a more precise update to our guidance, we want to see the extent of our second quarter seasonal uptick. Consequently, we would provide any adjustments to our guidance with our second quarter 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right="2019" w:hanging="332"/>
        <w:spacing w:after="0" w:line="224"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purposes of this press release, all references to “Net loss” and “Net income” refer to the financial statement line items “Net income (loss) attributable to Waste Management, Inc.” and “Net income attributable to Waste Management, Inc.,” respectively.</w:t>
      </w:r>
    </w:p>
    <w:p>
      <w:pPr>
        <w:spacing w:after="0" w:line="1" w:lineRule="exact"/>
        <w:rPr>
          <w:rFonts w:ascii="Arial" w:cs="Arial" w:eastAsia="Arial" w:hAnsi="Arial"/>
          <w:sz w:val="13"/>
          <w:szCs w:val="13"/>
          <w:color w:val="auto"/>
        </w:rPr>
      </w:pPr>
    </w:p>
    <w:p>
      <w:pPr>
        <w:ind w:left="340" w:right="1779" w:hanging="332"/>
        <w:spacing w:after="0" w:line="220"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and earnings per diluted share for the first quarter of 2015 have been presented in certain instances excluding items identified in the reconciliations provided.</w:t>
      </w:r>
    </w:p>
    <w:p>
      <w:pPr>
        <w:spacing w:after="0" w:line="86" w:lineRule="exact"/>
        <w:rPr>
          <w:rFonts w:ascii="Arial" w:cs="Arial" w:eastAsia="Arial" w:hAnsi="Arial"/>
          <w:sz w:val="13"/>
          <w:szCs w:val="13"/>
          <w:color w:val="auto"/>
        </w:rPr>
      </w:pPr>
    </w:p>
    <w:p>
      <w:pPr>
        <w:ind w:left="360" w:right="1779"/>
        <w:spacing w:after="0" w:line="241" w:lineRule="auto"/>
        <w:rPr>
          <w:rFonts w:ascii="Arial" w:cs="Arial" w:eastAsia="Arial" w:hAnsi="Arial"/>
          <w:sz w:val="13"/>
          <w:szCs w:val="13"/>
          <w:color w:val="auto"/>
        </w:rPr>
      </w:pPr>
      <w:r>
        <w:rPr>
          <w:rFonts w:ascii="Arial" w:cs="Arial" w:eastAsia="Arial" w:hAnsi="Arial"/>
          <w:sz w:val="12"/>
          <w:szCs w:val="12"/>
          <w:color w:val="auto"/>
        </w:rPr>
        <w:t>The Company’s projected full year 2016 earnings per diluted share is not based on GAAP net earnings per diluted share and are anticipated to be adjusted to exclude the effects of events or circumstances in 2016 that are not representative or indicative of the Company’s results of operations including the items excluded from our as-adjusted first quarter results.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or projected earnings growth to a GAAP earnings per diluted share projection.</w:t>
      </w:r>
    </w:p>
    <w:p>
      <w:pPr>
        <w:spacing w:after="0" w:line="83" w:lineRule="exact"/>
        <w:rPr>
          <w:rFonts w:ascii="Arial" w:cs="Arial" w:eastAsia="Arial" w:hAnsi="Arial"/>
          <w:sz w:val="13"/>
          <w:szCs w:val="13"/>
          <w:color w:val="auto"/>
        </w:rPr>
      </w:pPr>
    </w:p>
    <w:p>
      <w:pPr>
        <w:ind w:left="360" w:right="1999"/>
        <w:spacing w:after="0" w:line="237" w:lineRule="auto"/>
        <w:rPr>
          <w:rFonts w:ascii="Arial" w:cs="Arial" w:eastAsia="Arial" w:hAnsi="Arial"/>
          <w:sz w:val="13"/>
          <w:szCs w:val="13"/>
          <w:color w:val="auto"/>
        </w:rPr>
      </w:pPr>
      <w:r>
        <w:rPr>
          <w:rFonts w:ascii="Arial" w:cs="Arial" w:eastAsia="Arial" w:hAnsi="Arial"/>
          <w:sz w:val="13"/>
          <w:szCs w:val="13"/>
          <w:color w:val="auto"/>
        </w:rPr>
        <w:t>The Company also discusses free cash flow and provides projections of free cash flow. Free cash flow is a non-GAAP measure. The company discusses free cash flow because the Company believes that it is indicative of its ability to pay its quarterly</w:t>
      </w:r>
    </w:p>
    <w:p>
      <w:pPr>
        <w:sectPr>
          <w:pgSz w:w="11900" w:h="16838" w:orient="portrait"/>
          <w:cols w:equalWidth="0" w:num="1">
            <w:col w:w="10219"/>
          </w:cols>
          <w:pgMar w:left="240" w:top="274" w:right="1440" w:bottom="1440" w:gutter="0" w:footer="0" w:header="0"/>
        </w:sectPr>
      </w:pPr>
    </w:p>
    <w:bookmarkStart w:id="6" w:name="page7"/>
    <w:bookmarkEnd w:id="6"/>
    <w:p>
      <w:pPr>
        <w:ind w:left="360" w:right="1779"/>
        <w:spacing w:after="0" w:line="24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95"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Net cash provided by operating activities</w:t>
      </w:r>
    </w:p>
    <w:p>
      <w:pPr>
        <w:spacing w:after="0" w:line="107" w:lineRule="exact"/>
        <w:rPr>
          <w:rFonts w:ascii="Arial" w:cs="Arial" w:eastAsia="Arial" w:hAnsi="Arial"/>
          <w:sz w:val="13"/>
          <w:szCs w:val="13"/>
          <w:color w:val="auto"/>
        </w:rPr>
      </w:pPr>
    </w:p>
    <w:p>
      <w:pPr>
        <w:ind w:left="660" w:hanging="314"/>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Less, capital expenditures</w:t>
      </w:r>
    </w:p>
    <w:p>
      <w:pPr>
        <w:spacing w:after="0" w:line="107" w:lineRule="exact"/>
        <w:rPr>
          <w:rFonts w:ascii="Arial" w:cs="Arial" w:eastAsia="Arial" w:hAnsi="Arial"/>
          <w:sz w:val="13"/>
          <w:szCs w:val="13"/>
          <w:color w:val="auto"/>
        </w:rPr>
      </w:pPr>
    </w:p>
    <w:p>
      <w:pPr>
        <w:ind w:left="660" w:hanging="314"/>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Plus, proceeds from divestitures of businesses (net of cash divested) and other sales of assets.</w:t>
      </w:r>
    </w:p>
    <w:p>
      <w:pPr>
        <w:spacing w:after="0" w:line="94" w:lineRule="exact"/>
        <w:rPr>
          <w:sz w:val="20"/>
          <w:szCs w:val="20"/>
          <w:color w:val="auto"/>
        </w:rPr>
      </w:pPr>
    </w:p>
    <w:p>
      <w:pPr>
        <w:ind w:left="360" w:right="1959"/>
        <w:spacing w:after="0" w:line="237" w:lineRule="auto"/>
        <w:rPr>
          <w:sz w:val="20"/>
          <w:szCs w:val="20"/>
          <w:color w:val="auto"/>
        </w:rPr>
      </w:pPr>
      <w:r>
        <w:rPr>
          <w:rFonts w:ascii="Arial" w:cs="Arial" w:eastAsia="Arial" w:hAnsi="Arial"/>
          <w:sz w:val="13"/>
          <w:szCs w:val="13"/>
          <w:color w:val="auto"/>
        </w:rPr>
        <w:t>The Company’s definition of free cash flow may not be comparable to similarly titled measures presented by other companies, and therefore is not subject to comparison.</w:t>
      </w:r>
    </w:p>
    <w:p>
      <w:pPr>
        <w:spacing w:after="0" w:line="83" w:lineRule="exact"/>
        <w:rPr>
          <w:sz w:val="20"/>
          <w:szCs w:val="20"/>
          <w:color w:val="auto"/>
        </w:rPr>
      </w:pPr>
    </w:p>
    <w:p>
      <w:pPr>
        <w:jc w:val="both"/>
        <w:ind w:left="360" w:right="1779"/>
        <w:spacing w:after="0" w:line="288" w:lineRule="auto"/>
        <w:rPr>
          <w:sz w:val="20"/>
          <w:szCs w:val="20"/>
          <w:color w:val="auto"/>
        </w:rPr>
      </w:pPr>
      <w:r>
        <w:rPr>
          <w:rFonts w:ascii="Arial" w:cs="Arial" w:eastAsia="Arial" w:hAnsi="Arial"/>
          <w:sz w:val="11"/>
          <w:szCs w:val="11"/>
          <w:color w:val="auto"/>
        </w:rPr>
        <w:t>The quantitative reconciliations of non-GAAP measures used herein to the most comparable GAAP measures are included in the accompanying schedules, with the exception of projected earnings per diluted share. Non-GAAP measures should not be considered a substitute for financial measures presented in accordance with GAAP, and investors are urged to take into account GAAP measures as well as non-GAAP measures in evaluating the Company.</w:t>
      </w:r>
    </w:p>
    <w:p>
      <w:pPr>
        <w:spacing w:after="0" w:line="71" w:lineRule="exact"/>
        <w:rPr>
          <w:sz w:val="20"/>
          <w:szCs w:val="20"/>
          <w:color w:val="auto"/>
        </w:rPr>
      </w:pPr>
    </w:p>
    <w:p>
      <w:pPr>
        <w:jc w:val="both"/>
        <w:ind w:left="340" w:right="1759" w:hanging="332"/>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 w:lineRule="exact"/>
        <w:rPr>
          <w:rFonts w:ascii="Arial" w:cs="Arial" w:eastAsia="Arial" w:hAnsi="Arial"/>
          <w:sz w:val="12"/>
          <w:szCs w:val="12"/>
          <w:color w:val="auto"/>
        </w:rPr>
      </w:pPr>
    </w:p>
    <w:p>
      <w:pPr>
        <w:ind w:left="340" w:right="2139" w:hanging="332"/>
        <w:spacing w:after="0" w:line="229"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Management defines operating EBITDA as GAAP income from operations before depreciation and amortization; this measure may not be comparable to similarly titled measures reported by other companies.</w:t>
      </w:r>
    </w:p>
    <w:p>
      <w:pPr>
        <w:spacing w:after="0" w:line="191" w:lineRule="exact"/>
        <w:rPr>
          <w:sz w:val="20"/>
          <w:szCs w:val="20"/>
          <w:color w:val="auto"/>
        </w:rPr>
      </w:pPr>
    </w:p>
    <w:p>
      <w:pPr>
        <w:ind w:right="1919"/>
        <w:spacing w:after="0" w:line="264" w:lineRule="auto"/>
        <w:rPr>
          <w:sz w:val="20"/>
          <w:szCs w:val="20"/>
          <w:color w:val="auto"/>
        </w:rPr>
      </w:pPr>
      <w:r>
        <w:rPr>
          <w:rFonts w:ascii="Arial" w:cs="Arial" w:eastAsia="Arial" w:hAnsi="Arial"/>
          <w:sz w:val="18"/>
          <w:szCs w:val="18"/>
          <w:color w:val="auto"/>
        </w:rPr>
        <w:t>The Company will host a conference call at 10:00 AM (Eastern) today to discuss the first quarter 2016 results. Information contained within this press release will be referenced and should be considered in conjunction with the call.</w:t>
      </w:r>
    </w:p>
    <w:p>
      <w:pPr>
        <w:spacing w:after="0" w:line="181" w:lineRule="exact"/>
        <w:rPr>
          <w:sz w:val="20"/>
          <w:szCs w:val="20"/>
          <w:color w:val="auto"/>
        </w:rPr>
      </w:pPr>
    </w:p>
    <w:p>
      <w:pPr>
        <w:ind w:right="2059"/>
        <w:spacing w:after="0" w:line="302" w:lineRule="auto"/>
        <w:rPr>
          <w:sz w:val="20"/>
          <w:szCs w:val="20"/>
          <w:color w:val="auto"/>
        </w:rPr>
      </w:pPr>
      <w:r>
        <w:rPr>
          <w:rFonts w:ascii="Arial" w:cs="Arial" w:eastAsia="Arial" w:hAnsi="Arial"/>
          <w:sz w:val="16"/>
          <w:szCs w:val="16"/>
          <w:color w:val="auto"/>
        </w:rPr>
        <w:t xml:space="preserve">The conference call will be webcast live from the Investor Relations section of Waste Management’s website </w:t>
      </w:r>
      <w:r>
        <w:rPr>
          <w:rFonts w:ascii="Arial" w:cs="Arial" w:eastAsia="Arial" w:hAnsi="Arial"/>
          <w:sz w:val="16"/>
          <w:szCs w:val="16"/>
          <w:u w:val="single" w:color="auto"/>
          <w:color w:val="auto"/>
        </w:rPr>
        <w:t>www.wm.com</w:t>
      </w:r>
      <w:r>
        <w:rPr>
          <w:rFonts w:ascii="Arial" w:cs="Arial" w:eastAsia="Arial" w:hAnsi="Arial"/>
          <w:sz w:val="16"/>
          <w:szCs w:val="16"/>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81195417 when prompted by the conference call operator.</w:t>
      </w:r>
    </w:p>
    <w:p>
      <w:pPr>
        <w:spacing w:after="0" w:line="154" w:lineRule="exact"/>
        <w:rPr>
          <w:sz w:val="20"/>
          <w:szCs w:val="20"/>
          <w:color w:val="auto"/>
        </w:rPr>
      </w:pPr>
    </w:p>
    <w:p>
      <w:pPr>
        <w:ind w:right="1879"/>
        <w:spacing w:after="0" w:line="279" w:lineRule="auto"/>
        <w:rPr>
          <w:sz w:val="20"/>
          <w:szCs w:val="20"/>
          <w:color w:val="auto"/>
        </w:rPr>
      </w:pPr>
      <w:r>
        <w:rPr>
          <w:rFonts w:ascii="Arial" w:cs="Arial" w:eastAsia="Arial" w:hAnsi="Arial"/>
          <w:sz w:val="17"/>
          <w:szCs w:val="17"/>
          <w:color w:val="auto"/>
        </w:rPr>
        <w:t xml:space="preserve">A replay of the conference call will be available on the Company’s website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and by telephone from approximately 1:00 PM (Eastern) Thursday, April 28, 2016 through 5:00 PM (Eastern) on Thursday, May 12, 2016. To access the replay telephonically, please dial (855) 859-2056, or from outside of the United States or Canada dial (404) 537-3406, and use the replay conference ID number 81195417.</w:t>
      </w:r>
    </w:p>
    <w:p>
      <w:pPr>
        <w:spacing w:after="0" w:line="172" w:lineRule="exact"/>
        <w:rPr>
          <w:sz w:val="20"/>
          <w:szCs w:val="20"/>
          <w:color w:val="auto"/>
        </w:rPr>
      </w:pPr>
    </w:p>
    <w:p>
      <w:pPr>
        <w:ind w:right="1839"/>
        <w:spacing w:after="0" w:line="261" w:lineRule="auto"/>
        <w:rPr>
          <w:sz w:val="20"/>
          <w:szCs w:val="20"/>
          <w:color w:val="auto"/>
        </w:rPr>
      </w:pPr>
      <w:r>
        <w:rPr>
          <w:rFonts w:ascii="Arial" w:cs="Arial" w:eastAsia="Arial" w:hAnsi="Arial"/>
          <w:sz w:val="11"/>
          <w:szCs w:val="11"/>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2016 earnings per diluted share; 2016 free cash flow; future results from yield management and cost controls; and future volume trends and improvements.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ectPr>
          <w:pgSz w:w="11900" w:h="16838" w:orient="portrait"/>
          <w:cols w:equalWidth="0" w:num="1">
            <w:col w:w="10219"/>
          </w:cols>
          <w:pgMar w:left="240" w:top="274"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WASTE MANAGEMENT</w:t>
      </w:r>
    </w:p>
    <w:p>
      <w:pPr>
        <w:spacing w:after="0" w:line="121" w:lineRule="exact"/>
        <w:rPr>
          <w:sz w:val="20"/>
          <w:szCs w:val="20"/>
          <w:color w:val="auto"/>
        </w:rPr>
      </w:pPr>
    </w:p>
    <w:p>
      <w:pPr>
        <w:ind w:right="1859"/>
        <w:spacing w:after="0" w:line="255"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19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5"/>
              </w:rPr>
              <w:t>Quarters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3,176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324"/>
        </w:trPr>
        <w:tc>
          <w:tcPr>
            <w:tcW w:w="73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1,993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331"/>
        </w:trPr>
        <w:tc>
          <w:tcPr>
            <w:tcW w:w="73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3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Consolidated net income (loss)</w:t>
            </w:r>
          </w:p>
        </w:tc>
        <w:tc>
          <w:tcPr>
            <w:tcW w:w="1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2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0.58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2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448.6</w:t>
            </w: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0.385</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5600"/>
              <w:spacing w:after="0"/>
              <w:rPr>
                <w:sz w:val="20"/>
                <w:szCs w:val="20"/>
                <w:color w:val="auto"/>
              </w:rPr>
            </w:pPr>
            <w:r>
              <w:rPr>
                <w:rFonts w:ascii="Arial" w:cs="Arial" w:eastAsia="Arial" w:hAnsi="Arial"/>
                <w:sz w:val="18"/>
                <w:szCs w:val="18"/>
                <w:color w:val="auto"/>
              </w:rPr>
              <w:t>(1)</w:t>
            </w: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2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Earnings Per Share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5"/>
              </w:rPr>
              <w:t>Quarters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258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444.7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446.1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6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0.58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195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8"/>
              </w:rPr>
              <w:t>March 31,</w:t>
            </w:r>
          </w:p>
        </w:tc>
        <w:tc>
          <w:tcPr>
            <w:tcW w:w="7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7"/>
              </w:rPr>
              <w:t>(Unaudited)</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1,988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6,215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20,781</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 accrued liabilities, and deferred revenues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2,036</w:t>
            </w:r>
          </w:p>
        </w:tc>
        <w:tc>
          <w:tcPr>
            <w:tcW w:w="92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3,839</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331"/>
        </w:trPr>
        <w:tc>
          <w:tcPr>
            <w:tcW w:w="86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5,290</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5,310</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20,781</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2016 presentation.</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2016</w:t>
            </w:r>
          </w:p>
        </w:tc>
        <w:tc>
          <w:tcPr>
            <w:tcW w:w="4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Consolidated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256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(loss) to net cash provided by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extinguishment of debt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(847)</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1,301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repurchases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94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spacing w:after="0"/>
              <w:rPr>
                <w:sz w:val="24"/>
                <w:szCs w:val="24"/>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jc w:val="right"/>
              <w:ind w:right="3490"/>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Summary Data Sheet</w:t>
      </w:r>
    </w:p>
    <w:p>
      <w:pPr>
        <w:jc w:val="center"/>
        <w:ind w:right="-99"/>
        <w:spacing w:after="0" w:line="230" w:lineRule="auto"/>
        <w:rPr>
          <w:sz w:val="20"/>
          <w:szCs w:val="20"/>
          <w:color w:val="auto"/>
        </w:rPr>
      </w:pPr>
      <w:r>
        <w:rPr>
          <w:rFonts w:ascii="Arial" w:cs="Arial" w:eastAsia="Arial" w:hAnsi="Arial"/>
          <w:sz w:val="22"/>
          <w:szCs w:val="22"/>
          <w:b w:val="1"/>
          <w:bCs w:val="1"/>
          <w:color w:val="auto"/>
        </w:rPr>
        <w:t>(Dollar Amounts in Millions)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1"/>
              </w:rPr>
              <w:t>Quarters Ended</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6"/>
                <w:szCs w:val="16"/>
                <w:color w:val="auto"/>
              </w:rPr>
            </w:pPr>
          </w:p>
        </w:tc>
        <w:tc>
          <w:tcPr>
            <w:tcW w:w="17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8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6"/>
                <w:szCs w:val="16"/>
                <w:color w:val="auto"/>
              </w:rPr>
            </w:pPr>
          </w:p>
        </w:tc>
      </w:tr>
      <w:tr>
        <w:trPr>
          <w:trHeight w:val="234"/>
        </w:trPr>
        <w:tc>
          <w:tcPr>
            <w:tcW w:w="318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Borders>
              <w:bottom w:val="single" w:sz="8" w:color="CCEEFF"/>
            </w:tcBorders>
          </w:tcPr>
          <w:p>
            <w:pPr>
              <w:spacing w:after="0"/>
              <w:rPr>
                <w:sz w:val="20"/>
                <w:szCs w:val="20"/>
                <w:color w:val="auto"/>
              </w:rPr>
            </w:pPr>
          </w:p>
        </w:tc>
      </w:tr>
      <w:tr>
        <w:trPr>
          <w:trHeight w:val="176"/>
        </w:trPr>
        <w:tc>
          <w:tcPr>
            <w:tcW w:w="31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2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Collection</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610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r>
      <w:tr>
        <w:trPr>
          <w:trHeight w:val="216"/>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7"/>
        </w:trPr>
        <w:tc>
          <w:tcPr>
            <w:tcW w:w="3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Collection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707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268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r>
      <w:tr>
        <w:trPr>
          <w:trHeight w:val="27"/>
        </w:trPr>
        <w:tc>
          <w:tcPr>
            <w:tcW w:w="3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0"/>
        </w:trPr>
        <w:tc>
          <w:tcPr>
            <w:tcW w:w="3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91"/>
              </w:rPr>
              <w:t>Quarters Ended</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March 31, 2016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3"/>
          </w:tcPr>
          <w:p>
            <w:pPr>
              <w:ind w:left="340"/>
              <w:spacing w:after="0"/>
              <w:rPr>
                <w:sz w:val="20"/>
                <w:szCs w:val="20"/>
                <w:color w:val="auto"/>
              </w:rPr>
            </w:pPr>
            <w:r>
              <w:rPr>
                <w:rFonts w:ascii="Arial" w:cs="Arial" w:eastAsia="Arial" w:hAnsi="Arial"/>
                <w:sz w:val="18"/>
                <w:szCs w:val="18"/>
                <w:b w:val="1"/>
                <w:bCs w:val="1"/>
                <w:color w:val="auto"/>
              </w:rPr>
              <w:t>March 31, 2015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As a % of</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As a % of</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Amount</w:t>
            </w: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Total Company</w:t>
            </w:r>
          </w:p>
        </w:tc>
        <w:tc>
          <w:tcPr>
            <w:tcW w:w="3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Amount</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2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6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0.5%</w:t>
            </w:r>
          </w:p>
        </w:tc>
        <w:tc>
          <w:tcPr>
            <w:tcW w:w="56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510"/>
              <w:spacing w:after="0"/>
              <w:rPr>
                <w:sz w:val="20"/>
                <w:szCs w:val="20"/>
                <w:color w:val="auto"/>
              </w:rPr>
            </w:pPr>
            <w:r>
              <w:rPr>
                <w:rFonts w:ascii="Arial" w:cs="Arial" w:eastAsia="Arial" w:hAnsi="Arial"/>
                <w:sz w:val="18"/>
                <w:szCs w:val="18"/>
                <w:color w:val="auto"/>
              </w:rPr>
              <w:t>(24)</w:t>
            </w:r>
          </w:p>
        </w:tc>
        <w:tc>
          <w:tcPr>
            <w:tcW w:w="13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Volume</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(95)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color w:val="auto"/>
              </w:rPr>
              <w:t>Internal revenue growth</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(119)</w:t>
            </w:r>
          </w:p>
        </w:tc>
        <w:tc>
          <w:tcPr>
            <w:tcW w:w="66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Divestitures</w:t>
            </w:r>
          </w:p>
        </w:tc>
        <w:tc>
          <w:tcPr>
            <w:tcW w:w="2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510"/>
              <w:spacing w:after="0"/>
              <w:rPr>
                <w:sz w:val="20"/>
                <w:szCs w:val="20"/>
                <w:color w:val="auto"/>
              </w:rPr>
            </w:pPr>
            <w:r>
              <w:rPr>
                <w:rFonts w:ascii="Arial" w:cs="Arial" w:eastAsia="Arial" w:hAnsi="Arial"/>
                <w:sz w:val="18"/>
                <w:szCs w:val="18"/>
                <w:color w:val="auto"/>
                <w:w w:val="90"/>
              </w:rPr>
              <w:t>(220)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660" w:type="dxa"/>
            <w:vAlign w:val="bottom"/>
            <w:vMerge w:val="continue"/>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3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(356</w:t>
            </w:r>
          </w:p>
        </w:tc>
        <w:tc>
          <w:tcPr>
            <w:tcW w:w="66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As a % of</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As a %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Related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Amount</w:t>
            </w: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Business</w:t>
            </w:r>
          </w:p>
        </w:tc>
        <w:tc>
          <w:tcPr>
            <w:tcW w:w="3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Amount</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700"/>
              <w:spacing w:after="0"/>
              <w:rPr>
                <w:sz w:val="20"/>
                <w:szCs w:val="20"/>
                <w:color w:val="auto"/>
              </w:rPr>
            </w:pPr>
            <w:r>
              <w:rPr>
                <w:rFonts w:ascii="Arial" w:cs="Arial" w:eastAsia="Arial" w:hAnsi="Arial"/>
                <w:sz w:val="18"/>
                <w:szCs w:val="18"/>
                <w:color w:val="auto"/>
              </w:rPr>
              <w:t>Collection and disposal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70"/>
              <w:spacing w:after="0"/>
              <w:rPr>
                <w:sz w:val="20"/>
                <w:szCs w:val="20"/>
                <w:color w:val="auto"/>
              </w:rPr>
            </w:pPr>
            <w:r>
              <w:rPr>
                <w:rFonts w:ascii="Arial" w:cs="Arial" w:eastAsia="Arial" w:hAnsi="Arial"/>
                <w:sz w:val="18"/>
                <w:szCs w:val="18"/>
                <w:color w:val="auto"/>
              </w:rPr>
              <w:t>54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Recycling commodities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(42)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700"/>
              <w:spacing w:after="0"/>
              <w:rPr>
                <w:sz w:val="20"/>
                <w:szCs w:val="20"/>
                <w:color w:val="auto"/>
              </w:rPr>
            </w:pPr>
            <w:r>
              <w:rPr>
                <w:rFonts w:ascii="Arial" w:cs="Arial" w:eastAsia="Arial" w:hAnsi="Arial"/>
                <w:sz w:val="18"/>
                <w:szCs w:val="18"/>
                <w:color w:val="auto"/>
              </w:rPr>
              <w:t>Fuel surcharges and mandated fees</w:t>
            </w:r>
          </w:p>
        </w:tc>
        <w:tc>
          <w:tcPr>
            <w:tcW w:w="2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51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8"/>
              </w:rPr>
              <w:t>Quarters Ended March 31,</w:t>
            </w: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4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Free Cash Flow Analysis (b)</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14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24"/>
        </w:trPr>
        <w:tc>
          <w:tcPr>
            <w:tcW w:w="544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706</w:t>
            </w:r>
          </w:p>
        </w:tc>
        <w:tc>
          <w:tcPr>
            <w:tcW w:w="5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02"/>
        </w:trPr>
        <w:tc>
          <w:tcPr>
            <w:tcW w:w="20" w:type="dxa"/>
            <w:vAlign w:val="bottom"/>
          </w:tcPr>
          <w:p>
            <w:pPr>
              <w:spacing w:after="0"/>
              <w:rPr>
                <w:sz w:val="17"/>
                <w:szCs w:val="17"/>
                <w:color w:val="auto"/>
              </w:rPr>
            </w:pPr>
          </w:p>
        </w:tc>
        <w:tc>
          <w:tcPr>
            <w:tcW w:w="5420" w:type="dxa"/>
            <w:vAlign w:val="bottom"/>
            <w:gridSpan w:val="2"/>
          </w:tcPr>
          <w:p>
            <w:pPr>
              <w:spacing w:after="0" w:line="201" w:lineRule="exact"/>
              <w:rPr>
                <w:sz w:val="20"/>
                <w:szCs w:val="20"/>
                <w:color w:val="auto"/>
              </w:rPr>
            </w:pPr>
            <w:r>
              <w:rPr>
                <w:rFonts w:ascii="Arial" w:cs="Arial" w:eastAsia="Arial" w:hAnsi="Arial"/>
                <w:sz w:val="18"/>
                <w:szCs w:val="18"/>
                <w:color w:val="auto"/>
                <w:w w:val="95"/>
              </w:rPr>
              <w:t>Proceeds from divestitures of businesses and other assets (net of cash</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divested)</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2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20" w:lineRule="exact"/>
        <w:rPr>
          <w:rFonts w:ascii="Arial" w:cs="Arial" w:eastAsia="Arial" w:hAnsi="Arial"/>
          <w:sz w:val="17"/>
          <w:szCs w:val="17"/>
          <w:color w:val="auto"/>
        </w:rPr>
      </w:pPr>
    </w:p>
    <w:p>
      <w:pPr>
        <w:ind w:left="4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61"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Data Sheet</w:t>
      </w:r>
    </w:p>
    <w:p>
      <w:pPr>
        <w:jc w:val="center"/>
        <w:spacing w:after="0"/>
        <w:rPr>
          <w:sz w:val="20"/>
          <w:szCs w:val="20"/>
          <w:color w:val="auto"/>
        </w:rPr>
      </w:pPr>
      <w:r>
        <w:rPr>
          <w:rFonts w:ascii="Arial" w:cs="Arial" w:eastAsia="Arial" w:hAnsi="Arial"/>
          <w:sz w:val="20"/>
          <w:szCs w:val="20"/>
          <w:b w:val="1"/>
          <w:bCs w:val="1"/>
          <w:color w:val="auto"/>
        </w:rPr>
        <w:t>(Dollar Amounts in Millions)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ind w:left="280"/>
              <w:spacing w:after="0"/>
              <w:rPr>
                <w:sz w:val="20"/>
                <w:szCs w:val="20"/>
                <w:color w:val="auto"/>
              </w:rPr>
            </w:pPr>
            <w:r>
              <w:rPr>
                <w:rFonts w:ascii="Arial" w:cs="Arial" w:eastAsia="Arial" w:hAnsi="Arial"/>
                <w:sz w:val="20"/>
                <w:szCs w:val="20"/>
                <w:b w:val="1"/>
                <w:bCs w:val="1"/>
                <w:color w:val="auto"/>
              </w:rPr>
              <w:t>Quarters Ended</w:t>
            </w: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gridSpan w:val="4"/>
          </w:tcPr>
          <w:p>
            <w:pPr>
              <w:ind w:left="20"/>
              <w:spacing w:after="0" w:line="200" w:lineRule="exact"/>
              <w:rPr>
                <w:sz w:val="20"/>
                <w:szCs w:val="20"/>
                <w:color w:val="auto"/>
              </w:rPr>
            </w:pPr>
            <w:r>
              <w:rPr>
                <w:rFonts w:ascii="Arial" w:cs="Arial" w:eastAsia="Arial" w:hAnsi="Arial"/>
                <w:sz w:val="20"/>
                <w:szCs w:val="20"/>
                <w:b w:val="1"/>
                <w:bCs w:val="1"/>
                <w:color w:val="auto"/>
              </w:rPr>
              <w:t>March 31,</w:t>
            </w:r>
          </w:p>
        </w:tc>
        <w:tc>
          <w:tcPr>
            <w:tcW w:w="380" w:type="dxa"/>
            <w:vAlign w:val="bottom"/>
          </w:tcPr>
          <w:p>
            <w:pPr>
              <w:spacing w:after="0"/>
              <w:rPr>
                <w:sz w:val="17"/>
                <w:szCs w:val="17"/>
                <w:color w:val="auto"/>
              </w:rPr>
            </w:pPr>
          </w:p>
        </w:tc>
        <w:tc>
          <w:tcPr>
            <w:tcW w:w="1640" w:type="dxa"/>
            <w:vAlign w:val="bottom"/>
            <w:gridSpan w:val="3"/>
          </w:tcPr>
          <w:p>
            <w:pPr>
              <w:spacing w:after="0" w:line="200" w:lineRule="exact"/>
              <w:rPr>
                <w:sz w:val="20"/>
                <w:szCs w:val="20"/>
                <w:color w:val="auto"/>
              </w:rPr>
            </w:pPr>
            <w:r>
              <w:rPr>
                <w:rFonts w:ascii="Arial" w:cs="Arial" w:eastAsia="Arial" w:hAnsi="Arial"/>
                <w:sz w:val="20"/>
                <w:szCs w:val="20"/>
                <w:b w:val="1"/>
                <w:bCs w:val="1"/>
                <w:color w:val="auto"/>
              </w:rPr>
              <w:t>December 31,</w:t>
            </w:r>
          </w:p>
        </w:tc>
        <w:tc>
          <w:tcPr>
            <w:tcW w:w="320" w:type="dxa"/>
            <w:vAlign w:val="bottom"/>
          </w:tcPr>
          <w:p>
            <w:pPr>
              <w:spacing w:after="0"/>
              <w:rPr>
                <w:sz w:val="17"/>
                <w:szCs w:val="17"/>
                <w:color w:val="auto"/>
              </w:rPr>
            </w:pPr>
          </w:p>
        </w:tc>
        <w:tc>
          <w:tcPr>
            <w:tcW w:w="880" w:type="dxa"/>
            <w:vAlign w:val="bottom"/>
            <w:gridSpan w:val="2"/>
          </w:tcPr>
          <w:p>
            <w:pPr>
              <w:ind w:left="20"/>
              <w:spacing w:after="0" w:line="200" w:lineRule="exact"/>
              <w:rPr>
                <w:sz w:val="20"/>
                <w:szCs w:val="20"/>
                <w:color w:val="auto"/>
              </w:rPr>
            </w:pPr>
            <w:r>
              <w:rPr>
                <w:rFonts w:ascii="Arial" w:cs="Arial" w:eastAsia="Arial" w:hAnsi="Arial"/>
                <w:sz w:val="20"/>
                <w:szCs w:val="20"/>
                <w:b w:val="1"/>
                <w:bCs w:val="1"/>
                <w:color w:val="auto"/>
                <w:w w:val="90"/>
              </w:rPr>
              <w:t>March 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w w:val="98"/>
              </w:rPr>
              <w:t>2016</w:t>
            </w: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2015</w:t>
            </w:r>
          </w:p>
        </w:tc>
        <w:tc>
          <w:tcPr>
            <w:tcW w:w="4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w w:val="98"/>
              </w:rPr>
              <w:t>2015</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40" w:type="dxa"/>
            <w:vAlign w:val="bottom"/>
            <w:gridSpan w:val="7"/>
            <w:shd w:val="clear" w:color="auto" w:fill="CCEEFF"/>
          </w:tcPr>
          <w:p>
            <w:pPr>
              <w:spacing w:after="0" w:line="169" w:lineRule="exact"/>
              <w:rPr>
                <w:sz w:val="20"/>
                <w:szCs w:val="20"/>
                <w:color w:val="auto"/>
              </w:rPr>
            </w:pPr>
            <w:r>
              <w:rPr>
                <w:rFonts w:ascii="Arial" w:cs="Arial" w:eastAsia="Arial" w:hAnsi="Arial"/>
                <w:sz w:val="19"/>
                <w:szCs w:val="19"/>
                <w:b w:val="1"/>
                <w:bCs w:val="1"/>
                <w:color w:val="auto"/>
              </w:rPr>
              <w:t>Balance Sheet Data</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660" w:type="dxa"/>
            <w:vAlign w:val="bottom"/>
            <w:gridSpan w:val="8"/>
          </w:tcPr>
          <w:p>
            <w:pPr>
              <w:spacing w:after="0"/>
              <w:rPr>
                <w:sz w:val="20"/>
                <w:szCs w:val="20"/>
                <w:color w:val="auto"/>
              </w:rPr>
            </w:pPr>
            <w:r>
              <w:rPr>
                <w:rFonts w:ascii="Arial" w:cs="Arial" w:eastAsia="Arial" w:hAnsi="Arial"/>
                <w:sz w:val="20"/>
                <w:szCs w:val="20"/>
                <w:color w:val="auto"/>
              </w:rPr>
              <w:t>Cash and cash equivalents</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104</w:t>
            </w:r>
          </w:p>
        </w:tc>
        <w:tc>
          <w:tcPr>
            <w:tcW w:w="420" w:type="dxa"/>
            <w:vAlign w:val="bottom"/>
          </w:tcPr>
          <w:p>
            <w:pPr>
              <w:spacing w:after="0"/>
              <w:rPr>
                <w:sz w:val="24"/>
                <w:szCs w:val="24"/>
                <w:color w:val="auto"/>
              </w:rPr>
            </w:pPr>
          </w:p>
        </w:tc>
        <w:tc>
          <w:tcPr>
            <w:tcW w:w="62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20"/>
                <w:szCs w:val="20"/>
                <w:color w:val="auto"/>
              </w:rPr>
              <w:t>39</w:t>
            </w:r>
          </w:p>
        </w:tc>
        <w:tc>
          <w:tcPr>
            <w:tcW w:w="50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277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Debt-to-total capital ratio:</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60" w:type="dxa"/>
            <w:vAlign w:val="bottom"/>
            <w:gridSpan w:val="6"/>
          </w:tcPr>
          <w:p>
            <w:pPr>
              <w:ind w:left="200"/>
              <w:spacing w:after="0"/>
              <w:rPr>
                <w:sz w:val="20"/>
                <w:szCs w:val="20"/>
                <w:color w:val="auto"/>
              </w:rPr>
            </w:pPr>
            <w:r>
              <w:rPr>
                <w:rFonts w:ascii="Arial" w:cs="Arial" w:eastAsia="Arial" w:hAnsi="Arial"/>
                <w:sz w:val="20"/>
                <w:szCs w:val="20"/>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9,596</w:t>
            </w:r>
          </w:p>
        </w:tc>
        <w:tc>
          <w:tcPr>
            <w:tcW w:w="420" w:type="dxa"/>
            <w:vAlign w:val="bottom"/>
          </w:tcPr>
          <w:p>
            <w:pPr>
              <w:spacing w:after="0"/>
              <w:rPr>
                <w:sz w:val="19"/>
                <w:szCs w:val="19"/>
                <w:color w:val="auto"/>
              </w:rPr>
            </w:pPr>
          </w:p>
        </w:tc>
        <w:tc>
          <w:tcPr>
            <w:tcW w:w="62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20"/>
                <w:szCs w:val="20"/>
                <w:color w:val="auto"/>
              </w:rPr>
              <w:t>8,929</w:t>
            </w:r>
          </w:p>
        </w:tc>
        <w:tc>
          <w:tcPr>
            <w:tcW w:w="50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20"/>
                <w:szCs w:val="20"/>
                <w:color w:val="auto"/>
              </w:rPr>
              <w:t>9,152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ind w:left="200"/>
              <w:spacing w:after="0"/>
              <w:rPr>
                <w:sz w:val="20"/>
                <w:szCs w:val="20"/>
                <w:color w:val="auto"/>
              </w:rPr>
            </w:pPr>
            <w:r>
              <w:rPr>
                <w:rFonts w:ascii="Arial" w:cs="Arial" w:eastAsia="Arial" w:hAnsi="Arial"/>
                <w:sz w:val="20"/>
                <w:szCs w:val="20"/>
                <w:color w:val="auto"/>
              </w:rPr>
              <w:t>Total equity</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5,310</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5,367</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5,575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60" w:type="dxa"/>
            <w:vAlign w:val="bottom"/>
            <w:gridSpan w:val="6"/>
          </w:tcPr>
          <w:p>
            <w:pPr>
              <w:ind w:left="600"/>
              <w:spacing w:after="0"/>
              <w:rPr>
                <w:sz w:val="20"/>
                <w:szCs w:val="20"/>
                <w:color w:val="auto"/>
              </w:rPr>
            </w:pPr>
            <w:r>
              <w:rPr>
                <w:rFonts w:ascii="Arial" w:cs="Arial" w:eastAsia="Arial" w:hAnsi="Arial"/>
                <w:sz w:val="20"/>
                <w:szCs w:val="20"/>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14,906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14,296</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14,727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ind w:left="200"/>
              <w:spacing w:after="0"/>
              <w:rPr>
                <w:sz w:val="20"/>
                <w:szCs w:val="20"/>
                <w:color w:val="auto"/>
              </w:rPr>
            </w:pPr>
            <w:r>
              <w:rPr>
                <w:rFonts w:ascii="Arial" w:cs="Arial" w:eastAsia="Arial" w:hAnsi="Arial"/>
                <w:sz w:val="20"/>
                <w:szCs w:val="20"/>
                <w:color w:val="auto"/>
              </w:rPr>
              <w:t>Debt-to-total capital</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20"/>
                <w:szCs w:val="20"/>
                <w:color w:val="auto"/>
              </w:rPr>
              <w:t>64.4%</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62.5%</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62.1%</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660" w:type="dxa"/>
            <w:vAlign w:val="bottom"/>
            <w:gridSpan w:val="8"/>
          </w:tcPr>
          <w:p>
            <w:pPr>
              <w:spacing w:after="0"/>
              <w:rPr>
                <w:sz w:val="20"/>
                <w:szCs w:val="20"/>
                <w:color w:val="auto"/>
              </w:rPr>
            </w:pPr>
            <w:r>
              <w:rPr>
                <w:rFonts w:ascii="Arial" w:cs="Arial" w:eastAsia="Arial" w:hAnsi="Arial"/>
                <w:sz w:val="20"/>
                <w:szCs w:val="20"/>
                <w:color w:val="auto"/>
              </w:rPr>
              <w:t>Capitalized interest</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2</w:t>
            </w:r>
          </w:p>
        </w:tc>
        <w:tc>
          <w:tcPr>
            <w:tcW w:w="420" w:type="dxa"/>
            <w:vAlign w:val="bottom"/>
          </w:tcPr>
          <w:p>
            <w:pPr>
              <w:spacing w:after="0"/>
              <w:rPr>
                <w:sz w:val="24"/>
                <w:szCs w:val="24"/>
                <w:color w:val="auto"/>
              </w:rPr>
            </w:pPr>
          </w:p>
        </w:tc>
        <w:tc>
          <w:tcPr>
            <w:tcW w:w="62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20"/>
                <w:szCs w:val="20"/>
                <w:color w:val="auto"/>
              </w:rPr>
              <w:t>4</w:t>
            </w:r>
          </w:p>
        </w:tc>
        <w:tc>
          <w:tcPr>
            <w:tcW w:w="50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40" w:type="dxa"/>
            <w:vAlign w:val="bottom"/>
            <w:gridSpan w:val="7"/>
            <w:shd w:val="clear" w:color="auto" w:fill="CCEEFF"/>
          </w:tcPr>
          <w:p>
            <w:pPr>
              <w:spacing w:after="0" w:line="189" w:lineRule="exact"/>
              <w:rPr>
                <w:sz w:val="20"/>
                <w:szCs w:val="20"/>
                <w:color w:val="auto"/>
              </w:rPr>
            </w:pPr>
            <w:r>
              <w:rPr>
                <w:rFonts w:ascii="Arial" w:cs="Arial" w:eastAsia="Arial" w:hAnsi="Arial"/>
                <w:sz w:val="20"/>
                <w:szCs w:val="20"/>
                <w:b w:val="1"/>
                <w:bCs w:val="1"/>
                <w:color w:val="auto"/>
              </w:rPr>
              <w:t>Acquisition Summary (a)</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6"/>
          </w:tcPr>
          <w:p>
            <w:pPr>
              <w:ind w:left="200"/>
              <w:spacing w:after="0"/>
              <w:rPr>
                <w:sz w:val="20"/>
                <w:szCs w:val="20"/>
                <w:color w:val="auto"/>
              </w:rPr>
            </w:pPr>
            <w:r>
              <w:rPr>
                <w:rFonts w:ascii="Arial" w:cs="Arial" w:eastAsia="Arial" w:hAnsi="Arial"/>
                <w:sz w:val="20"/>
                <w:szCs w:val="20"/>
                <w:color w:val="auto"/>
              </w:rPr>
              <w:t>Gross annualized revenue acquired</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155</w:t>
            </w:r>
          </w:p>
        </w:tc>
        <w:tc>
          <w:tcPr>
            <w:tcW w:w="420" w:type="dxa"/>
            <w:vAlign w:val="bottom"/>
          </w:tcPr>
          <w:p>
            <w:pPr>
              <w:spacing w:after="0"/>
              <w:rPr>
                <w:sz w:val="24"/>
                <w:szCs w:val="24"/>
                <w:color w:val="auto"/>
              </w:rPr>
            </w:pPr>
          </w:p>
        </w:tc>
        <w:tc>
          <w:tcPr>
            <w:tcW w:w="62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20"/>
                <w:szCs w:val="20"/>
                <w:color w:val="auto"/>
              </w:rPr>
              <w:t>75</w:t>
            </w:r>
          </w:p>
        </w:tc>
        <w:tc>
          <w:tcPr>
            <w:tcW w:w="50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ind w:left="200"/>
              <w:spacing w:after="0"/>
              <w:rPr>
                <w:sz w:val="20"/>
                <w:szCs w:val="20"/>
                <w:color w:val="auto"/>
              </w:rPr>
            </w:pPr>
            <w:r>
              <w:rPr>
                <w:rFonts w:ascii="Arial" w:cs="Arial" w:eastAsia="Arial" w:hAnsi="Arial"/>
                <w:sz w:val="20"/>
                <w:szCs w:val="20"/>
                <w:color w:val="auto"/>
              </w:rPr>
              <w:t>Total consideration</w:t>
            </w:r>
          </w:p>
        </w:tc>
        <w:tc>
          <w:tcPr>
            <w:tcW w:w="1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128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6"/>
          </w:tcPr>
          <w:p>
            <w:pPr>
              <w:ind w:left="200"/>
              <w:spacing w:after="0"/>
              <w:rPr>
                <w:sz w:val="20"/>
                <w:szCs w:val="20"/>
                <w:color w:val="auto"/>
              </w:rPr>
            </w:pPr>
            <w:r>
              <w:rPr>
                <w:rFonts w:ascii="Arial" w:cs="Arial" w:eastAsia="Arial" w:hAnsi="Arial"/>
                <w:sz w:val="20"/>
                <w:szCs w:val="20"/>
                <w:color w:val="auto"/>
              </w:rPr>
              <w:t>Cash paid for acquisitions</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537</w:t>
            </w:r>
          </w:p>
        </w:tc>
        <w:tc>
          <w:tcPr>
            <w:tcW w:w="420" w:type="dxa"/>
            <w:vAlign w:val="bottom"/>
          </w:tcPr>
          <w:p>
            <w:pPr>
              <w:spacing w:after="0"/>
              <w:rPr>
                <w:sz w:val="24"/>
                <w:szCs w:val="24"/>
                <w:color w:val="auto"/>
              </w:rPr>
            </w:pPr>
          </w:p>
        </w:tc>
        <w:tc>
          <w:tcPr>
            <w:tcW w:w="62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20"/>
                <w:szCs w:val="20"/>
                <w:color w:val="auto"/>
              </w:rPr>
              <w:t>81</w:t>
            </w:r>
          </w:p>
        </w:tc>
        <w:tc>
          <w:tcPr>
            <w:tcW w:w="50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40" w:type="dxa"/>
            <w:vAlign w:val="bottom"/>
            <w:gridSpan w:val="7"/>
            <w:shd w:val="clear" w:color="auto" w:fill="CCEEFF"/>
          </w:tcPr>
          <w:p>
            <w:pPr>
              <w:spacing w:after="0" w:line="189" w:lineRule="exact"/>
              <w:rPr>
                <w:sz w:val="20"/>
                <w:szCs w:val="20"/>
                <w:color w:val="auto"/>
              </w:rPr>
            </w:pPr>
            <w:r>
              <w:rPr>
                <w:rFonts w:ascii="Arial" w:cs="Arial" w:eastAsia="Arial" w:hAnsi="Arial"/>
                <w:sz w:val="20"/>
                <w:szCs w:val="20"/>
                <w:b w:val="1"/>
                <w:bCs w:val="1"/>
                <w:color w:val="auto"/>
              </w:rPr>
              <w:t>Other Operational Data</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660" w:type="dxa"/>
            <w:vAlign w:val="bottom"/>
            <w:gridSpan w:val="8"/>
          </w:tcPr>
          <w:p>
            <w:pPr>
              <w:spacing w:after="0"/>
              <w:rPr>
                <w:sz w:val="20"/>
                <w:szCs w:val="20"/>
                <w:color w:val="auto"/>
              </w:rPr>
            </w:pPr>
            <w:r>
              <w:rPr>
                <w:rFonts w:ascii="Arial" w:cs="Arial" w:eastAsia="Arial" w:hAnsi="Arial"/>
                <w:sz w:val="20"/>
                <w:szCs w:val="20"/>
                <w:color w:val="auto"/>
              </w:rPr>
              <w:t>Internalization of waste, based on disposal costs</w:t>
            </w:r>
          </w:p>
        </w:tc>
        <w:tc>
          <w:tcPr>
            <w:tcW w:w="18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20"/>
                <w:szCs w:val="20"/>
                <w:color w:val="auto"/>
              </w:rPr>
              <w:t>64.8%</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20"/>
                <w:szCs w:val="20"/>
                <w:color w:val="auto"/>
              </w:rPr>
              <w:t>65.7%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Total landfill disposal volumes (tons in millions)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660" w:type="dxa"/>
            <w:vAlign w:val="bottom"/>
            <w:gridSpan w:val="8"/>
          </w:tcPr>
          <w:p>
            <w:pPr>
              <w:spacing w:after="0"/>
              <w:rPr>
                <w:sz w:val="20"/>
                <w:szCs w:val="20"/>
                <w:color w:val="auto"/>
              </w:rPr>
            </w:pPr>
            <w:r>
              <w:rPr>
                <w:rFonts w:ascii="Arial" w:cs="Arial" w:eastAsia="Arial" w:hAnsi="Arial"/>
                <w:sz w:val="20"/>
                <w:szCs w:val="20"/>
                <w:color w:val="auto"/>
              </w:rPr>
              <w:t>Active landfills</w:t>
            </w:r>
          </w:p>
        </w:tc>
        <w:tc>
          <w:tcPr>
            <w:tcW w:w="1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248</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20"/>
                <w:szCs w:val="20"/>
                <w:color w:val="auto"/>
              </w:rPr>
              <w:t>249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254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Landfills reporting volume</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231</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233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8"/>
            <w:vMerge w:val="restart"/>
          </w:tcPr>
          <w:p>
            <w:pPr>
              <w:spacing w:after="0"/>
              <w:rPr>
                <w:sz w:val="20"/>
                <w:szCs w:val="20"/>
                <w:color w:val="auto"/>
              </w:rPr>
            </w:pPr>
            <w:r>
              <w:rPr>
                <w:rFonts w:ascii="Arial" w:cs="Arial" w:eastAsia="Arial" w:hAnsi="Arial"/>
                <w:sz w:val="20"/>
                <w:szCs w:val="20"/>
                <w:b w:val="1"/>
                <w:bCs w:val="1"/>
                <w:color w:val="auto"/>
              </w:rPr>
              <w:t>Amortization, Accretion and Other Expenses for Landfills Included 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66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740" w:type="dxa"/>
            <w:vAlign w:val="bottom"/>
            <w:tcBorders>
              <w:top w:val="single" w:sz="8" w:color="auto"/>
            </w:tcBorders>
            <w:gridSpan w:val="5"/>
          </w:tcPr>
          <w:p>
            <w:pPr>
              <w:spacing w:after="0" w:line="209" w:lineRule="exact"/>
              <w:rPr>
                <w:sz w:val="20"/>
                <w:szCs w:val="20"/>
                <w:color w:val="auto"/>
              </w:rPr>
            </w:pPr>
            <w:r>
              <w:rPr>
                <w:rFonts w:ascii="Arial" w:cs="Arial" w:eastAsia="Arial" w:hAnsi="Arial"/>
                <w:sz w:val="20"/>
                <w:szCs w:val="20"/>
                <w:b w:val="1"/>
                <w:bCs w:val="1"/>
                <w:color w:val="auto"/>
              </w:rPr>
              <w:t>Operating Groups: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Landfill amortization expense -</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60" w:type="dxa"/>
            <w:vAlign w:val="bottom"/>
            <w:gridSpan w:val="6"/>
          </w:tcPr>
          <w:p>
            <w:pPr>
              <w:ind w:left="200"/>
              <w:spacing w:after="0"/>
              <w:rPr>
                <w:sz w:val="20"/>
                <w:szCs w:val="20"/>
                <w:color w:val="auto"/>
              </w:rPr>
            </w:pPr>
            <w:r>
              <w:rPr>
                <w:rFonts w:ascii="Arial" w:cs="Arial" w:eastAsia="Arial" w:hAnsi="Arial"/>
                <w:sz w:val="20"/>
                <w:szCs w:val="20"/>
                <w:color w:val="auto"/>
              </w:rPr>
              <w:t>Cost basis of landfill assets</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83.6</w:t>
            </w:r>
          </w:p>
        </w:tc>
        <w:tc>
          <w:tcPr>
            <w:tcW w:w="420" w:type="dxa"/>
            <w:vAlign w:val="bottom"/>
          </w:tcPr>
          <w:p>
            <w:pPr>
              <w:spacing w:after="0"/>
              <w:rPr>
                <w:sz w:val="19"/>
                <w:szCs w:val="19"/>
                <w:color w:val="auto"/>
              </w:rPr>
            </w:pPr>
          </w:p>
        </w:tc>
        <w:tc>
          <w:tcPr>
            <w:tcW w:w="62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20"/>
                <w:szCs w:val="20"/>
                <w:color w:val="auto"/>
              </w:rPr>
              <w:t>87.2</w:t>
            </w:r>
          </w:p>
        </w:tc>
        <w:tc>
          <w:tcPr>
            <w:tcW w:w="500" w:type="dxa"/>
            <w:vAlign w:val="bottom"/>
            <w:gridSpan w:val="2"/>
          </w:tcPr>
          <w:p>
            <w:pPr>
              <w:ind w:left="320"/>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20"/>
                <w:szCs w:val="20"/>
                <w:color w:val="auto"/>
              </w:rPr>
              <w:t>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ind w:left="200"/>
              <w:spacing w:after="0"/>
              <w:rPr>
                <w:sz w:val="20"/>
                <w:szCs w:val="20"/>
                <w:color w:val="auto"/>
              </w:rPr>
            </w:pPr>
            <w:r>
              <w:rPr>
                <w:rFonts w:ascii="Arial" w:cs="Arial" w:eastAsia="Arial" w:hAnsi="Arial"/>
                <w:sz w:val="20"/>
                <w:szCs w:val="20"/>
                <w:color w:val="auto"/>
              </w:rPr>
              <w:t>Asset retirement costs</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14.8</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1.2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60" w:type="dxa"/>
            <w:vAlign w:val="bottom"/>
            <w:gridSpan w:val="6"/>
          </w:tcPr>
          <w:p>
            <w:pPr>
              <w:ind w:left="600"/>
              <w:spacing w:after="0"/>
              <w:rPr>
                <w:sz w:val="20"/>
                <w:szCs w:val="20"/>
                <w:color w:val="auto"/>
              </w:rPr>
            </w:pPr>
            <w:r>
              <w:rPr>
                <w:rFonts w:ascii="Arial" w:cs="Arial" w:eastAsia="Arial" w:hAnsi="Arial"/>
                <w:sz w:val="20"/>
                <w:szCs w:val="20"/>
                <w:color w:val="auto"/>
              </w:rPr>
              <w:t>Total landfill amortization expense (b) (c)</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98.4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88.4</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88.4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Accretion and other related expense</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18.8</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19.7</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60" w:type="dxa"/>
            <w:vAlign w:val="bottom"/>
            <w:gridSpan w:val="6"/>
          </w:tcPr>
          <w:p>
            <w:pPr>
              <w:ind w:left="200"/>
              <w:spacing w:after="0"/>
              <w:rPr>
                <w:sz w:val="20"/>
                <w:szCs w:val="20"/>
                <w:color w:val="auto"/>
              </w:rPr>
            </w:pPr>
            <w:r>
              <w:rPr>
                <w:rFonts w:ascii="Arial" w:cs="Arial" w:eastAsia="Arial" w:hAnsi="Arial"/>
                <w:sz w:val="20"/>
                <w:szCs w:val="20"/>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117.2</w:t>
            </w:r>
          </w:p>
        </w:tc>
        <w:tc>
          <w:tcPr>
            <w:tcW w:w="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108.1</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106.8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right="1020" w:hanging="452"/>
        <w:spacing w:after="0" w:line="27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ind w:left="460" w:right="220" w:hanging="452"/>
        <w:spacing w:after="0" w:line="239" w:lineRule="auto"/>
        <w:tabs>
          <w:tab w:leader="none" w:pos="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quarter ended March 31, 2016 as compared to the quarter ended December 31, 2015 reflects an increase in amortization expense of approximately $10 million, primarily due to changes in landfill estimates identified in both quarters and by an increase in volumes primarily due to seasonality.</w:t>
      </w:r>
    </w:p>
    <w:p>
      <w:pPr>
        <w:spacing w:after="0" w:line="1" w:lineRule="exact"/>
        <w:rPr>
          <w:rFonts w:ascii="Arial" w:cs="Arial" w:eastAsia="Arial" w:hAnsi="Arial"/>
          <w:sz w:val="20"/>
          <w:szCs w:val="20"/>
          <w:color w:val="auto"/>
        </w:rPr>
      </w:pPr>
    </w:p>
    <w:p>
      <w:pPr>
        <w:ind w:left="460" w:right="520" w:hanging="452"/>
        <w:spacing w:after="0" w:line="244" w:lineRule="auto"/>
        <w:tabs>
          <w:tab w:leader="none" w:pos="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quarter ended March 31, 2016 as compared to the quarter ended March 31, 2015 reflects an increase in amortization expense of approximately $10 million primarily due to volume.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Certain Non-GAAP Measures</w:t>
      </w:r>
    </w:p>
    <w:p>
      <w:pPr>
        <w:jc w:val="center"/>
        <w:spacing w:after="0"/>
        <w:rPr>
          <w:sz w:val="20"/>
          <w:szCs w:val="20"/>
          <w:color w:val="auto"/>
        </w:rPr>
      </w:pPr>
      <w:r>
        <w:rPr>
          <w:rFonts w:ascii="Arial" w:cs="Arial" w:eastAsia="Arial" w:hAnsi="Arial"/>
          <w:sz w:val="20"/>
          <w:szCs w:val="20"/>
          <w:b w:val="1"/>
          <w:bCs w:val="1"/>
          <w:color w:val="auto"/>
        </w:rPr>
        <w:t>(Dollars In Millions, Except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6"/>
          </w:tcPr>
          <w:p>
            <w:pPr>
              <w:ind w:left="120"/>
              <w:spacing w:after="0"/>
              <w:rPr>
                <w:sz w:val="20"/>
                <w:szCs w:val="20"/>
                <w:color w:val="auto"/>
              </w:rPr>
            </w:pPr>
            <w:r>
              <w:rPr>
                <w:rFonts w:ascii="Arial" w:cs="Arial" w:eastAsia="Arial" w:hAnsi="Arial"/>
                <w:sz w:val="20"/>
                <w:szCs w:val="20"/>
                <w:b w:val="1"/>
                <w:bCs w:val="1"/>
                <w:color w:val="auto"/>
                <w:w w:val="97"/>
              </w:rPr>
              <w:t>Quarter Ended</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6"/>
          </w:tcPr>
          <w:p>
            <w:pPr>
              <w:ind w:left="100"/>
              <w:spacing w:after="0"/>
              <w:rPr>
                <w:sz w:val="20"/>
                <w:szCs w:val="20"/>
                <w:color w:val="auto"/>
              </w:rPr>
            </w:pPr>
            <w:r>
              <w:rPr>
                <w:rFonts w:ascii="Arial" w:cs="Arial" w:eastAsia="Arial" w:hAnsi="Arial"/>
                <w:sz w:val="20"/>
                <w:szCs w:val="20"/>
                <w:b w:val="1"/>
                <w:bCs w:val="1"/>
                <w:color w:val="auto"/>
                <w:w w:val="96"/>
              </w:rPr>
              <w:t>March 31, 2016</w:t>
            </w:r>
          </w:p>
        </w:tc>
        <w:tc>
          <w:tcPr>
            <w:tcW w:w="4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6"/>
          </w:tcPr>
          <w:p>
            <w:pPr>
              <w:jc w:val="center"/>
              <w:ind w:right="560"/>
              <w:spacing w:after="0" w:line="200" w:lineRule="exact"/>
              <w:rPr>
                <w:sz w:val="20"/>
                <w:szCs w:val="20"/>
                <w:color w:val="auto"/>
              </w:rPr>
            </w:pPr>
            <w:r>
              <w:rPr>
                <w:rFonts w:ascii="Arial" w:cs="Arial" w:eastAsia="Arial" w:hAnsi="Arial"/>
                <w:sz w:val="20"/>
                <w:szCs w:val="20"/>
                <w:b w:val="1"/>
                <w:bCs w:val="1"/>
                <w:color w:val="auto"/>
                <w:w w:val="92"/>
              </w:rPr>
              <w:t>After-tax</w:t>
            </w:r>
          </w:p>
        </w:tc>
        <w:tc>
          <w:tcPr>
            <w:tcW w:w="240" w:type="dxa"/>
            <w:vAlign w:val="bottom"/>
          </w:tcPr>
          <w:p>
            <w:pPr>
              <w:spacing w:after="0"/>
              <w:rPr>
                <w:sz w:val="17"/>
                <w:szCs w:val="17"/>
                <w:color w:val="auto"/>
              </w:rPr>
            </w:pPr>
          </w:p>
        </w:tc>
        <w:tc>
          <w:tcPr>
            <w:tcW w:w="840" w:type="dxa"/>
            <w:vAlign w:val="bottom"/>
            <w:gridSpan w:val="2"/>
          </w:tcPr>
          <w:p>
            <w:pPr>
              <w:spacing w:after="0" w:line="200" w:lineRule="exact"/>
              <w:rPr>
                <w:sz w:val="20"/>
                <w:szCs w:val="20"/>
                <w:color w:val="auto"/>
              </w:rPr>
            </w:pPr>
            <w:r>
              <w:rPr>
                <w:rFonts w:ascii="Arial" w:cs="Arial" w:eastAsia="Arial" w:hAnsi="Arial"/>
                <w:sz w:val="20"/>
                <w:szCs w:val="20"/>
                <w:b w:val="1"/>
                <w:bCs w:val="1"/>
                <w:color w:val="auto"/>
                <w:w w:val="87"/>
              </w:rPr>
              <w:t>Per Share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6"/>
          </w:tcPr>
          <w:p>
            <w:pPr>
              <w:jc w:val="center"/>
              <w:ind w:right="560"/>
              <w:spacing w:after="0"/>
              <w:rPr>
                <w:sz w:val="20"/>
                <w:szCs w:val="20"/>
                <w:color w:val="auto"/>
              </w:rPr>
            </w:pPr>
            <w:r>
              <w:rPr>
                <w:rFonts w:ascii="Arial" w:cs="Arial" w:eastAsia="Arial" w:hAnsi="Arial"/>
                <w:sz w:val="20"/>
                <w:szCs w:val="20"/>
                <w:b w:val="1"/>
                <w:bCs w:val="1"/>
                <w:color w:val="auto"/>
                <w:w w:val="89"/>
              </w:rPr>
              <w:t>Amount</w:t>
            </w:r>
          </w:p>
        </w:tc>
        <w:tc>
          <w:tcPr>
            <w:tcW w:w="24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20"/>
                <w:szCs w:val="20"/>
                <w:b w:val="1"/>
                <w:bCs w:val="1"/>
                <w:color w:val="auto"/>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CEEFF"/>
            </w:tcBorders>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Net Income and Diluted EPS, as reported</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41"/>
              <w:spacing w:after="0" w:line="223" w:lineRule="exact"/>
              <w:rPr>
                <w:sz w:val="20"/>
                <w:szCs w:val="20"/>
                <w:color w:val="auto"/>
              </w:rPr>
            </w:pPr>
            <w:r>
              <w:rPr>
                <w:rFonts w:ascii="Arial" w:cs="Arial" w:eastAsia="Arial" w:hAnsi="Arial"/>
                <w:sz w:val="20"/>
                <w:szCs w:val="20"/>
                <w:b w:val="1"/>
                <w:bCs w:val="1"/>
                <w:color w:val="auto"/>
                <w:w w:val="71"/>
              </w:rPr>
              <w:t>$</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w w:val="89"/>
              </w:rPr>
              <w:t>258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w:t>
            </w:r>
          </w:p>
        </w:tc>
        <w:tc>
          <w:tcPr>
            <w:tcW w:w="4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0.58</w:t>
            </w:r>
          </w:p>
        </w:tc>
        <w:tc>
          <w:tcPr>
            <w:tcW w:w="280" w:type="dxa"/>
            <w:vAlign w:val="bottom"/>
            <w:tcBorders>
              <w:top w:val="single" w:sz="8" w:color="CCEEFF"/>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w w:val="81"/>
              </w:rPr>
              <w:t>(a)</w:t>
            </w: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8"/>
          </w:tcPr>
          <w:p>
            <w:pPr>
              <w:jc w:val="center"/>
              <w:ind w:right="380"/>
              <w:spacing w:after="0"/>
              <w:rPr>
                <w:sz w:val="20"/>
                <w:szCs w:val="20"/>
                <w:color w:val="auto"/>
              </w:rPr>
            </w:pPr>
            <w:r>
              <w:rPr>
                <w:rFonts w:ascii="Arial" w:cs="Arial" w:eastAsia="Arial" w:hAnsi="Arial"/>
                <w:sz w:val="20"/>
                <w:szCs w:val="20"/>
                <w:b w:val="1"/>
                <w:bCs w:val="1"/>
                <w:color w:val="auto"/>
                <w:w w:val="92"/>
              </w:rPr>
              <w:t>Quarter Ended</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20"/>
                <w:szCs w:val="20"/>
                <w:b w:val="1"/>
                <w:bCs w:val="1"/>
                <w:color w:val="auto"/>
                <w:w w:val="92"/>
              </w:rPr>
              <w:t>March 31, 2015</w:t>
            </w: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5"/>
          </w:tcPr>
          <w:p>
            <w:pPr>
              <w:ind w:left="20"/>
              <w:spacing w:after="0" w:line="200" w:lineRule="exact"/>
              <w:rPr>
                <w:sz w:val="20"/>
                <w:szCs w:val="20"/>
                <w:color w:val="auto"/>
              </w:rPr>
            </w:pPr>
            <w:r>
              <w:rPr>
                <w:rFonts w:ascii="Arial" w:cs="Arial" w:eastAsia="Arial" w:hAnsi="Arial"/>
                <w:sz w:val="20"/>
                <w:szCs w:val="20"/>
                <w:b w:val="1"/>
                <w:bCs w:val="1"/>
                <w:color w:val="auto"/>
                <w:w w:val="94"/>
              </w:rPr>
              <w:t>After-tax</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spacing w:after="0" w:line="200" w:lineRule="exact"/>
              <w:rPr>
                <w:sz w:val="20"/>
                <w:szCs w:val="20"/>
                <w:color w:val="auto"/>
              </w:rPr>
            </w:pPr>
            <w:r>
              <w:rPr>
                <w:rFonts w:ascii="Arial" w:cs="Arial" w:eastAsia="Arial" w:hAnsi="Arial"/>
                <w:sz w:val="20"/>
                <w:szCs w:val="20"/>
                <w:b w:val="1"/>
                <w:bCs w:val="1"/>
                <w:color w:val="auto"/>
                <w:w w:val="87"/>
              </w:rPr>
              <w:t>Per Share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ind w:left="60"/>
              <w:spacing w:after="0"/>
              <w:rPr>
                <w:sz w:val="20"/>
                <w:szCs w:val="20"/>
                <w:color w:val="auto"/>
              </w:rPr>
            </w:pPr>
            <w:r>
              <w:rPr>
                <w:rFonts w:ascii="Arial" w:cs="Arial" w:eastAsia="Arial" w:hAnsi="Arial"/>
                <w:sz w:val="20"/>
                <w:szCs w:val="20"/>
                <w:b w:val="1"/>
                <w:bCs w:val="1"/>
                <w:color w:val="auto"/>
                <w:w w:val="97"/>
              </w:rPr>
              <w:t>Amount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7"/>
          </w:tcPr>
          <w:p>
            <w:pPr>
              <w:jc w:val="center"/>
              <w:ind w:right="500"/>
              <w:spacing w:after="0"/>
              <w:rPr>
                <w:sz w:val="20"/>
                <w:szCs w:val="20"/>
                <w:color w:val="auto"/>
              </w:rPr>
            </w:pPr>
            <w:r>
              <w:rPr>
                <w:rFonts w:ascii="Arial" w:cs="Arial" w:eastAsia="Arial" w:hAnsi="Arial"/>
                <w:sz w:val="20"/>
                <w:szCs w:val="20"/>
                <w:b w:val="1"/>
                <w:bCs w:val="1"/>
                <w:color w:val="auto"/>
                <w:w w:val="86"/>
              </w:rPr>
              <w:t>Tax Expense</w:t>
            </w:r>
          </w:p>
        </w:tc>
        <w:tc>
          <w:tcPr>
            <w:tcW w:w="24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20"/>
                <w:szCs w:val="20"/>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gridSpan w:val="2"/>
            <w:shd w:val="clear" w:color="auto" w:fill="CCEEFF"/>
          </w:tcPr>
          <w:p>
            <w:pPr>
              <w:spacing w:after="0" w:line="209" w:lineRule="exact"/>
              <w:rPr>
                <w:sz w:val="20"/>
                <w:szCs w:val="20"/>
                <w:color w:val="auto"/>
              </w:rPr>
            </w:pPr>
            <w:r>
              <w:rPr>
                <w:rFonts w:ascii="Arial" w:cs="Arial" w:eastAsia="Arial" w:hAnsi="Arial"/>
                <w:sz w:val="20"/>
                <w:szCs w:val="20"/>
                <w:b w:val="1"/>
                <w:bCs w:val="1"/>
                <w:i w:val="1"/>
                <w:iCs w:val="1"/>
                <w:color w:val="auto"/>
              </w:rPr>
              <w:t>Adjusted Net Income and Earnings Per Diluted Share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20"/>
                <w:szCs w:val="20"/>
                <w:b w:val="1"/>
                <w:bCs w:val="1"/>
                <w:color w:val="auto"/>
              </w:rPr>
              <w:t>Net Income (Loss) and Diluted EPS, as reported</w:t>
            </w:r>
          </w:p>
        </w:tc>
        <w:tc>
          <w:tcPr>
            <w:tcW w:w="38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5"/>
          </w:tcPr>
          <w:p>
            <w:pPr>
              <w:jc w:val="right"/>
              <w:ind w:right="421"/>
              <w:spacing w:after="0"/>
              <w:rPr>
                <w:sz w:val="20"/>
                <w:szCs w:val="20"/>
                <w:color w:val="auto"/>
              </w:rPr>
            </w:pPr>
            <w:r>
              <w:rPr>
                <w:rFonts w:ascii="Arial" w:cs="Arial" w:eastAsia="Arial" w:hAnsi="Arial"/>
                <w:sz w:val="20"/>
                <w:szCs w:val="20"/>
                <w:b w:val="1"/>
                <w:bCs w:val="1"/>
                <w:color w:val="auto"/>
              </w:rPr>
              <w:t>(129)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20"/>
                <w:szCs w:val="20"/>
                <w:b w:val="1"/>
                <w:bCs w:val="1"/>
                <w:color w:val="auto"/>
              </w:rPr>
              <w:t>$</w:t>
            </w:r>
          </w:p>
        </w:tc>
        <w:tc>
          <w:tcPr>
            <w:tcW w:w="760" w:type="dxa"/>
            <w:vAlign w:val="bottom"/>
            <w:gridSpan w:val="2"/>
          </w:tcPr>
          <w:p>
            <w:pPr>
              <w:jc w:val="right"/>
              <w:ind w:right="121"/>
              <w:spacing w:after="0"/>
              <w:rPr>
                <w:sz w:val="20"/>
                <w:szCs w:val="20"/>
                <w:color w:val="auto"/>
              </w:rPr>
            </w:pPr>
            <w:r>
              <w:rPr>
                <w:rFonts w:ascii="Arial" w:cs="Arial" w:eastAsia="Arial" w:hAnsi="Arial"/>
                <w:sz w:val="20"/>
                <w:szCs w:val="20"/>
                <w:b w:val="1"/>
                <w:bCs w:val="1"/>
                <w:color w:val="auto"/>
                <w:w w:val="99"/>
              </w:rPr>
              <w:t>(0.28)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Adjustments to Net Income (Loss) and Diluted EPS: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ind w:left="380"/>
              <w:spacing w:after="0"/>
              <w:rPr>
                <w:sz w:val="20"/>
                <w:szCs w:val="20"/>
                <w:color w:val="auto"/>
              </w:rPr>
            </w:pPr>
            <w:r>
              <w:rPr>
                <w:rFonts w:ascii="Arial" w:cs="Arial" w:eastAsia="Arial" w:hAnsi="Arial"/>
                <w:sz w:val="20"/>
                <w:szCs w:val="20"/>
                <w:color w:val="auto"/>
              </w:rPr>
              <w:t>Loss on early extinguishment of debt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20"/>
                <w:szCs w:val="20"/>
                <w:color w:val="auto"/>
              </w:rPr>
              <w:t>344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20"/>
                <w:szCs w:val="20"/>
                <w:color w:val="auto"/>
              </w:rPr>
              <w:t>206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81"/>
              <w:spacing w:after="0"/>
              <w:rPr>
                <w:sz w:val="20"/>
                <w:szCs w:val="20"/>
                <w:color w:val="auto"/>
              </w:rPr>
            </w:pPr>
            <w:r>
              <w:rPr>
                <w:rFonts w:ascii="Arial" w:cs="Arial" w:eastAsia="Arial" w:hAnsi="Arial"/>
                <w:sz w:val="20"/>
                <w:szCs w:val="20"/>
                <w:color w:val="auto"/>
              </w:rPr>
              <w:t>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 xml:space="preserve">Asset impairments and unusual items </w:t>
            </w:r>
            <w:r>
              <w:rPr>
                <w:rFonts w:ascii="Arial" w:cs="Arial" w:eastAsia="Arial" w:hAnsi="Arial"/>
                <w:sz w:val="20"/>
                <w:szCs w:val="20"/>
                <w:b w:val="1"/>
                <w:bCs w:val="1"/>
                <w:color w:val="auto"/>
              </w:rPr>
              <w:t>(b)</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20"/>
                <w:szCs w:val="20"/>
                <w:color w:val="auto"/>
              </w:rPr>
              <w:t>12</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20"/>
                <w:szCs w:val="20"/>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1"/>
              <w:spacing w:after="0"/>
              <w:rPr>
                <w:sz w:val="20"/>
                <w:szCs w:val="20"/>
                <w:color w:val="auto"/>
              </w:rPr>
            </w:pPr>
            <w:r>
              <w:rPr>
                <w:rFonts w:ascii="Arial" w:cs="Arial" w:eastAsia="Arial" w:hAnsi="Arial"/>
                <w:sz w:val="20"/>
                <w:szCs w:val="20"/>
                <w:color w:val="auto"/>
              </w:rPr>
              <w:t>0.03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356</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0.77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Net Income and Diluted EPS, as adjusted</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20"/>
                <w:szCs w:val="20"/>
                <w:b w:val="1"/>
                <w:bCs w:val="1"/>
                <w:color w:val="auto"/>
              </w:rPr>
              <w:t>227</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20"/>
                <w:szCs w:val="20"/>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w w:val="98"/>
              </w:rPr>
              <w:t>0.</w:t>
            </w:r>
            <w:r>
              <w:rPr>
                <w:rFonts w:ascii="Arial" w:cs="Arial" w:eastAsia="Arial" w:hAnsi="Arial"/>
                <w:sz w:val="20"/>
                <w:szCs w:val="20"/>
                <w:b w:val="1"/>
                <w:bCs w:val="1"/>
                <w:u w:val="single" w:color="auto"/>
                <w:color w:val="auto"/>
                <w:w w:val="98"/>
              </w:rPr>
              <w:t>49</w:t>
            </w:r>
            <w:r>
              <w:rPr>
                <w:rFonts w:ascii="Arial" w:cs="Arial" w:eastAsia="Arial" w:hAnsi="Arial"/>
                <w:sz w:val="20"/>
                <w:szCs w:val="20"/>
                <w:b w:val="1"/>
                <w:bCs w:val="1"/>
                <w:color w:val="auto"/>
                <w:w w:val="98"/>
              </w:rPr>
              <w:t xml:space="preserve"> (a)</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20"/>
                <w:szCs w:val="20"/>
                <w:b w:val="1"/>
                <w:bCs w:val="1"/>
                <w:i w:val="1"/>
                <w:iCs w:val="1"/>
                <w:color w:val="auto"/>
              </w:rPr>
              <w:t xml:space="preserve">2016 Projected Free Cash Flow Reconciliation </w:t>
            </w:r>
            <w:r>
              <w:rPr>
                <w:rFonts w:ascii="Arial" w:cs="Arial" w:eastAsia="Arial" w:hAnsi="Arial"/>
                <w:sz w:val="20"/>
                <w:szCs w:val="20"/>
                <w:b w:val="1"/>
                <w:bCs w:val="1"/>
                <w:color w:val="auto"/>
              </w:rPr>
              <w:t>(c)</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Arial" w:cs="Arial" w:eastAsia="Arial" w:hAnsi="Arial"/>
                <w:sz w:val="20"/>
                <w:szCs w:val="20"/>
                <w:b w:val="1"/>
                <w:bCs w:val="1"/>
                <w:color w:val="auto"/>
                <w:w w:val="94"/>
              </w:rPr>
              <w:t>Scenario 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6"/>
          </w:tcPr>
          <w:p>
            <w:pPr>
              <w:jc w:val="right"/>
              <w:ind w:right="140"/>
              <w:spacing w:after="0"/>
              <w:rPr>
                <w:sz w:val="20"/>
                <w:szCs w:val="20"/>
                <w:color w:val="auto"/>
              </w:rPr>
            </w:pPr>
            <w:r>
              <w:rPr>
                <w:rFonts w:ascii="Arial" w:cs="Arial" w:eastAsia="Arial" w:hAnsi="Arial"/>
                <w:sz w:val="20"/>
                <w:szCs w:val="20"/>
                <w:b w:val="1"/>
                <w:bCs w:val="1"/>
                <w:color w:val="auto"/>
              </w:rPr>
              <w:t>Scenario 2</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ind w:left="400"/>
              <w:spacing w:after="0" w:line="223" w:lineRule="exact"/>
              <w:rPr>
                <w:sz w:val="20"/>
                <w:szCs w:val="20"/>
                <w:color w:val="auto"/>
              </w:rPr>
            </w:pPr>
            <w:r>
              <w:rPr>
                <w:rFonts w:ascii="Arial" w:cs="Arial" w:eastAsia="Arial" w:hAnsi="Arial"/>
                <w:sz w:val="20"/>
                <w:szCs w:val="20"/>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2,750</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gridSpan w:val="3"/>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tcBorders>
            <w:gridSpan w:val="3"/>
            <w:shd w:val="clear" w:color="auto" w:fill="CCEEFF"/>
          </w:tcPr>
          <w:p>
            <w:pPr>
              <w:jc w:val="right"/>
              <w:ind w:right="20"/>
              <w:spacing w:after="0" w:line="223" w:lineRule="exact"/>
              <w:rPr>
                <w:sz w:val="20"/>
                <w:szCs w:val="20"/>
                <w:color w:val="auto"/>
              </w:rPr>
            </w:pPr>
            <w:r>
              <w:rPr>
                <w:rFonts w:ascii="Arial" w:cs="Arial" w:eastAsia="Arial" w:hAnsi="Arial"/>
                <w:sz w:val="20"/>
                <w:szCs w:val="20"/>
                <w:color w:val="auto"/>
              </w:rPr>
              <w:t>2,900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0" w:type="dxa"/>
            <w:vAlign w:val="bottom"/>
          </w:tcPr>
          <w:p>
            <w:pPr>
              <w:ind w:left="400"/>
              <w:spacing w:after="0"/>
              <w:rPr>
                <w:sz w:val="20"/>
                <w:szCs w:val="20"/>
                <w:color w:val="auto"/>
              </w:rPr>
            </w:pPr>
            <w:r>
              <w:rPr>
                <w:rFonts w:ascii="Arial" w:cs="Arial" w:eastAsia="Arial" w:hAnsi="Arial"/>
                <w:sz w:val="20"/>
                <w:szCs w:val="20"/>
                <w:color w:val="auto"/>
              </w:rPr>
              <w:t>Capital expenditures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w w:val="94"/>
              </w:rPr>
              <w:t>(1,300)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20"/>
                <w:szCs w:val="20"/>
                <w:color w:val="auto"/>
              </w:rPr>
              <w:t>(1,400)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shd w:val="clear" w:color="auto" w:fill="CCEEFF"/>
          </w:tcPr>
          <w:p>
            <w:pPr>
              <w:ind w:left="400"/>
              <w:spacing w:after="0" w:line="213" w:lineRule="exact"/>
              <w:rPr>
                <w:sz w:val="20"/>
                <w:szCs w:val="20"/>
                <w:color w:val="auto"/>
              </w:rPr>
            </w:pPr>
            <w:r>
              <w:rPr>
                <w:rFonts w:ascii="Arial" w:cs="Arial" w:eastAsia="Arial" w:hAnsi="Arial"/>
                <w:sz w:val="20"/>
                <w:szCs w:val="20"/>
                <w:color w:val="auto"/>
                <w:w w:val="89"/>
              </w:rPr>
              <w:t>Proceeds from divestitures of businesses and other assets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0" w:type="dxa"/>
            <w:vAlign w:val="bottom"/>
            <w:shd w:val="clear" w:color="auto" w:fill="CCEEFF"/>
          </w:tcPr>
          <w:p>
            <w:pPr>
              <w:ind w:left="600"/>
              <w:spacing w:after="0"/>
              <w:rPr>
                <w:sz w:val="20"/>
                <w:szCs w:val="20"/>
                <w:color w:val="auto"/>
              </w:rPr>
            </w:pPr>
            <w:r>
              <w:rPr>
                <w:rFonts w:ascii="Arial" w:cs="Arial" w:eastAsia="Arial" w:hAnsi="Arial"/>
                <w:sz w:val="20"/>
                <w:szCs w:val="20"/>
                <w:color w:val="auto"/>
              </w:rPr>
              <w:t>of cash divested)</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20"/>
                <w:szCs w:val="20"/>
                <w:color w:val="auto"/>
              </w:rPr>
              <w:t>100</w:t>
            </w:r>
          </w:p>
        </w:tc>
        <w:tc>
          <w:tcPr>
            <w:tcW w:w="120" w:type="dxa"/>
            <w:vAlign w:val="bottom"/>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360"/>
              <w:spacing w:after="0"/>
              <w:rPr>
                <w:sz w:val="20"/>
                <w:szCs w:val="20"/>
                <w:color w:val="auto"/>
              </w:rPr>
            </w:pPr>
            <w:r>
              <w:rPr>
                <w:rFonts w:ascii="Arial" w:cs="Arial" w:eastAsia="Arial" w:hAnsi="Arial"/>
                <w:sz w:val="20"/>
                <w:szCs w:val="20"/>
                <w:b w:val="1"/>
                <w:bCs w:val="1"/>
                <w:color w:val="auto"/>
              </w:rPr>
              <w:t>Free Cash Flow</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1,500</w:t>
            </w:r>
          </w:p>
        </w:tc>
        <w:tc>
          <w:tcPr>
            <w:tcW w:w="80" w:type="dxa"/>
            <w:vAlign w:val="bottom"/>
          </w:tcPr>
          <w:p>
            <w:pPr>
              <w:spacing w:after="0"/>
              <w:rPr>
                <w:sz w:val="20"/>
                <w:szCs w:val="20"/>
                <w:color w:val="auto"/>
              </w:rPr>
            </w:pPr>
          </w:p>
        </w:tc>
        <w:tc>
          <w:tcPr>
            <w:tcW w:w="680" w:type="dxa"/>
            <w:vAlign w:val="bottom"/>
            <w:gridSpan w:val="3"/>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w:t>
            </w: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1,600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right="360" w:hanging="452"/>
        <w:spacing w:after="0" w:line="247" w:lineRule="auto"/>
        <w:tabs>
          <w:tab w:leader="none" w:pos="46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More than 18% growth in as-reported earnings per diluted share in the first quarter of 2016 over adjusted earnings per diluted share in first quarter of 2015.</w:t>
      </w:r>
    </w:p>
    <w:p>
      <w:pPr>
        <w:spacing w:after="0" w:line="1" w:lineRule="exact"/>
        <w:rPr>
          <w:rFonts w:ascii="Arial" w:cs="Arial" w:eastAsia="Arial" w:hAnsi="Arial"/>
          <w:sz w:val="20"/>
          <w:szCs w:val="20"/>
          <w:b w:val="1"/>
          <w:bCs w:val="1"/>
          <w:color w:val="auto"/>
        </w:rPr>
      </w:pPr>
    </w:p>
    <w:p>
      <w:pPr>
        <w:jc w:val="both"/>
        <w:ind w:left="460" w:right="120" w:hanging="452"/>
        <w:spacing w:after="0" w:line="239" w:lineRule="auto"/>
        <w:tabs>
          <w:tab w:leader="none" w:pos="46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Includes net charges reflected in: i) the “asset impairments and unusual items” financial caption, primarily related to certain adjustments associated with the sale of our waste-to-energy business in December 2014 and an impairment of a landfill in Western Canada and ii) the “restructuring” financial caption.</w:t>
      </w:r>
    </w:p>
    <w:p>
      <w:pPr>
        <w:spacing w:after="0" w:line="1" w:lineRule="exact"/>
        <w:rPr>
          <w:rFonts w:ascii="Arial" w:cs="Arial" w:eastAsia="Arial" w:hAnsi="Arial"/>
          <w:sz w:val="20"/>
          <w:szCs w:val="20"/>
          <w:b w:val="1"/>
          <w:bCs w:val="1"/>
          <w:color w:val="auto"/>
        </w:rPr>
      </w:pPr>
    </w:p>
    <w:p>
      <w:pPr>
        <w:ind w:left="460" w:right="480" w:hanging="452"/>
        <w:spacing w:after="0" w:line="241" w:lineRule="auto"/>
        <w:tabs>
          <w:tab w:leader="none" w:pos="46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The reconciliation includes two scenarios that illustrate our projected free cash flow range for 2016. The amounts used in the reconciliation are subject to many variables, some of which are not under our control and, therefore, are not necessarily indicative of actual results.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Certain Non-GAAP Measures</w:t>
      </w:r>
    </w:p>
    <w:p>
      <w:pPr>
        <w:jc w:val="center"/>
        <w:spacing w:after="0"/>
        <w:rPr>
          <w:sz w:val="20"/>
          <w:szCs w:val="20"/>
          <w:color w:val="auto"/>
        </w:rPr>
      </w:pPr>
      <w:r>
        <w:rPr>
          <w:rFonts w:ascii="Arial" w:cs="Arial" w:eastAsia="Arial" w:hAnsi="Arial"/>
          <w:sz w:val="20"/>
          <w:szCs w:val="20"/>
          <w:b w:val="1"/>
          <w:bCs w:val="1"/>
          <w:color w:val="auto"/>
        </w:rPr>
        <w:t>(Dollars In Millions)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gridSpan w:val="9"/>
          </w:tcPr>
          <w:p>
            <w:pPr>
              <w:jc w:val="right"/>
              <w:ind w:right="1160"/>
              <w:spacing w:after="0"/>
              <w:rPr>
                <w:sz w:val="20"/>
                <w:szCs w:val="20"/>
                <w:color w:val="auto"/>
              </w:rPr>
            </w:pPr>
            <w:r>
              <w:rPr>
                <w:rFonts w:ascii="Arial" w:cs="Arial" w:eastAsia="Arial" w:hAnsi="Arial"/>
                <w:sz w:val="20"/>
                <w:szCs w:val="20"/>
                <w:b w:val="1"/>
                <w:bCs w:val="1"/>
                <w:color w:val="auto"/>
              </w:rPr>
              <w:t>Quarter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gridSpan w:val="9"/>
          </w:tcPr>
          <w:p>
            <w:pPr>
              <w:jc w:val="right"/>
              <w:ind w:right="1140"/>
              <w:spacing w:after="0"/>
              <w:rPr>
                <w:sz w:val="20"/>
                <w:szCs w:val="20"/>
                <w:color w:val="auto"/>
              </w:rPr>
            </w:pPr>
            <w:r>
              <w:rPr>
                <w:rFonts w:ascii="Arial" w:cs="Arial" w:eastAsia="Arial" w:hAnsi="Arial"/>
                <w:sz w:val="20"/>
                <w:szCs w:val="20"/>
                <w:b w:val="1"/>
                <w:bCs w:val="1"/>
                <w:color w:val="auto"/>
              </w:rPr>
              <w:t>March 31, 2016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20"/>
                <w:szCs w:val="20"/>
                <w:b w:val="1"/>
                <w:bCs w:val="1"/>
                <w:color w:val="auto"/>
                <w:w w:val="91"/>
              </w:rPr>
              <w:t>As a % of</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gridSpan w:val="5"/>
          </w:tcPr>
          <w:p>
            <w:pPr>
              <w:spacing w:after="0"/>
              <w:rPr>
                <w:sz w:val="20"/>
                <w:szCs w:val="20"/>
                <w:color w:val="auto"/>
              </w:rPr>
            </w:pPr>
            <w:r>
              <w:rPr>
                <w:rFonts w:ascii="Arial" w:cs="Arial" w:eastAsia="Arial" w:hAnsi="Arial"/>
                <w:sz w:val="20"/>
                <w:szCs w:val="20"/>
                <w:b w:val="1"/>
                <w:bCs w:val="1"/>
                <w:color w:val="auto"/>
                <w:w w:val="95"/>
              </w:rPr>
              <w:t>Amount</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gridSpan w:val="4"/>
          </w:tcPr>
          <w:p>
            <w:pPr>
              <w:jc w:val="right"/>
              <w:ind w:right="560"/>
              <w:spacing w:after="0"/>
              <w:rPr>
                <w:sz w:val="20"/>
                <w:szCs w:val="20"/>
                <w:color w:val="auto"/>
              </w:rPr>
            </w:pPr>
            <w:r>
              <w:rPr>
                <w:rFonts w:ascii="Arial" w:cs="Arial" w:eastAsia="Arial" w:hAnsi="Arial"/>
                <w:sz w:val="20"/>
                <w:szCs w:val="20"/>
                <w:b w:val="1"/>
                <w:bCs w:val="1"/>
                <w:color w:val="auto"/>
                <w:w w:val="84"/>
              </w:rPr>
              <w:t>Revenues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Operating revenues, as reported</w:t>
            </w: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w:t>
            </w:r>
          </w:p>
        </w:tc>
        <w:tc>
          <w:tcPr>
            <w:tcW w:w="5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w w:val="95"/>
              </w:rPr>
              <w:t>3,176</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Income from operations, as reported</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508</w:t>
            </w:r>
          </w:p>
        </w:tc>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20"/>
                <w:szCs w:val="20"/>
                <w:b w:val="1"/>
                <w:bCs w:val="1"/>
                <w:color w:val="auto"/>
              </w:rPr>
              <w:t>(a)</w:t>
            </w:r>
          </w:p>
        </w:tc>
        <w:tc>
          <w:tcPr>
            <w:tcW w:w="40" w:type="dxa"/>
            <w:vAlign w:val="bottom"/>
          </w:tcPr>
          <w:p>
            <w:pPr>
              <w:spacing w:after="0"/>
              <w:rPr>
                <w:sz w:val="24"/>
                <w:szCs w:val="2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16.0%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380"/>
              <w:spacing w:after="0"/>
              <w:rPr>
                <w:sz w:val="20"/>
                <w:szCs w:val="20"/>
                <w:color w:val="auto"/>
              </w:rPr>
            </w:pPr>
            <w:r>
              <w:rPr>
                <w:rFonts w:ascii="Arial" w:cs="Arial" w:eastAsia="Arial" w:hAnsi="Arial"/>
                <w:sz w:val="20"/>
                <w:szCs w:val="20"/>
                <w:color w:val="auto"/>
              </w:rPr>
              <w:t>Depreciation and amortization</w:t>
            </w: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312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Operating EBITDA and Operating EBITDA as a percent of Revenues</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820</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20"/>
                <w:szCs w:val="20"/>
                <w:b w:val="1"/>
                <w:bCs w:val="1"/>
                <w:color w:val="auto"/>
              </w:rPr>
              <w:t>(b)</w:t>
            </w:r>
          </w:p>
        </w:tc>
        <w:tc>
          <w:tcPr>
            <w:tcW w:w="4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25.8%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9"/>
          </w:tcPr>
          <w:p>
            <w:pPr>
              <w:jc w:val="right"/>
              <w:ind w:right="1120"/>
              <w:spacing w:after="0"/>
              <w:rPr>
                <w:sz w:val="20"/>
                <w:szCs w:val="20"/>
                <w:color w:val="auto"/>
              </w:rPr>
            </w:pPr>
            <w:r>
              <w:rPr>
                <w:rFonts w:ascii="Arial" w:cs="Arial" w:eastAsia="Arial" w:hAnsi="Arial"/>
                <w:sz w:val="20"/>
                <w:szCs w:val="20"/>
                <w:b w:val="1"/>
                <w:bCs w:val="1"/>
                <w:color w:val="auto"/>
              </w:rPr>
              <w:t>Quarter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gridSpan w:val="9"/>
          </w:tcPr>
          <w:p>
            <w:pPr>
              <w:jc w:val="right"/>
              <w:ind w:right="1100"/>
              <w:spacing w:after="0"/>
              <w:rPr>
                <w:sz w:val="20"/>
                <w:szCs w:val="20"/>
                <w:color w:val="auto"/>
              </w:rPr>
            </w:pPr>
            <w:r>
              <w:rPr>
                <w:rFonts w:ascii="Arial" w:cs="Arial" w:eastAsia="Arial" w:hAnsi="Arial"/>
                <w:sz w:val="20"/>
                <w:szCs w:val="20"/>
                <w:b w:val="1"/>
                <w:bCs w:val="1"/>
                <w:color w:val="auto"/>
              </w:rPr>
              <w:t>March 31, 2015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20"/>
                <w:szCs w:val="20"/>
                <w:b w:val="1"/>
                <w:bCs w:val="1"/>
                <w:color w:val="auto"/>
                <w:w w:val="91"/>
              </w:rPr>
              <w:t>As a % of</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4"/>
          </w:tcPr>
          <w:p>
            <w:pPr>
              <w:spacing w:after="0"/>
              <w:rPr>
                <w:sz w:val="20"/>
                <w:szCs w:val="20"/>
                <w:color w:val="auto"/>
              </w:rPr>
            </w:pPr>
            <w:r>
              <w:rPr>
                <w:rFonts w:ascii="Arial" w:cs="Arial" w:eastAsia="Arial" w:hAnsi="Arial"/>
                <w:sz w:val="20"/>
                <w:szCs w:val="20"/>
                <w:b w:val="1"/>
                <w:bCs w:val="1"/>
                <w:color w:val="auto"/>
                <w:w w:val="89"/>
              </w:rPr>
              <w:t>Amount</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20"/>
                <w:szCs w:val="20"/>
                <w:b w:val="1"/>
                <w:bCs w:val="1"/>
                <w:color w:val="auto"/>
                <w:w w:val="84"/>
              </w:rPr>
              <w:t>Revenues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line="213" w:lineRule="exact"/>
              <w:rPr>
                <w:sz w:val="20"/>
                <w:szCs w:val="20"/>
                <w:color w:val="auto"/>
              </w:rPr>
            </w:pPr>
            <w:r>
              <w:rPr>
                <w:rFonts w:ascii="Arial" w:cs="Arial" w:eastAsia="Arial" w:hAnsi="Arial"/>
                <w:sz w:val="20"/>
                <w:szCs w:val="20"/>
                <w:b w:val="1"/>
                <w:bCs w:val="1"/>
                <w:i w:val="1"/>
                <w:iCs w:val="1"/>
                <w:color w:val="auto"/>
                <w:w w:val="94"/>
              </w:rPr>
              <w:t>Adjusted Income from Operations, Adjusted Operating EBITDA and each as a percent of</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20"/>
                <w:szCs w:val="20"/>
                <w:b w:val="1"/>
                <w:bCs w:val="1"/>
                <w:i w:val="1"/>
                <w:iCs w:val="1"/>
                <w:color w:val="auto"/>
              </w:rPr>
              <w:t>Revenues</w:t>
            </w: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rPr>
              <w:t>Operating revenues, as reported</w:t>
            </w:r>
          </w:p>
        </w:tc>
        <w:tc>
          <w:tcPr>
            <w:tcW w:w="620" w:type="dxa"/>
            <w:vAlign w:val="bottom"/>
            <w:gridSpan w:val="3"/>
          </w:tcPr>
          <w:p>
            <w:pPr>
              <w:ind w:left="460"/>
              <w:spacing w:after="0"/>
              <w:rPr>
                <w:sz w:val="20"/>
                <w:szCs w:val="20"/>
                <w:color w:val="auto"/>
              </w:rPr>
            </w:pPr>
            <w:r>
              <w:rPr>
                <w:rFonts w:ascii="Arial" w:cs="Arial" w:eastAsia="Arial" w:hAnsi="Arial"/>
                <w:sz w:val="20"/>
                <w:szCs w:val="20"/>
                <w:b w:val="1"/>
                <w:bCs w:val="1"/>
                <w:color w:val="auto"/>
              </w:rPr>
              <w:t>$</w:t>
            </w:r>
          </w:p>
        </w:tc>
        <w:tc>
          <w:tcPr>
            <w:tcW w:w="560" w:type="dxa"/>
            <w:vAlign w:val="bottom"/>
            <w:gridSpan w:val="4"/>
          </w:tcPr>
          <w:p>
            <w:pPr>
              <w:jc w:val="right"/>
              <w:spacing w:after="0"/>
              <w:rPr>
                <w:sz w:val="20"/>
                <w:szCs w:val="20"/>
                <w:color w:val="auto"/>
              </w:rPr>
            </w:pPr>
            <w:r>
              <w:rPr>
                <w:rFonts w:ascii="Arial" w:cs="Arial" w:eastAsia="Arial" w:hAnsi="Arial"/>
                <w:sz w:val="20"/>
                <w:szCs w:val="20"/>
                <w:b w:val="1"/>
                <w:bCs w:val="1"/>
                <w:color w:val="auto"/>
              </w:rPr>
              <w:t>3,040</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4"/>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Income from operations, as reported</w:t>
            </w: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20"/>
                <w:szCs w:val="20"/>
                <w:b w:val="1"/>
                <w:bCs w:val="1"/>
                <w:color w:val="auto"/>
              </w:rPr>
              <w:t>440</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20"/>
                <w:szCs w:val="20"/>
                <w:b w:val="1"/>
                <w:bCs w:val="1"/>
                <w:color w:val="auto"/>
              </w:rPr>
              <w:t>Adjustments to Income from operations: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380"/>
              <w:spacing w:after="0"/>
              <w:rPr>
                <w:sz w:val="20"/>
                <w:szCs w:val="20"/>
                <w:color w:val="auto"/>
              </w:rPr>
            </w:pPr>
            <w:r>
              <w:rPr>
                <w:rFonts w:ascii="Arial" w:cs="Arial" w:eastAsia="Arial" w:hAnsi="Arial"/>
                <w:sz w:val="20"/>
                <w:szCs w:val="20"/>
                <w:color w:val="auto"/>
              </w:rPr>
              <w:t>Asset impairments and unusual items</w:t>
            </w: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940" w:type="dxa"/>
            <w:vAlign w:val="bottom"/>
            <w:gridSpan w:val="2"/>
          </w:tcPr>
          <w:p>
            <w:pPr>
              <w:spacing w:after="0" w:line="214" w:lineRule="exact"/>
              <w:rPr>
                <w:sz w:val="20"/>
                <w:szCs w:val="20"/>
                <w:color w:val="auto"/>
              </w:rPr>
            </w:pPr>
            <w:r>
              <w:rPr>
                <w:rFonts w:ascii="Arial" w:cs="Arial" w:eastAsia="Arial" w:hAnsi="Arial"/>
                <w:sz w:val="20"/>
                <w:szCs w:val="20"/>
                <w:b w:val="1"/>
                <w:bCs w:val="1"/>
                <w:color w:val="auto"/>
                <w:w w:val="94"/>
              </w:rPr>
              <w:t>Adjusted Income from Operations and Adjusted Income from Operations as a percent of</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920" w:type="dxa"/>
            <w:vAlign w:val="bottom"/>
          </w:tcPr>
          <w:p>
            <w:pPr>
              <w:ind w:left="180"/>
              <w:spacing w:after="0"/>
              <w:rPr>
                <w:sz w:val="20"/>
                <w:szCs w:val="20"/>
                <w:color w:val="auto"/>
              </w:rPr>
            </w:pPr>
            <w:r>
              <w:rPr>
                <w:rFonts w:ascii="Arial" w:cs="Arial" w:eastAsia="Arial" w:hAnsi="Arial"/>
                <w:sz w:val="20"/>
                <w:szCs w:val="20"/>
                <w:b w:val="1"/>
                <w:bCs w:val="1"/>
                <w:color w:val="auto"/>
              </w:rPr>
              <w:t>Revenues</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20"/>
                <w:szCs w:val="20"/>
                <w:b w:val="1"/>
                <w:bCs w:val="1"/>
                <w:color w:val="auto"/>
              </w:rPr>
              <w:t>454</w:t>
            </w:r>
          </w:p>
        </w:tc>
        <w:tc>
          <w:tcPr>
            <w:tcW w:w="920" w:type="dxa"/>
            <w:vAlign w:val="bottom"/>
          </w:tcPr>
          <w:p>
            <w:pPr>
              <w:ind w:left="20"/>
              <w:spacing w:after="0"/>
              <w:rPr>
                <w:sz w:val="20"/>
                <w:szCs w:val="20"/>
                <w:color w:val="auto"/>
              </w:rPr>
            </w:pPr>
            <w:r>
              <w:rPr>
                <w:rFonts w:ascii="Arial" w:cs="Arial" w:eastAsia="Arial" w:hAnsi="Arial"/>
                <w:sz w:val="20"/>
                <w:szCs w:val="20"/>
                <w:b w:val="1"/>
                <w:bCs w:val="1"/>
                <w:color w:val="auto"/>
              </w:rPr>
              <w:t>(a)</w:t>
            </w:r>
          </w:p>
        </w:tc>
        <w:tc>
          <w:tcPr>
            <w:tcW w:w="4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14.9%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380"/>
              <w:spacing w:after="0"/>
              <w:rPr>
                <w:sz w:val="20"/>
                <w:szCs w:val="20"/>
                <w:color w:val="auto"/>
              </w:rPr>
            </w:pPr>
            <w:r>
              <w:rPr>
                <w:rFonts w:ascii="Arial" w:cs="Arial" w:eastAsia="Arial" w:hAnsi="Arial"/>
                <w:sz w:val="20"/>
                <w:szCs w:val="20"/>
                <w:color w:val="auto"/>
              </w:rPr>
              <w:t>Depreciation and amortization</w:t>
            </w: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292</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40" w:type="dxa"/>
            <w:vAlign w:val="bottom"/>
            <w:gridSpan w:val="2"/>
          </w:tcPr>
          <w:p>
            <w:pPr>
              <w:spacing w:after="0"/>
              <w:rPr>
                <w:sz w:val="20"/>
                <w:szCs w:val="20"/>
                <w:color w:val="auto"/>
              </w:rPr>
            </w:pPr>
            <w:r>
              <w:rPr>
                <w:rFonts w:ascii="Arial" w:cs="Arial" w:eastAsia="Arial" w:hAnsi="Arial"/>
                <w:sz w:val="20"/>
                <w:szCs w:val="20"/>
                <w:b w:val="1"/>
                <w:bCs w:val="1"/>
                <w:color w:val="auto"/>
                <w:w w:val="96"/>
              </w:rPr>
              <w:t>Adjusted Operating EBITDA and Adjusted Operating EBITDA as a percent of Revenues</w:t>
            </w:r>
          </w:p>
        </w:tc>
        <w:tc>
          <w:tcPr>
            <w:tcW w:w="460" w:type="dxa"/>
            <w:vAlign w:val="bottom"/>
            <w:gridSpan w:val="2"/>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b w:val="1"/>
                <w:bCs w:val="1"/>
                <w:color w:val="auto"/>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746</w:t>
            </w:r>
          </w:p>
        </w:tc>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20"/>
                <w:szCs w:val="20"/>
                <w:b w:val="1"/>
                <w:bCs w:val="1"/>
                <w:color w:val="auto"/>
              </w:rPr>
              <w:t>(b)</w:t>
            </w:r>
          </w:p>
        </w:tc>
        <w:tc>
          <w:tcPr>
            <w:tcW w:w="4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24.5%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right="280" w:hanging="452"/>
        <w:spacing w:after="0" w:line="247" w:lineRule="auto"/>
        <w:tabs>
          <w:tab w:leader="none" w:pos="460"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Income from operations for the first quarter of 2016 increased $54 million, or 110 basis points as a percent of revenues, compared with adjusted results for the same period prior year.</w:t>
      </w:r>
    </w:p>
    <w:p>
      <w:pPr>
        <w:spacing w:after="0" w:line="1" w:lineRule="exact"/>
        <w:rPr>
          <w:rFonts w:ascii="Arial" w:cs="Arial" w:eastAsia="Arial" w:hAnsi="Arial"/>
          <w:sz w:val="20"/>
          <w:szCs w:val="20"/>
          <w:b w:val="1"/>
          <w:bCs w:val="1"/>
          <w:color w:val="auto"/>
        </w:rPr>
      </w:pPr>
    </w:p>
    <w:p>
      <w:pPr>
        <w:ind w:left="460" w:right="160" w:hanging="452"/>
        <w:spacing w:after="0" w:line="244" w:lineRule="auto"/>
        <w:tabs>
          <w:tab w:leader="none" w:pos="460"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Operating EBITDA increased $74 million, or almost 10%, and 130 basis points as a percent of revenues, compared with adjusted results for the same period prior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2019-12-05T21:00:06Z</dcterms:created>
  <dcterms:modified xsi:type="dcterms:W3CDTF">2019-12-05T21:00:06Z</dcterms:modified>
</cp:coreProperties>
</file>