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50" w:lineRule="exact"/>
        <w:rPr>
          <w:sz w:val="24"/>
          <w:szCs w:val="24"/>
          <w:color w:val="auto"/>
        </w:rPr>
      </w:pPr>
    </w:p>
    <w:p>
      <w:pPr>
        <w:ind w:left="480" w:right="260" w:hanging="337"/>
        <w:spacing w:after="0" w:line="238"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480" w:right="240" w:hanging="337"/>
        <w:spacing w:after="0" w:line="238"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27" w:right="339" w:bottom="1440" w:gutter="0" w:footer="0" w:header="0"/>
        </w:sectPr>
      </w:pPr>
    </w:p>
    <w:p>
      <w:pPr>
        <w:spacing w:after="0" w:line="74"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80" w:lineRule="exact"/>
        <w:rPr>
          <w:sz w:val="24"/>
          <w:szCs w:val="24"/>
          <w:color w:val="auto"/>
        </w:rPr>
      </w:pPr>
    </w:p>
    <w:p>
      <w:pPr>
        <w:sectPr>
          <w:pgSz w:w="11900" w:h="16838" w:orient="portrait"/>
          <w:cols w:equalWidth="0" w:num="2">
            <w:col w:w="2820" w:space="540"/>
            <w:col w:w="7880"/>
          </w:cols>
          <w:pgMar w:left="320" w:top="1427"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ectPr>
          <w:pgSz w:w="11900" w:h="16838" w:orient="portrait"/>
          <w:cols w:equalWidth="0" w:num="1">
            <w:col w:w="11240"/>
          </w:cols>
          <w:pgMar w:left="320" w:top="1427" w:right="339" w:bottom="1440" w:gutter="0" w:footer="0" w:header="0"/>
          <w:type w:val="continuous"/>
        </w:sectPr>
      </w:pP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50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80" w:type="dxa"/>
            <w:vAlign w:val="bottom"/>
            <w:gridSpan w:val="5"/>
          </w:tcPr>
          <w:p>
            <w:pPr>
              <w:jc w:val="center"/>
              <w:spacing w:after="0"/>
              <w:rPr>
                <w:sz w:val="20"/>
                <w:szCs w:val="20"/>
                <w:color w:val="auto"/>
              </w:rPr>
            </w:pPr>
            <w:r>
              <w:rPr>
                <w:rFonts w:ascii="Times New Roman" w:cs="Times New Roman" w:eastAsia="Times New Roman" w:hAnsi="Times New Roman"/>
                <w:sz w:val="40"/>
                <w:szCs w:val="40"/>
                <w:b w:val="1"/>
                <w:bCs w:val="1"/>
                <w:color w:val="auto"/>
                <w:w w:val="98"/>
              </w:rPr>
              <w:t>Waste Management, Inc.</w:t>
            </w:r>
          </w:p>
        </w:tc>
        <w:tc>
          <w:tcPr>
            <w:tcW w:w="338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c>
          <w:tcPr>
            <w:tcW w:w="33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240" w:type="dxa"/>
            <w:vAlign w:val="bottom"/>
          </w:tcPr>
          <w:p>
            <w:pPr>
              <w:jc w:val="center"/>
              <w:ind w:left="3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tcPr>
          <w:p>
            <w:pPr>
              <w:jc w:val="center"/>
              <w:ind w:right="257"/>
              <w:spacing w:after="0"/>
              <w:rPr>
                <w:sz w:val="20"/>
                <w:szCs w:val="20"/>
                <w:color w:val="auto"/>
              </w:rPr>
            </w:pPr>
            <w:r>
              <w:rPr>
                <w:rFonts w:ascii="Times New Roman" w:cs="Times New Roman" w:eastAsia="Times New Roman" w:hAnsi="Times New Roman"/>
                <w:sz w:val="18"/>
                <w:szCs w:val="18"/>
                <w:b w:val="1"/>
                <w:bCs w:val="1"/>
                <w:color w:val="auto"/>
              </w:rPr>
              <w:t>73-1309529</w:t>
            </w:r>
          </w:p>
        </w:tc>
      </w:tr>
      <w:tr>
        <w:trPr>
          <w:trHeight w:val="270"/>
        </w:trPr>
        <w:tc>
          <w:tcPr>
            <w:tcW w:w="20" w:type="dxa"/>
            <w:vAlign w:val="bottom"/>
          </w:tcPr>
          <w:p>
            <w:pPr>
              <w:spacing w:after="0"/>
              <w:rPr>
                <w:sz w:val="23"/>
                <w:szCs w:val="23"/>
                <w:color w:val="auto"/>
              </w:rPr>
            </w:pPr>
          </w:p>
        </w:tc>
        <w:tc>
          <w:tcPr>
            <w:tcW w:w="3240" w:type="dxa"/>
            <w:vAlign w:val="bottom"/>
          </w:tcPr>
          <w:p>
            <w:pPr>
              <w:jc w:val="center"/>
              <w:ind w:left="397"/>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tcPr>
          <w:p>
            <w:pPr>
              <w:jc w:val="center"/>
              <w:ind w:right="257"/>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70"/>
        </w:trPr>
        <w:tc>
          <w:tcPr>
            <w:tcW w:w="20" w:type="dxa"/>
            <w:vAlign w:val="bottom"/>
          </w:tcPr>
          <w:p>
            <w:pPr>
              <w:spacing w:after="0"/>
              <w:rPr>
                <w:sz w:val="23"/>
                <w:szCs w:val="23"/>
                <w:color w:val="auto"/>
              </w:rPr>
            </w:pPr>
          </w:p>
        </w:tc>
        <w:tc>
          <w:tcPr>
            <w:tcW w:w="3240" w:type="dxa"/>
            <w:vAlign w:val="bottom"/>
          </w:tcPr>
          <w:p>
            <w:pPr>
              <w:jc w:val="center"/>
              <w:ind w:left="377"/>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380" w:type="dxa"/>
            <w:vAlign w:val="bottom"/>
          </w:tcPr>
          <w:p>
            <w:pPr>
              <w:jc w:val="center"/>
              <w:ind w:right="257"/>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39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800 Capitol Street</w:t>
            </w:r>
          </w:p>
        </w:tc>
        <w:tc>
          <w:tcPr>
            <w:tcW w:w="33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Suite 3000</w:t>
            </w:r>
          </w:p>
        </w:tc>
        <w:tc>
          <w:tcPr>
            <w:tcW w:w="338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Houston, Texas 77002</w:t>
            </w:r>
          </w:p>
        </w:tc>
        <w:tc>
          <w:tcPr>
            <w:tcW w:w="33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3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180" w:type="dxa"/>
            <w:vAlign w:val="bottom"/>
            <w:gridSpan w:val="3"/>
          </w:tcPr>
          <w:p>
            <w:pPr>
              <w:jc w:val="center"/>
              <w:ind w:left="396"/>
              <w:spacing w:after="0"/>
              <w:rPr>
                <w:sz w:val="20"/>
                <w:szCs w:val="20"/>
                <w:color w:val="auto"/>
              </w:rPr>
            </w:pPr>
            <w:r>
              <w:rPr>
                <w:rFonts w:ascii="Times New Roman" w:cs="Times New Roman" w:eastAsia="Times New Roman" w:hAnsi="Times New Roman"/>
                <w:sz w:val="18"/>
                <w:szCs w:val="18"/>
                <w:b w:val="1"/>
                <w:bCs w:val="1"/>
                <w:color w:val="auto"/>
                <w:w w:val="99"/>
              </w:rPr>
              <w:t>(713) 512-6200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6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380" w:type="dxa"/>
            <w:vAlign w:val="bottom"/>
          </w:tcPr>
          <w:p>
            <w:pPr>
              <w:spacing w:after="0"/>
              <w:rPr>
                <w:sz w:val="20"/>
                <w:szCs w:val="20"/>
                <w:color w:val="auto"/>
              </w:rPr>
            </w:pPr>
          </w:p>
        </w:tc>
      </w:tr>
      <w:tr>
        <w:trPr>
          <w:trHeight w:val="324"/>
        </w:trPr>
        <w:tc>
          <w:tcPr>
            <w:tcW w:w="78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3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324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38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2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32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WM</w:t>
            </w:r>
          </w:p>
        </w:tc>
        <w:tc>
          <w:tcPr>
            <w:tcW w:w="3380" w:type="dxa"/>
            <w:vAlign w:val="bottom"/>
          </w:tcPr>
          <w:p>
            <w:pPr>
              <w:jc w:val="center"/>
              <w:ind w:right="217"/>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27" w:right="339" w:bottom="1440" w:gutter="0" w:footer="0" w:header="0"/>
          <w:type w:val="continuous"/>
        </w:sectPr>
      </w:pPr>
    </w:p>
    <w:p>
      <w:pPr>
        <w:spacing w:after="0" w:line="95"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9100" w:space="720"/>
            <w:col w:w="1420"/>
          </w:cols>
          <w:pgMar w:left="320" w:top="1427"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320" w:space="720"/>
            <w:col w:w="2200"/>
          </w:cols>
          <w:pgMar w:left="320" w:top="1427" w:right="339" w:bottom="1440" w:gutter="0" w:footer="0" w:header="0"/>
          <w:type w:val="continuous"/>
        </w:sectPr>
      </w:pPr>
    </w:p>
    <w:p>
      <w:pPr>
        <w:spacing w:after="0" w:line="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$0.01 par value, of the registrant outstanding as of October 23, 2026 was 397,634,916 (excluding treasury shares of 232,647,545).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38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206"/>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$85 and $87, respectively</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receivables, net of allowance for doubtful accounts of $3 and $3,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206"/>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Parts and supplies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99"/>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and depletion of $25,838 and $25,096,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20,378</w:t>
            </w: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w:t>
            </w: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funds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entities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318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0" w:type="dxa"/>
            <w:vAlign w:val="bottom"/>
          </w:tcPr>
          <w:p>
            <w:pPr>
              <w:spacing w:after="0"/>
              <w:rPr>
                <w:sz w:val="1"/>
                <w:szCs w:val="1"/>
                <w:color w:val="auto"/>
              </w:rPr>
            </w:pPr>
          </w:p>
        </w:tc>
      </w:tr>
      <w:tr>
        <w:trPr>
          <w:trHeight w:val="206"/>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revenues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00"/>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22,196</w:t>
            </w: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Landfill and environmental remediation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w:t>
            </w: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35,844</w:t>
            </w:r>
          </w:p>
        </w:tc>
        <w:tc>
          <w:tcPr>
            <w:tcW w:w="0" w:type="dxa"/>
            <w:vAlign w:val="bottom"/>
          </w:tcPr>
          <w:p>
            <w:pPr>
              <w:spacing w:after="0"/>
              <w:rPr>
                <w:sz w:val="1"/>
                <w:szCs w:val="1"/>
                <w:color w:val="auto"/>
              </w:rPr>
            </w:pP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6)</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Waste Management, Inc. stockholders’ equity:</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stock, $0.01 par value; 1,500,000,000 shares authorized; 630,282,461 shares issued</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6"/>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5,676</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17,232</w:t>
            </w:r>
          </w:p>
        </w:tc>
        <w:tc>
          <w:tcPr>
            <w:tcW w:w="0" w:type="dxa"/>
            <w:vAlign w:val="bottom"/>
          </w:tcPr>
          <w:p>
            <w:pPr>
              <w:spacing w:after="0"/>
              <w:rPr>
                <w:sz w:val="1"/>
                <w:szCs w:val="1"/>
                <w:color w:val="auto"/>
              </w:rPr>
            </w:pPr>
          </w:p>
        </w:tc>
      </w:tr>
      <w:tr>
        <w:trPr>
          <w:trHeight w:val="206"/>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Treasury stock at cost, 232,564,661 and 227,340,757 shares,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(12,914)</w:t>
            </w:r>
          </w:p>
        </w:tc>
        <w:tc>
          <w:tcPr>
            <w:tcW w:w="0" w:type="dxa"/>
            <w:vAlign w:val="bottom"/>
          </w:tcPr>
          <w:p>
            <w:pPr>
              <w:spacing w:after="0"/>
              <w:rPr>
                <w:sz w:val="1"/>
                <w:szCs w:val="1"/>
                <w:color w:val="auto"/>
              </w:rPr>
            </w:pPr>
          </w:p>
        </w:tc>
      </w:tr>
      <w:tr>
        <w:trPr>
          <w:trHeight w:val="199"/>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Waste Management, Inc. stockholders’ equity</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9,867</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9,990</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9"/>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equity</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9,868</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9,991</w:t>
            </w: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143" w:right="3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2320" w:type="dxa"/>
            <w:vAlign w:val="bottom"/>
            <w:gridSpan w:val="4"/>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Pr>
          <w:p>
            <w:pPr>
              <w:spacing w:after="0"/>
              <w:rPr>
                <w:sz w:val="14"/>
                <w:szCs w:val="14"/>
                <w:color w:val="auto"/>
              </w:rPr>
            </w:pPr>
          </w:p>
        </w:tc>
      </w:tr>
      <w:tr>
        <w:trPr>
          <w:trHeight w:val="190"/>
        </w:trPr>
        <w:tc>
          <w:tcPr>
            <w:tcW w:w="5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60" w:type="dxa"/>
            <w:vAlign w:val="bottom"/>
            <w:gridSpan w:val="3"/>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3"/>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r>
      <w:tr>
        <w:trPr>
          <w:trHeight w:val="23"/>
        </w:trPr>
        <w:tc>
          <w:tcPr>
            <w:tcW w:w="5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9"/>
        </w:trPr>
        <w:tc>
          <w:tcPr>
            <w:tcW w:w="5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7"/>
                <w:szCs w:val="17"/>
                <w:color w:val="auto"/>
              </w:rPr>
            </w:pPr>
          </w:p>
        </w:tc>
      </w:tr>
      <w:tr>
        <w:trPr>
          <w:trHeight w:val="23"/>
        </w:trPr>
        <w:tc>
          <w:tcPr>
            <w:tcW w:w="5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19,757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18,891</w:t>
            </w:r>
          </w:p>
        </w:tc>
      </w:tr>
      <w:tr>
        <w:trPr>
          <w:trHeight w:val="204"/>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w:t>
            </w: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4,093</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11,742</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11,213</w:t>
            </w:r>
          </w:p>
        </w:tc>
      </w:tr>
      <w:tr>
        <w:trPr>
          <w:trHeight w:val="223"/>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2,048</w:t>
            </w: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6"/>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depletion, amortization and accretion</w:t>
            </w: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r>
      <w:tr>
        <w:trPr>
          <w:trHeight w:val="224"/>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(Gain) loss from divestitures, asset impairments and unusual items, net</w:t>
            </w: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7"/>
        </w:trPr>
        <w:tc>
          <w:tcPr>
            <w:tcW w:w="55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5,567</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5,454</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16,112</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15,738</w:t>
            </w:r>
          </w:p>
        </w:tc>
      </w:tr>
      <w:tr>
        <w:trPr>
          <w:trHeight w:val="33"/>
        </w:trPr>
        <w:tc>
          <w:tcPr>
            <w:tcW w:w="5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r>
      <w:tr>
        <w:trPr>
          <w:trHeight w:val="204"/>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6"/>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24"/>
        </w:trPr>
        <w:tc>
          <w:tcPr>
            <w:tcW w:w="5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5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r>
      <w:tr>
        <w:trPr>
          <w:trHeight w:val="217"/>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w:t>
            </w: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17"/>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net income</w:t>
            </w: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w:t>
            </w: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6"/>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8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7"/>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Waste Management, Inc.</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1,966</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76"/>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4"/>
        </w:trPr>
        <w:tc>
          <w:tcPr>
            <w:tcW w:w="5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380" w:type="dxa"/>
            <w:vAlign w:val="bottom"/>
            <w:gridSpan w:val="4"/>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5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5520" w:type="dxa"/>
            <w:vAlign w:val="bottom"/>
          </w:tcPr>
          <w:p>
            <w:pPr>
              <w:spacing w:after="0"/>
              <w:rPr>
                <w:sz w:val="16"/>
                <w:szCs w:val="16"/>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5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income</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w:t>
            </w:r>
          </w:p>
        </w:tc>
      </w:tr>
      <w:tr>
        <w:trPr>
          <w:trHeight w:val="206"/>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3"/>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Derivative instruments, net</w:t>
            </w: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7"/>
        </w:trPr>
        <w:tc>
          <w:tcPr>
            <w:tcW w:w="5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Available-for-sale securities, net</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3"/>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26"/>
        </w:trPr>
        <w:tc>
          <w:tcPr>
            <w:tcW w:w="5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Post-retirement benefit obligations, net</w:t>
            </w:r>
          </w:p>
        </w:tc>
        <w:tc>
          <w:tcPr>
            <w:tcW w:w="9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w:t>
            </w:r>
          </w:p>
        </w:tc>
      </w:tr>
      <w:tr>
        <w:trPr>
          <w:trHeight w:val="229"/>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w:t>
            </w:r>
          </w:p>
        </w:tc>
        <w:tc>
          <w:tcPr>
            <w:tcW w:w="9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Waste Management, Inc.</w:t>
            </w:r>
          </w:p>
        </w:tc>
        <w:tc>
          <w:tcPr>
            <w:tcW w:w="900" w:type="dxa"/>
            <w:vAlign w:val="bottom"/>
            <w:tcBorders>
              <w:top w:val="single" w:sz="8" w:color="auto"/>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w:t>
            </w:r>
          </w:p>
        </w:tc>
      </w:tr>
      <w:tr>
        <w:trPr>
          <w:trHeight w:val="20"/>
        </w:trPr>
        <w:tc>
          <w:tcPr>
            <w:tcW w:w="5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13335</wp:posOffset>
            </wp:positionV>
            <wp:extent cx="1791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79"/>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227"/>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r>
      <w:tr>
        <w:trPr>
          <w:trHeight w:val="199"/>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consolidated net income to net cash provided by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26"/>
        </w:trPr>
        <w:tc>
          <w:tcPr>
            <w:tcW w:w="8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depletion, amortization and accretion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w:t>
            </w:r>
          </w:p>
        </w:tc>
      </w:tr>
      <w:tr>
        <w:trPr>
          <w:trHeight w:val="233"/>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227"/>
        </w:trPr>
        <w:tc>
          <w:tcPr>
            <w:tcW w:w="8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Provision for bad debts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32"/>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27"/>
        </w:trPr>
        <w:tc>
          <w:tcPr>
            <w:tcW w:w="8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gain on disposal of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3"/>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loss from divestitures, asset impairments and other, net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193"/>
        </w:trPr>
        <w:tc>
          <w:tcPr>
            <w:tcW w:w="8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 in operating assets and liabilities, net of effects of acquisitions and divestitures: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26"/>
        </w:trPr>
        <w:tc>
          <w:tcPr>
            <w:tcW w:w="8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3"/>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27"/>
        </w:trPr>
        <w:tc>
          <w:tcPr>
            <w:tcW w:w="8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29"/>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revenues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23"/>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w:t>
            </w:r>
          </w:p>
        </w:tc>
      </w:tr>
      <w:tr>
        <w:trPr>
          <w:trHeight w:val="179"/>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227"/>
        </w:trPr>
        <w:tc>
          <w:tcPr>
            <w:tcW w:w="8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32"/>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r>
      <w:tr>
        <w:trPr>
          <w:trHeight w:val="227"/>
        </w:trPr>
        <w:tc>
          <w:tcPr>
            <w:tcW w:w="8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divestitures of businesses and other assets, net of cash divested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30"/>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23"/>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w:t>
            </w:r>
          </w:p>
        </w:tc>
      </w:tr>
      <w:tr>
        <w:trPr>
          <w:trHeight w:val="179"/>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227"/>
        </w:trPr>
        <w:tc>
          <w:tcPr>
            <w:tcW w:w="8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New borrowings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14,956</w:t>
            </w:r>
          </w:p>
        </w:tc>
      </w:tr>
      <w:tr>
        <w:trPr>
          <w:trHeight w:val="233"/>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repayments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(15,772)</w:t>
            </w:r>
          </w:p>
        </w:tc>
      </w:tr>
      <w:tr>
        <w:trPr>
          <w:trHeight w:val="227"/>
        </w:trPr>
        <w:tc>
          <w:tcPr>
            <w:tcW w:w="8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repurchase program</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dividends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r>
      <w:tr>
        <w:trPr>
          <w:trHeight w:val="226"/>
        </w:trPr>
        <w:tc>
          <w:tcPr>
            <w:tcW w:w="8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Exercise of common stock options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33"/>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 payments associated with equity-based compensation transactions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26"/>
        </w:trPr>
        <w:tc>
          <w:tcPr>
            <w:tcW w:w="8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r>
      <w:tr>
        <w:trPr>
          <w:trHeight w:val="223"/>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 and cash equivalents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(decrease) in cash, cash equivalents and restricted cash and cash equivalents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26"/>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and cash equivalents at beginning of period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51"/>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and cash equivalents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196"/>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restricted cash and cash equivalents at end of period:</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26"/>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3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and cash equivalents included in other current assets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26"/>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 and cash equivalents included in restricted funds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51"/>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and cash equivalents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 w:name="page5"/>
    <w:bookmarkEnd w:id="4"/>
    <w:p>
      <w:pPr>
        <w:spacing w:after="0" w:line="9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4"/>
            <w:vMerge w:val="restart"/>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840" w:type="dxa"/>
            <w:vAlign w:val="bottom"/>
            <w:gridSpan w:val="4"/>
            <w:vMerge w:val="restart"/>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820" w:type="dxa"/>
            <w:vAlign w:val="bottom"/>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120" w:type="dxa"/>
            <w:vAlign w:val="bottom"/>
            <w:gridSpan w:val="3"/>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8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jc w:val="right"/>
              <w:ind w:right="29"/>
              <w:spacing w:after="0" w:line="102"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80" w:type="dxa"/>
            <w:vAlign w:val="bottom"/>
          </w:tcPr>
          <w:p>
            <w:pPr>
              <w:spacing w:after="0"/>
              <w:rPr>
                <w:sz w:val="17"/>
                <w:szCs w:val="17"/>
                <w:color w:val="auto"/>
              </w:rPr>
            </w:pPr>
          </w:p>
        </w:tc>
        <w:tc>
          <w:tcPr>
            <w:tcW w:w="98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81"/>
        </w:trPr>
        <w:tc>
          <w:tcPr>
            <w:tcW w:w="2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CCEEFF"/>
            </w:tcBorders>
            <w:gridSpan w:val="3"/>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9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June 30, 2026</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9,926</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(230,315)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Consolidated net income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36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Other comprehensive income (loss), net</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of tax</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auto"/>
              </w:rPr>
              <w:t>Cash dividends declared of $0.945 per</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36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Equity-based compensation</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transactions, net</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 repurchase program</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Balance, September 30, 2026</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9,868</w:t>
            </w: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18,419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(232,565)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(14,407)</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June 30, 2025</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9,202</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(227,680)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Consolidated net income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36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Other comprehensive income (loss), net</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of tax</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auto"/>
              </w:rPr>
              <w:t>Cash dividends declared of $0.825 per</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36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Equity-based compensation</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transactions, net</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9,520</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(227,421)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(12,919)</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438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4"/>
            <w:vMerge w:val="restart"/>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840" w:type="dxa"/>
            <w:vAlign w:val="bottom"/>
            <w:gridSpan w:val="4"/>
            <w:vMerge w:val="restart"/>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180"/>
              <w:spacing w:after="0" w:line="10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820" w:type="dxa"/>
            <w:vAlign w:val="bottom"/>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120" w:type="dxa"/>
            <w:vAlign w:val="bottom"/>
            <w:gridSpan w:val="3"/>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8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jc w:val="right"/>
              <w:ind w:right="29"/>
              <w:spacing w:after="0" w:line="102"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80" w:type="dxa"/>
            <w:vAlign w:val="bottom"/>
          </w:tcPr>
          <w:p>
            <w:pPr>
              <w:spacing w:after="0"/>
              <w:rPr>
                <w:sz w:val="17"/>
                <w:szCs w:val="17"/>
                <w:color w:val="auto"/>
              </w:rPr>
            </w:pPr>
          </w:p>
        </w:tc>
        <w:tc>
          <w:tcPr>
            <w:tcW w:w="98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81"/>
        </w:trPr>
        <w:tc>
          <w:tcPr>
            <w:tcW w:w="2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CCEEFF"/>
            </w:tcBorders>
            <w:gridSpan w:val="3"/>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9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2025</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9,991</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(227,341)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Consolidated net income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36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Other comprehensive income (loss), net</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of tax</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auto"/>
              </w:rPr>
              <w:t>Cash dividends declared of $2.835 per</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36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Equity-based compensation</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transactions, net</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 repurchase program</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Acquisitions</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2026</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9,868</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(232,565)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8,254</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15,858</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(228,788)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(12,993)</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 net income</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auto"/>
              </w:rPr>
              <w:t>Other comprehensive income (loss), net</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40" w:type="dxa"/>
            <w:vAlign w:val="bottom"/>
            <w:vMerge w:val="restart"/>
          </w:tcPr>
          <w:p>
            <w:pPr>
              <w:ind w:left="720"/>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of tax</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360" w:type="dxa"/>
            <w:vAlign w:val="bottom"/>
            <w:gridSpan w:val="3"/>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Cash dividends declared of $2.475 per</w:t>
            </w:r>
          </w:p>
        </w:tc>
        <w:tc>
          <w:tcPr>
            <w:tcW w:w="1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share</w:t>
            </w: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6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color w:val="auto"/>
              </w:rPr>
              <w:t>Equity-based compensation</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transactions, net</w:t>
            </w: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9,520</w:t>
            </w: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(227,421)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(12,919)</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 w:name="page7"/>
    <w:bookmarkEnd w:id="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Renewable Energy segment, we are also a leading developer, operator and owner of landfill gas-to-energy facilities in the U.S. and Canada that produce renewable electricity and renewable natural gas (“RNG”), which is a significant source of fuel that we allocate to our natural gas fleet. Our Healthcare Solutions segment provides regulated waste and compliance services and secure information destruction services in the U.S., Canada and Western Europe that protect people and brands, promote health and well-being and safeguard the environment. Additionally, through our Recycling Processing and Sales segment, we are a leading recycler in the U.S. and Canada, handling materials that include paper, cardboard, glass, plastic and metal.</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senior management evaluates, oversees and manages the financial performance of our business through five reportable segments, referred to as (i) Collection and Disposal - East Tier (“East Tier”); (ii) Collection and Disposal - West Tier (“West Tier”); (iii) Recycling Processing and Sales; (iv) Renewable Energy and (v) Healthcare Solutions. Our East and West Tiers, along with certain ancillary services (“Other Ancillary”) that are not managed through our Tier segments, but that support our collection and disposal operations, form our “Collection and Disposal” business. We also provide additional services not managed through our five reportable segments, which are presented as Corporate and Other. Refer to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for further discussion.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as of September 30, 2026 for the three and nine months ended September 30, 2026 and 2025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2025.</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transfer stations or processing facilities; or recycling and other commodities, such as RNG, electricity and capacity, Renewable Identification Numbers (“RINs”) and Renewable Energy Credits (“RECs”), are sold. Compliance services revenues are recognized over the contractual service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We also bill for certain services prior to performance. Such services include, among others, certain commercial and residential contracts and equipment rentals. These advanced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16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 As of September 30, 2026 and December 31, 2025, we had $246 million and $237 million, respectively, of deferred contract costs, of which $193 million and $177 million, respectively, were related to deferred sales incentives.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Amounts for our operating lease right-of-use assets are recorded in other long-term assets and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depletion, and current or long-term debt in our Condensed Consolidated Balance Sheets, as appropriate.</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restricted funds, and accounts and other receivables.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with the current year presentation, including the reclassification of interest accretion on landfill and environmental remediation liabilities from operating expenses to depreciation, depletion, amortization and accretion in our Condensed Consolidated Statements of Operations. These reclassifications are not material to our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Adoption of New Accounting Standards in </w:t>
      </w:r>
      <w:r>
        <w:rPr>
          <w:rFonts w:ascii="Times New Roman" w:cs="Times New Roman" w:eastAsia="Times New Roman" w:hAnsi="Times New Roman"/>
          <w:sz w:val="18"/>
          <w:szCs w:val="18"/>
          <w:b w:val="1"/>
          <w:bCs w:val="1"/>
          <w:color w:val="auto"/>
        </w:rPr>
        <w:t>2026</w:t>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Improvements to Measurement of Credit Losses for Accounts Receivable and Contract Assets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2025, the Financial Accounting Standards Board (“FASB”) issued Accounting Standards Update (“ASU”) 2025-05, “Financial Instruments – Credit Losses (Topic 326): Measurement of Credit Losses for Account Receivable and Contract Assets” (“ASU 2025-05”), which simplifies the estimation of expected credit losses for current accounts receivable and current contract assets arising from transactions accounted for under Accounting Standards Codification 606, Revenue from Contracts with Customers. The amendments permit entities to elect a practical expedient to assume the current conditions as of the balance sheet date will remain unchanged for the remaining life of the asset when developing a reasonable and supportable forecast for purposes of estimating expected credit losses. The Company adopted ASU 2025-05 on a prospective basis and elected the practical expedient during the quarter ended March 31, 2026. The adoption of the amended guidance did not have a material impact on our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 w:name="page9"/>
    <w:bookmarkEnd w:id="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Landfill and Environmental Remediation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for landfill and environmental remediation costs are presented in the table below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2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1"/>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0"/>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280" w:type="dxa"/>
            <w:vAlign w:val="bottom"/>
          </w:tcPr>
          <w:p>
            <w:pPr>
              <w:spacing w:after="0"/>
              <w:rPr>
                <w:sz w:val="16"/>
                <w:szCs w:val="16"/>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6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89"/>
        </w:trPr>
        <w:tc>
          <w:tcPr>
            <w:tcW w:w="29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nine months ended September 30, 2026 are reflected in the table below (in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Environmental</w:t>
            </w:r>
          </w:p>
        </w:tc>
      </w:tr>
      <w:tr>
        <w:trPr>
          <w:trHeight w:val="190"/>
        </w:trPr>
        <w:tc>
          <w:tcPr>
            <w:tcW w:w="8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Remediation</w:t>
            </w:r>
          </w:p>
        </w:tc>
      </w:tr>
      <w:tr>
        <w:trPr>
          <w:trHeight w:val="23"/>
        </w:trPr>
        <w:tc>
          <w:tcPr>
            <w:tcW w:w="8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63"/>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0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Obligations settled</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accretion</w:t>
            </w:r>
          </w:p>
        </w:tc>
        <w:tc>
          <w:tcPr>
            <w:tcW w:w="10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Revisions in estimates</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4"/>
        </w:trPr>
        <w:tc>
          <w:tcPr>
            <w:tcW w:w="81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3,366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several of our landfills, we provide financial assurance by depositing cash into restricted trust funds for purposes of settling final capping, closure, post-closure and environmental remediation obligations. Generally, these trust funds are established to comply with statutory requirements and operating agreements.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for additional information related to these trusts.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Debt and Derivatives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at principal amounts as of each balance sheet date (in millions) and provides the maturities and interest rate ranges of each major category as of September 30,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 program (weighted average interest rate of 4.01% as of September 30, 2026 and 4.05% as of</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34"/>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maturing through 2054, interest rates ranging from 1.15% to 7.75%</w:t>
            </w:r>
          </w:p>
        </w:tc>
        <w:tc>
          <w:tcPr>
            <w:tcW w:w="20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0" w:type="dxa"/>
            <w:vAlign w:val="bottom"/>
          </w:tcPr>
          <w:p>
            <w:pPr>
              <w:spacing w:after="0"/>
              <w:rPr>
                <w:sz w:val="1"/>
                <w:szCs w:val="1"/>
                <w:color w:val="auto"/>
              </w:rPr>
            </w:pPr>
          </w:p>
        </w:tc>
      </w:tr>
      <w:tr>
        <w:trPr>
          <w:trHeight w:val="234"/>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of 4.23% as of September 30, 2026 and 4.28% as of December 31, 2025)</w:t>
            </w:r>
          </w:p>
        </w:tc>
        <w:tc>
          <w:tcPr>
            <w:tcW w:w="2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senior notes, C$500 million, redeemed July 2026, interest rate of 2.60%</w:t>
            </w: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6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senior notes, C$700 million, maturing July 2033, interest rate of 3.944%</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Tax-exempt bonds, maturing through 2055, fixed and variable interest rates ranging from 0.95% to 4.60%</w:t>
            </w:r>
          </w:p>
        </w:tc>
        <w:tc>
          <w:tcPr>
            <w:tcW w:w="200" w:type="dxa"/>
            <w:vAlign w:val="bottom"/>
            <w:shd w:val="clear" w:color="auto" w:fill="CCEEFF"/>
          </w:tcPr>
          <w:p>
            <w:pPr>
              <w:spacing w:after="0"/>
              <w:rPr>
                <w:sz w:val="21"/>
                <w:szCs w:val="21"/>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34"/>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 of 3.25% as of September 30, 2026 and 3.41% as of December 31, 2025)</w:t>
            </w:r>
          </w:p>
        </w:tc>
        <w:tc>
          <w:tcPr>
            <w:tcW w:w="20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leases and other, maturing through 2075 (weighted average interest rate of 4.91% as of September 30,</w:t>
            </w:r>
          </w:p>
        </w:tc>
        <w:tc>
          <w:tcPr>
            <w:tcW w:w="20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34"/>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and 4.83% as of December 31, 2025)</w:t>
            </w:r>
          </w:p>
        </w:tc>
        <w:tc>
          <w:tcPr>
            <w:tcW w:w="2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63"/>
        </w:trPr>
        <w:tc>
          <w:tcPr>
            <w:tcW w:w="8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7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21,846</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9" w:name="page10"/>
    <w:bookmarkEnd w:id="9"/>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2026, we had approximately $4.4 billion of debt maturing within the next 12 months, including (i) $2.2 billion of tax-exempt bonds with term interest rate periods that expire within the next 12 months, which is prior to their scheduled maturities; (ii) $1.2 billion of short-term borrowings under our commercial paper program (net of related discount on issuance); (iii) $750 million of 4.95% senior notes that mature in July 2027 and (iv) $211 million of other debt with scheduled maturities within the next 12 months. As of September 30, 2026, we have classified $2.9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$1.5 billion of debt maturing in the next 12 months is classified as current obligations.</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and Commercial Paper Program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$3.5 Billion Revolving Credit Facility — </w:t>
      </w:r>
      <w:r>
        <w:rPr>
          <w:rFonts w:ascii="Times New Roman" w:cs="Times New Roman" w:eastAsia="Times New Roman" w:hAnsi="Times New Roman"/>
          <w:sz w:val="18"/>
          <w:szCs w:val="18"/>
          <w:color w:val="auto"/>
        </w:rPr>
        <w:t>Our $3.5 billion revolving credit facility, maturing May 2029, provides us with credit capacity to be used for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to support letters of credit and to support our commercial paper program. The interest rates we pay on outstanding U.S. or Canadian loans are based on a secured overnight financing rate administered by the Federal Reserve Bank of New York (“SOFR”) or the Canadian Overnight Repo Rate Average (“CORRA”) administered by the Bank of Canada, respectively, plus a spread depending on our senior public debt rating assigned by Moody’s Investors Service, Inc. and Standard and Poor’s Global Ratings. The spread above SOFR or CORRA can range from 0.585% to 1.025% per annum, plus applicable credit adjustments. We also pay certain other fees set forth in the $3.5 billion revolving credit facility agreement, including a facility fee based on the aggregate commitment, regardless of usage. As of September 30, 2026, we had no outstanding borrowings under this facility. We had $1.2 billion of outstanding borrowings (net of related discount on issuance) under our commercial paper program and $229 million of letters of credit issued, both supported by the facility, leaving unused and available credit capacity of $2.0 billion as of September 30, 2026. WM Holdings, Inc. (“WM Holdings”), a wholly-owned subsidiary of WMI, guarantees all the obligations under the $3.5 billion revolving credit facility.</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 397 days at competitive interest rates.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we pay for outstanding borrowings are based on the term of the notes. The commercial paper program is fully supported by our $3.5 billion revolving credit facility. As of September 30, 2026, we had $1.2 billion of outstanding borrowings (net of related discount on issuance) under our commercial paper program.</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Lines — </w:t>
      </w:r>
      <w:r>
        <w:rPr>
          <w:rFonts w:ascii="Times New Roman" w:cs="Times New Roman" w:eastAsia="Times New Roman" w:hAnsi="Times New Roman"/>
          <w:sz w:val="18"/>
          <w:szCs w:val="18"/>
          <w:color w:val="auto"/>
        </w:rPr>
        <w:t>As of September 30, 2026, we had utilized $944 million of other uncommitted letter of credit lines, with terms maturing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December 2029.</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During the nine months ended September 30, 2026, we made cash repayments of $17.9 billion, which were offset by $18.1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of cash borrowings (net of related discount on issuance) used for general corporate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We repaid $223 million of 7.10% senior notes upon maturity in August 2026.</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Canadian Senior Notes — </w:t>
      </w:r>
      <w:r>
        <w:rPr>
          <w:rFonts w:ascii="Times New Roman" w:cs="Times New Roman" w:eastAsia="Times New Roman" w:hAnsi="Times New Roman"/>
          <w:sz w:val="18"/>
          <w:szCs w:val="18"/>
          <w:color w:val="auto"/>
        </w:rPr>
        <w:t>In June 2026, Waste Management of Canada Corporation, an indirect wholly-owned subsidiary of WM, issued C$700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$493 million, of 3.944% senior notes due July 15, 2033, all of which are fully and unconditionally guaranteed on a senior unsecured basis by WM and WM Holdings. The net proceeds from the debt issuance were C$696 million, or $490 million, which were used to redeem the previously outstanding C$500 million 2.60% Canadian senior notes that would have matured in September 2026 and for general corporate purposes.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Tax-Exempt Bonds — </w:t>
      </w:r>
      <w:r>
        <w:rPr>
          <w:rFonts w:ascii="Times New Roman" w:cs="Times New Roman" w:eastAsia="Times New Roman" w:hAnsi="Times New Roman"/>
          <w:sz w:val="18"/>
          <w:szCs w:val="18"/>
          <w:color w:val="auto"/>
        </w:rPr>
        <w:t>We issued $100 million of tax-exempt bonds in the three months ended September 30, 2026. The proceeds from the issuance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were deposited directly into a restricted trust fund to be used for the specific purpose for which the money was raised, which is generally to finance expenditures for solid waste disposal and recycling facility construction and development.</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Leases and Other </w:t>
      </w:r>
      <w:r>
        <w:rPr>
          <w:rFonts w:ascii="Times New Roman" w:cs="Times New Roman" w:eastAsia="Times New Roman" w:hAnsi="Times New Roman"/>
          <w:sz w:val="18"/>
          <w:szCs w:val="18"/>
          <w:color w:val="auto"/>
        </w:rPr>
        <w:t>— The increase in our financing leases and other debt obligations for the nine months ended September 30, 2026 is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$499 million of new, non-cash, finance lease and financing activity, partially offset by $153 million of cash repayments of debt at maturity.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 w:name="page11"/>
    <w:bookmarkEnd w:id="10"/>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2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Interest Rate Swaps </w:t>
      </w:r>
      <w:r>
        <w:rPr>
          <w:rFonts w:ascii="Times New Roman" w:cs="Times New Roman" w:eastAsia="Times New Roman" w:hAnsi="Times New Roman"/>
          <w:sz w:val="18"/>
          <w:szCs w:val="18"/>
          <w:color w:val="auto"/>
        </w:rPr>
        <w:t>— We use interest rate swaps to manage our exposure to changes in the fair value of certain of our fixed-rate senior notes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changes in benchmark interest rates. During the nine months ended September 30, 2026, we entered into interest rate swaps with an aggregate notional amount of $750 million, under which we receive fixed interest rates and pay floating interest rates based on SOFR plus a spread, maturing on dates ranging from September 2034 through October 2038. We had no interest rate swaps outstanding as of December 31, 2025. These swaps are designated as fair value hedges and as such, changes in the fair value of the swaps are offset by changes in the carrying value of the hedged senior notes attributable to the hedged risk. As of September 30, 2026, the fair value of the swaps was a liability of $42 million, reflected within Other long-term liabilities on the Company's Condensed Consolidated Balance Sheets, with a corresponding $42 million reduction to the carrying amount of the hedged senior notes.</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21.5% and 21.3% for the three and nine months ended September 30, 2026, respectively, compared to 22.2% and 21.0% for the three and nine months ended September 30, 2025,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our effective income tax rate when comparing the three months ended September 30, 2026 and 2025 was primarily driven by favorable adjustments to accruals and related deferred taxes, partially offset by a decrease in investment tax credits.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our effective income tax rate when comparing the nine months ended September 30, 2026 and 2025 was primarily driven by a decrease in investment tax credits, partially offset by favorable adjustments to accruals and related deferred taxes and the recognition of clean fuel production tax credits at our RNG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evaluate our effective income tax rate at each interim period and adjust it as facts and circumstances warrant.</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Investments Qualifying for Federal Tax Credits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Renewable Natural Gas </w:t>
      </w:r>
      <w:r>
        <w:rPr>
          <w:rFonts w:ascii="Times New Roman" w:cs="Times New Roman" w:eastAsia="Times New Roman" w:hAnsi="Times New Roman"/>
          <w:sz w:val="18"/>
          <w:szCs w:val="18"/>
          <w:color w:val="auto"/>
        </w:rPr>
        <w:t>— Through our Renewable Energy segment, we have invested in building landfill gas-to-energy facilities in the U.S. and Canada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produce renewable electricity and RNG. Our RNG facilities in the U.S. qualify for investment tax credits and clean fuel production tax credits, pursuant to Sections 48 and 45Z of the Internal Revenue Code, which we expect to realize through 2027 and 2029, respectively.</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recognized a reduction in our income tax expense of $31 million and $84 million, respectively, due to investment tax credits from our RNG investments compared to $49 million and $138 million, respectively, for the comparable prior year periods.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recognized a reduction in our income tax expense of $16 million and $60 million, respectively, related to clean fuel production tax credits from our RNG production and sales activity, with $33 million attributable to production and sales during the nine months ended September 30, 2026 and $27 million attributable to 2025 operations. The timing of the recognition of these production tax credits resulted from the issuance of proposed Treasury regulations during the first quarter of 2026 that clarified the qualification of our RNG sales for the credit.</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Low-Income Housing </w:t>
      </w:r>
      <w:r>
        <w:rPr>
          <w:rFonts w:ascii="Times New Roman" w:cs="Times New Roman" w:eastAsia="Times New Roman" w:hAnsi="Times New Roman"/>
          <w:sz w:val="18"/>
          <w:szCs w:val="18"/>
          <w:color w:val="auto"/>
        </w:rPr>
        <w:t>— We have significant financial interests in entities established to invest in and manage low-income housing properties. We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operations of these entities in exchange for a pro-rata share of the tax credits they generate. The low-income housing investments qualify for federal tax credits that we expect to realize through 2038 pursuant to Sections 42 and 45D of the Internal Revenue Code.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we recognized income tax expense of $27 million and $75 million, respectively, related to amortization under ASU 2023-02, “Investments - Equity Method and Joint Ventures (Topic 323): Accounting for Investments in Tax Credit Structures Using the Proportional Amortization Method” (“ASU 2023-02”) and a reduction in our income tax expense of $37 million and $102 million, respectively, primarily due to federal tax credits realized from these investments. In addition, during the three and nine months ended September 30, 2026, we recognized interest expense of $7 million and $22 million, respectively, associated with our investments in low-income housing properties.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recognized income tax expense of $26 million and $71 million, respectively, related to amortization under ASU 2023-02 and a reduction in our income tax expense of $37 million and $99 million, respectively, primarily due to federal tax credits realized from these investments. In addition, during the three and nine months ended September 30, 2025, we recognized interest expense of $8 million and $25 million, respectively, associated with our investments in low-income housing properties.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for additional information related to these unconsolidated variable interest entities.</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for the three and nine months ended September 30 were computed using the following common share data (shares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100" w:type="dxa"/>
            <w:vAlign w:val="bottom"/>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6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3"/>
          </w:tcPr>
          <w:p>
            <w:pPr>
              <w:jc w:val="center"/>
              <w:ind w:left="7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6820" w:type="dxa"/>
            <w:vAlign w:val="bottom"/>
            <w:gridSpan w:val="2"/>
          </w:tcPr>
          <w:p>
            <w:pPr>
              <w:ind w:left="652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0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64"/>
        </w:trPr>
        <w:tc>
          <w:tcPr>
            <w:tcW w:w="6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r>
      <w:tr>
        <w:trPr>
          <w:trHeight w:val="225"/>
        </w:trPr>
        <w:tc>
          <w:tcPr>
            <w:tcW w:w="6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1"/>
        </w:trPr>
        <w:tc>
          <w:tcPr>
            <w:tcW w:w="6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issuable shares</w:t>
            </w: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1"/>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anti-dilutive potentially issuable shares excluded from diluted common</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48"/>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u w:val="single" w:color="auto"/>
          <w:color w:val="0000FF"/>
        </w:rPr>
        <w:t>Condensed Consolidated Statements of Operations</w:t>
      </w:r>
      <w:r>
        <w:rPr>
          <w:rFonts w:ascii="Times New Roman" w:cs="Times New Roman" w:eastAsia="Times New Roman" w:hAnsi="Times New Roman"/>
          <w:sz w:val="18"/>
          <w:szCs w:val="18"/>
          <w:color w:val="auto"/>
        </w:rPr>
        <w:t xml:space="preserve"> for net income attributable to Waste Management, Inc.</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Commitments and Contingencies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 trust funds and issued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 general liability, automobile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In the ordinary course of our business, WMI and WM Holdings enter into guarantee agreements associated with their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2026,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18 of our landfills. We have also agreed to indemnify certain third-party purchasers against liabilities associated with divested operations prior to such sale. We do not believe that the remaining contingent obligations will have a material adverse effect on the Company’s business, financial condition, results of operations or cash flows.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 as costs of environmental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$18 million higher than the $220 million recorded in the Condensed Consolidated Balance Sheet as of September 30, 2026.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2026, we had been notified by the government that we are a PRP in connection with 75 locations listed on the Environmental Protection Agency’s (“EPA’s”) Superfund National Priorities List, or NPL. Of the 75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formally established, MIMC and IPC have entered into an agreement to fund those costs equally. In November 2024, MIMC and IPC publicly issued a proposed revised full remedial design that was approved by the EPA in September 2025. The EPA issued a Unilateral Administrative Order for the site cleanup in April 2026. The issuance of this order was anticipated, and MIMC and IPC have communicated to the EPA their intention to comply and engaged a remedial contractor to perform the proposed remedy. As of September 30, 2026 and December 31, 2025, the recorded liability was approximately $100 million. MIMC’s ultimate liability could be materially different from current estimates, including potential increases resulting from MIMC’s continued engagement with the EPA as construction proceeds.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The following matter is disclosed in accordance with that requirement. We do not currently believe that the eventual outcome of this matter will have a material adverse effect on the Company’s business, financial condition, results of operations or cash flows.</w:t>
      </w:r>
    </w:p>
    <w:p>
      <w:pPr>
        <w:spacing w:after="0" w:line="174" w:lineRule="exact"/>
        <w:rPr>
          <w:sz w:val="20"/>
          <w:szCs w:val="20"/>
          <w:color w:val="auto"/>
        </w:rPr>
      </w:pPr>
    </w:p>
    <w:p>
      <w:pPr>
        <w:jc w:val="both"/>
        <w:ind w:left="340"/>
        <w:spacing w:after="0" w:line="245" w:lineRule="auto"/>
        <w:rPr>
          <w:sz w:val="20"/>
          <w:szCs w:val="20"/>
          <w:color w:val="auto"/>
        </w:rPr>
      </w:pPr>
      <w:r>
        <w:rPr>
          <w:rFonts w:ascii="Times New Roman" w:cs="Times New Roman" w:eastAsia="Times New Roman" w:hAnsi="Times New Roman"/>
          <w:sz w:val="18"/>
          <w:szCs w:val="18"/>
          <w:color w:val="auto"/>
        </w:rPr>
        <w:t>On April 26, 2026, the Delaware Department of Natural Resources and Environmental Control issued an order against Delaware Recyclable Products, Inc., an indirect, wholly-owned subsidiary of WMI, alleging certain environmental violations related to landfill cover and erosion control, stormwater management, the management of prohibited waste, and other permitting and operational matters. The order seeks compliance with a modified permit, certain remedial actions and the payment of an administrative penalty. Our appeal of this order is pending.</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We are subject to various proceedings, lawsuits, disputes and claims arising in the ordinary course of our business. Many of these actions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jc w:val="both"/>
        <w:spacing w:after="0" w:line="255" w:lineRule="auto"/>
        <w:rPr>
          <w:sz w:val="20"/>
          <w:szCs w:val="20"/>
          <w:color w:val="auto"/>
        </w:rPr>
      </w:pPr>
      <w:r>
        <w:rPr>
          <w:rFonts w:ascii="Times New Roman" w:cs="Times New Roman" w:eastAsia="Times New Roman" w:hAnsi="Times New Roman"/>
          <w:sz w:val="18"/>
          <w:szCs w:val="18"/>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15% of our workforce is covered by collective bargaining agreements with various local unions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the U.S. and Canada, and certain parts of Europe.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Times New Roman" w:cs="Times New Roman" w:eastAsia="Times New Roman" w:hAnsi="Times New Roman"/>
          <w:sz w:val="18"/>
          <w:szCs w:val="18"/>
          <w:color w:val="auto"/>
        </w:rPr>
        <w:t>We maintain a liability for uncertain tax positions, the balance of which management believes is adequate. Results of audit assessments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and in response to that notice, the Company placed a deposit of approximately $103 million with the IRS. The Company filed a claim for refund of the entire deposit in the fourth quarter of 2024 and received a partial refund of approximately $14 million plus interest from the IRS in the second quarter of 2026. We expect to litigate any denial of the claim for refund of the remaining deposit. As of September 30, 2026 and December 31, 2025, the IRS deposit of $89 million and $103 million, respectively, was classified as a component of other long-term assets in the Company’s Condensed Consolidated Balance Sheets.</w:t>
      </w:r>
    </w:p>
    <w:p>
      <w:pPr>
        <w:spacing w:after="0" w:line="1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Segment and Related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East Tier; (ii) West Tier; (iii) Recycling Processing and Sales; (iv) Renewable Energy and (v) Healthcare Solutions. Our East and West Tiers along with Other Ancillary services that are not managed through our Tier segments, but that support our collection and disposal operations, form our “Collection and Disposal” business. We also provide additional services not managed through our five reportable segments, which are presented as Corporate and Other.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for the three and nine months ended September 30 is shown in the following table (in millions):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Depreciation,</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100" w:type="dxa"/>
            <w:vAlign w:val="bottom"/>
          </w:tcPr>
          <w:p>
            <w:pPr>
              <w:spacing w:after="0"/>
              <w:rPr>
                <w:sz w:val="10"/>
                <w:szCs w:val="10"/>
                <w:color w:val="auto"/>
              </w:rPr>
            </w:pPr>
          </w:p>
        </w:tc>
        <w:tc>
          <w:tcPr>
            <w:tcW w:w="9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Intercompany</w:t>
            </w: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rPr>
              <w:t>Gross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Selling,</w:t>
            </w: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10"/>
                <w:szCs w:val="10"/>
                <w:color w:val="auto"/>
              </w:rPr>
            </w:pPr>
          </w:p>
        </w:tc>
        <w:tc>
          <w:tcPr>
            <w:tcW w:w="10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Depletion,</w:t>
            </w:r>
          </w:p>
        </w:tc>
        <w:tc>
          <w:tcPr>
            <w:tcW w:w="120" w:type="dxa"/>
            <w:vAlign w:val="bottom"/>
          </w:tcPr>
          <w:p>
            <w:pPr>
              <w:spacing w:after="0"/>
              <w:rPr>
                <w:sz w:val="10"/>
                <w:szCs w:val="10"/>
                <w:color w:val="auto"/>
              </w:rPr>
            </w:pPr>
          </w:p>
        </w:tc>
        <w:tc>
          <w:tcPr>
            <w:tcW w:w="840" w:type="dxa"/>
            <w:vAlign w:val="bottom"/>
          </w:tcPr>
          <w:p>
            <w:pPr>
              <w:jc w:val="center"/>
              <w:ind w:right="39"/>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9"/>
              <w:spacing w:after="0" w:line="122" w:lineRule="exact"/>
              <w:rPr>
                <w:sz w:val="20"/>
                <w:szCs w:val="20"/>
                <w:color w:val="auto"/>
              </w:rPr>
            </w:pPr>
            <w:r>
              <w:rPr>
                <w:rFonts w:ascii="Times New Roman" w:cs="Times New Roman" w:eastAsia="Times New Roman" w:hAnsi="Times New Roman"/>
                <w:sz w:val="11"/>
                <w:szCs w:val="11"/>
                <w:b w:val="1"/>
                <w:bCs w:val="1"/>
                <w:color w:val="auto"/>
                <w:w w:val="97"/>
              </w:rPr>
              <w:t>Capital</w:t>
            </w:r>
          </w:p>
        </w:tc>
      </w:tr>
      <w:tr>
        <w:trPr>
          <w:trHeight w:val="121"/>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Operating</w:t>
            </w:r>
          </w:p>
        </w:tc>
        <w:tc>
          <w:tcPr>
            <w:tcW w:w="100" w:type="dxa"/>
            <w:vAlign w:val="bottom"/>
          </w:tcPr>
          <w:p>
            <w:pPr>
              <w:spacing w:after="0"/>
              <w:rPr>
                <w:sz w:val="10"/>
                <w:szCs w:val="10"/>
                <w:color w:val="auto"/>
              </w:rPr>
            </w:pPr>
          </w:p>
        </w:tc>
        <w:tc>
          <w:tcPr>
            <w:tcW w:w="9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Operating</w:t>
            </w: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Operating</w:t>
            </w:r>
          </w:p>
        </w:tc>
        <w:tc>
          <w:tcPr>
            <w:tcW w:w="100" w:type="dxa"/>
            <w:vAlign w:val="bottom"/>
          </w:tcPr>
          <w:p>
            <w:pPr>
              <w:spacing w:after="0"/>
              <w:rPr>
                <w:sz w:val="10"/>
                <w:szCs w:val="10"/>
                <w:color w:val="auto"/>
              </w:rPr>
            </w:pPr>
          </w:p>
        </w:tc>
        <w:tc>
          <w:tcPr>
            <w:tcW w:w="7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Operating</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General and</w:t>
            </w: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16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Amortization</w:t>
            </w:r>
          </w:p>
        </w:tc>
        <w:tc>
          <w:tcPr>
            <w:tcW w:w="120" w:type="dxa"/>
            <w:vAlign w:val="bottom"/>
          </w:tcPr>
          <w:p>
            <w:pPr>
              <w:spacing w:after="0"/>
              <w:rPr>
                <w:sz w:val="10"/>
                <w:szCs w:val="10"/>
                <w:color w:val="auto"/>
              </w:rPr>
            </w:pPr>
          </w:p>
        </w:tc>
        <w:tc>
          <w:tcPr>
            <w:tcW w:w="840" w:type="dxa"/>
            <w:vAlign w:val="bottom"/>
          </w:tcPr>
          <w:p>
            <w:pPr>
              <w:jc w:val="center"/>
              <w:ind w:right="59"/>
              <w:spacing w:after="0" w:line="122" w:lineRule="exact"/>
              <w:rPr>
                <w:sz w:val="20"/>
                <w:szCs w:val="20"/>
                <w:color w:val="auto"/>
              </w:rPr>
            </w:pPr>
            <w:r>
              <w:rPr>
                <w:rFonts w:ascii="Times New Roman" w:cs="Times New Roman" w:eastAsia="Times New Roman" w:hAnsi="Times New Roman"/>
                <w:sz w:val="11"/>
                <w:szCs w:val="11"/>
                <w:b w:val="1"/>
                <w:bCs w:val="1"/>
                <w:color w:val="auto"/>
              </w:rPr>
              <w:t>from</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9"/>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Expenditures</w:t>
            </w:r>
          </w:p>
        </w:tc>
      </w:tr>
      <w:tr>
        <w:trPr>
          <w:trHeight w:val="142"/>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Revenues</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Revenues(a)</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Revenues</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Expenses</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Administrative</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Expenses(b)</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and Accretion</w:t>
            </w:r>
          </w:p>
        </w:tc>
        <w:tc>
          <w:tcPr>
            <w:tcW w:w="120" w:type="dxa"/>
            <w:vAlign w:val="bottom"/>
          </w:tcPr>
          <w:p>
            <w:pPr>
              <w:spacing w:after="0"/>
              <w:rPr>
                <w:sz w:val="12"/>
                <w:szCs w:val="12"/>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8"/>
              </w:rPr>
              <w:t>Operations(c)</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9"/>
        </w:trPr>
        <w:tc>
          <w:tcPr>
            <w:tcW w:w="20" w:type="dxa"/>
            <w:vAlign w:val="bottom"/>
            <w:tcBorders>
              <w:bottom w:val="single" w:sz="8" w:color="CCEEFF"/>
            </w:tcBorders>
            <w:shd w:val="clear" w:color="auto" w:fill="CCEEFF"/>
          </w:tcPr>
          <w:p>
            <w:pPr>
              <w:spacing w:after="0"/>
              <w:rPr>
                <w:sz w:val="12"/>
                <w:szCs w:val="12"/>
                <w:color w:val="auto"/>
              </w:rPr>
            </w:pPr>
          </w:p>
        </w:tc>
        <w:tc>
          <w:tcPr>
            <w:tcW w:w="19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4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r>
      <w:tr>
        <w:trPr>
          <w:trHeight w:val="193"/>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Collection and Disposal:</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East Tier</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6"/>
                <w:szCs w:val="16"/>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r>
      <w:tr>
        <w:trPr>
          <w:trHeight w:val="210"/>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West Tier</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r>
      <w:tr>
        <w:trPr>
          <w:trHeight w:val="196"/>
        </w:trPr>
        <w:tc>
          <w:tcPr>
            <w:tcW w:w="20" w:type="dxa"/>
            <w:vAlign w:val="bottom"/>
          </w:tcPr>
          <w:p>
            <w:pPr>
              <w:spacing w:after="0"/>
              <w:rPr>
                <w:sz w:val="17"/>
                <w:szCs w:val="17"/>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Other Ancillary</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2360" w:type="dxa"/>
            <w:vAlign w:val="bottom"/>
            <w:tcBorders>
              <w:top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Collection and Disposal(e)(f)(g)</w:t>
            </w: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r>
      <w:tr>
        <w:trPr>
          <w:trHeight w:val="195"/>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Recycling Processing and Sales(e)</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210"/>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Renewable Energy(f)</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95"/>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Healthcare Solutions(g)</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204"/>
        </w:trPr>
        <w:tc>
          <w:tcPr>
            <w:tcW w:w="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Other(f)</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9"/>
        </w:trPr>
        <w:tc>
          <w:tcPr>
            <w:tcW w:w="20" w:type="dxa"/>
            <w:vAlign w:val="bottom"/>
          </w:tcPr>
          <w:p>
            <w:pPr>
              <w:spacing w:after="0"/>
              <w:rPr>
                <w:sz w:val="16"/>
                <w:szCs w:val="16"/>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6"/>
                <w:szCs w:val="16"/>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Intercompany Elimination(a)</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4"/>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9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7"/>
              </w:rPr>
              <w:t>Depreciation,</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Intercompany</w:t>
            </w: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Selling,</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Depletion,</w:t>
            </w:r>
          </w:p>
        </w:tc>
        <w:tc>
          <w:tcPr>
            <w:tcW w:w="120" w:type="dxa"/>
            <w:vAlign w:val="bottom"/>
          </w:tcPr>
          <w:p>
            <w:pPr>
              <w:spacing w:after="0"/>
              <w:rPr>
                <w:sz w:val="14"/>
                <w:szCs w:val="14"/>
                <w:color w:val="auto"/>
              </w:rPr>
            </w:pPr>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7"/>
              </w:rPr>
              <w:t>Capital</w:t>
            </w:r>
          </w:p>
        </w:tc>
      </w:tr>
      <w:tr>
        <w:trPr>
          <w:trHeight w:val="22"/>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9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Operating</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Operating</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Operating</w:t>
            </w: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Operating</w:t>
            </w: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General and</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16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Amortization</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from</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8"/>
              </w:rPr>
              <w:t>Expenditures</w:t>
            </w:r>
          </w:p>
        </w:tc>
      </w:tr>
      <w:tr>
        <w:trPr>
          <w:trHeight w:val="167"/>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Revenues</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Revenues(a)</w:t>
            </w: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Revenues</w:t>
            </w: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Expenses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Administrative</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Expenses(b)</w:t>
            </w: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and Accretion</w:t>
            </w:r>
          </w:p>
        </w:tc>
        <w:tc>
          <w:tcPr>
            <w:tcW w:w="120" w:type="dxa"/>
            <w:vAlign w:val="bottom"/>
          </w:tcPr>
          <w:p>
            <w:pPr>
              <w:spacing w:after="0"/>
              <w:rPr>
                <w:sz w:val="14"/>
                <w:szCs w:val="14"/>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8"/>
              </w:rPr>
              <w:t>Operations(c)</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Collection and Disposal:</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East Tier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w:t>
            </w:r>
          </w:p>
        </w:tc>
      </w:tr>
      <w:tr>
        <w:trPr>
          <w:trHeight w:val="194"/>
        </w:trPr>
        <w:tc>
          <w:tcPr>
            <w:tcW w:w="20" w:type="dxa"/>
            <w:vAlign w:val="bottom"/>
          </w:tcPr>
          <w:p>
            <w:pPr>
              <w:spacing w:after="0"/>
              <w:rPr>
                <w:sz w:val="16"/>
                <w:szCs w:val="16"/>
                <w:color w:val="auto"/>
              </w:rPr>
            </w:pPr>
          </w:p>
        </w:tc>
        <w:tc>
          <w:tcPr>
            <w:tcW w:w="23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West Tier</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r>
      <w:tr>
        <w:trPr>
          <w:trHeight w:val="204"/>
        </w:trPr>
        <w:tc>
          <w:tcPr>
            <w:tcW w:w="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Ancillary</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81"/>
        </w:trPr>
        <w:tc>
          <w:tcPr>
            <w:tcW w:w="20" w:type="dxa"/>
            <w:vAlign w:val="bottom"/>
          </w:tcPr>
          <w:p>
            <w:pPr>
              <w:spacing w:after="0"/>
              <w:rPr>
                <w:sz w:val="15"/>
                <w:szCs w:val="15"/>
                <w:color w:val="auto"/>
              </w:rPr>
            </w:pPr>
          </w:p>
        </w:tc>
        <w:tc>
          <w:tcPr>
            <w:tcW w:w="23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Collection and Disposal(e)(f)(g)</w:t>
            </w: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5,321</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6,570</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631</w:t>
            </w:r>
          </w:p>
        </w:tc>
      </w:tr>
      <w:tr>
        <w:trPr>
          <w:trHeight w:val="210"/>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Recycling Processing and Sales(e)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95"/>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Renewable Energy(f)</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210"/>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Healthcare Solutions(g)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96"/>
        </w:trPr>
        <w:tc>
          <w:tcPr>
            <w:tcW w:w="2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Corporate and Other(f)</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9"/>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Intercompany Elimination(a)</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Depreciation,</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Net</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Intercompany</w:t>
            </w:r>
          </w:p>
        </w:tc>
        <w:tc>
          <w:tcPr>
            <w:tcW w:w="12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Gross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Selling,</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Depletion,</w:t>
            </w:r>
          </w:p>
        </w:tc>
        <w:tc>
          <w:tcPr>
            <w:tcW w:w="120" w:type="dxa"/>
            <w:vAlign w:val="bottom"/>
          </w:tcPr>
          <w:p>
            <w:pPr>
              <w:spacing w:after="0"/>
              <w:rPr>
                <w:sz w:val="10"/>
                <w:szCs w:val="10"/>
                <w:color w:val="auto"/>
              </w:rPr>
            </w:pPr>
          </w:p>
        </w:tc>
        <w:tc>
          <w:tcPr>
            <w:tcW w:w="840" w:type="dxa"/>
            <w:vAlign w:val="bottom"/>
          </w:tcPr>
          <w:p>
            <w:pPr>
              <w:jc w:val="center"/>
              <w:ind w:right="79"/>
              <w:spacing w:after="0" w:line="122"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9"/>
              <w:spacing w:after="0" w:line="122" w:lineRule="exact"/>
              <w:rPr>
                <w:sz w:val="20"/>
                <w:szCs w:val="20"/>
                <w:color w:val="auto"/>
              </w:rPr>
            </w:pPr>
            <w:r>
              <w:rPr>
                <w:rFonts w:ascii="Times New Roman" w:cs="Times New Roman" w:eastAsia="Times New Roman" w:hAnsi="Times New Roman"/>
                <w:sz w:val="11"/>
                <w:szCs w:val="11"/>
                <w:b w:val="1"/>
                <w:bCs w:val="1"/>
                <w:color w:val="auto"/>
                <w:w w:val="97"/>
              </w:rPr>
              <w:t>Capital</w:t>
            </w:r>
          </w:p>
        </w:tc>
      </w:tr>
      <w:tr>
        <w:trPr>
          <w:trHeight w:val="121"/>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Operating</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Operating</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Operating</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Operating</w:t>
            </w: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General and</w:t>
            </w: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Net</w:t>
            </w:r>
          </w:p>
        </w:tc>
        <w:tc>
          <w:tcPr>
            <w:tcW w:w="120" w:type="dxa"/>
            <w:vAlign w:val="bottom"/>
          </w:tcPr>
          <w:p>
            <w:pPr>
              <w:spacing w:after="0"/>
              <w:rPr>
                <w:sz w:val="10"/>
                <w:szCs w:val="10"/>
                <w:color w:val="auto"/>
              </w:rPr>
            </w:pPr>
          </w:p>
        </w:tc>
        <w:tc>
          <w:tcPr>
            <w:tcW w:w="9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Amortization</w:t>
            </w:r>
          </w:p>
        </w:tc>
        <w:tc>
          <w:tcPr>
            <w:tcW w:w="120" w:type="dxa"/>
            <w:vAlign w:val="bottom"/>
          </w:tcPr>
          <w:p>
            <w:pPr>
              <w:spacing w:after="0"/>
              <w:rPr>
                <w:sz w:val="10"/>
                <w:szCs w:val="10"/>
                <w:color w:val="auto"/>
              </w:rPr>
            </w:pPr>
          </w:p>
        </w:tc>
        <w:tc>
          <w:tcPr>
            <w:tcW w:w="840" w:type="dxa"/>
            <w:vAlign w:val="bottom"/>
          </w:tcPr>
          <w:p>
            <w:pPr>
              <w:jc w:val="center"/>
              <w:ind w:right="79"/>
              <w:spacing w:after="0" w:line="122" w:lineRule="exact"/>
              <w:rPr>
                <w:sz w:val="20"/>
                <w:szCs w:val="20"/>
                <w:color w:val="auto"/>
              </w:rPr>
            </w:pPr>
            <w:r>
              <w:rPr>
                <w:rFonts w:ascii="Times New Roman" w:cs="Times New Roman" w:eastAsia="Times New Roman" w:hAnsi="Times New Roman"/>
                <w:sz w:val="11"/>
                <w:szCs w:val="11"/>
                <w:b w:val="1"/>
                <w:bCs w:val="1"/>
                <w:color w:val="auto"/>
                <w:w w:val="94"/>
              </w:rPr>
              <w:t>from</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9"/>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Expenditures</w:t>
            </w: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Revenues</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Revenues(a)</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Revenues</w:t>
            </w: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Expenses</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Administrative</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Expenses(b)</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and Accretion</w:t>
            </w:r>
          </w:p>
        </w:tc>
        <w:tc>
          <w:tcPr>
            <w:tcW w:w="120" w:type="dxa"/>
            <w:vAlign w:val="bottom"/>
          </w:tcPr>
          <w:p>
            <w:pPr>
              <w:spacing w:after="0"/>
              <w:rPr>
                <w:sz w:val="12"/>
                <w:szCs w:val="12"/>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8"/>
              </w:rPr>
              <w:t>Operations(c)</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2026</w:t>
            </w:r>
          </w:p>
        </w:tc>
        <w:tc>
          <w:tcPr>
            <w:tcW w:w="4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Collection and Disposal:</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East Tier</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r>
      <w:tr>
        <w:trPr>
          <w:trHeight w:val="211"/>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West Tier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w:t>
            </w:r>
          </w:p>
        </w:tc>
      </w:tr>
      <w:tr>
        <w:trPr>
          <w:trHeight w:val="196"/>
        </w:trPr>
        <w:tc>
          <w:tcPr>
            <w:tcW w:w="20" w:type="dxa"/>
            <w:vAlign w:val="bottom"/>
          </w:tcPr>
          <w:p>
            <w:pPr>
              <w:spacing w:after="0"/>
              <w:rPr>
                <w:sz w:val="17"/>
                <w:szCs w:val="17"/>
                <w:color w:val="auto"/>
              </w:rPr>
            </w:pP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Other Ancillary</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Collection and Disposal(e)(f)(g)</w:t>
            </w: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w:t>
            </w:r>
          </w:p>
        </w:tc>
      </w:tr>
      <w:tr>
        <w:trPr>
          <w:trHeight w:val="194"/>
        </w:trPr>
        <w:tc>
          <w:tcPr>
            <w:tcW w:w="2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Recycling Processing and Sales(e)</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r>
      <w:tr>
        <w:trPr>
          <w:trHeight w:val="211"/>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Renewable Energy(f)</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194"/>
        </w:trPr>
        <w:tc>
          <w:tcPr>
            <w:tcW w:w="2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Healthcare Solutions(g)</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204"/>
        </w:trPr>
        <w:tc>
          <w:tcPr>
            <w:tcW w:w="2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Other(f)</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89"/>
        </w:trPr>
        <w:tc>
          <w:tcPr>
            <w:tcW w:w="20" w:type="dxa"/>
            <w:vAlign w:val="bottom"/>
          </w:tcPr>
          <w:p>
            <w:pPr>
              <w:spacing w:after="0"/>
              <w:rPr>
                <w:sz w:val="16"/>
                <w:szCs w:val="16"/>
                <w:color w:val="auto"/>
              </w:rPr>
            </w:pP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19,757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24,186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Intercompany Elimination(a)</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4"/>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Depreciation,</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Intercompany</w:t>
            </w: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Gross</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Selling,</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2"/>
              </w:rPr>
              <w:t>Other</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Depletion,</w:t>
            </w:r>
          </w:p>
        </w:tc>
        <w:tc>
          <w:tcPr>
            <w:tcW w:w="120" w:type="dxa"/>
            <w:vAlign w:val="bottom"/>
          </w:tcPr>
          <w:p>
            <w:pPr>
              <w:spacing w:after="0"/>
              <w:rPr>
                <w:sz w:val="14"/>
                <w:szCs w:val="14"/>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7"/>
              </w:rPr>
              <w:t>Capital</w:t>
            </w:r>
          </w:p>
        </w:tc>
      </w:tr>
      <w:tr>
        <w:trPr>
          <w:trHeight w:val="22"/>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Operating</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Operating</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Operating</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Operating</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General and</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Net</w:t>
            </w: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Amortization</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w w:val="94"/>
              </w:rPr>
              <w:t>from</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8"/>
              </w:rPr>
              <w:t>Expenditures</w:t>
            </w:r>
          </w:p>
        </w:tc>
      </w:t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Revenues</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Revenues(a)</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Revenues</w:t>
            </w: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Expenses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Administrative</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Expenses(b)</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and Accretion</w:t>
            </w:r>
          </w:p>
        </w:tc>
        <w:tc>
          <w:tcPr>
            <w:tcW w:w="120" w:type="dxa"/>
            <w:vAlign w:val="bottom"/>
          </w:tcPr>
          <w:p>
            <w:pPr>
              <w:spacing w:after="0"/>
              <w:rPr>
                <w:sz w:val="14"/>
                <w:szCs w:val="14"/>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8"/>
              </w:rPr>
              <w:t>Operations(c)</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(d)</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3"/>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Collection and Disposal:</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2"/>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East Tier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w:t>
            </w:r>
          </w:p>
        </w:tc>
      </w:tr>
      <w:tr>
        <w:trPr>
          <w:trHeight w:val="194"/>
        </w:trPr>
        <w:tc>
          <w:tcPr>
            <w:tcW w:w="20" w:type="dxa"/>
            <w:vAlign w:val="bottom"/>
          </w:tcPr>
          <w:p>
            <w:pPr>
              <w:spacing w:after="0"/>
              <w:rPr>
                <w:sz w:val="16"/>
                <w:szCs w:val="16"/>
                <w:color w:val="auto"/>
              </w:rPr>
            </w:pPr>
          </w:p>
        </w:tc>
        <w:tc>
          <w:tcPr>
            <w:tcW w:w="23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West Tier</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w:t>
            </w:r>
          </w:p>
        </w:tc>
      </w:tr>
      <w:tr>
        <w:trPr>
          <w:trHeight w:val="204"/>
        </w:trPr>
        <w:tc>
          <w:tcPr>
            <w:tcW w:w="2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Ancillary</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81"/>
        </w:trPr>
        <w:tc>
          <w:tcPr>
            <w:tcW w:w="20" w:type="dxa"/>
            <w:vAlign w:val="bottom"/>
          </w:tcPr>
          <w:p>
            <w:pPr>
              <w:spacing w:after="0"/>
              <w:rPr>
                <w:sz w:val="15"/>
                <w:szCs w:val="15"/>
                <w:color w:val="auto"/>
              </w:rPr>
            </w:pPr>
          </w:p>
        </w:tc>
        <w:tc>
          <w:tcPr>
            <w:tcW w:w="23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Collection and Disposal(e)(f)(g)</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1,774</w:t>
            </w: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Recycling Processing and Sales(e)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r>
      <w:tr>
        <w:trPr>
          <w:trHeight w:val="195"/>
        </w:trPr>
        <w:tc>
          <w:tcPr>
            <w:tcW w:w="2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Renewable Energy(f)</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Healthcare Solutions(g)</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96"/>
        </w:trPr>
        <w:tc>
          <w:tcPr>
            <w:tcW w:w="2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Corporate and Other(f)</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209"/>
        </w:trPr>
        <w:tc>
          <w:tcPr>
            <w:tcW w:w="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Intercompany Elimination(a)</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18,891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11,213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63" w:lineRule="exact"/>
        <w:rPr>
          <w:sz w:val="20"/>
          <w:szCs w:val="20"/>
          <w:color w:val="auto"/>
        </w:rPr>
      </w:pPr>
    </w:p>
    <w:p>
      <w:pPr>
        <w:ind w:left="340" w:hanging="332"/>
        <w:spacing w:after="0" w:line="282" w:lineRule="auto"/>
        <w:tabs>
          <w:tab w:leader="none" w:pos="3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expenses include restructuring expenses, (gain) loss from divestitures, and asset impairments and unusual items, net.</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those items included in the determination of income from operations, the accounting policies of the segments are the same as those described in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items. Additionally, our Corporate and Other business recognizes construction work in progress for fleet purchases during the period. Capital expenditures are reported in our reportable segments at the time they are recorded within the segments’ property and equipment balances and, therefore, include timing differences for amounts accrued but not yet paid as well as amounts transferred from Corporate and Other for fleet placed in service.</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recyclable material we collect are included within our Collection and Disposal business. The amounts in income from operations for the three and nine months ended September 30, 2026 are $21 million and $61 million, respectively. The amounts in income from operations for the three and nine months ended September 30, 2025 are $19 million and $59 million, respectively.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17" w:name="page18"/>
    <w:bookmarkEnd w:id="17"/>
    <w:p>
      <w:pPr>
        <w:jc w:val="both"/>
        <w:ind w:left="340" w:hanging="332"/>
        <w:spacing w:after="0" w:line="258" w:lineRule="auto"/>
        <w:tabs>
          <w:tab w:leader="none" w:pos="3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pays a 15% intercompany royalty to our Collection and Disposal business and Corporate and Other for landfill gas. The total amount of royalties in gross and intercompany operating revenues for the East Tier, West Tier, and Corporate and Other and in operating expenses for Renewable Energy for the three and nine months ended September 30, 2026 are $25 million and $73 million, respectively. The total amount of royalties in gross and intercompany operating revenues for the East Tier, West Tier, and Corporate and Other and in operating expenses for Renewable Energy for the three and nine months ended September 30, 2025 are $17 million and $48 million, respectively.</w:t>
      </w:r>
    </w:p>
    <w:p>
      <w:pPr>
        <w:spacing w:after="0" w:line="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and Disposal business records intercompany operating revenue for collection and disposal services provided to Healthcare Solutions. The total amount of intercompany operating revenues reflected in our Collection and Disposal business and in operating expenses for Healthcare Solutions for the three and nine months ended September 30, 2026 are $19 million and $55 million, respectively, and for three and nine months ended September 30, 2025 are $16 million and $36 million,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by reportable segment are presented in the table below as follows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18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47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1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East Tier</w:t>
            </w:r>
          </w:p>
        </w:tc>
        <w:tc>
          <w:tcPr>
            <w:tcW w:w="2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36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West Tier</w:t>
            </w:r>
          </w:p>
        </w:tc>
        <w:tc>
          <w:tcPr>
            <w:tcW w:w="1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Ancillary</w:t>
            </w:r>
          </w:p>
        </w:tc>
        <w:tc>
          <w:tcPr>
            <w:tcW w:w="1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Collection and Disposal</w:t>
            </w:r>
          </w:p>
        </w:tc>
        <w:tc>
          <w:tcPr>
            <w:tcW w:w="18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29,878</w:t>
            </w: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29,145</w:t>
            </w:r>
          </w:p>
        </w:tc>
        <w:tc>
          <w:tcPr>
            <w:tcW w:w="0" w:type="dxa"/>
            <w:vAlign w:val="bottom"/>
          </w:tcPr>
          <w:p>
            <w:pPr>
              <w:spacing w:after="0"/>
              <w:rPr>
                <w:sz w:val="1"/>
                <w:szCs w:val="1"/>
                <w:color w:val="auto"/>
              </w:rPr>
            </w:pPr>
          </w:p>
        </w:tc>
      </w:tr>
      <w:tr>
        <w:trPr>
          <w:trHeight w:val="26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w:t>
            </w:r>
          </w:p>
        </w:tc>
        <w:tc>
          <w:tcPr>
            <w:tcW w:w="1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6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Solutions</w:t>
            </w:r>
          </w:p>
        </w:tc>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w:t>
            </w: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Elimination of intercompany investments and advances</w:t>
            </w:r>
          </w:p>
        </w:tc>
        <w:tc>
          <w:tcPr>
            <w:tcW w:w="1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90"/>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46,519</w:t>
            </w:r>
          </w:p>
        </w:tc>
        <w:tc>
          <w:tcPr>
            <w:tcW w:w="3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7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mix of operating revenues from our major lines of business for the three and nine months ended September 30 are as follows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60" w:type="dxa"/>
            <w:vAlign w:val="bottom"/>
          </w:tcPr>
          <w:p>
            <w:pPr>
              <w:spacing w:after="0"/>
              <w:rPr>
                <w:sz w:val="14"/>
                <w:szCs w:val="14"/>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4"/>
                <w:szCs w:val="14"/>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26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Borders>
              <w:top w:val="single" w:sz="8" w:color="CCEEFF"/>
            </w:tcBorders>
          </w:tcPr>
          <w:p>
            <w:pPr>
              <w:spacing w:after="0"/>
              <w:rPr>
                <w:sz w:val="22"/>
                <w:szCs w:val="22"/>
                <w:color w:val="auto"/>
              </w:rPr>
            </w:pPr>
          </w:p>
        </w:tc>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60" w:type="dxa"/>
            <w:vAlign w:val="bottom"/>
            <w:tcBorders>
              <w:top w:val="single" w:sz="8" w:color="CCEEFF"/>
            </w:tcBorders>
          </w:tcPr>
          <w:p>
            <w:pPr>
              <w:spacing w:after="0"/>
              <w:rPr>
                <w:sz w:val="22"/>
                <w:szCs w:val="22"/>
                <w:color w:val="auto"/>
              </w:rPr>
            </w:pPr>
          </w:p>
        </w:tc>
        <w:tc>
          <w:tcPr>
            <w:tcW w:w="242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2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2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Landfill</w:t>
            </w:r>
          </w:p>
        </w:tc>
        <w:tc>
          <w:tcPr>
            <w:tcW w:w="2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24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2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2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6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2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4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2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2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2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2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2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60" w:type="dxa"/>
            <w:vAlign w:val="bottom"/>
          </w:tcPr>
          <w:p>
            <w:pPr>
              <w:spacing w:after="0"/>
              <w:rPr>
                <w:sz w:val="14"/>
                <w:szCs w:val="14"/>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4"/>
                <w:szCs w:val="14"/>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26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5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Borders>
              <w:top w:val="single" w:sz="8" w:color="CCEEFF"/>
            </w:tcBorders>
          </w:tcPr>
          <w:p>
            <w:pPr>
              <w:spacing w:after="0"/>
              <w:rPr>
                <w:sz w:val="22"/>
                <w:szCs w:val="22"/>
                <w:color w:val="auto"/>
              </w:rPr>
            </w:pPr>
          </w:p>
        </w:tc>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2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23,122</w:t>
            </w:r>
          </w:p>
        </w:tc>
        <w:tc>
          <w:tcPr>
            <w:tcW w:w="0" w:type="dxa"/>
            <w:vAlign w:val="bottom"/>
          </w:tcPr>
          <w:p>
            <w:pPr>
              <w:spacing w:after="0"/>
              <w:rPr>
                <w:sz w:val="1"/>
                <w:szCs w:val="1"/>
                <w:color w:val="auto"/>
              </w:rPr>
            </w:pPr>
          </w:p>
        </w:tc>
      </w:tr>
      <w:tr>
        <w:trPr>
          <w:trHeight w:val="21"/>
        </w:trPr>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6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40" w:hanging="332"/>
        <w:spacing w:after="0" w:line="282" w:lineRule="auto"/>
        <w:tabs>
          <w:tab w:leader="none" w:pos="3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54"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76"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w:t>
      </w:r>
    </w:p>
    <w:p>
      <w:pPr>
        <w:sectPr>
          <w:pgSz w:w="11900" w:h="16838" w:orient="portrait"/>
          <w:cols w:equalWidth="0" w:num="1">
            <w:col w:w="11240"/>
          </w:cols>
          <w:pgMar w:left="320" w:top="120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type w:val="continuous"/>
        </w:sectPr>
      </w:pPr>
    </w:p>
    <w:bookmarkStart w:id="20" w:name="page21"/>
    <w:bookmarkEnd w:id="20"/>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Acquisitions and Divestitures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completed solid waste acquisitions for total consideration of $239 million, which included issuance of shares of our common stock valued at $144 million from treasury stock, $89 million in net cash paid and $6 million of other consideration, specifically purchase price holdbacks. In addition, we paid $13 million of holdbacks related to prior year acquisitions.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consideration for our 2026 acquisitions was primarily allocated to $28 million of property and equipment, $76 million of other intangible assets, primarily customer relationships, and $140 million of goodwill. The goodwill was primarily a result of expected synergies from combining the acquired businesses with our existing operations and substantially all was not tax deductible. We remain in the measurement period for our 2026 acquisitions, and adjustments to our preliminary purchase price allocation may occur.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 were $79 million and $108 million for the nine months ended September 30, 2026 and 2025, respectively. Proceeds in 2026 primarily related to a business divestiture in our West Tier, which resulted in a gain of $34 million recognized in (gain) loss from divestitures, asset impairments and unusual items, net in our Condensed Consolidated Statements of Operations.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(Gain) Loss from Divestitures, Asset Impairments and Unusual Items,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months ended September 30, 2026 primarily relates to an $18 million impairment charge related to the decision to accelerate the closure of a landfill within our East Tier. The nine months ended September 30, 2026 also includes a $34 million gain on a business divestiture in our West Tier, partially offset by immaterial charges related to legal and remediation liabilities.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months ended September 30, 2025 includes (i) a $152 million impairment charge related to the decision to suspend the operations of a business engaged in plastic film and wrap recycling within our Recycling Processing and Sales segment resulting from significant deterioration of market pricing and demand for post-consumer plastics; (ii) a $45 million impairment charge related to the decision to accelerate the closure of a landfill within our East Tier and (iii) an $11 million negotiated payment for early termination of a contract in our Renewable Energy segment. The nine months ended September 30, 2025 also includes a $16 million goodwill impairment charge related to a business engaged in oil recovery and sludge processing services reflected in Other Ancillary within our Collection and Disposal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Accumulated Other Comprehensive Income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Post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for-Sale</w:t>
            </w: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7"/>
                <w:szCs w:val="17"/>
                <w:color w:val="auto"/>
              </w:rPr>
            </w:pP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99"/>
              </w:rPr>
              <w:t>29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9"/>
        </w:trPr>
        <w:tc>
          <w:tcPr>
            <w:tcW w:w="59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 of tax expense</w:t>
            </w:r>
          </w:p>
        </w:tc>
        <w:tc>
          <w:tcPr>
            <w:tcW w:w="1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center"/>
              <w:ind w:left="357"/>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of $(1), $(4), $0 and $0, respectively</w:t>
            </w: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90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of tax (expense) benefit of $0, $0, $0 and $0, respectively</w:t>
            </w: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95"/>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center"/>
              <w:ind w:left="397"/>
              <w:spacing w:after="0"/>
              <w:rPr>
                <w:sz w:val="20"/>
                <w:szCs w:val="20"/>
                <w:color w:val="auto"/>
              </w:rPr>
            </w:pPr>
            <w:r>
              <w:rPr>
                <w:rFonts w:ascii="Times New Roman" w:cs="Times New Roman" w:eastAsia="Times New Roman" w:hAnsi="Times New Roman"/>
                <w:sz w:val="18"/>
                <w:szCs w:val="18"/>
                <w:color w:val="auto"/>
                <w:w w:val="99"/>
              </w:rPr>
              <w:t>17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11. Common Stock Repurchase Program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 Repurchases during the nine months ended September 30, 2026 were made under the $3.0 billion Board of Directors authorization announced in December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2026, we entered into an accelerated share repurchase (“ASR”) agreement to repurchase $350 million of our common stock. At the beginning of the repurchase period, we delivered $350 million cash and initially received 1.2 million shares based on a stock price of $226.33, exclusive of the applicable 1% excise tax. The ASR agreement was terminated in September 2026, at which time we received 0.4 million additional shares based on a final weighted average price of $217.10, exclusive of the applicable 1% excise tax.</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2026, we repurchased 1.0 million shares of our common stock in open market transactions in compliance with Rule 10b5-1 and Rule 10b-18 of the Securities Exchange Act of 1934, as amended (the “Exchange Act”) for $222 million, inclusive of per-share commissions and taxes, for a weighted average price per share of $231.98. During the nine months ended September 30, 2026, we repurchased 5.5 million shares of our common stock in open market transactions in compliance with Rule 10b5-1 and Rule 10b-18 of the Exchange Act for $1.2 billion, inclusive of per-share commissions and taxes, for a weighted average price per share of $228.61.</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has remaining authorization for $1.4 billion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leverage level, net earnings, financial condition and cash required for future business plans, growth and acquisitions.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assets and liabilities that are measured at fair value on a recurring basis include the following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8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Quoted prices in active markets (Level 1):</w:t>
            </w:r>
          </w:p>
        </w:tc>
        <w:tc>
          <w:tcPr>
            <w:tcW w:w="18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equivalents and money market funds</w:t>
            </w:r>
          </w:p>
        </w:tc>
        <w:tc>
          <w:tcPr>
            <w:tcW w:w="1860" w:type="dxa"/>
            <w:vAlign w:val="bottom"/>
          </w:tcPr>
          <w:p>
            <w:pPr>
              <w:jc w:val="right"/>
              <w:ind w:right="16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7"/>
        </w:trPr>
        <w:tc>
          <w:tcPr>
            <w:tcW w:w="6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Equity securities</w:t>
            </w:r>
          </w:p>
        </w:tc>
        <w:tc>
          <w:tcPr>
            <w:tcW w:w="18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6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1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Available-for-sale securities (a)</w:t>
            </w:r>
          </w:p>
        </w:tc>
        <w:tc>
          <w:tcPr>
            <w:tcW w:w="18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70"/>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60" w:type="dxa"/>
            <w:vAlign w:val="bottom"/>
            <w:tcBorders>
              <w:bottom w:val="single" w:sz="8" w:color="auto"/>
            </w:tcBorders>
          </w:tcPr>
          <w:p>
            <w:pPr>
              <w:jc w:val="right"/>
              <w:ind w:right="16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1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860" w:type="dxa"/>
            <w:vAlign w:val="bottom"/>
            <w:tcBorders>
              <w:bottom w:val="single" w:sz="8" w:color="auto"/>
            </w:tcBorders>
            <w:shd w:val="clear" w:color="auto" w:fill="CCEEFF"/>
          </w:tcPr>
          <w:p>
            <w:pPr>
              <w:jc w:val="right"/>
              <w:ind w:right="16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860" w:type="dxa"/>
            <w:vAlign w:val="bottom"/>
            <w:tcBorders>
              <w:bottom w:val="single" w:sz="8" w:color="auto"/>
            </w:tcBorders>
          </w:tcPr>
          <w:p>
            <w:pPr>
              <w:jc w:val="right"/>
              <w:ind w:right="165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tc>
        <w:tc>
          <w:tcPr>
            <w:tcW w:w="1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52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Our available-for-sale securities primarily relate to debt securities with maturities over the next ten years.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carrying value of our debt was $23.4 billion and $22.9 billion, respectively. The estimated fair value of our debt was approximately $21.7 billion and $22.5 billion as of September 30, 2026 and December 31, 2025,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September 30, 2026 and December 31, 2025. These amounts have not been revalued since those dates and current estimates of fair value could differ significantly from the amounts presented.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13. Variable Interest Entities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financial interests in unconsolidated and consolidated variable interest entities that we consider significant:</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Low-Income Housing Properties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do not consolidate our investments in entities established to manage low-income housing properties because we are not the primary beneficiary of these entities as we do not have the power to direct the activities of these entities. Our aggregate investment balance in these entities was $551 million and $624 million as of September 30, 2026 and December 31, 2025, respectively. The debt balance related to our investments in low-income housing properties was $539 million and $616 million as of September 30, 2026 and December 31, 2025, respectively. Additional information related to these investments is discussed in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Trust Funds for Final Capping, Closure, Post-Closure or Environmental Remediation Obligations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Unconsolidated Variable Interest Entities — </w:t>
      </w:r>
      <w:r>
        <w:rPr>
          <w:rFonts w:ascii="Times New Roman" w:cs="Times New Roman" w:eastAsia="Times New Roman" w:hAnsi="Times New Roman"/>
          <w:sz w:val="18"/>
          <w:szCs w:val="18"/>
          <w:color w:val="auto"/>
        </w:rPr>
        <w:t>Trust funds that are established for both the benefit of the Company and the host community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other long-term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$131 million and $127 million as of September 30, 2026 and December 31, 2025,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Consolidated Variable Interest Entities — </w:t>
      </w:r>
      <w:r>
        <w:rPr>
          <w:rFonts w:ascii="Times New Roman" w:cs="Times New Roman" w:eastAsia="Times New Roman" w:hAnsi="Times New Roman"/>
          <w:sz w:val="18"/>
          <w:szCs w:val="18"/>
          <w:color w:val="auto"/>
        </w:rPr>
        <w:t>Trust funds for which we are the sole beneficiary are consolidated because we are the primary beneficiary.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are recorded in restricted funds in our Condensed Consolidated Balance Sheets. Unrealized gains and losses on available-for-sale securities held by these trusts are recorded as a component of accumulated other comprehensive income (loss). These trusts had a fair value of $144 million and $140 million as of September 30, 2026 and December 31, 2025, respectively.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4" w:name="page25"/>
    <w:bookmarkEnd w:id="2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right="20" w:firstLine="38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w:t>
      </w:r>
      <w:hyperlink r:id="rId40">
        <w:r>
          <w:rPr>
            <w:rFonts w:ascii="Times New Roman" w:cs="Times New Roman" w:eastAsia="Times New Roman" w:hAnsi="Times New Roman"/>
            <w:sz w:val="18"/>
            <w:szCs w:val="18"/>
            <w:u w:val="single" w:color="auto"/>
            <w:color w:val="0000FF"/>
          </w:rPr>
          <w:t>Annual Report on Form 10-K for the year ended December 31, 2025</w:t>
        </w:r>
      </w:hyperlink>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spacing w:after="0" w:line="251"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opinions, views or beliefs about current and future events, circumstances or performance. You should view these statements with caution. They are based on the facts and circumstances known to us as of the date the statements are made. These forward 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Inc. (“Stericycle”) (which is now presented as our Healthcare Solutions segment) and achieve the anticipated benefits therefrom, including synergies; legal, regulatory, operational, technological and other matters that may affect the costs and timing of our ability to integrate and deliver all of the expected benefits of the Stericycle acquisition; existing or new environmental and other regulations, including developments related to emerging contaminants, gas emissions, renewable energy, recyclables,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and pricing pressure; impacts from international trade restrictions and tariffs; competitive disposal alternatives, diversion of waste from landfills and declining waste volumes; changes in general economic conditions, capital markets or consumer trends; changing conditions in the recycling industry, including impacts on demand, pricing and availability of counterparties; changing conditions in the healthcare industry; adoption of new tax legislation; fuel shortages; failure to develop and protect new technology; failure of technology to perform as expected; inability to adapt and manage the benefits and risks of artificial intelligence; failure to prevent, detect and address cybersecurity incidents or comply with privacy regulations; negative outcomes of litigation or governmental proceedings, including those acquired through transactions; failure to maintain an effective system of internal control over financial reporting; and operational or management decisions or developments that result in </w:t>
      </w:r>
      <w:hyperlink r:id="rId41">
        <w:r>
          <w:rPr>
            <w:rFonts w:ascii="Times New Roman" w:cs="Times New Roman" w:eastAsia="Times New Roman" w:hAnsi="Times New Roman"/>
            <w:sz w:val="18"/>
            <w:szCs w:val="18"/>
            <w:color w:val="auto"/>
          </w:rPr>
          <w:t xml:space="preserve">impairment charges and other risks discussed in our filings with the SEC, including </w:t>
        </w:r>
        <w:r>
          <w:rPr>
            <w:rFonts w:ascii="Times New Roman" w:cs="Times New Roman" w:eastAsia="Times New Roman" w:hAnsi="Times New Roman"/>
            <w:sz w:val="18"/>
            <w:szCs w:val="18"/>
            <w:u w:val="single" w:color="auto"/>
            <w:color w:val="0000FF"/>
          </w:rPr>
          <w:t>Part I, Item 1A of our Annual Report on Form 10-K for the year ended</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FF"/>
          </w:rPr>
          <w:t>December 31, 2025</w:t>
        </w:r>
        <w:r>
          <w:rPr>
            <w:rFonts w:ascii="Times New Roman" w:cs="Times New Roman" w:eastAsia="Times New Roman" w:hAnsi="Times New Roman"/>
            <w:sz w:val="18"/>
            <w:szCs w:val="18"/>
            <w:color w:val="000000"/>
          </w:rPr>
          <w:t>. We assume no obligation to update any forward-looking statement, including financial estimates and forecasts, whether as a result of</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future events, circumstances or developments or otherwise.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Renewable Energy segment, we are also a leading developer, operator and owner of landfill gas-to-energy facilities in the U.S. and Canada that produce renewable electricity and renewable natural gas (“RNG”), which is a significant source of fuel that we allocate to our natural gas fleet. Our Healthcare Solutions segment provides regulated waste and compliance services and secure information destruction services in the U.S., Canada and Western Europe that protect people and brands, promote health and well-being and safeguard the environment. Additionally, through our Recycling Processing and Sales segment, we are a leading recycler in the U.S. and Canada, handling materials that include paper, cardboard, glass, plastic and metal.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Renewable Energy and (v) Healthcare Solutions. Our East and West Tiers, along with certain ancillary services (“Other Ancillary”) that are not managed through our Tier segments, but that support our collection and disposal operations, form our “Collection and Disposal” business. We also provide additional services not managed through our five reportable segments, which are presented as Corporate and Other.</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are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customers will yield an attractive profit margin and enhanced service quality. We have furthered our strategy of focused differentiation and continuous improvement beyond our traditional waste operations through our sustainability growth strategy, which has positioned us to capitalize on the significant investments made in our Renewable Energy and Recycling Processing and Sales segments, while increasing automation and reducing labor dependency. In addition, our Healthcare Solutions segment provides a complementary business platform in medical waste, a sector with attractive near- and long-term growth dynamics, and in secure information destruction services to further our leading suite of comprehensive waste and environmental solutions. Furthermore, we continue to evaluate and plan to pursue emerging diversion technologies that may generate additional value.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6" w:name="page27"/>
    <w:bookmarkEnd w:id="26"/>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providing medical waste services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have published our 2026 Sustainability Report, providing details on our sustainability-related performance and outlining progress towards our 2030 sustainability goals. The 2026 Sustainability Report conveys the strong linkage between the Company’s sustainability goals and our growth strategy, inclusive of the expansion of the Company’s Recycling Processing and Sales and Renewable Energy segments. The information in this report can be found at sustainability.wm.com but it does not constitute a part of, and is not incorporated by reference into, this Quarterly Report on Form 10-Q.</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can impact key financial metrics. We must dynamically manage our cost structure in response to volume changes and cost inflation.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 We have made significant progress in executing this technology enablement strategy to automate and optimize certain elements of our service delivery model. The key benefits are reduced labor dependency on certain high-turnover jobs, particularly in customer experience, recycling and residential collection, while further elevating our customer self-service through digitalization and implementation of technologies to enhance the safety, reliability and efficiency within our collection operations.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sometimes experience variability in earnings and margins from our commodity-driven businesses, specifically within our Recycling Processing and Sales and Renewable Energy segments. During the nine months ended September 30, 2026, market prices for recycled commodities declined when compared to the prior year period. Additionally, we experienced declines in commodity prices from the prior year period that had an unfavorable impact on the Renewable Energy segment. We continue to take proactive steps to adjust our business models to protect against the downside risk of changes in commodity prices.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our financial outlook. We take proactive steps to recover and mitigate inflationary cost pressures through our overall pricing efforts and by managing our costs through efficiency, labor productivity and investments in technology to automate certain aspects of our business.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efficiencies intended to reduce our cost to serve</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7" w:name="page28"/>
    <w:bookmarkEnd w:id="27"/>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Current Quarter Financial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third quarter of 2026, we continued to focus on our priorities to advance our strategy – growing the core business by focusing on customer lifetime value; delivering operational excellence and capitalizing on network advantages; capturing and enhancing returns from our investments in our Recycling Processing and Sales and Renewable Energy segments and driving accretive growth as we take our Healthcare Solutions segment from integration to scalable growth. We continue to invest in our people through paying a competitive market wage, investing in our digital platform and providing training for our team members. During the third quarter of 2026, we also allocated $957 million of available cash to our shareholders through dividends and common stock repurchases.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elements of our financial results for the third quarter of 2026 include:</w:t>
      </w:r>
    </w:p>
    <w:p>
      <w:pPr>
        <w:spacing w:after="0" w:line="252" w:lineRule="exact"/>
        <w:rPr>
          <w:sz w:val="20"/>
          <w:szCs w:val="20"/>
          <w:color w:val="auto"/>
        </w:rPr>
      </w:pPr>
    </w:p>
    <w:p>
      <w:pPr>
        <w:jc w:val="both"/>
        <w:ind w:left="740" w:hanging="327"/>
        <w:spacing w:after="0" w:line="261"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$6,846 million, compared to $6,443 million in the prior year period, an increase of $403 million, or 6.3%. The increase is primarily due to (i) higher yield in our Collection and Disposal business; (ii) increases in our energy surcharge due to higher fuel prices; (iii) yield and volume growth in our Recycling Processing and Sales segment and (iv) volume growth in our Renewable Energy segment. These increases are partially offset by lower Collection and Disposal volumes and a reduction in RNG prices;</w:t>
      </w:r>
    </w:p>
    <w:p>
      <w:pPr>
        <w:spacing w:after="0" w:line="71"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$4,093 million, or 59.8% of revenues, compared to $3,798 million, or 58.9% of revenues, in the prior year period. The $295 million increase is primarily due to (i) higher fuel prices; (ii) increased risk management costs; (iii) annual employee wage increases and higher employee medical costs and (iv) growth in our Renewable Energy segment. These increases were partially offset by (i) the Company’s ability to flex spending with volume changes and (ii) continued operating efficiency and cost control initiatives;</w:t>
      </w:r>
    </w:p>
    <w:p>
      <w:pPr>
        <w:spacing w:after="0" w:line="7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of $655 million, or 9.6% of revenues, compared to $665 million, or 10.3% of revenues, in the prior year period. The $10 million decrease is primarily due to decreases in labor costs resulting from synergies achieved from our acquisitions, particularly Stericycle. These decreases were partially offset by higher bad debt expenses;</w:t>
      </w:r>
    </w:p>
    <w:p>
      <w:pPr>
        <w:spacing w:after="0" w:line="67"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of $1,279 million, or 18.7% of revenues, compared to $989 million, or 15.3% of revenues, in the prior year period. The $290 million increase is primarily due to (i) $197 million of impairment charges incurred in the prior year; (ii) growth in our Collection and Disposal business driven by yield; (iii) contributions from increased volumes in our Recycling Processing and Sales and Renewable Energy segments and (iv) benefits from the realization of synergies in our Healthcare Solutions segment;</w:t>
      </w:r>
    </w:p>
    <w:p>
      <w:pPr>
        <w:spacing w:after="0" w:line="7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Waste Management, Inc. of $820 million, or $2.05 per diluted share, compared to $603 million, or $1.49 per diluted share, in the prior year period. The $217 million increase is primarily due to the increase in income from operations, discussed above, partially offset by higher income tax expense;</w:t>
      </w:r>
    </w:p>
    <w:p>
      <w:pPr>
        <w:spacing w:after="0" w:line="6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$1,640 million compared to $1,592 million in the prior year period. The $48 million increase in net cash provided by operating activities is primarily due to higher earnings and favorable changes in working capital, net of effects from acquisitions and divestitures, partially offset by higher cash taxes;</w:t>
      </w:r>
    </w:p>
    <w:p>
      <w:pPr>
        <w:spacing w:after="0" w:line="67" w:lineRule="exact"/>
        <w:rPr>
          <w:rFonts w:ascii="Times New Roman" w:cs="Times New Roman" w:eastAsia="Times New Roman" w:hAnsi="Times New Roman"/>
          <w:sz w:val="18"/>
          <w:szCs w:val="18"/>
          <w:color w:val="auto"/>
        </w:rPr>
      </w:pPr>
    </w:p>
    <w:p>
      <w:pPr>
        <w:jc w:val="both"/>
        <w:ind w:left="740" w:hanging="327"/>
        <w:spacing w:after="0" w:line="256" w:lineRule="auto"/>
        <w:tabs>
          <w:tab w:leader="none" w:pos="7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$985 million compared to $821 million in the prior year period. The $164 million increase in free cash flow is primarily due to the increase in net cash provided by operating activities described above as well as a decrease in capital spending driven by (i) lower spend on collection vehicles and (ii) planned reductions in capital investments in our sustainability growth projects due to our transition from peak construction of this portfolio into a period of harvesting returns. Free cash flow is a non-GAAP measure of liquidity. Refer to Free Cash Flow below for our definition of free cash flow, additional information about our use of this measure and a reconciliation to net cash provided by operating activities, which is the most comparable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mix of operating revenues for the three and nine months ended September 30 are as follows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60" w:type="dxa"/>
            <w:vAlign w:val="bottom"/>
          </w:tcPr>
          <w:p>
            <w:pPr>
              <w:spacing w:after="0"/>
              <w:rPr>
                <w:sz w:val="14"/>
                <w:szCs w:val="14"/>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4"/>
                <w:szCs w:val="14"/>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0"/>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26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23"/>
        </w:trPr>
        <w:tc>
          <w:tcPr>
            <w:tcW w:w="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20" w:type="dxa"/>
            <w:vAlign w:val="bottom"/>
            <w:shd w:val="clear" w:color="auto" w:fill="CCEEFF"/>
          </w:tcPr>
          <w:p>
            <w:pPr>
              <w:spacing w:after="0"/>
              <w:rPr>
                <w:sz w:val="20"/>
                <w:szCs w:val="20"/>
                <w:color w:val="auto"/>
              </w:rPr>
            </w:pPr>
          </w:p>
        </w:tc>
        <w:tc>
          <w:tcPr>
            <w:tcW w:w="65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63"/>
        </w:trPr>
        <w:tc>
          <w:tcPr>
            <w:tcW w:w="20" w:type="dxa"/>
            <w:vAlign w:val="bottom"/>
            <w:tcBorders>
              <w:top w:val="single" w:sz="8" w:color="CCEEFF"/>
            </w:tcBorders>
          </w:tcPr>
          <w:p>
            <w:pPr>
              <w:spacing w:after="0"/>
              <w:rPr>
                <w:sz w:val="22"/>
                <w:szCs w:val="22"/>
                <w:color w:val="auto"/>
              </w:rPr>
            </w:pPr>
          </w:p>
        </w:tc>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37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2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63"/>
        </w:trPr>
        <w:tc>
          <w:tcPr>
            <w:tcW w:w="20" w:type="dxa"/>
            <w:vAlign w:val="bottom"/>
            <w:tcBorders>
              <w:bottom w:val="single" w:sz="8" w:color="CCEEFF"/>
            </w:tcBorders>
          </w:tcPr>
          <w:p>
            <w:pPr>
              <w:spacing w:after="0"/>
              <w:rPr>
                <w:sz w:val="22"/>
                <w:szCs w:val="22"/>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63"/>
        </w:trPr>
        <w:tc>
          <w:tcPr>
            <w:tcW w:w="2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w:t>
            </w: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63"/>
        </w:trPr>
        <w:tc>
          <w:tcPr>
            <w:tcW w:w="20" w:type="dxa"/>
            <w:vAlign w:val="bottom"/>
            <w:tcBorders>
              <w:bottom w:val="single" w:sz="8" w:color="CCEEFF"/>
            </w:tcBorders>
          </w:tcPr>
          <w:p>
            <w:pPr>
              <w:spacing w:after="0"/>
              <w:rPr>
                <w:sz w:val="22"/>
                <w:szCs w:val="22"/>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63"/>
        </w:trPr>
        <w:tc>
          <w:tcPr>
            <w:tcW w:w="2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63"/>
        </w:trPr>
        <w:tc>
          <w:tcPr>
            <w:tcW w:w="20" w:type="dxa"/>
            <w:vAlign w:val="bottom"/>
            <w:tcBorders>
              <w:bottom w:val="single" w:sz="8" w:color="CCEEFF"/>
            </w:tcBorders>
          </w:tcPr>
          <w:p>
            <w:pPr>
              <w:spacing w:after="0"/>
              <w:rPr>
                <w:sz w:val="22"/>
                <w:szCs w:val="22"/>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20" w:type="dxa"/>
            <w:vAlign w:val="bottom"/>
          </w:tcPr>
          <w:p>
            <w:pPr>
              <w:spacing w:after="0"/>
              <w:rPr>
                <w:sz w:val="23"/>
                <w:szCs w:val="23"/>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60" w:type="dxa"/>
            <w:vAlign w:val="bottom"/>
          </w:tcPr>
          <w:p>
            <w:pPr>
              <w:spacing w:after="0"/>
              <w:rPr>
                <w:sz w:val="14"/>
                <w:szCs w:val="14"/>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4"/>
                <w:szCs w:val="14"/>
                <w:color w:val="auto"/>
              </w:rPr>
            </w:pPr>
          </w:p>
        </w:tc>
        <w:tc>
          <w:tcPr>
            <w:tcW w:w="122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26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65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Borders>
              <w:top w:val="single" w:sz="8" w:color="CCEEFF"/>
            </w:tcBorders>
          </w:tcPr>
          <w:p>
            <w:pPr>
              <w:spacing w:after="0"/>
              <w:rPr>
                <w:sz w:val="22"/>
                <w:szCs w:val="22"/>
                <w:color w:val="auto"/>
              </w:rPr>
            </w:pPr>
          </w:p>
        </w:tc>
        <w:tc>
          <w:tcPr>
            <w:tcW w:w="2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8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2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19,966</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Renewable Energy</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Solutions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23,122</w:t>
            </w: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6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40" w:hanging="332"/>
        <w:spacing w:after="0" w:line="282" w:lineRule="auto"/>
        <w:tabs>
          <w:tab w:leader="none" w:pos="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each segment’s intercompany activity, including transactions within a segment and between segments. Transactions within and between segments are generally made on a basis intended to reflect the market value of the service.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 in revenues and average yield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1120" w:type="dxa"/>
            <w:vAlign w:val="bottom"/>
          </w:tcPr>
          <w:p>
            <w:pPr>
              <w:spacing w:after="0"/>
              <w:rPr>
                <w:sz w:val="13"/>
                <w:szCs w:val="13"/>
                <w:color w:val="auto"/>
              </w:rPr>
            </w:pPr>
          </w:p>
        </w:tc>
      </w:tr>
      <w:tr>
        <w:trPr>
          <w:trHeight w:val="146"/>
        </w:trPr>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120" w:type="dxa"/>
            <w:vAlign w:val="bottom"/>
          </w:tcPr>
          <w:p>
            <w:pPr>
              <w:spacing w:after="0"/>
              <w:rPr>
                <w:sz w:val="12"/>
                <w:szCs w:val="12"/>
                <w:color w:val="auto"/>
              </w:rPr>
            </w:pPr>
          </w:p>
        </w:tc>
      </w:tr>
      <w:tr>
        <w:trPr>
          <w:trHeight w:val="196"/>
        </w:trPr>
        <w:tc>
          <w:tcPr>
            <w:tcW w:w="2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 vs. 2025</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 vs. 2025</w:t>
            </w:r>
          </w:p>
        </w:tc>
        <w:tc>
          <w:tcPr>
            <w:tcW w:w="1120" w:type="dxa"/>
            <w:vAlign w:val="bottom"/>
            <w:tcBorders>
              <w:bottom w:val="single" w:sz="8" w:color="auto"/>
            </w:tcBorders>
          </w:tcPr>
          <w:p>
            <w:pPr>
              <w:spacing w:after="0"/>
              <w:rPr>
                <w:sz w:val="17"/>
                <w:szCs w:val="17"/>
                <w:color w:val="auto"/>
              </w:rPr>
            </w:pPr>
          </w:p>
        </w:tc>
      </w:tr>
      <w:tr>
        <w:trPr>
          <w:trHeight w:val="135"/>
        </w:trPr>
        <w:tc>
          <w:tcPr>
            <w:tcW w:w="2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As a % of</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As a % of</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As a % of</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As a % of</w:t>
            </w:r>
          </w:p>
        </w:tc>
      </w:tr>
      <w:tr>
        <w:trPr>
          <w:trHeight w:val="122"/>
        </w:trPr>
        <w:tc>
          <w:tcPr>
            <w:tcW w:w="2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Related</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Related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89"/>
        </w:trPr>
        <w:tc>
          <w:tcPr>
            <w:tcW w:w="2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Business</w:t>
            </w:r>
            <w:r>
              <w:rPr>
                <w:rFonts w:ascii="Times New Roman" w:cs="Times New Roman" w:eastAsia="Times New Roman" w:hAnsi="Times New Roman"/>
                <w:sz w:val="16"/>
                <w:szCs w:val="16"/>
                <w:b w:val="1"/>
                <w:bCs w:val="1"/>
                <w:color w:val="auto"/>
                <w:w w:val="93"/>
                <w:vertAlign w:val="superscript"/>
              </w:rPr>
              <w:t>(a)</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Company</w:t>
            </w:r>
            <w:r>
              <w:rPr>
                <w:rFonts w:ascii="Times New Roman" w:cs="Times New Roman" w:eastAsia="Times New Roman" w:hAnsi="Times New Roman"/>
                <w:sz w:val="16"/>
                <w:szCs w:val="16"/>
                <w:b w:val="1"/>
                <w:bCs w:val="1"/>
                <w:color w:val="auto"/>
                <w:w w:val="92"/>
                <w:vertAlign w:val="superscript"/>
              </w:rPr>
              <w:t>(b)</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Business</w:t>
            </w:r>
            <w:r>
              <w:rPr>
                <w:rFonts w:ascii="Times New Roman" w:cs="Times New Roman" w:eastAsia="Times New Roman" w:hAnsi="Times New Roman"/>
                <w:sz w:val="16"/>
                <w:szCs w:val="16"/>
                <w:b w:val="1"/>
                <w:bCs w:val="1"/>
                <w:color w:val="auto"/>
                <w:w w:val="93"/>
                <w:vertAlign w:val="superscript"/>
              </w:rPr>
              <w:t>(a)</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Company</w:t>
            </w:r>
            <w:r>
              <w:rPr>
                <w:rFonts w:ascii="Times New Roman" w:cs="Times New Roman" w:eastAsia="Times New Roman" w:hAnsi="Times New Roman"/>
                <w:sz w:val="16"/>
                <w:szCs w:val="16"/>
                <w:b w:val="1"/>
                <w:bCs w:val="1"/>
                <w:color w:val="auto"/>
                <w:w w:val="95"/>
                <w:vertAlign w:val="superscript"/>
              </w:rPr>
              <w:t>(b)</w:t>
            </w:r>
          </w:p>
        </w:tc>
      </w:tr>
      <w:tr>
        <w:trPr>
          <w:trHeight w:val="203"/>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Collection and Disposal</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77"/>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Recycling Processing and Sales and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5"/>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Renewable Energy </w:t>
            </w:r>
            <w:r>
              <w:rPr>
                <w:rFonts w:ascii="Times New Roman" w:cs="Times New Roman" w:eastAsia="Times New Roman" w:hAnsi="Times New Roman"/>
                <w:sz w:val="18"/>
                <w:szCs w:val="18"/>
                <w:color w:val="auto"/>
                <w:vertAlign w:val="superscript"/>
              </w:rPr>
              <w:t>(c)</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surcharge and mandated fees</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0" w:type="dxa"/>
            <w:vAlign w:val="bottom"/>
            <w:tcBorders>
              <w:bottom w:val="single" w:sz="8" w:color="CCEEFF"/>
            </w:tcBorders>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2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0"/>
        </w:trPr>
        <w:tc>
          <w:tcPr>
            <w:tcW w:w="2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average yield</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238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6"/>
                <w:szCs w:val="16"/>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4.1 %</w:t>
            </w:r>
          </w:p>
        </w:tc>
      </w:tr>
      <w:tr>
        <w:trPr>
          <w:trHeight w:val="23"/>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xml:space="preserve">Volume </w:t>
            </w:r>
            <w:r>
              <w:rPr>
                <w:rFonts w:ascii="Times New Roman" w:cs="Times New Roman" w:eastAsia="Times New Roman" w:hAnsi="Times New Roman"/>
                <w:sz w:val="18"/>
                <w:szCs w:val="18"/>
                <w:color w:val="auto"/>
                <w:vertAlign w:val="superscript"/>
              </w:rPr>
              <w:t>(d)</w:t>
            </w:r>
          </w:p>
        </w:tc>
        <w:tc>
          <w:tcPr>
            <w:tcW w:w="3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w:t>
            </w:r>
          </w:p>
        </w:tc>
        <w:tc>
          <w:tcPr>
            <w:tcW w:w="2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0.2</w:t>
            </w:r>
          </w:p>
        </w:tc>
      </w:tr>
      <w:tr>
        <w:trPr>
          <w:trHeight w:val="229"/>
        </w:trPr>
        <w:tc>
          <w:tcPr>
            <w:tcW w:w="4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 xml:space="preserve">Healthcare Solutions </w:t>
            </w:r>
            <w:r>
              <w:rPr>
                <w:rFonts w:ascii="Times New Roman" w:cs="Times New Roman" w:eastAsia="Times New Roman" w:hAnsi="Times New Roman"/>
                <w:sz w:val="18"/>
                <w:szCs w:val="18"/>
                <w:color w:val="auto"/>
                <w:vertAlign w:val="superscript"/>
              </w:rPr>
              <w:t>(e)</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9"/>
                <w:szCs w:val="19"/>
                <w:color w:val="auto"/>
              </w:rPr>
            </w:pPr>
          </w:p>
        </w:tc>
        <w:tc>
          <w:tcPr>
            <w:tcW w:w="3500" w:type="dxa"/>
            <w:vAlign w:val="bottom"/>
            <w:gridSpan w:val="2"/>
          </w:tcPr>
          <w:p>
            <w:pPr>
              <w:jc w:val="right"/>
              <w:ind w:right="25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9"/>
                <w:szCs w:val="19"/>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(0.2)</w:t>
            </w:r>
          </w:p>
        </w:tc>
      </w:tr>
      <w:tr>
        <w:trPr>
          <w:trHeight w:val="203"/>
        </w:trPr>
        <w:tc>
          <w:tcPr>
            <w:tcW w:w="44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Internal revenue growth</w:t>
            </w: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w:t>
            </w:r>
          </w:p>
        </w:tc>
        <w:tc>
          <w:tcPr>
            <w:tcW w:w="23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4.1</w:t>
            </w:r>
          </w:p>
        </w:tc>
      </w:tr>
      <w:tr>
        <w:trPr>
          <w:trHeight w:val="206"/>
        </w:trPr>
        <w:tc>
          <w:tcPr>
            <w:tcW w:w="4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w:t>
            </w:r>
          </w:p>
        </w:tc>
        <w:tc>
          <w:tcPr>
            <w:tcW w:w="2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7"/>
                <w:szCs w:val="17"/>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0.5</w:t>
            </w:r>
          </w:p>
        </w:tc>
      </w:tr>
      <w:tr>
        <w:trPr>
          <w:trHeight w:val="23"/>
        </w:trPr>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0"/>
        </w:trPr>
        <w:tc>
          <w:tcPr>
            <w:tcW w:w="44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Divestitures</w:t>
            </w:r>
          </w:p>
        </w:tc>
        <w:tc>
          <w:tcPr>
            <w:tcW w:w="3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23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(0.1)</w:t>
            </w:r>
          </w:p>
        </w:tc>
      </w:tr>
      <w:tr>
        <w:trPr>
          <w:trHeight w:val="206"/>
        </w:trPr>
        <w:tc>
          <w:tcPr>
            <w:tcW w:w="44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(0.1)</w:t>
            </w:r>
          </w:p>
        </w:tc>
        <w:tc>
          <w:tcPr>
            <w:tcW w:w="2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0.1</w:t>
            </w:r>
          </w:p>
        </w:tc>
      </w:tr>
      <w:tr>
        <w:trPr>
          <w:trHeight w:val="23"/>
        </w:trPr>
        <w:tc>
          <w:tcPr>
            <w:tcW w:w="44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8"/>
        </w:trPr>
        <w:tc>
          <w:tcPr>
            <w:tcW w:w="44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2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4.6 %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p>
      <w:pPr>
        <w:spacing w:after="0" w:line="63" w:lineRule="exact"/>
        <w:rPr>
          <w:sz w:val="20"/>
          <w:szCs w:val="20"/>
          <w:color w:val="auto"/>
        </w:rPr>
      </w:pPr>
    </w:p>
    <w:p>
      <w:pPr>
        <w:ind w:left="340" w:hanging="332"/>
        <w:spacing w:after="0" w:line="282" w:lineRule="auto"/>
        <w:tabs>
          <w:tab w:leader="none" w:pos="3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revenues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revenues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Renewable Energy segments, as well as changes in certain recycling fees charged by our collection and disposal operations.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 in our revenues from the combined impacts of yield and volume, and exclude energy surcharges, attributable to our Healthcare Solutions segment.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significant items affecting revenues during the three and nine months ended September 30, 2026, as compared to the prior year periods, are summarized below:</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Average Yield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revenues from the pricing activities of our collection, transfer and landfill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exclusive of volume changes. Revenue growth from Collection and Disposal average yield includes not only base rate changes and environmental and service fee fluctuations, but also (i) certain average price changes related to the overall mix of services, which are due to the types of services provided; (ii) changes in average price from new and lost business and (iii) price decreases to retain customers.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are as follows (dollars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660" w:type="dxa"/>
            <w:vAlign w:val="bottom"/>
            <w:gridSpan w:val="4"/>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r>
      <w:tr>
        <w:trPr>
          <w:trHeight w:val="146"/>
        </w:trPr>
        <w:tc>
          <w:tcPr>
            <w:tcW w:w="4540" w:type="dxa"/>
            <w:vAlign w:val="bottom"/>
          </w:tcPr>
          <w:p>
            <w:pPr>
              <w:spacing w:after="0"/>
              <w:rPr>
                <w:sz w:val="12"/>
                <w:szCs w:val="12"/>
                <w:color w:val="auto"/>
              </w:rPr>
            </w:pPr>
          </w:p>
        </w:tc>
        <w:tc>
          <w:tcPr>
            <w:tcW w:w="2660" w:type="dxa"/>
            <w:vAlign w:val="bottom"/>
            <w:gridSpan w:val="4"/>
          </w:tcPr>
          <w:p>
            <w:pPr>
              <w:jc w:val="center"/>
              <w:ind w:left="382"/>
              <w:spacing w:after="0" w:line="146"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40" w:type="dxa"/>
            <w:vAlign w:val="bottom"/>
            <w:gridSpan w:val="3"/>
          </w:tcPr>
          <w:p>
            <w:pPr>
              <w:jc w:val="center"/>
              <w:ind w:right="228"/>
              <w:spacing w:after="0" w:line="146"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4540" w:type="dxa"/>
            <w:vAlign w:val="bottom"/>
          </w:tcPr>
          <w:p>
            <w:pPr>
              <w:spacing w:after="0"/>
              <w:rPr>
                <w:sz w:val="17"/>
                <w:szCs w:val="17"/>
                <w:color w:val="auto"/>
              </w:rPr>
            </w:pPr>
          </w:p>
        </w:tc>
        <w:tc>
          <w:tcPr>
            <w:tcW w:w="2660" w:type="dxa"/>
            <w:vAlign w:val="bottom"/>
            <w:tcBorders>
              <w:bottom w:val="single" w:sz="8" w:color="auto"/>
            </w:tcBorders>
            <w:gridSpan w:val="4"/>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September 30, 2026 vs. 2025</w:t>
            </w:r>
          </w:p>
        </w:tc>
        <w:tc>
          <w:tcPr>
            <w:tcW w:w="46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September 30, 2026 vs. 2025</w:t>
            </w:r>
          </w:p>
        </w:tc>
      </w:tr>
      <w:tr>
        <w:trPr>
          <w:trHeight w:val="177"/>
        </w:trPr>
        <w:tc>
          <w:tcPr>
            <w:tcW w:w="4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As a % of</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 % of</w:t>
            </w:r>
          </w:p>
        </w:tc>
      </w:tr>
      <w:tr>
        <w:trPr>
          <w:trHeight w:val="162"/>
        </w:trPr>
        <w:tc>
          <w:tcPr>
            <w:tcW w:w="4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Related</w:t>
            </w:r>
          </w:p>
        </w:tc>
      </w:tr>
      <w:tr>
        <w:trPr>
          <w:trHeight w:val="190"/>
        </w:trPr>
        <w:tc>
          <w:tcPr>
            <w:tcW w:w="45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23"/>
        </w:trPr>
        <w:tc>
          <w:tcPr>
            <w:tcW w:w="4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4.2 %</w:t>
            </w:r>
          </w:p>
        </w:tc>
        <w:tc>
          <w:tcPr>
            <w:tcW w:w="4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4.3 %</w:t>
            </w:r>
          </w:p>
        </w:tc>
      </w:tr>
      <w:tr>
        <w:trPr>
          <w:trHeight w:val="26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0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0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5.9</w:t>
            </w:r>
          </w:p>
        </w:tc>
      </w:tr>
      <w:tr>
        <w:trPr>
          <w:trHeight w:val="263"/>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0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4.2</w:t>
            </w:r>
          </w:p>
        </w:tc>
      </w:tr>
      <w:tr>
        <w:trPr>
          <w:trHeight w:val="27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0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0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80" w:type="dxa"/>
            <w:vAlign w:val="bottom"/>
            <w:tcBorders>
              <w:bottom w:val="single" w:sz="8" w:color="CCEEFF"/>
            </w:tcBorders>
            <w:gridSpan w:val="2"/>
          </w:tcPr>
          <w:p>
            <w:pPr>
              <w:ind w:left="1240"/>
              <w:spacing w:after="0"/>
              <w:rPr>
                <w:sz w:val="20"/>
                <w:szCs w:val="20"/>
                <w:color w:val="auto"/>
              </w:rPr>
            </w:pPr>
            <w:r>
              <w:rPr>
                <w:rFonts w:ascii="Times New Roman" w:cs="Times New Roman" w:eastAsia="Times New Roman" w:hAnsi="Times New Roman"/>
                <w:sz w:val="18"/>
                <w:szCs w:val="18"/>
                <w:color w:val="auto"/>
              </w:rPr>
              <w:t>3.2</w:t>
            </w:r>
          </w:p>
        </w:tc>
      </w:tr>
      <w:tr>
        <w:trPr>
          <w:trHeight w:val="295"/>
        </w:trPr>
        <w:tc>
          <w:tcPr>
            <w:tcW w:w="4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3.4 %</w:t>
            </w:r>
          </w:p>
        </w:tc>
        <w:tc>
          <w:tcPr>
            <w:tcW w:w="4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8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3.6 %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overall pricing efforts are focused on keeping pace with the increasing costs and capital intensity of our business. We continue to see yield growth in our landfill business primarily driven by municipal solid waste, which achieved average yield of 4.2% and 5.3% for the three and nine months ended September 30, 2026, respectively.</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and Renewable Energy </w:t>
      </w:r>
      <w:r>
        <w:rPr>
          <w:rFonts w:ascii="Times New Roman" w:cs="Times New Roman" w:eastAsia="Times New Roman" w:hAnsi="Times New Roman"/>
          <w:sz w:val="18"/>
          <w:szCs w:val="18"/>
          <w:color w:val="auto"/>
        </w:rPr>
        <w:t>— Recycling Processing and Sales revenues attributable to yield increased $51 million and $21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and nine months ended September 30, 2026, respectively, as compared to the prior year periods. Average market prices for single-stream recycled commodities increased 20% and decreased 7% for the three and nine months ended September 30, 2026, respectively, as compared to the prior year periods. Higher processing fee revenue from our recycling facilities more than offset commodity declines, driving yield growth for the nine months ended September 30, 2026. Revenues attributable to yield in our Renewable Energy segment decreased $8 million and $20 million for the three and nine months ended September 30, 2026, respectively, as compared to the prior year periods, primarily due to lower RNG pricing, partially offset by higher electricity prices. While there may be short-term fluctuations in our commodity-driven businesses as prices change, we believe that our business models and processes appropriately mitigate the downside risk of changes in commodity prices.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Energy Surcharge and Mandated Fees — </w:t>
      </w:r>
      <w:r>
        <w:rPr>
          <w:rFonts w:ascii="Times New Roman" w:cs="Times New Roman" w:eastAsia="Times New Roman" w:hAnsi="Times New Roman"/>
          <w:sz w:val="18"/>
          <w:szCs w:val="18"/>
          <w:color w:val="auto"/>
        </w:rPr>
        <w:t>These fees increased $112 million and $234 million for the three and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as compared to the prior year periods. The increase in energy surcharge revenues was primarily due to an increase of approximately 50% and 40% in market prices for diesel fuel for the three and nine months ended September 30, 2026, respectively, as compared to the prior year periods.</w:t>
      </w:r>
    </w:p>
    <w:p>
      <w:pPr>
        <w:spacing w:after="0" w:line="1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from volume (excluding volumes from acquisitions and divestitures, as well as Healthcare Solutions) increased $53 million, or 0.8%, and $43 million, or 0.2%, for the three and nine months ended September 30, 2026, respectively, as compared to the prior year periods. Volume increased in both our Recycling Processing and Sales and our Renewable Energy segments primarily due to contributions from recycling automation and growth projects and new renewable natural gas plants. These volume increases were largely offset by declines in our collection business primarily due to our intentional shedding of lower-margin residential business and lower commercial collection volumes. Additionally, during the nine months ended September 30, 2026, special waste volumes declined compared to the prior year period, which benefited from wildfire cleanup activities in the West Tier.</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Healthcare Solutions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our Healthcare Solutions segment were relatively unchanged for the three months ended September 30, 2026 and decreased $42 million, or 0.2%, for the nine months ended September 30, 2026, as compared to the prior year periods, as contributions from pricing activities were meaningfully offset by declines in volumes.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Acquisitions and Divestitures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Acquisitions and divestitures resulted in a net increase in revenues of $28 million, or 0.5%, and $87 million, or 0.4%, for the three and nine months ended September 30, 2026, respectively, as compared to the prior year periods primarily due to our investments in tuck-in collection and disposal businesses.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for the three and nine months ended September 30 (in millions of dollars and as a percentage of revenues):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0"/>
        </w:trPr>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2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r>
      <w:tr>
        <w:trPr>
          <w:trHeight w:val="200"/>
        </w:trPr>
        <w:tc>
          <w:tcPr>
            <w:tcW w:w="2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2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1,139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6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1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r>
      <w:tr>
        <w:trPr>
          <w:trHeight w:val="277"/>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repairs</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1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r>
      <w:tr>
        <w:trPr>
          <w:trHeight w:val="26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Subcontractor costs</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1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r>
      <w:tr>
        <w:trPr>
          <w:trHeight w:val="277"/>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1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r>
      <w:tr>
        <w:trPr>
          <w:trHeight w:val="26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1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r>
      <w:tr>
        <w:trPr>
          <w:trHeight w:val="277"/>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1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r>
      <w:tr>
        <w:trPr>
          <w:trHeight w:val="26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operating costs</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1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77"/>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management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1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r>
      <w:tr>
        <w:trPr>
          <w:trHeight w:val="283"/>
        </w:trPr>
        <w:tc>
          <w:tcPr>
            <w:tcW w:w="284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59.8 %</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3,798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59.4 %</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operating expenses for the three and nine months ended September 30, 2026 increased as compared to the prior year periods, primarily due to (i) higher fuel prices; (ii) increased risk management costs; (iii) annual employee wage increases and higher employee medical costs and (iv) growth in our Renewable Energy segment. These increases were partially offset by (i) the Company’s ability to flex spending with lower collection and special waste volumes and (ii) continued operating efficiency and cost control initiatives.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items affecting operating expenses during the three and nine months ended September 30, 2026, as compared to the prior year periods, are summarized below:</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in labor and related benefits costs was primarily due to annual employee wage increases and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medical costs as compared with the prior year periods. These increases were partially offset by (i) lower annual incentive compensation; (ii) the Company’s ability to flex spending with volume changes; (iii) residential collection efficiency improvements and (iv) improved driver retention.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 and Disposal Costs </w:t>
      </w:r>
      <w:r>
        <w:rPr>
          <w:rFonts w:ascii="Times New Roman" w:cs="Times New Roman" w:eastAsia="Times New Roman" w:hAnsi="Times New Roman"/>
          <w:sz w:val="18"/>
          <w:szCs w:val="18"/>
          <w:color w:val="auto"/>
        </w:rPr>
        <w:t>— The increase in transfer and disposal costs for the three and nine months ended September 30, 2026,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year periods, was primarily due to increased disposal fees at third-party sites and higher rates from our third-party haulers due to increases in fuel costs. This increase was partially offset by lower transfer and disposal volumes attributable to harsh winter weather during the first quarter of 2026 and intentional shedding of lower margin residential contracts.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increase in maintenance and repairs costs was primarily due to (i) annual wage increases and increased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technician headcount as the result of an effort to reduce reliance on third-party services; (ii) increased costs for parts, supplies and third-party services driven by inflation and (iii) growth of our Renewable Energy segment. The increase was partially offset by reduced demand for third-party services driven by fleet and operational optimization.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Subcontractor Costs </w:t>
      </w:r>
      <w:r>
        <w:rPr>
          <w:rFonts w:ascii="Times New Roman" w:cs="Times New Roman" w:eastAsia="Times New Roman" w:hAnsi="Times New Roman"/>
          <w:sz w:val="18"/>
          <w:szCs w:val="18"/>
          <w:color w:val="auto"/>
        </w:rPr>
        <w:t>— The increase in subcontractor costs was primarily due to increases in market prices for diesel fuel as previously mentioned.</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The changes in cost of goods sold were primarily due to fluctuations in average market prices for single-stream recycling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commodities discussed above. Additional pipeline transportation costs attributable to new RNG facilities brought online during 2025 and 2026 also increased costs for the three and nine months ended September 30, 2026.</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3" w:name="page34"/>
    <w:bookmarkEnd w:id="33"/>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Fuel </w:t>
      </w:r>
      <w:r>
        <w:rPr>
          <w:rFonts w:ascii="Times New Roman" w:cs="Times New Roman" w:eastAsia="Times New Roman" w:hAnsi="Times New Roman"/>
          <w:sz w:val="18"/>
          <w:szCs w:val="18"/>
          <w:color w:val="auto"/>
        </w:rPr>
        <w:t>— The increase in fuel costs was primarily due to the increases in average market prices for diesel fuel previously mentioned. This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reduced fuel consumption due to declines in collection volumes.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w:t>
      </w:r>
      <w:r>
        <w:rPr>
          <w:rFonts w:ascii="Times New Roman" w:cs="Times New Roman" w:eastAsia="Times New Roman" w:hAnsi="Times New Roman"/>
          <w:sz w:val="18"/>
          <w:szCs w:val="18"/>
          <w:color w:val="auto"/>
        </w:rPr>
        <w:t>— The increase in disposal and franchise fees and taxes was primarily due to an increase in landfill host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fees and taxes paid to municipalities on our disposal volumes and an increase in collection franchise fees in certain markets.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Landfill Operating Costs </w:t>
      </w:r>
      <w:r>
        <w:rPr>
          <w:rFonts w:ascii="Times New Roman" w:cs="Times New Roman" w:eastAsia="Times New Roman" w:hAnsi="Times New Roman"/>
          <w:sz w:val="18"/>
          <w:szCs w:val="18"/>
          <w:color w:val="auto"/>
        </w:rPr>
        <w:t>— The increase in landfill operating costs was primarily due to higher leachate treatment costs in our West and East Tiers.</w:t>
      </w:r>
    </w:p>
    <w:p>
      <w:pPr>
        <w:spacing w:after="0" w:line="21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Risk Management </w:t>
      </w:r>
      <w:r>
        <w:rPr>
          <w:rFonts w:ascii="Times New Roman" w:cs="Times New Roman" w:eastAsia="Times New Roman" w:hAnsi="Times New Roman"/>
          <w:sz w:val="18"/>
          <w:szCs w:val="18"/>
          <w:color w:val="auto"/>
        </w:rPr>
        <w:t>— The increase in risk management costs was primarily due to increased claims costs as compared to the prior year periods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recovery benefiting the third quarter of 2025 associated with a 2022 transfer station fire.</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The increase in other operating costs was primarily due to increased utility costs largely attributable to higher electricity prices and new RNG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plants brought online during 2025 and 2026.</w:t>
      </w: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for the three and nine months ended September 30 (in millions of dollars and as a percentage of revenues):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6"/>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0"/>
        </w:trPr>
        <w:tc>
          <w:tcPr>
            <w:tcW w:w="2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2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r>
      <w:tr>
        <w:trPr>
          <w:trHeight w:val="199"/>
        </w:trPr>
        <w:tc>
          <w:tcPr>
            <w:tcW w:w="2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3"/>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2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5.7 %</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1,241</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63"/>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77"/>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63"/>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r>
      <w:tr>
        <w:trPr>
          <w:trHeight w:val="284"/>
        </w:trPr>
        <w:tc>
          <w:tcPr>
            <w:tcW w:w="27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9.6 %</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2,048</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for the three months ended September 30, 2026, as compared to the prior year period, primarily due to decreases in labor costs resulting from synergies achieved from our acquisitions, particularly Stericycle, partially offset by higher bad debt expenses. Selling, general and administrative expenses decreased for the nine months ended September 30, 2026, as compared to the prior year period, primarily due to lower professional fees and continued synergies in labor offset by increases in bad debt expenses and technology costs.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items affecting selling, general and administrative expenses during the three and nine months ended September 30, 2026, as compared to the prior year periods, are summarized below:</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 </w:t>
      </w:r>
      <w:r>
        <w:rPr>
          <w:rFonts w:ascii="Times New Roman" w:cs="Times New Roman" w:eastAsia="Times New Roman" w:hAnsi="Times New Roman"/>
          <w:sz w:val="18"/>
          <w:szCs w:val="18"/>
          <w:color w:val="auto"/>
        </w:rPr>
        <w:t>The decrease in labor and related benefits costs was primarily due to a reduction in workforce as we achieved synergies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acquisitions, particularly Stericycle, and lower annual incentive compensation costs. These decreases were partially offset by annual employee wage increases and, for the nine months ended September 30, 2026, higher long term incentive compensation.</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 The decrease in professional fees was primarily due to higher consulting costs incurred in the prior year periods to support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integration of Stericycle.</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Provision for Bad Debts </w:t>
      </w:r>
      <w:r>
        <w:rPr>
          <w:rFonts w:ascii="Times New Roman" w:cs="Times New Roman" w:eastAsia="Times New Roman" w:hAnsi="Times New Roman"/>
          <w:sz w:val="18"/>
          <w:szCs w:val="18"/>
          <w:color w:val="auto"/>
        </w:rPr>
        <w:t>— The increase in provision for bad debts in the three months ended September 30, 2026, as compared to the prior year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a favorable adjustment related to our Healthcare Solutions segment that reduced the provision for bad debts in the third quarter of 2025. The increase for the nine months ended September 30, 2026, as compared to the prior year period, was primarily driven by increased write-offs of specific accounts within our Collection and Disposal business and an unfavorable adjustment related to specific accounts within our Healthcare Solutions segment in 2026.</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4" w:name="page35"/>
    <w:bookmarkEnd w:id="34"/>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Amortization and Accretion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depreciation, depletion, amortization and accretion expenses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(in millions of dollars and as a percentage of revenues):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0"/>
        </w:trPr>
        <w:tc>
          <w:tcPr>
            <w:tcW w:w="3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3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r>
      <w:tr>
        <w:trPr>
          <w:trHeight w:val="199"/>
        </w:trPr>
        <w:tc>
          <w:tcPr>
            <w:tcW w:w="3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gridSpan w:val="3"/>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3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5"/>
        </w:trPr>
        <w:tc>
          <w:tcPr>
            <w:tcW w:w="31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Depreciation of tangible property and</w:t>
            </w: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6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3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1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7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accretion on landfill and</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1"/>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environmental remediation liabilities</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84"/>
        </w:trPr>
        <w:tc>
          <w:tcPr>
            <w:tcW w:w="316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for the three and nine months ended September 30, 2026, as compared to the prior year periods, was primarily due to investments in capital assets placed in service during 2025 and 2026, particularly within our sustainability businesses. The increase in depletion of landfill airspace for the three and nine months ended September 30, 2026, as compared to the prior year periods, was primarily due to changes in rates from revisions in landfill estimates within our East Tier, partially offset by volume declines in our West Tier. The decrease in amortization of intangible assets for the three and nine months ended September 30, 2026, as compared to the prior year periods, was due to a reduction in amortization associated with our Healthcare Solutions business and the conclusion of amortization related to a prior year acquisition within our East Tier. The increase in interest accretion on landfill and environmental remediation liabilities for the three and nine months ended September 30, 2026, as compared to the prior year periods, was primarily due to revisions in landfill cost estimates.</w:t>
      </w:r>
    </w:p>
    <w:p>
      <w:pPr>
        <w:spacing w:after="0" w:line="1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Restructuring charges for the three and nine months ended September 30, 2026 were not material. Restructuring charges for the three and nine months ended September 30, 2025 were primarily due to employee costs related to integration of our November 2024 acquisition of Stericycle.</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months ended September 30, 2026 primarily relates to an $18 million impairment charge related to the decision to accelerate the closure of a landfill within our East Tier. The nine months ended September 30, 2026 also includes a $34 million gain on a business divestiture in our West Tier, partially offset by immaterial charges related to legal and remediation liabilities.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months ended September 30, 2025 includes (i) a $152 million impairment charge related to the decision to suspend the operations of a business engaged in plastic film and wrap recycling within our Recycling Processing and Sales segment resulting from significant deterioration of market pricing and demand for post-consumer plastics; (ii) a $45 million impairment charge related to the decision to accelerate the closure of a landfill within our East Tier and (iii) an $11 million negotiated payment for early termination of a contract in our Renewable Energy segment. The nine months ended September 30, 2025 also includes a $16 million goodwill impairment charge related to a business engaged in oil recovery and sludge processing services reflected in Other Ancillary within our Collection and Disposal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5" w:name="page36"/>
    <w:bookmarkEnd w:id="35"/>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income from operations for our reportable segments for the three and nine months ended September 30 (dollars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1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Period-to-Period Change</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Period-to-Period Change</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East Tier</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771</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740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28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2,278</w:t>
            </w:r>
          </w:p>
        </w:tc>
        <w:tc>
          <w:tcPr>
            <w:tcW w:w="14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2,130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57"/>
        </w:trPr>
        <w:tc>
          <w:tcPr>
            <w:tcW w:w="2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West Tier</w:t>
            </w: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2,264</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2,164</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57"/>
        </w:trPr>
        <w:tc>
          <w:tcPr>
            <w:tcW w:w="2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Ancillary</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40" w:type="dxa"/>
            <w:vAlign w:val="bottom"/>
            <w:tcBorders>
              <w:bottom w:val="single" w:sz="8" w:color="CCEEFF"/>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60" w:type="dxa"/>
            <w:vAlign w:val="bottom"/>
            <w:tcBorders>
              <w:bottom w:val="single" w:sz="8" w:color="CCEEFF"/>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1,468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4,552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4,274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56"/>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40" w:type="dxa"/>
            <w:vAlign w:val="bottom"/>
          </w:tcPr>
          <w:p>
            <w:pPr>
              <w:spacing w:after="0"/>
              <w:rPr>
                <w:sz w:val="22"/>
                <w:szCs w:val="22"/>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126.3</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195.8</w:t>
            </w:r>
          </w:p>
        </w:tc>
        <w:tc>
          <w:tcPr>
            <w:tcW w:w="0" w:type="dxa"/>
            <w:vAlign w:val="bottom"/>
          </w:tcPr>
          <w:p>
            <w:pPr>
              <w:spacing w:after="0"/>
              <w:rPr>
                <w:sz w:val="1"/>
                <w:szCs w:val="1"/>
                <w:color w:val="auto"/>
              </w:rPr>
            </w:pPr>
          </w:p>
        </w:tc>
      </w:tr>
      <w:tr>
        <w:trPr>
          <w:trHeight w:val="257"/>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w:t>
            </w: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76.2</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132</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69.2</w:t>
            </w:r>
          </w:p>
        </w:tc>
        <w:tc>
          <w:tcPr>
            <w:tcW w:w="0" w:type="dxa"/>
            <w:vAlign w:val="bottom"/>
          </w:tcPr>
          <w:p>
            <w:pPr>
              <w:spacing w:after="0"/>
              <w:rPr>
                <w:sz w:val="1"/>
                <w:szCs w:val="1"/>
                <w:color w:val="auto"/>
              </w:rPr>
            </w:pPr>
          </w:p>
        </w:tc>
      </w:tr>
      <w:tr>
        <w:trPr>
          <w:trHeight w:val="25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 Solutions</w:t>
            </w:r>
          </w:p>
        </w:tc>
        <w:tc>
          <w:tcPr>
            <w:tcW w:w="240" w:type="dxa"/>
            <w:vAlign w:val="bottom"/>
          </w:tcPr>
          <w:p>
            <w:pPr>
              <w:spacing w:after="0"/>
              <w:rPr>
                <w:sz w:val="22"/>
                <w:szCs w:val="22"/>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195.2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112.3</w:t>
            </w:r>
          </w:p>
        </w:tc>
        <w:tc>
          <w:tcPr>
            <w:tcW w:w="0" w:type="dxa"/>
            <w:vAlign w:val="bottom"/>
          </w:tcPr>
          <w:p>
            <w:pPr>
              <w:spacing w:after="0"/>
              <w:rPr>
                <w:sz w:val="1"/>
                <w:szCs w:val="1"/>
                <w:color w:val="auto"/>
              </w:rPr>
            </w:pPr>
          </w:p>
        </w:tc>
      </w:tr>
      <w:tr>
        <w:trPr>
          <w:trHeight w:val="257"/>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(342)</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2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(1,138)</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(1,039)</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50"/>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1,279</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989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29.3 %</w:t>
            </w:r>
          </w:p>
        </w:tc>
        <w:tc>
          <w:tcPr>
            <w:tcW w:w="28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3,645</w:t>
            </w:r>
          </w:p>
        </w:tc>
        <w:tc>
          <w:tcPr>
            <w:tcW w:w="14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3,153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0" w:type="dxa"/>
            <w:vAlign w:val="bottom"/>
          </w:tcPr>
          <w:p>
            <w:pPr>
              <w:spacing w:after="0"/>
              <w:rPr>
                <w:sz w:val="1"/>
                <w:szCs w:val="1"/>
                <w:color w:val="auto"/>
              </w:rPr>
            </w:pP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revenues</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change does not provide a meaningful comparison.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significant items affecting income from operations for our segments during the three and nine months ended September 30, 2026, as compared to the prior year periods, are summarized below:</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 </w:t>
      </w:r>
      <w:r>
        <w:rPr>
          <w:rFonts w:ascii="Times New Roman" w:cs="Times New Roman" w:eastAsia="Times New Roman" w:hAnsi="Times New Roman"/>
          <w:sz w:val="18"/>
          <w:szCs w:val="18"/>
          <w:color w:val="auto"/>
        </w:rPr>
        <w:t>Income from operations in our Collection and Disposal business increased primarily due to (i) revenue growth from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which translates into increased yield or average unit price; (ii) actions to improve efficiency and the operating costs incurred to serve our customers and (iii) a $45 million impairment charge in the prior year period compared with an $18 million impairment charge in the current year period, both related to the decision to accelerate the closure of a landfill within our East Tier. These increases were partially offset by higher risk management costs. For the nine months ended September 30, 2026, the increases were further offset by declines in special waste volume in our West Tier, which was favorably impacted by wildfire clean-up activities in the prior year period, and lower volumes caused by harsh winter weather in early 2026.</w:t>
      </w:r>
    </w:p>
    <w:p>
      <w:pPr>
        <w:spacing w:after="0" w:line="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 </w:t>
      </w:r>
      <w:r>
        <w:rPr>
          <w:rFonts w:ascii="Times New Roman" w:cs="Times New Roman" w:eastAsia="Times New Roman" w:hAnsi="Times New Roman"/>
          <w:sz w:val="18"/>
          <w:szCs w:val="18"/>
          <w:color w:val="auto"/>
        </w:rPr>
        <w:t>Our Recycling Processing and Sales segment generated income from operations compared to a loss in the prior year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the three and nine months ended September 30, 2026. The improvement for the three months ended September 30, 2026 was primarily due to (i) a $152 million impairment charge related to the decision to suspend the operations of a business incurred in the third quarter of 2025 and lower related expenses from the suspension of the business; (ii) increased volumes and reduced costs from the automation of our recycling facilities as well as investments in new facilities and (iii) improved commodity pricing compared to the prior year periods. For the nine months ended September 30, 2026, these increases were partially offset by declines in commodity prices as compared to the prior year period.</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Renewable Energy — </w:t>
      </w:r>
      <w:r>
        <w:rPr>
          <w:rFonts w:ascii="Times New Roman" w:cs="Times New Roman" w:eastAsia="Times New Roman" w:hAnsi="Times New Roman"/>
          <w:sz w:val="18"/>
          <w:szCs w:val="18"/>
          <w:color w:val="auto"/>
        </w:rPr>
        <w:t>The increase in income from operations in our Renewable Energy segment was primarily due to higher volumes driven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projects that increase the beneficial use of landfill gas sold to third parties. This increase was partially offset by a decline in RINs pricing.</w:t>
      </w:r>
    </w:p>
    <w:p>
      <w:pPr>
        <w:spacing w:after="0" w:line="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Healthcare Solutions — </w:t>
      </w:r>
      <w:r>
        <w:rPr>
          <w:rFonts w:ascii="Times New Roman" w:cs="Times New Roman" w:eastAsia="Times New Roman" w:hAnsi="Times New Roman"/>
          <w:sz w:val="18"/>
          <w:szCs w:val="18"/>
          <w:color w:val="auto"/>
        </w:rPr>
        <w:t>Our Healthcare Solutions segment generated income from operations compared to a loss in the prior year for both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2026. The improvement across both time periods is primarily due to non-recurring integration costs incurred during the prior year periods along with lower costs in the current year from the realization of synergies and contributions from energy surcharges. These increases were partially offset by lower volumes.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Corporate and Other — </w:t>
      </w:r>
      <w:r>
        <w:rPr>
          <w:rFonts w:ascii="Times New Roman" w:cs="Times New Roman" w:eastAsia="Times New Roman" w:hAnsi="Times New Roman"/>
          <w:sz w:val="18"/>
          <w:szCs w:val="18"/>
          <w:color w:val="auto"/>
        </w:rPr>
        <w:t>The loss from operations in Corporate and Other increased in the three months ended September 30, 2026 primarily due to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management expenses, partially offset by lower employee annual incentive compensation. The loss from operations in Corporate and Other increased in the nine months ended September 30, 2026 primarily due to (i) higher technology costs to support our strategic initiatives; (ii) higher risk management expenses; (iii) annual wage increases and (iv) increased employee medical costs. These increases were partially offset by a decrease in consulting fees, due to expenses incurred in the prior year in connection with the Stericycle acquisition.</w:t>
      </w:r>
    </w:p>
    <w:p>
      <w:pPr>
        <w:spacing w:after="0" w:line="1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Our interest expense, net was $237 million and $695 million for the three and nine months ended September 30, 2026, respectively, compared to $225 million and $689 million for the three and nine months ended September 30, 2025, respectively. Interest expense, net increased due to lower capitalized interest resulting from the completion of the majority of our planned sustainability growth projects by the end of 2025. For the nine months ended September 30, 2026, this increase was partially offset by a decrease in our average debt balance as compared to the prior year period.</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income tax expense and effective income tax rate was $224 million, or 21.5%, and $630 million, or 21.3%, for the three and nine months ended September 30, 2026, respectively, compared to $172 million, or 22.2%, and $524 million, or 21.0%, for the three and nine months ended September 30, 2025, respectively.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to the Condensed Consolidated Financial Statements for more information related to income taxes.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The Inflation Reduction Act of 2022 (“IRA”) contains several tax-related provisions, including with respect to (i) alternative fuel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We secured approximately $60 million of annual pre-tax benefit through the provisions of the IRA related to alternative fuel tax credits (recorded as a reduction in our operating expense) in 2024. The alternative fuel credit expired at the end of 2024 and will not provide any future benefit to the Company without further legislative action. With respect to the Section 48 investment tax credit, we expect our cumulative benefit to be between $400 million and $425 million, $309 million of which was recognized between 2023 and 2025 with the remainder anticipated to be realized in 2026 and 2027. Finally, in February 2026 the Internal Revenue Service issued proposed regulatory guidance clarifying qualification for the Section 45Z clean fuel production tax credit. We expect our cumulative benefit from this clean fuel production tax credit to be as much as $225 million through 2029. This expected benefit is dependent on a number of estimates and assumptions, which we continue to monitor and factor into our credit realization expectations.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consistently generates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ability to manage liquidity during periods of significant financial market disruption through temporary modification of our capital expenditure and share repurchase plans.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7" w:name="page38"/>
    <w:bookmarkEnd w:id="37"/>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Funds and 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cash and cash equivalents, restricted funds and debt balances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funds and other: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Insurance reserves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63"/>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restricted funds and other (a)</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portion</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0" w:type="dxa"/>
            <w:vAlign w:val="bottom"/>
          </w:tcPr>
          <w:p>
            <w:pPr>
              <w:spacing w:after="0"/>
              <w:rPr>
                <w:sz w:val="1"/>
                <w:szCs w:val="1"/>
                <w:color w:val="auto"/>
              </w:rPr>
            </w:pPr>
          </w:p>
        </w:tc>
      </w:tr>
      <w:tr>
        <w:trPr>
          <w:trHeight w:val="270"/>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23,370</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22,907</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p>
      <w:pPr>
        <w:spacing w:after="0" w:line="63" w:lineRule="exact"/>
        <w:rPr>
          <w:sz w:val="20"/>
          <w:szCs w:val="20"/>
          <w:color w:val="auto"/>
        </w:rPr>
      </w:pPr>
    </w:p>
    <w:p>
      <w:pPr>
        <w:ind w:left="340" w:right="20" w:hanging="332"/>
        <w:spacing w:after="0" w:line="282" w:lineRule="auto"/>
        <w:tabs>
          <w:tab w:leader="none" w:pos="3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and December 31, 2025, $100 million and $109 million, respectively, of these account balances were included in other current assets in our Condensed Consolidated Balance Sheets.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As of September 30, 2026, we had approximately $4.4 billion of debt maturing within the next 12 months, including (i) $2.2 billion of tax-exempt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with term interest rate periods that expire within the next 12 months, which is prior to their scheduled maturities; (ii) $1.2 billion of short-term borrowings under our commercial paper program (net of related discount on issuance); (iii) $750 million of 4.95% senior notes that mature in July 2027 and (iv) $211 million of other debt with scheduled maturities within the next 12 months. As of September 30, 2026, we have classified $2.9 billion of debt maturing in the next 12 months as long-term because we have the intent and ability to refinance these borrowings on a long-term basis as supported by the forecasted available capacity under our $3.5 billion long-term U.S. and Canadian revolving credit facility. The remaining $1.5 billion of debt maturing in the next 12 months is classified as current obligations.</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WM Holdings, Inc. (“WM Holdings”) has fully and unconditionally guaranteed all of Waste Management, Inc.’s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8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84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4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7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Advances due to affiliates</w:t>
            </w:r>
          </w:p>
        </w:tc>
        <w:tc>
          <w:tcPr>
            <w:tcW w:w="4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18,160</w:t>
            </w:r>
          </w:p>
        </w:tc>
      </w:tr>
      <w:tr>
        <w:trPr>
          <w:trHeight w:val="277"/>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19,733</w:t>
            </w:r>
          </w:p>
        </w:tc>
      </w:tr>
      <w:tr>
        <w:trPr>
          <w:trHeight w:val="904"/>
        </w:trPr>
        <w:tc>
          <w:tcPr>
            <w:tcW w:w="3840" w:type="dxa"/>
            <w:vAlign w:val="bottom"/>
          </w:tcPr>
          <w:p>
            <w:pPr>
              <w:spacing w:after="0"/>
              <w:rPr>
                <w:sz w:val="24"/>
                <w:szCs w:val="24"/>
                <w:color w:val="auto"/>
              </w:rPr>
            </w:pPr>
          </w:p>
        </w:tc>
        <w:tc>
          <w:tcPr>
            <w:tcW w:w="434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1"/>
        </w:trPr>
        <w:tc>
          <w:tcPr>
            <w:tcW w:w="38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30, 2026</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Information:</w:t>
            </w: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Pr>
          <w:p>
            <w:pPr>
              <w:spacing w:after="0"/>
              <w:rPr>
                <w:sz w:val="22"/>
                <w:szCs w:val="22"/>
                <w:color w:val="auto"/>
              </w:rPr>
            </w:pPr>
          </w:p>
        </w:tc>
        <w:tc>
          <w:tcPr>
            <w:tcW w:w="5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54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our cash flows for the nine months ended September 30 (in millions):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1"/>
        </w:trPr>
        <w:tc>
          <w:tcPr>
            <w:tcW w:w="8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Pr>
          <w:p>
            <w:pPr>
              <w:spacing w:after="0"/>
              <w:rPr>
                <w:sz w:val="23"/>
                <w:szCs w:val="23"/>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r>
    </w:tbl>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increased by $522 million for the nine months ended September 30, 2026,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 period, primarily due to (i) higher earnings, particularly driven by our Collection and Disposal business; (ii) favorable changes in working capital, net of effects from acquisitions and divestitures and (iii) lower annual incentive compensation payments. These increases were partially offset by higher cash taxes.</w:t>
      </w:r>
    </w:p>
    <w:p>
      <w:pPr>
        <w:spacing w:after="0" w:line="18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included in our investing cash flows for the nine months ended September 30,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are summarized below:</w:t>
      </w:r>
    </w:p>
    <w:p>
      <w:pPr>
        <w:spacing w:after="0" w:line="158" w:lineRule="exact"/>
        <w:rPr>
          <w:sz w:val="20"/>
          <w:szCs w:val="20"/>
          <w:color w:val="auto"/>
        </w:rPr>
      </w:pPr>
    </w:p>
    <w:p>
      <w:pPr>
        <w:jc w:val="both"/>
        <w:ind w:left="740" w:hanging="327"/>
        <w:spacing w:after="0" w:line="261"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 We used $1,937 million and $2,339 million for capital expenditures during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2025, respectively. The decrease in capital spending is primarily driven by (i) lower spend on collection vehicles and (ii) planned reductions in capital investments in our sustainability growth projects due to our transition from peak construction of this portfolio into a period of harvesting returns.</w:t>
      </w:r>
    </w:p>
    <w:p>
      <w:pPr>
        <w:spacing w:after="0" w:line="71"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 Our cash spending on acquisitions was $102 million and $403 million during the nine months ended September 30,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respectively, of which $89 million and $395 million, respectively, are considered cash used in investing activities. The remaining spend is cash used in financing activities related to the timing of contingent consideration paid. These acquisitions are related to our solid waste and recycling businesses.</w:t>
      </w:r>
    </w:p>
    <w:p>
      <w:pPr>
        <w:spacing w:after="0" w:line="71" w:lineRule="exact"/>
        <w:rPr>
          <w:rFonts w:ascii="Times New Roman" w:cs="Times New Roman" w:eastAsia="Times New Roman" w:hAnsi="Times New Roman"/>
          <w:sz w:val="18"/>
          <w:szCs w:val="18"/>
          <w:color w:val="auto"/>
        </w:rPr>
      </w:pPr>
    </w:p>
    <w:p>
      <w:pPr>
        <w:jc w:val="both"/>
        <w:ind w:left="740" w:hanging="327"/>
        <w:spacing w:after="0" w:line="267"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Divestitures </w:t>
      </w:r>
      <w:r>
        <w:rPr>
          <w:rFonts w:ascii="Times New Roman" w:cs="Times New Roman" w:eastAsia="Times New Roman" w:hAnsi="Times New Roman"/>
          <w:sz w:val="18"/>
          <w:szCs w:val="18"/>
          <w:color w:val="auto"/>
        </w:rPr>
        <w:t>— Proceeds from divestitures of businesses and other assets, net of cash divested, were $79 million and $108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2026 and 2025, respectively. Proceeds in 2026 primarily related to a business divestiture in our West Tier. Proceeds in 2025 primarily related to the sale of our Healthcare Solutions segment’s Spain and Portugal subsidiaries.</w:t>
      </w:r>
    </w:p>
    <w:p>
      <w:pPr>
        <w:spacing w:after="0" w:line="65" w:lineRule="exact"/>
        <w:rPr>
          <w:rFonts w:ascii="Times New Roman" w:cs="Times New Roman" w:eastAsia="Times New Roman" w:hAnsi="Times New Roman"/>
          <w:sz w:val="18"/>
          <w:szCs w:val="18"/>
          <w:color w:val="auto"/>
        </w:rPr>
      </w:pPr>
    </w:p>
    <w:p>
      <w:pPr>
        <w:jc w:val="both"/>
        <w:ind w:left="740" w:hanging="327"/>
        <w:spacing w:after="0" w:line="267"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w:t>
      </w:r>
      <w:r>
        <w:rPr>
          <w:rFonts w:ascii="Times New Roman" w:cs="Times New Roman" w:eastAsia="Times New Roman" w:hAnsi="Times New Roman"/>
          <w:sz w:val="18"/>
          <w:szCs w:val="18"/>
          <w:color w:val="auto"/>
        </w:rPr>
        <w:t>— The change in other investing activities were primarily driven by changes in our investment portfolio associated with a wholly-owned insurance captive. During the nine months ended September 30, 2026 and 2025, we used $108 million and $75 million, respectively, of cash from restricted cash and cash equivalents to invest in available-for-sale securities.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The most significant items affecting the comparison of our financing cash flows for the nine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are summarized below:</w:t>
      </w:r>
    </w:p>
    <w:p>
      <w:pPr>
        <w:spacing w:after="0" w:line="205" w:lineRule="exact"/>
        <w:rPr>
          <w:sz w:val="20"/>
          <w:szCs w:val="20"/>
          <w:color w:val="auto"/>
        </w:rPr>
      </w:pPr>
    </w:p>
    <w:p>
      <w:pPr>
        <w:ind w:left="740" w:hanging="327"/>
        <w:spacing w:after="0" w:line="284"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Borrowings and Repayments </w:t>
      </w:r>
      <w:r>
        <w:rPr>
          <w:rFonts w:ascii="Times New Roman" w:cs="Times New Roman" w:eastAsia="Times New Roman" w:hAnsi="Times New Roman"/>
          <w:sz w:val="18"/>
          <w:szCs w:val="18"/>
          <w:color w:val="auto"/>
        </w:rPr>
        <w:t>— The following summarizes our cash borrowings and repayments of debt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Borrowings: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3"/>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 net of discount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w:t>
            </w:r>
          </w:p>
        </w:tc>
      </w:tr>
      <w:tr>
        <w:trPr>
          <w:trHeight w:val="277"/>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Canadian senior notes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Tax-exempt bonds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70"/>
        </w:trPr>
        <w:tc>
          <w:tcPr>
            <w:tcW w:w="81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Repayments: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(15,133)</w:t>
            </w:r>
          </w:p>
        </w:tc>
      </w:tr>
      <w:tr>
        <w:trPr>
          <w:trHeight w:val="263"/>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notes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77"/>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Canadian senior notes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Tax-exempt bonds</w:t>
            </w: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debt</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63"/>
        </w:trPr>
        <w:tc>
          <w:tcPr>
            <w:tcW w:w="8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(15,772)</w:t>
            </w:r>
          </w:p>
        </w:tc>
      </w:tr>
      <w:tr>
        <w:trPr>
          <w:trHeight w:val="29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cash borrowings (repayments)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to the Condensed Consolidated Financial Statements for additional information related to our debt borrowings and repayments.</w:t>
      </w:r>
    </w:p>
    <w:p>
      <w:pPr>
        <w:spacing w:after="0" w:line="223" w:lineRule="exact"/>
        <w:rPr>
          <w:sz w:val="20"/>
          <w:szCs w:val="20"/>
          <w:color w:val="auto"/>
        </w:rPr>
      </w:pPr>
    </w:p>
    <w:p>
      <w:pPr>
        <w:jc w:val="both"/>
        <w:ind w:left="740" w:hanging="327"/>
        <w:spacing w:after="0" w:line="267"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w:t>
      </w:r>
      <w:r>
        <w:rPr>
          <w:rFonts w:ascii="Times New Roman" w:cs="Times New Roman" w:eastAsia="Times New Roman" w:hAnsi="Times New Roman"/>
          <w:sz w:val="18"/>
          <w:szCs w:val="18"/>
          <w:color w:val="auto"/>
        </w:rPr>
        <w:t>— During the nine months ended September 30, 2026, we paid cash of $1,583 million for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repurchases. There were no share repurchases made in 2025.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to the Condensed Consolidated Financial Statements for additional information about our share repurchase activity.</w:t>
      </w:r>
    </w:p>
    <w:p>
      <w:pPr>
        <w:spacing w:after="0" w:line="65" w:lineRule="exact"/>
        <w:rPr>
          <w:rFonts w:ascii="Times New Roman" w:cs="Times New Roman" w:eastAsia="Times New Roman" w:hAnsi="Times New Roman"/>
          <w:sz w:val="18"/>
          <w:szCs w:val="18"/>
          <w:color w:val="auto"/>
        </w:rPr>
      </w:pPr>
    </w:p>
    <w:p>
      <w:pPr>
        <w:jc w:val="both"/>
        <w:ind w:left="740" w:hanging="327"/>
        <w:spacing w:after="0" w:line="267" w:lineRule="auto"/>
        <w:tabs>
          <w:tab w:leader="none" w:pos="7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w:t>
      </w:r>
      <w:r>
        <w:rPr>
          <w:rFonts w:ascii="Times New Roman" w:cs="Times New Roman" w:eastAsia="Times New Roman" w:hAnsi="Times New Roman"/>
          <w:sz w:val="18"/>
          <w:szCs w:val="18"/>
          <w:color w:val="auto"/>
        </w:rPr>
        <w:t>— We paid cash dividends of $1,141 million and $1,001 million during the nine months ended September 30, 2026 and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in dividend payments is primarily due to our quarterly per share dividend increasing from $0.825 in 2025 to $0.945 in 2026.</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0" w:name="page41"/>
    <w:bookmarkEnd w:id="40"/>
    <w:p>
      <w:pPr>
        <w:ind w:right="20"/>
        <w:spacing w:after="0" w:line="282"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for the three and nine months ended September 30, 2026 and 2025 is shown in the table below (in millions) and may not be calculated the same as similarly-titled measures presented by other companies: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1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9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1"/>
        </w:trPr>
        <w:tc>
          <w:tcPr>
            <w:tcW w:w="59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9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8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1,640</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1,592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63"/>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7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r>
      <w:tr>
        <w:trPr>
          <w:trHeight w:val="270"/>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 - sustainability growth investments (a)</w:t>
            </w:r>
          </w:p>
        </w:tc>
        <w:tc>
          <w:tcPr>
            <w:tcW w:w="7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6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7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7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7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7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Free cash flow</w:t>
            </w:r>
          </w:p>
        </w:tc>
        <w:tc>
          <w:tcPr>
            <w:tcW w:w="7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23"/>
                <w:szCs w:val="23"/>
                <w:color w:val="auto"/>
              </w:rPr>
            </w:pP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23"/>
                <w:szCs w:val="23"/>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r>
      <w:tr>
        <w:trPr>
          <w:trHeight w:val="21"/>
        </w:trPr>
        <w:tc>
          <w:tcPr>
            <w:tcW w:w="5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p>
      <w:pPr>
        <w:spacing w:after="0" w:line="63" w:lineRule="exact"/>
        <w:rPr>
          <w:sz w:val="20"/>
          <w:szCs w:val="20"/>
          <w:color w:val="auto"/>
        </w:rPr>
      </w:pPr>
    </w:p>
    <w:p>
      <w:pPr>
        <w:jc w:val="both"/>
        <w:ind w:left="660" w:hanging="328"/>
        <w:spacing w:after="0" w:line="266" w:lineRule="auto"/>
        <w:tabs>
          <w:tab w:leader="none" w:pos="6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growth investments are intended to further our sustainability leadership position by increasing recycling volumes and growing renewable natural gas generation. We expect they will deliver circular solutions for our customers and drive environmental value to the communities we 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spacing w:after="0" w:line="25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w:t>
      </w:r>
      <w:hyperlink r:id="rId40">
        <w:r>
          <w:rPr>
            <w:rFonts w:ascii="Times New Roman" w:cs="Times New Roman" w:eastAsia="Times New Roman" w:hAnsi="Times New Roman"/>
            <w:sz w:val="18"/>
            <w:szCs w:val="18"/>
            <w:color w:val="auto"/>
          </w:rPr>
          <w:t xml:space="preserve">intangible asset impairments and the fair value of assets and liabilities acquired in business combinations, as described in </w:t>
        </w:r>
        <w:r>
          <w:rPr>
            <w:rFonts w:ascii="Times New Roman" w:cs="Times New Roman" w:eastAsia="Times New Roman" w:hAnsi="Times New Roman"/>
            <w:sz w:val="18"/>
            <w:szCs w:val="18"/>
            <w:u w:val="single" w:color="auto"/>
            <w:color w:val="0000FF"/>
          </w:rPr>
          <w:t>Item 7 of our Annual Report on</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FF"/>
          </w:rPr>
          <w:t>Form 10-K for the year ended December 31, 2025</w:t>
        </w:r>
        <w:r>
          <w:rPr>
            <w:rFonts w:ascii="Times New Roman" w:cs="Times New Roman" w:eastAsia="Times New Roman" w:hAnsi="Times New Roman"/>
            <w:sz w:val="18"/>
            <w:szCs w:val="18"/>
            <w:color w:val="000000"/>
          </w:rPr>
          <w:t>. Actual results could differ materially from the estimates and assumptions that we use in the preparation</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our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29"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76"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our financial outlook. We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82" w:lineRule="auto"/>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auto"/>
          </w:rPr>
          <w:t xml:space="preserve">Information about market risks as of September 30, 2026 does not materially differ from that discussed under </w:t>
        </w:r>
        <w:r>
          <w:rPr>
            <w:rFonts w:ascii="Times New Roman" w:cs="Times New Roman" w:eastAsia="Times New Roman" w:hAnsi="Times New Roman"/>
            <w:sz w:val="18"/>
            <w:szCs w:val="18"/>
            <w:u w:val="single" w:color="auto"/>
            <w:color w:val="0000FF"/>
          </w:rPr>
          <w:t>Item 7A in our Annual Report on Form 10-K</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FF"/>
          </w:rPr>
          <w:t>for the year ended December 31, 2025</w:t>
        </w:r>
        <w:r>
          <w:rPr>
            <w:rFonts w:ascii="Times New Roman" w:cs="Times New Roman" w:eastAsia="Times New Roman" w:hAnsi="Times New Roman"/>
            <w:sz w:val="18"/>
            <w:szCs w:val="18"/>
            <w:color w:val="000000"/>
          </w:rPr>
          <w:t>.</w:t>
        </w:r>
      </w:hyperlink>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Effectiveness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(the “Exchange Act”)) in ensuring that the information required to be disclosed in reports that we file or submit under the Exchange Act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2026 (the end of the period covered by this Quarterly Report on Form 10-Q) at a reasonable assurance level.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together with our CEO and CFO, evaluated the changes in our internal control over financial reporting during the quarter ended September 30, 2026. We determined that there were no changes in our internal control over financial reporting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u w:val="single" w:color="auto"/>
          <w:color w:val="0000FF"/>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Litigation</w:t>
      </w:r>
      <w:r>
        <w:rPr>
          <w:rFonts w:ascii="Times New Roman" w:cs="Times New Roman" w:eastAsia="Times New Roman" w:hAnsi="Times New Roman"/>
          <w:sz w:val="18"/>
          <w:szCs w:val="18"/>
          <w:color w:val="auto"/>
        </w:rPr>
        <w:t xml:space="preserve"> sections of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to the Condensed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spacing w:after="0" w:line="282" w:lineRule="auto"/>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auto"/>
          </w:rPr>
          <w:t xml:space="preserve">There have been no material changes to the risk factors previously disclosed in </w:t>
        </w:r>
        <w:r>
          <w:rPr>
            <w:rFonts w:ascii="Times New Roman" w:cs="Times New Roman" w:eastAsia="Times New Roman" w:hAnsi="Times New Roman"/>
            <w:sz w:val="18"/>
            <w:szCs w:val="18"/>
            <w:u w:val="single" w:color="auto"/>
            <w:color w:val="0000FF"/>
          </w:rPr>
          <w:t>Part I, Item 1A of our Annual Report on Form 10-K for the year ended</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FF"/>
          </w:rPr>
          <w:t>December 31, 2025</w:t>
        </w:r>
        <w:r>
          <w:rPr>
            <w:rFonts w:ascii="Times New Roman" w:cs="Times New Roman" w:eastAsia="Times New Roman" w:hAnsi="Times New Roman"/>
            <w:sz w:val="18"/>
            <w:szCs w:val="18"/>
            <w:color w:val="000000"/>
          </w:rPr>
          <w:t>.</w:t>
        </w:r>
      </w:hyperlink>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common stock repurchases made during the third quarter of 2026 (shares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6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6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4"/>
                <w:szCs w:val="14"/>
                <w:color w:val="auto"/>
              </w:rPr>
            </w:pPr>
          </w:p>
        </w:tc>
        <w:tc>
          <w:tcPr>
            <w:tcW w:w="18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Dollar Value of Shares</w:t>
            </w:r>
          </w:p>
        </w:tc>
      </w:tr>
      <w:tr>
        <w:trPr>
          <w:trHeight w:val="16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that</w:t>
            </w:r>
          </w:p>
        </w:tc>
      </w:tr>
      <w:tr>
        <w:trPr>
          <w:trHeight w:val="16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4"/>
                <w:szCs w:val="14"/>
                <w:color w:val="auto"/>
              </w:rPr>
            </w:pPr>
          </w:p>
        </w:tc>
        <w:tc>
          <w:tcPr>
            <w:tcW w:w="18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162"/>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Under</w:t>
            </w:r>
          </w:p>
        </w:tc>
      </w:tr>
      <w:tr>
        <w:trPr>
          <w:trHeight w:val="20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7"/>
                <w:szCs w:val="17"/>
                <w:color w:val="auto"/>
              </w:rPr>
            </w:pPr>
          </w:p>
        </w:tc>
        <w:tc>
          <w:tcPr>
            <w:tcW w:w="18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r>
      <w:tr>
        <w:trPr>
          <w:trHeight w:val="23"/>
        </w:trPr>
        <w:tc>
          <w:tcPr>
            <w:tcW w:w="4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r>
      <w:tr>
        <w:trPr>
          <w:trHeight w:val="263"/>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w:t>
            </w:r>
          </w:p>
        </w:tc>
        <w:tc>
          <w:tcPr>
            <w:tcW w:w="114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(a)(b)</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1.5 billion</w:t>
            </w:r>
          </w:p>
        </w:tc>
      </w:tr>
      <w:tr>
        <w:trPr>
          <w:trHeight w:val="26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31</w:t>
            </w:r>
          </w:p>
        </w:tc>
        <w:tc>
          <w:tcPr>
            <w:tcW w:w="11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226.36</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1.4 billion</w:t>
            </w:r>
          </w:p>
        </w:tc>
      </w:tr>
      <w:tr>
        <w:trPr>
          <w:trHeight w:val="270"/>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w:t>
            </w:r>
          </w:p>
        </w:tc>
        <w:tc>
          <w:tcPr>
            <w:tcW w:w="11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(a)(c)</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 billion (d)</w:t>
            </w:r>
          </w:p>
        </w:tc>
      </w:tr>
      <w:tr>
        <w:trPr>
          <w:trHeight w:val="270"/>
        </w:trPr>
        <w:tc>
          <w:tcPr>
            <w:tcW w:w="4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63" w:lineRule="exact"/>
        <w:rPr>
          <w:sz w:val="20"/>
          <w:szCs w:val="20"/>
          <w:color w:val="auto"/>
        </w:rPr>
      </w:pPr>
    </w:p>
    <w:p>
      <w:pPr>
        <w:jc w:val="both"/>
        <w:ind w:left="660" w:hanging="328"/>
        <w:spacing w:after="0" w:line="261"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2026, we entered into an accelerated share repurchase (“ASR”) agreement to repurchase $350 million of our common stock. At the beginning of the repurchase period, we delivered $350 million cash and initially received 1.2 million shares based on a stock price of $226.33, exclusive of the applicable 1% excise tax. The ASR agreement was terminated in September 2026, at which time we received 0.4 million additional shares based on a final weighted average price of $217.10, exclusive of the applicable 1% excise tax.</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shares received under the ASR agreement, we repurchased 0.7 million shares of our common stock in July 2026 for an average price of $236.93 per share.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shares received under the ASR agreement, we repurchased 0.2 million shares of our common stock in September 2026 for an average price of $215.20 per share.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the Company has authorization for $1.4 billion of future share repurchases. The amount of future share repurchases executed under our Board of Directors’ authorization is determined in management’s discretion, based on various factors, including our leverage level, net earnings, financial condition and cash required for future business plans, growth and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Information concerning mine safety and other regulatory matters required by Section 1503(a) of the Dodd-Frank Wall Street Reform and Consumer Protection Act and Item 104 of Regulation S-K is included in </w:t>
      </w:r>
      <w:r>
        <w:rPr>
          <w:rFonts w:ascii="Times New Roman" w:cs="Times New Roman" w:eastAsia="Times New Roman" w:hAnsi="Times New Roman"/>
          <w:sz w:val="18"/>
          <w:szCs w:val="18"/>
          <w:u w:val="single" w:color="auto"/>
          <w:color w:val="0000FF"/>
        </w:rPr>
        <w:t>Exhibit 95</w:t>
      </w:r>
      <w:r>
        <w:rPr>
          <w:rFonts w:ascii="Times New Roman" w:cs="Times New Roman" w:eastAsia="Times New Roman" w:hAnsi="Times New Roman"/>
          <w:sz w:val="18"/>
          <w:szCs w:val="18"/>
          <w:color w:val="auto"/>
        </w:rPr>
        <w:t xml:space="preserve"> to this quarterly report.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5, 2026, John J. Morris, Jr., President, adopted a stock trading plan (the “Morris Plan”) intended to satisfy the affirmative defense of Rule 10b5-1(c) under the Exchange Act. The Morris Plan will commence on February 1, 2027, and will automatically terminate on the earlier of December 31, 2027 and the completion of all the contemplated transactions set forth therein. The Morris Plan provides for the potential sale of up to 67% of net after-tax shares of our common stock received from the payout of performance share unit (“PSU”) equity compensation awards, for the performance period ended December 31, 2026, upon our common stock reaching specified market prices. Mr. Morris received a target grant of 12,164 PSU awards with a performance period ended December 31, 2026; the number of shares to be paid out to Mr. Morris on account of these PSU awards can range from zero to 200% of the initial target grant. As a result, the number of shares of common stock to potentially be sold pursuant to the Morris Plan will be determined in the first quarter of 2027 based on certification by the Management Development and Compensation Committee of the Board of Directors of the Company’s achievement relative to applicable performance measures for the underlying PSU awards.</w:t>
      </w:r>
    </w:p>
    <w:p>
      <w:pPr>
        <w:spacing w:after="0" w:line="21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5, 2026, Michael J. Watson, Senior Vice President and Chief Customer Officer, adopted a stock trading plan (the “Watson Plan”) intended to satisfy the affirmative defense of Rule 10b5-1(c) under the Exchange Act. The Watson Plan will commence on January 4, 2027, and will automatically terminate on the earlier of December 31, 2027 and the completion of all the contemplated transactions set forth therein. The Watson Plan provides for (i) the potential cashless exercise of up to 8,321 stock options, pursuant to which shares of our common stock will be sold to cover the option exercise price, tax obligations, commission and fees, and the proceeds from the sale of the remaining shares after settlement will be delivered to Mr. Watson and (ii) the potential sale of all net after-tax shares of our common stock received from the payout of PSU equity compensation awards for the performance period ended December 31, 2026. Each of the contemplated transactions will occur upon our common stock reaching specified market prices. Mr. Watson received a target grant of 5,856 PSU awards with a performance period ended December 31, 2026; the number of shares to be paid out to Mr. Watson on account of these PSU awards can range from zero to 200% of the initial target grant. As a result, as described above in connection with the Morris Plan, the number of shares of common stock to potentially be sold pursuant to the Watson Plan will be determined in the first quarter of 2027.</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8, 2026, Charles Boettcher, Executive Vice President and Chief Legal Officer, adopted a stock trading plan (the “Boettcher Plan”) intended to satisfy the affirmative defense of Rule 10b5-1(c) under the Exchange Act. The Boettcher Plan will commence on December 8, 2026, and will automatically terminate on the earlier of December 31, 2027 and the completion of all the contemplated transactions set forth therein. The Boettcher Plan provides for (i) the potential sale of up to 20,000 shares of our common stock and (ii) the potential cashless exercise of three stock option awards totaling 39,654 stock options, pursuant to which shares of our common stock will be sold to cover the option exercise price, tax obligations, commissions and fees, and proceeds from the sale of the remaining shares after settlement will be delivered to Mr. Boettcher. Each of the contemplated transactions will occur upon our common stock reaching specified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160" w:type="dxa"/>
            <w:vAlign w:val="bottom"/>
            <w:gridSpan w:val="5"/>
          </w:tcPr>
          <w:p>
            <w:pPr>
              <w:ind w:left="1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7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Guarantor Subsidiary</w:t>
            </w:r>
            <w:r>
              <w:rPr>
                <w:rFonts w:ascii="Times New Roman" w:cs="Times New Roman" w:eastAsia="Times New Roman" w:hAnsi="Times New Roman"/>
                <w:sz w:val="18"/>
                <w:szCs w:val="18"/>
                <w:color w:val="000000"/>
              </w:rPr>
              <w:t>.</w:t>
            </w: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1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Rules 13a-14(a) and 15d-14(a) under the Securities Exchange Act of 1934 James C. Fish, Jr., Chief Executive</w:t>
            </w: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72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18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33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Rules 13a-14(a) and 15d-14(a) under the Securities Exchange Act of 1934 David L. Reed, Executive Vice</w:t>
            </w: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President and Chief Financial Officer.</w:t>
            </w:r>
          </w:p>
        </w:tc>
        <w:tc>
          <w:tcPr>
            <w:tcW w:w="6720" w:type="dxa"/>
            <w:vAlign w:val="bottom"/>
            <w:tcBorders>
              <w:top w:val="single" w:sz="8" w:color="0000FF"/>
            </w:tcBorders>
            <w:gridSpan w:val="3"/>
          </w:tcPr>
          <w:p>
            <w:pPr>
              <w:spacing w:after="0"/>
              <w:rPr>
                <w:sz w:val="13"/>
                <w:szCs w:val="13"/>
                <w:color w:val="auto"/>
              </w:rPr>
            </w:pPr>
          </w:p>
        </w:tc>
        <w:tc>
          <w:tcPr>
            <w:tcW w:w="440" w:type="dxa"/>
            <w:vAlign w:val="bottom"/>
            <w:gridSpan w:val="2"/>
          </w:tcPr>
          <w:p>
            <w:pPr>
              <w:spacing w:after="0"/>
              <w:rPr>
                <w:sz w:val="13"/>
                <w:szCs w:val="13"/>
                <w:color w:val="auto"/>
              </w:rPr>
            </w:pPr>
          </w:p>
        </w:tc>
      </w:tr>
      <w:tr>
        <w:trPr>
          <w:trHeight w:val="331"/>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6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§1350 of James C. Fish, Jr., Chief Executive Officer.</w:t>
            </w:r>
          </w:p>
        </w:tc>
        <w:tc>
          <w:tcPr>
            <w:tcW w:w="3520" w:type="dxa"/>
            <w:vAlign w:val="bottom"/>
            <w:gridSpan w:val="4"/>
          </w:tcPr>
          <w:p>
            <w:pPr>
              <w:spacing w:after="0"/>
              <w:rPr>
                <w:sz w:val="24"/>
                <w:szCs w:val="24"/>
                <w:color w:val="auto"/>
              </w:rPr>
            </w:pPr>
          </w:p>
        </w:tc>
      </w:tr>
      <w:tr>
        <w:trPr>
          <w:trHeight w:val="31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8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§1350 of David L. Reed, Executive Vice President and Chief Financial Officer.</w:t>
            </w:r>
          </w:p>
        </w:tc>
        <w:tc>
          <w:tcPr>
            <w:tcW w:w="1620" w:type="dxa"/>
            <w:vAlign w:val="bottom"/>
            <w:gridSpan w:val="3"/>
          </w:tcPr>
          <w:p>
            <w:pPr>
              <w:spacing w:after="0"/>
              <w:rPr>
                <w:sz w:val="24"/>
                <w:szCs w:val="24"/>
                <w:color w:val="auto"/>
              </w:rPr>
            </w:pPr>
          </w:p>
        </w:tc>
      </w:tr>
      <w:tr>
        <w:trPr>
          <w:trHeight w:val="31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r>
      <w:tr>
        <w:trPr>
          <w:trHeight w:val="35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7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8120" w:type="dxa"/>
            <w:vAlign w:val="bottom"/>
            <w:gridSpan w:val="6"/>
          </w:tcPr>
          <w:p>
            <w:pPr>
              <w:spacing w:after="0"/>
              <w:rPr>
                <w:sz w:val="24"/>
                <w:szCs w:val="24"/>
                <w:color w:val="auto"/>
              </w:rPr>
            </w:pPr>
          </w:p>
        </w:tc>
      </w:tr>
      <w:tr>
        <w:trPr>
          <w:trHeight w:val="33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3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33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33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33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3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9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9373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9" w:lineRule="exact"/>
        <w:rPr>
          <w:sz w:val="20"/>
          <w:szCs w:val="20"/>
          <w:color w:val="auto"/>
        </w:rPr>
      </w:pPr>
    </w:p>
    <w:p>
      <w:pPr>
        <w:ind w:left="5540"/>
        <w:spacing w:after="0"/>
        <w:tabs>
          <w:tab w:leader="none" w:pos="7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26035</wp:posOffset>
            </wp:positionV>
            <wp:extent cx="32575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David L. Reed</w:t>
      </w:r>
    </w:p>
    <w:p>
      <w:pPr>
        <w:spacing w:after="0" w:line="6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1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9" w:lineRule="exact"/>
        <w:rPr>
          <w:sz w:val="20"/>
          <w:szCs w:val="20"/>
          <w:color w:val="auto"/>
        </w:rPr>
      </w:pPr>
    </w:p>
    <w:p>
      <w:pPr>
        <w:ind w:left="5540"/>
        <w:spacing w:after="0"/>
        <w:tabs>
          <w:tab w:leader="none" w:pos="7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26035</wp:posOffset>
            </wp:positionV>
            <wp:extent cx="32575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57"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John Carroll</w:t>
      </w:r>
    </w:p>
    <w:p>
      <w:pPr>
        <w:spacing w:after="0" w:line="6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i w:val="1"/>
          <w:iCs w:val="1"/>
          <w:color w:val="auto"/>
        </w:rPr>
        <w:t>Vice President and</w:t>
      </w:r>
    </w:p>
    <w:p>
      <w:pPr>
        <w:spacing w:after="0" w:line="1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14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 SUBSIDIARY</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2026, Waste Management Holdings, Inc. (“WM Holdings”), a Delaware corporation and a direct wholly-owned subsidiary of Waste Management, Inc. (“WMI”), has fully and unconditionally guaranteed all registered Senior Notes issued by WMI, as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2680" w:type="dxa"/>
            <w:vAlign w:val="bottom"/>
            <w:gridSpan w:val="2"/>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1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2680" w:type="dxa"/>
            <w:vAlign w:val="bottom"/>
            <w:gridSpan w:val="2"/>
          </w:tcPr>
          <w:p>
            <w:pPr>
              <w:jc w:val="center"/>
              <w:ind w:right="1440"/>
              <w:spacing w:after="0" w:line="13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120" w:type="dxa"/>
            <w:vAlign w:val="bottom"/>
            <w:gridSpan w:val="2"/>
            <w:vMerge w:val="continue"/>
          </w:tcPr>
          <w:p>
            <w:pPr>
              <w:spacing w:after="0"/>
              <w:rPr>
                <w:sz w:val="11"/>
                <w:szCs w:val="11"/>
                <w:color w:val="auto"/>
              </w:rPr>
            </w:pPr>
          </w:p>
        </w:tc>
        <w:tc>
          <w:tcPr>
            <w:tcW w:w="3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20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3"/>
        </w:trPr>
        <w:tc>
          <w:tcPr>
            <w:tcW w:w="440" w:type="dxa"/>
            <w:vAlign w:val="bottom"/>
          </w:tcPr>
          <w:p>
            <w:pPr>
              <w:spacing w:after="0"/>
              <w:rPr>
                <w:sz w:val="16"/>
                <w:szCs w:val="16"/>
                <w:color w:val="auto"/>
              </w:rPr>
            </w:pPr>
          </w:p>
        </w:tc>
        <w:tc>
          <w:tcPr>
            <w:tcW w:w="2680" w:type="dxa"/>
            <w:vAlign w:val="bottom"/>
            <w:gridSpan w:val="2"/>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312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3000" w:type="dxa"/>
            <w:vAlign w:val="bottom"/>
            <w:gridSpan w:val="2"/>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10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7/17/1998</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7/15/2028</w:t>
            </w:r>
          </w:p>
        </w:tc>
        <w:tc>
          <w:tcPr>
            <w:tcW w:w="0" w:type="dxa"/>
            <w:vAlign w:val="bottom"/>
          </w:tcPr>
          <w:p>
            <w:pPr>
              <w:spacing w:after="0"/>
              <w:rPr>
                <w:sz w:val="1"/>
                <w:szCs w:val="1"/>
                <w:color w:val="auto"/>
              </w:rPr>
            </w:pPr>
          </w:p>
        </w:tc>
      </w:tr>
      <w:tr>
        <w:trPr>
          <w:trHeight w:val="229"/>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250 million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7.375 %</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1/21/2000</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5/15/2029</w:t>
            </w:r>
          </w:p>
        </w:tc>
        <w:tc>
          <w:tcPr>
            <w:tcW w:w="0" w:type="dxa"/>
            <w:vAlign w:val="bottom"/>
          </w:tcPr>
          <w:p>
            <w:pPr>
              <w:spacing w:after="0"/>
              <w:rPr>
                <w:sz w:val="1"/>
                <w:szCs w:val="1"/>
                <w:color w:val="auto"/>
              </w:rPr>
            </w:pPr>
          </w:p>
        </w:tc>
      </w:tr>
      <w:tr>
        <w:trPr>
          <w:trHeight w:val="230"/>
        </w:trPr>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500 million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1/3/2003</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5/15/2032</w:t>
            </w:r>
          </w:p>
        </w:tc>
        <w:tc>
          <w:tcPr>
            <w:tcW w:w="0" w:type="dxa"/>
            <w:vAlign w:val="bottom"/>
          </w:tcPr>
          <w:p>
            <w:pPr>
              <w:spacing w:after="0"/>
              <w:rPr>
                <w:sz w:val="1"/>
                <w:szCs w:val="1"/>
                <w:color w:val="auto"/>
              </w:rPr>
            </w:pPr>
          </w:p>
        </w:tc>
      </w:tr>
      <w:tr>
        <w:trPr>
          <w:trHeight w:val="229"/>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600 million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6.125 %</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11/17/2009</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11/30/2039</w:t>
            </w:r>
          </w:p>
        </w:tc>
        <w:tc>
          <w:tcPr>
            <w:tcW w:w="0" w:type="dxa"/>
            <w:vAlign w:val="bottom"/>
          </w:tcPr>
          <w:p>
            <w:pPr>
              <w:spacing w:after="0"/>
              <w:rPr>
                <w:sz w:val="1"/>
                <w:szCs w:val="1"/>
                <w:color w:val="auto"/>
              </w:rPr>
            </w:pPr>
          </w:p>
        </w:tc>
      </w:tr>
      <w:tr>
        <w:trPr>
          <w:trHeight w:val="230"/>
        </w:trPr>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450 million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2/26/2015</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3/1/2035</w:t>
            </w:r>
          </w:p>
        </w:tc>
        <w:tc>
          <w:tcPr>
            <w:tcW w:w="0" w:type="dxa"/>
            <w:vAlign w:val="bottom"/>
          </w:tcPr>
          <w:p>
            <w:pPr>
              <w:spacing w:after="0"/>
              <w:rPr>
                <w:sz w:val="1"/>
                <w:szCs w:val="1"/>
                <w:color w:val="auto"/>
              </w:rPr>
            </w:pPr>
          </w:p>
        </w:tc>
      </w:tr>
      <w:tr>
        <w:trPr>
          <w:trHeight w:val="229"/>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750 million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2/26/2015</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3/1/2045</w:t>
            </w: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750 million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11/15/2027</w:t>
            </w:r>
          </w:p>
        </w:tc>
        <w:tc>
          <w:tcPr>
            <w:tcW w:w="0" w:type="dxa"/>
            <w:vAlign w:val="bottom"/>
          </w:tcPr>
          <w:p>
            <w:pPr>
              <w:spacing w:after="0"/>
              <w:rPr>
                <w:sz w:val="1"/>
                <w:szCs w:val="1"/>
                <w:color w:val="auto"/>
              </w:rPr>
            </w:pPr>
          </w:p>
        </w:tc>
      </w:tr>
      <w:tr>
        <w:trPr>
          <w:trHeight w:val="23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 billion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5/22/2019</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7/15/2049</w:t>
            </w: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500 million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3/15/2028</w:t>
            </w:r>
          </w:p>
        </w:tc>
        <w:tc>
          <w:tcPr>
            <w:tcW w:w="0" w:type="dxa"/>
            <w:vAlign w:val="bottom"/>
          </w:tcPr>
          <w:p>
            <w:pPr>
              <w:spacing w:after="0"/>
              <w:rPr>
                <w:sz w:val="1"/>
                <w:szCs w:val="1"/>
                <w:color w:val="auto"/>
              </w:rPr>
            </w:pPr>
          </w:p>
        </w:tc>
      </w:tr>
      <w:tr>
        <w:trPr>
          <w:trHeight w:val="23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 billion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3/15/2031</w:t>
            </w: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500 million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11/15/2050</w:t>
            </w:r>
          </w:p>
        </w:tc>
        <w:tc>
          <w:tcPr>
            <w:tcW w:w="0" w:type="dxa"/>
            <w:vAlign w:val="bottom"/>
          </w:tcPr>
          <w:p>
            <w:pPr>
              <w:spacing w:after="0"/>
              <w:rPr>
                <w:sz w:val="1"/>
                <w:szCs w:val="1"/>
                <w:color w:val="auto"/>
              </w:rPr>
            </w:pPr>
          </w:p>
        </w:tc>
      </w:tr>
      <w:tr>
        <w:trPr>
          <w:trHeight w:val="229"/>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475 million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5/12/2021</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6/1/2029</w:t>
            </w:r>
          </w:p>
        </w:tc>
        <w:tc>
          <w:tcPr>
            <w:tcW w:w="0" w:type="dxa"/>
            <w:vAlign w:val="bottom"/>
          </w:tcPr>
          <w:p>
            <w:pPr>
              <w:spacing w:after="0"/>
              <w:rPr>
                <w:sz w:val="1"/>
                <w:szCs w:val="1"/>
                <w:color w:val="auto"/>
              </w:rPr>
            </w:pPr>
          </w:p>
        </w:tc>
      </w:tr>
      <w:tr>
        <w:trPr>
          <w:trHeight w:val="230"/>
        </w:trPr>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475 million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5/12/2021</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6/1/2041</w:t>
            </w:r>
          </w:p>
        </w:tc>
        <w:tc>
          <w:tcPr>
            <w:tcW w:w="0" w:type="dxa"/>
            <w:vAlign w:val="bottom"/>
          </w:tcPr>
          <w:p>
            <w:pPr>
              <w:spacing w:after="0"/>
              <w:rPr>
                <w:sz w:val="1"/>
                <w:szCs w:val="1"/>
                <w:color w:val="auto"/>
              </w:rPr>
            </w:pPr>
          </w:p>
        </w:tc>
      </w:tr>
      <w:tr>
        <w:trPr>
          <w:trHeight w:val="229"/>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 billion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5/12/2022</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4/15/2032</w:t>
            </w: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750 million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4.625 %</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2/15/2023</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2/15/2030</w:t>
            </w:r>
          </w:p>
        </w:tc>
        <w:tc>
          <w:tcPr>
            <w:tcW w:w="0" w:type="dxa"/>
            <w:vAlign w:val="bottom"/>
          </w:tcPr>
          <w:p>
            <w:pPr>
              <w:spacing w:after="0"/>
              <w:rPr>
                <w:sz w:val="1"/>
                <w:szCs w:val="1"/>
                <w:color w:val="auto"/>
              </w:rPr>
            </w:pPr>
          </w:p>
        </w:tc>
      </w:tr>
      <w:tr>
        <w:trPr>
          <w:trHeight w:val="23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500 million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4.625 %</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2/15/2023</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2/15/2033</w:t>
            </w: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750 million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4.875 %</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2/15/2029</w:t>
            </w:r>
          </w:p>
        </w:tc>
        <w:tc>
          <w:tcPr>
            <w:tcW w:w="0" w:type="dxa"/>
            <w:vAlign w:val="bottom"/>
          </w:tcPr>
          <w:p>
            <w:pPr>
              <w:spacing w:after="0"/>
              <w:rPr>
                <w:sz w:val="1"/>
                <w:szCs w:val="1"/>
                <w:color w:val="auto"/>
              </w:rPr>
            </w:pPr>
          </w:p>
        </w:tc>
      </w:tr>
      <w:tr>
        <w:trPr>
          <w:trHeight w:val="23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1.250 billion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4.875 %</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2/15/2034</w:t>
            </w:r>
          </w:p>
        </w:tc>
        <w:tc>
          <w:tcPr>
            <w:tcW w:w="0" w:type="dxa"/>
            <w:vAlign w:val="bottom"/>
          </w:tcPr>
          <w:p>
            <w:pPr>
              <w:spacing w:after="0"/>
              <w:rPr>
                <w:sz w:val="1"/>
                <w:szCs w:val="1"/>
                <w:color w:val="auto"/>
              </w:rPr>
            </w:pPr>
          </w:p>
        </w:tc>
      </w:tr>
      <w:tr>
        <w:trPr>
          <w:trHeight w:val="230"/>
        </w:trPr>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750 million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4.950 %</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7/3/2027</w:t>
            </w:r>
          </w:p>
        </w:tc>
        <w:tc>
          <w:tcPr>
            <w:tcW w:w="0" w:type="dxa"/>
            <w:vAlign w:val="bottom"/>
          </w:tcPr>
          <w:p>
            <w:pPr>
              <w:spacing w:after="0"/>
              <w:rPr>
                <w:sz w:val="1"/>
                <w:szCs w:val="1"/>
                <w:color w:val="auto"/>
              </w:rPr>
            </w:pPr>
          </w:p>
        </w:tc>
      </w:tr>
      <w:tr>
        <w:trPr>
          <w:trHeight w:val="23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750 million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4.950 %</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7/3/2031</w:t>
            </w: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 billion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4.500 %</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3/15/2028</w:t>
            </w:r>
          </w:p>
        </w:tc>
        <w:tc>
          <w:tcPr>
            <w:tcW w:w="0" w:type="dxa"/>
            <w:vAlign w:val="bottom"/>
          </w:tcPr>
          <w:p>
            <w:pPr>
              <w:spacing w:after="0"/>
              <w:rPr>
                <w:sz w:val="1"/>
                <w:szCs w:val="1"/>
                <w:color w:val="auto"/>
              </w:rPr>
            </w:pPr>
          </w:p>
        </w:tc>
      </w:tr>
      <w:tr>
        <w:trPr>
          <w:trHeight w:val="23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700 million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4.650 %</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3/15/2030</w:t>
            </w:r>
          </w:p>
        </w:tc>
        <w:tc>
          <w:tcPr>
            <w:tcW w:w="0" w:type="dxa"/>
            <w:vAlign w:val="bottom"/>
          </w:tcPr>
          <w:p>
            <w:pPr>
              <w:spacing w:after="0"/>
              <w:rPr>
                <w:sz w:val="1"/>
                <w:szCs w:val="1"/>
                <w:color w:val="auto"/>
              </w:rPr>
            </w:pPr>
          </w:p>
        </w:tc>
      </w:tr>
      <w:tr>
        <w:trPr>
          <w:trHeight w:val="230"/>
        </w:trPr>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750 million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4.800 %</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3/15/2032</w:t>
            </w:r>
          </w:p>
        </w:tc>
        <w:tc>
          <w:tcPr>
            <w:tcW w:w="0" w:type="dxa"/>
            <w:vAlign w:val="bottom"/>
          </w:tcPr>
          <w:p>
            <w:pPr>
              <w:spacing w:after="0"/>
              <w:rPr>
                <w:sz w:val="1"/>
                <w:szCs w:val="1"/>
                <w:color w:val="auto"/>
              </w:rPr>
            </w:pPr>
          </w:p>
        </w:tc>
      </w:tr>
      <w:tr>
        <w:trPr>
          <w:trHeight w:val="230"/>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1.5 billion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4.950 %</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100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3/15/2035</w:t>
            </w: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1.25 billion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5.350 %</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1000" w:type="dxa"/>
            <w:vAlign w:val="bottom"/>
            <w:shd w:val="clear" w:color="auto" w:fill="CCEEFF"/>
          </w:tcPr>
          <w:p>
            <w:pPr>
              <w:spacing w:after="0"/>
              <w:rPr>
                <w:sz w:val="19"/>
                <w:szCs w:val="19"/>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10/15/2054</w:t>
            </w:r>
          </w:p>
        </w:tc>
        <w:tc>
          <w:tcPr>
            <w:tcW w:w="0" w:type="dxa"/>
            <w:vAlign w:val="bottom"/>
          </w:tcPr>
          <w:p>
            <w:pPr>
              <w:spacing w:after="0"/>
              <w:rPr>
                <w:sz w:val="1"/>
                <w:szCs w:val="1"/>
                <w:color w:val="auto"/>
              </w:rPr>
            </w:pPr>
          </w:p>
        </w:tc>
      </w:tr>
      <w:tr>
        <w:trPr>
          <w:trHeight w:val="234"/>
        </w:trPr>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483 million*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3.875 %</w:t>
            </w:r>
          </w:p>
        </w:tc>
        <w:tc>
          <w:tcPr>
            <w:tcW w:w="100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6/25/2025</w:t>
            </w:r>
          </w:p>
        </w:tc>
        <w:tc>
          <w:tcPr>
            <w:tcW w:w="100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1/15/2029</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w:t>
      </w:r>
    </w:p>
    <w:p>
      <w:pPr>
        <w:spacing w:after="0" w:line="297" w:lineRule="exact"/>
        <w:rPr>
          <w:sz w:val="20"/>
          <w:szCs w:val="20"/>
          <w:color w:val="auto"/>
        </w:rPr>
      </w:pPr>
    </w:p>
    <w:p>
      <w:pPr>
        <w:ind w:left="260" w:right="20" w:hanging="182"/>
        <w:spacing w:after="0" w:line="237"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Senior Notes were issued pursuant to an offer to exchange up to $485 million of outstanding unregistered notes previously issued by WMI in a private exchange offer in connection with WMI’s acquisition of Stericycle,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5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 - 15(f)) for the registrant and have:</w:t>
      </w:r>
    </w:p>
    <w:p>
      <w:pPr>
        <w:spacing w:after="0" w:line="12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140" w:hanging="322"/>
        <w:spacing w:after="0" w:line="282" w:lineRule="auto"/>
        <w:tabs>
          <w:tab w:leader="none" w:pos="113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140" w:hanging="322"/>
        <w:spacing w:after="0" w:line="282" w:lineRule="auto"/>
        <w:tabs>
          <w:tab w:leader="none" w:pos="113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140" w:hanging="322"/>
        <w:spacing w:after="0" w:line="282" w:lineRule="auto"/>
        <w:tabs>
          <w:tab w:leader="none" w:pos="113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480"/>
        <w:spacing w:after="0"/>
        <w:tabs>
          <w:tab w:leader="none" w:pos="7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color w:val="auto"/>
        </w:rPr>
        <w:t>James C. Fish, Jr.</w:t>
      </w:r>
    </w:p>
    <w:p>
      <w:pPr>
        <w:spacing w:after="0" w:line="61"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28, 2026</w:t>
      </w:r>
    </w:p>
    <w:p>
      <w:pPr>
        <w:sectPr>
          <w:pgSz w:w="11900" w:h="16838" w:orient="portrait"/>
          <w:cols w:equalWidth="0" w:num="1">
            <w:col w:w="11240"/>
          </w:cols>
          <w:pgMar w:left="320" w:top="92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 Reed, certify that:</w:t>
      </w:r>
    </w:p>
    <w:p>
      <w:pPr>
        <w:spacing w:after="0" w:line="15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 - 15(f)) for the registrant and have:</w:t>
      </w:r>
    </w:p>
    <w:p>
      <w:pPr>
        <w:spacing w:after="0" w:line="125"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1140" w:hanging="322"/>
        <w:spacing w:after="0" w:line="282" w:lineRule="auto"/>
        <w:tabs>
          <w:tab w:leader="none" w:pos="11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140" w:hanging="322"/>
        <w:spacing w:after="0" w:line="282" w:lineRule="auto"/>
        <w:tabs>
          <w:tab w:leader="none" w:pos="11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1140" w:hanging="322"/>
        <w:spacing w:after="0" w:line="282" w:lineRule="auto"/>
        <w:tabs>
          <w:tab w:leader="none" w:pos="113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480"/>
        <w:spacing w:after="0"/>
        <w:tabs>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color w:val="auto"/>
        </w:rPr>
        <w:t>David L. Reed</w:t>
      </w:r>
    </w:p>
    <w:p>
      <w:pPr>
        <w:spacing w:after="0" w:line="61"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28, 2026</w:t>
      </w:r>
    </w:p>
    <w:p>
      <w:pPr>
        <w:sectPr>
          <w:pgSz w:w="11900" w:h="16838" w:orient="portrait"/>
          <w:cols w:equalWidth="0" w:num="1">
            <w:col w:w="11240"/>
          </w:cols>
          <w:pgMar w:left="320" w:top="92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September 30, 2026 as filed with the Securities and Exchange Commission on the date hereof (the “Report”), I, James C. Fish, Jr., Chief Executive Officer of the Company, certify, pursuant to 18 U.S.C. § 1350, as adopted pursuant to §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ind w:left="5480"/>
        <w:spacing w:after="0"/>
        <w:tabs>
          <w:tab w:leader="none" w:pos="7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color w:val="auto"/>
        </w:rPr>
        <w:t>James C. Fish, Jr.</w:t>
      </w:r>
    </w:p>
    <w:p>
      <w:pPr>
        <w:spacing w:after="0" w:line="61"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28, 2026</w:t>
      </w:r>
    </w:p>
    <w:p>
      <w:pPr>
        <w:sectPr>
          <w:pgSz w:w="11900" w:h="16838" w:orient="portrait"/>
          <w:cols w:equalWidth="0" w:num="1">
            <w:col w:w="11240"/>
          </w:cols>
          <w:pgMar w:left="320" w:top="92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September 30, 2026 as filed with the Securities and Exchange Commission on the date hereof (the “Report”), I, David L. Reed, Chief Financial Officer of the Company, certify, pursuant to 18 U.S.C. § 1350, as adopted pursuant to §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ind w:left="5480"/>
        <w:spacing w:after="0"/>
        <w:tabs>
          <w:tab w:leader="none" w:pos="7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7"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color w:val="auto"/>
        </w:rPr>
        <w:t>David L. Reed</w:t>
      </w:r>
    </w:p>
    <w:p>
      <w:pPr>
        <w:spacing w:after="0" w:line="61"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28, 2026</w:t>
      </w:r>
    </w:p>
    <w:p>
      <w:pPr>
        <w:sectPr>
          <w:pgSz w:w="11900" w:h="16838" w:orient="portrait"/>
          <w:cols w:equalWidth="0" w:num="1">
            <w:col w:w="11240"/>
          </w:cols>
          <w:pgMar w:left="320" w:top="92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quarter ended September 30, 2026,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or (f) a proposed assessment from the MSHA.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during the quarter ended September 30, 2026,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6"/>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40" Type="http://schemas.openxmlformats.org/officeDocument/2006/relationships/hyperlink" Target="https://www.sec.gov/ix?doc=/Archives/edgar/data/0000823768/000110465926012049/wm-20251231x10k.htm#Item7ManagementsDiscussion_595297" TargetMode="External"/><Relationship Id="rId41" Type="http://schemas.openxmlformats.org/officeDocument/2006/relationships/hyperlink" Target="https://www.sec.gov/ix?doc=/Archives/edgar/data/0000823768/000110465926012049/wm-20251231x10k.htm#Item1ARiskFactors_689078" TargetMode="External"/><Relationship Id="rId60" Type="http://schemas.openxmlformats.org/officeDocument/2006/relationships/hyperlink" Target="https://www.sec.gov/ix?doc=/Archives/edgar/data/0000823768/000110465926012049/wm-20251231x10k.htm#Item7AQuantitative_140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2026-10-28T13:06:25Z</dcterms:created>
  <dcterms:modified xsi:type="dcterms:W3CDTF">2026-10-28T13:06:25Z</dcterms:modified>
</cp:coreProperties>
</file>