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18"/>
          <w:szCs w:val="18"/>
          <w:b w:val="1"/>
          <w:bCs w:val="1"/>
          <w:color w:val="auto"/>
        </w:rPr>
        <w:t>SCHEDULE 14A</w:t>
      </w:r>
    </w:p>
    <w:p>
      <w:pPr>
        <w:spacing w:after="0" w:line="11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EXCHANGE ACT OF 1934</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ind w:left="33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38" w:lineRule="exact"/>
        <w:rPr>
          <w:rFonts w:ascii="MS PGothic" w:cs="MS PGothic" w:eastAsia="MS PGothic" w:hAnsi="MS PGothic"/>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1020" w:hanging="652"/>
        <w:spacing w:after="0" w:line="277"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60" w:right="32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1" w:lineRule="exact"/>
        <w:rPr>
          <w:rFonts w:ascii="MS PGothic" w:cs="MS PGothic" w:eastAsia="MS PGothic" w:hAnsi="MS PGothic"/>
          <w:sz w:val="17"/>
          <w:szCs w:val="17"/>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648335</wp:posOffset>
            </wp:positionH>
            <wp:positionV relativeFrom="paragraph">
              <wp:posOffset>-4281170</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-3843655</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-3346450</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-2908935</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-2471420</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-1159510</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-721995</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-284480</wp:posOffset>
            </wp:positionV>
            <wp:extent cx="6603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152400</wp:posOffset>
            </wp:positionV>
            <wp:extent cx="6603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Stockholder Meeting to Be Held on May 12, 2016.</w:t>
      </w:r>
    </w:p>
    <w:p>
      <w:pPr>
        <w:sectPr>
          <w:pgSz w:w="11900" w:h="16838" w:orient="portrait"/>
          <w:cols w:equalWidth="0" w:num="1">
            <w:col w:w="10620"/>
          </w:cols>
          <w:pgMar w:left="820" w:top="31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700"/>
        <w:spacing w:after="0"/>
        <w:rPr>
          <w:sz w:val="20"/>
          <w:szCs w:val="20"/>
          <w:color w:val="auto"/>
        </w:rPr>
      </w:pPr>
      <w:r>
        <w:rPr>
          <w:rFonts w:ascii="Arial" w:cs="Arial" w:eastAsia="Arial" w:hAnsi="Arial"/>
          <w:sz w:val="22"/>
          <w:szCs w:val="22"/>
          <w:b w:val="1"/>
          <w:bCs w:val="1"/>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331470</wp:posOffset>
            </wp:positionV>
            <wp:extent cx="144907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WASTE MANAGEMENT, INC.</w:t>
      </w:r>
    </w:p>
    <w:p>
      <w:pPr>
        <w:spacing w:after="0" w:line="219" w:lineRule="auto"/>
        <w:rPr>
          <w:sz w:val="20"/>
          <w:szCs w:val="20"/>
          <w:color w:val="auto"/>
        </w:rPr>
      </w:pPr>
      <w:r>
        <w:rPr>
          <w:rFonts w:ascii="Arial" w:cs="Arial" w:eastAsia="Arial" w:hAnsi="Arial"/>
          <w:sz w:val="9"/>
          <w:szCs w:val="9"/>
          <w:i w:val="1"/>
          <w:iCs w:val="1"/>
          <w:color w:val="auto"/>
        </w:rPr>
        <w:t>1001 FANNIN STREET</w:t>
      </w:r>
    </w:p>
    <w:p>
      <w:pPr>
        <w:spacing w:after="0"/>
        <w:rPr>
          <w:sz w:val="20"/>
          <w:szCs w:val="20"/>
          <w:color w:val="auto"/>
        </w:rPr>
      </w:pPr>
      <w:r>
        <w:rPr>
          <w:rFonts w:ascii="Arial" w:cs="Arial" w:eastAsia="Arial" w:hAnsi="Arial"/>
          <w:sz w:val="9"/>
          <w:szCs w:val="9"/>
          <w:i w:val="1"/>
          <w:i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1366520</wp:posOffset>
            </wp:positionV>
            <wp:extent cx="60325"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540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30"/>
        </w:trPr>
        <w:tc>
          <w:tcPr>
            <w:tcW w:w="1280" w:type="dxa"/>
            <w:vAlign w:val="bottom"/>
          </w:tcPr>
          <w:p>
            <w:pPr>
              <w:spacing w:after="0"/>
              <w:rPr>
                <w:sz w:val="19"/>
                <w:szCs w:val="19"/>
                <w:color w:val="auto"/>
              </w:rPr>
            </w:pPr>
          </w:p>
        </w:tc>
        <w:tc>
          <w:tcPr>
            <w:tcW w:w="2100" w:type="dxa"/>
            <w:vAlign w:val="bottom"/>
            <w:gridSpan w:val="2"/>
          </w:tcPr>
          <w:p>
            <w:pPr>
              <w:ind w:left="200"/>
              <w:spacing w:after="0"/>
              <w:rPr>
                <w:sz w:val="20"/>
                <w:szCs w:val="20"/>
                <w:color w:val="auto"/>
              </w:rPr>
            </w:pPr>
            <w:r>
              <w:rPr>
                <w:rFonts w:ascii="Arial" w:cs="Arial" w:eastAsia="Arial" w:hAnsi="Arial"/>
                <w:sz w:val="20"/>
                <w:szCs w:val="20"/>
                <w:b w:val="1"/>
                <w:bCs w:val="1"/>
                <w:color w:val="auto"/>
                <w:w w:val="98"/>
              </w:rPr>
              <w:t>Meeting Information</w:t>
            </w:r>
          </w:p>
        </w:tc>
      </w:tr>
      <w:tr>
        <w:trPr>
          <w:trHeight w:val="279"/>
        </w:trPr>
        <w:tc>
          <w:tcPr>
            <w:tcW w:w="1280" w:type="dxa"/>
            <w:vAlign w:val="bottom"/>
          </w:tcPr>
          <w:p>
            <w:pPr>
              <w:spacing w:after="0"/>
              <w:rPr>
                <w:sz w:val="20"/>
                <w:szCs w:val="20"/>
                <w:color w:val="auto"/>
              </w:rPr>
            </w:pPr>
            <w:r>
              <w:rPr>
                <w:rFonts w:ascii="Arial" w:cs="Arial" w:eastAsia="Arial" w:hAnsi="Arial"/>
                <w:sz w:val="16"/>
                <w:szCs w:val="16"/>
                <w:b w:val="1"/>
                <w:bCs w:val="1"/>
                <w:color w:val="auto"/>
              </w:rPr>
              <w:t>Meeting Type:</w:t>
            </w:r>
          </w:p>
        </w:tc>
        <w:tc>
          <w:tcPr>
            <w:tcW w:w="200" w:type="dxa"/>
            <w:vAlign w:val="bottom"/>
          </w:tcPr>
          <w:p>
            <w:pPr>
              <w:spacing w:after="0"/>
              <w:rPr>
                <w:sz w:val="24"/>
                <w:szCs w:val="24"/>
                <w:color w:val="auto"/>
              </w:rPr>
            </w:pPr>
          </w:p>
        </w:tc>
        <w:tc>
          <w:tcPr>
            <w:tcW w:w="190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Annual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-343535</wp:posOffset>
            </wp:positionV>
            <wp:extent cx="3275965" cy="1157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5965" cy="1157605"/>
                    </a:xfrm>
                    <a:prstGeom prst="rect">
                      <a:avLst/>
                    </a:prstGeom>
                    <a:noFill/>
                  </pic:spPr>
                </pic:pic>
              </a:graphicData>
            </a:graphic>
          </wp:anchor>
        </w:drawing>
      </w:r>
    </w:p>
    <w:p>
      <w:pPr>
        <w:ind w:left="160"/>
        <w:spacing w:after="0"/>
        <w:tabs>
          <w:tab w:leader="none" w:pos="1700" w:val="left"/>
        </w:tabs>
        <w:rPr>
          <w:sz w:val="20"/>
          <w:szCs w:val="20"/>
          <w:color w:val="auto"/>
        </w:rPr>
      </w:pPr>
      <w:r>
        <w:rPr>
          <w:rFonts w:ascii="Arial" w:cs="Arial" w:eastAsia="Arial" w:hAnsi="Arial"/>
          <w:sz w:val="16"/>
          <w:szCs w:val="16"/>
          <w:b w:val="1"/>
          <w:bCs w:val="1"/>
          <w:color w:val="auto"/>
        </w:rPr>
        <w:t>For holders as of:</w:t>
      </w:r>
      <w:r>
        <w:rPr>
          <w:sz w:val="20"/>
          <w:szCs w:val="20"/>
          <w:color w:val="auto"/>
        </w:rPr>
        <w:tab/>
      </w:r>
      <w:r>
        <w:rPr>
          <w:rFonts w:ascii="Arial" w:cs="Arial" w:eastAsia="Arial" w:hAnsi="Arial"/>
          <w:sz w:val="16"/>
          <w:szCs w:val="16"/>
          <w:color w:val="auto"/>
        </w:rPr>
        <w:t>March 15, 2016</w:t>
      </w:r>
    </w:p>
    <w:p>
      <w:pPr>
        <w:spacing w:after="0" w:line="5" w:lineRule="exact"/>
        <w:rPr>
          <w:sz w:val="20"/>
          <w:szCs w:val="20"/>
          <w:color w:val="auto"/>
        </w:rPr>
      </w:pPr>
    </w:p>
    <w:p>
      <w:pPr>
        <w:ind w:left="160"/>
        <w:spacing w:after="0"/>
        <w:tabs>
          <w:tab w:leader="none" w:pos="740" w:val="left"/>
          <w:tab w:leader="none" w:pos="1980" w:val="left"/>
        </w:tabs>
        <w:rPr>
          <w:sz w:val="20"/>
          <w:szCs w:val="20"/>
          <w:color w:val="auto"/>
        </w:rPr>
      </w:pP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color w:val="auto"/>
        </w:rPr>
        <w:t>May 12, 2016</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11:00 a.m.</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The Maury Myers Conference Center</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Waste Management, Inc.</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1021 Main Street</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Houston, Texas 77002</w:t>
      </w:r>
    </w:p>
    <w:p>
      <w:pPr>
        <w:spacing w:after="0" w:line="25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You are receiving this communication because you hold shares in the company named above.</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easily request a paper copy (see reverse side).</w:t>
      </w:r>
    </w:p>
    <w:p>
      <w:pPr>
        <w:spacing w:after="0" w:line="96"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We encourage you to access and review all of the important information contained in the proxy materials before voting.</w:t>
      </w:r>
    </w:p>
    <w:p>
      <w:pPr>
        <w:spacing w:after="0" w:line="96" w:lineRule="exact"/>
        <w:rPr>
          <w:sz w:val="20"/>
          <w:szCs w:val="20"/>
          <w:color w:val="auto"/>
        </w:rPr>
      </w:pPr>
    </w:p>
    <w:p>
      <w:pPr>
        <w:ind w:left="60" w:right="1000"/>
        <w:spacing w:after="0" w:line="284" w:lineRule="auto"/>
        <w:rPr>
          <w:sz w:val="20"/>
          <w:szCs w:val="20"/>
          <w:color w:val="auto"/>
        </w:rPr>
      </w:pPr>
      <w:r>
        <w:rPr>
          <w:rFonts w:ascii="Arial" w:cs="Arial" w:eastAsia="Arial" w:hAnsi="Arial"/>
          <w:sz w:val="19"/>
          <w:szCs w:val="19"/>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-318770</wp:posOffset>
            </wp:positionV>
            <wp:extent cx="3267075"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67075" cy="300355"/>
                    </a:xfrm>
                    <a:prstGeom prst="rect">
                      <a:avLst/>
                    </a:prstGeom>
                    <a:noFill/>
                  </pic:spPr>
                </pic:pic>
              </a:graphicData>
            </a:graphic>
          </wp:anchor>
        </w:drawing>
      </w:r>
    </w:p>
    <w:p>
      <w:pPr>
        <w:sectPr>
          <w:pgSz w:w="11900" w:h="16838" w:orient="portrait"/>
          <w:cols w:equalWidth="0" w:num="2">
            <w:col w:w="4740" w:space="720"/>
            <w:col w:w="5160"/>
          </w:cols>
          <w:pgMar w:left="820" w:top="311" w:right="45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40"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How to Access the Proxy Materials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-125095</wp:posOffset>
            </wp:positionV>
            <wp:extent cx="6817995" cy="2109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17995" cy="21094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Combined Proxy Statement and Annual Report on Form 10-K</w:t>
      </w:r>
    </w:p>
    <w:p>
      <w:pPr>
        <w:spacing w:after="0" w:line="234" w:lineRule="auto"/>
        <w:rPr>
          <w:sz w:val="20"/>
          <w:szCs w:val="20"/>
          <w:color w:val="auto"/>
        </w:rPr>
      </w:pPr>
      <w:r>
        <w:rPr>
          <w:rFonts w:ascii="Arial" w:cs="Arial" w:eastAsia="Arial" w:hAnsi="Arial"/>
          <w:sz w:val="18"/>
          <w:szCs w:val="18"/>
          <w:b w:val="1"/>
          <w:bCs w:val="1"/>
          <w:color w:val="auto"/>
        </w:rPr>
        <w:t>How to View Online: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Have the information that is printed in the box marked by the arrow </w:t>
      </w:r>
      <w:r>
        <w:rPr>
          <w:sz w:val="1"/>
          <w:szCs w:val="1"/>
          <w:color w:val="auto"/>
        </w:rPr>
        <w:drawing>
          <wp:inline distT="0" distB="0" distL="0" distR="0">
            <wp:extent cx="1132205" cy="1028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2205" cy="102870"/>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and visit:</w:t>
      </w:r>
    </w:p>
    <w:p>
      <w:pPr>
        <w:spacing w:after="0"/>
        <w:rPr>
          <w:sz w:val="20"/>
          <w:szCs w:val="20"/>
          <w:color w:val="auto"/>
        </w:rPr>
      </w:pPr>
      <w:r>
        <w:rPr>
          <w:rFonts w:ascii="Arial" w:cs="Arial" w:eastAsia="Arial" w:hAnsi="Arial"/>
          <w:sz w:val="18"/>
          <w:szCs w:val="18"/>
          <w:i w:val="1"/>
          <w:iCs w:val="1"/>
          <w:color w:val="auto"/>
        </w:rPr>
        <w:t>www.proxyvote .com.</w:t>
      </w:r>
    </w:p>
    <w:p>
      <w:pPr>
        <w:spacing w:after="0" w:line="234" w:lineRule="auto"/>
        <w:rPr>
          <w:sz w:val="20"/>
          <w:szCs w:val="20"/>
          <w:color w:val="auto"/>
        </w:rPr>
      </w:pPr>
      <w:r>
        <w:rPr>
          <w:rFonts w:ascii="Arial" w:cs="Arial" w:eastAsia="Arial" w:hAnsi="Arial"/>
          <w:sz w:val="18"/>
          <w:szCs w:val="18"/>
          <w:b w:val="1"/>
          <w:bCs w:val="1"/>
          <w:color w:val="auto"/>
        </w:rPr>
        <w:t>How to Request and Receive a PAPER or E-MAIL Copy:</w:t>
      </w:r>
    </w:p>
    <w:p>
      <w:pPr>
        <w:spacing w:after="0" w:line="1" w:lineRule="exact"/>
        <w:rPr>
          <w:sz w:val="20"/>
          <w:szCs w:val="20"/>
          <w:color w:val="auto"/>
        </w:rPr>
      </w:pPr>
    </w:p>
    <w:p>
      <w:pPr>
        <w:ind w:right="1500"/>
        <w:spacing w:after="0" w:line="242"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ind w:left="1440"/>
        <w:spacing w:after="0"/>
        <w:tabs>
          <w:tab w:leader="none" w:pos="332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www.proxyvote.com</w:t>
      </w:r>
    </w:p>
    <w:p>
      <w:pPr>
        <w:ind w:left="1640" w:hanging="202"/>
        <w:spacing w:after="0" w:line="235" w:lineRule="auto"/>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1640" w:hanging="202"/>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7"/>
          <w:szCs w:val="17"/>
          <w:color w:val="auto"/>
        </w:rPr>
        <w:t>sendmaterial@proxyvote.com</w:t>
      </w:r>
    </w:p>
    <w:p>
      <w:pPr>
        <w:spacing w:after="0" w:line="10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rPr>
          <w:sz w:val="20"/>
          <w:szCs w:val="20"/>
          <w:color w:val="auto"/>
        </w:rPr>
      </w:pPr>
      <w:r>
        <w:rPr>
          <w:sz w:val="1"/>
          <w:szCs w:val="1"/>
          <w:color w:val="auto"/>
        </w:rPr>
        <w:drawing>
          <wp:inline distT="0" distB="0" distL="0" distR="0">
            <wp:extent cx="105473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54735"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April 28, 2016 to facilitate timely delivery.</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w:t>
      </w:r>
      <w:r>
        <w:rPr>
          <w:rFonts w:ascii="Arial" w:cs="Arial" w:eastAsia="Arial" w:hAnsi="Arial"/>
          <w:sz w:val="32"/>
          <w:szCs w:val="32"/>
          <w:color w:val="auto"/>
        </w:rPr>
        <w:t xml:space="preserve"> —</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Please Choose One of the Following Voting Methods</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w:t>
      </w:r>
      <w:r>
        <w:rPr>
          <w:rFonts w:ascii="Arial" w:cs="Arial" w:eastAsia="Arial" w:hAnsi="Arial"/>
          <w:sz w:val="18"/>
          <w:szCs w:val="18"/>
          <w:b w:val="1"/>
          <w:bCs w:val="1"/>
          <w:color w:val="auto"/>
        </w:rPr>
        <w:t>ote In Person:</w:t>
      </w:r>
      <w:r>
        <w:rPr>
          <w:rFonts w:ascii="Arial" w:cs="Arial" w:eastAsia="Arial" w:hAnsi="Arial"/>
          <w:sz w:val="18"/>
          <w:szCs w:val="18"/>
          <w:color w:val="auto"/>
        </w:rPr>
        <w:t xml:space="preserve"> Many stockholder meetings have attendance requirements including, but not limited to, the possession of an 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-408940</wp:posOffset>
            </wp:positionV>
            <wp:extent cx="6817995" cy="977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7995" cy="97790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V</w:t>
      </w:r>
      <w:r>
        <w:rPr>
          <w:rFonts w:ascii="Arial" w:cs="Arial" w:eastAsia="Arial" w:hAnsi="Arial"/>
          <w:sz w:val="17"/>
          <w:szCs w:val="17"/>
          <w:b w:val="1"/>
          <w:bCs w:val="1"/>
          <w:color w:val="auto"/>
        </w:rPr>
        <w:t>ote By Internet:</w:t>
      </w:r>
      <w:r>
        <w:rPr>
          <w:rFonts w:ascii="Arial" w:cs="Arial" w:eastAsia="Arial" w:hAnsi="Arial"/>
          <w:sz w:val="17"/>
          <w:szCs w:val="17"/>
          <w:color w:val="auto"/>
        </w:rPr>
        <w:t xml:space="preserve"> To vote now by Internet, go to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Have the information that is printed in the box marked by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286510" cy="1117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6510"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10160</wp:posOffset>
            </wp:positionV>
            <wp:extent cx="60325" cy="540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54038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V</w:t>
      </w:r>
      <w:r>
        <w:rPr>
          <w:rFonts w:ascii="Arial" w:cs="Arial" w:eastAsia="Arial" w:hAnsi="Arial"/>
          <w:sz w:val="18"/>
          <w:szCs w:val="18"/>
          <w:b w:val="1"/>
          <w:bCs w:val="1"/>
          <w:color w:val="auto"/>
        </w:rPr>
        <w:t>ote By Mail:</w:t>
      </w:r>
      <w:r>
        <w:rPr>
          <w:rFonts w:ascii="Arial" w:cs="Arial" w:eastAsia="Arial" w:hAnsi="Arial"/>
          <w:sz w:val="18"/>
          <w:szCs w:val="18"/>
          <w:color w:val="auto"/>
        </w:rPr>
        <w:t xml:space="preserve"> You can vote by mail by requesting a paper copy of the materials, which will include a proxy card.</w:t>
      </w:r>
    </w:p>
    <w:p>
      <w:pPr>
        <w:sectPr>
          <w:pgSz w:w="11900" w:h="16838" w:orient="portrait"/>
          <w:cols w:equalWidth="0" w:num="1">
            <w:col w:w="10420"/>
          </w:cols>
          <w:pgMar w:left="980" w:top="306" w:right="499" w:bottom="1440" w:gutter="0" w:footer="0" w:header="0"/>
        </w:sectPr>
      </w:pPr>
    </w:p>
    <w:bookmarkStart w:id="3" w:name="page4"/>
    <w:bookmarkEnd w:id="3"/>
    <w:p>
      <w:pPr>
        <w:ind w:left="11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517525</wp:posOffset>
            </wp:positionH>
            <wp:positionV relativeFrom="page">
              <wp:posOffset>372110</wp:posOffset>
            </wp:positionV>
            <wp:extent cx="185229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52295" cy="137160"/>
                    </a:xfrm>
                    <a:prstGeom prst="rect">
                      <a:avLst/>
                    </a:prstGeom>
                    <a:noFill/>
                  </pic:spPr>
                </pic:pic>
              </a:graphicData>
            </a:graphic>
          </wp:anchor>
        </w:drawing>
        <w:t>Voting Items</w:t>
      </w:r>
    </w:p>
    <w:p>
      <w:pPr>
        <w:spacing w:after="0" w:line="33" w:lineRule="exact"/>
        <w:rPr>
          <w:sz w:val="20"/>
          <w:szCs w:val="20"/>
          <w:color w:val="auto"/>
        </w:rPr>
      </w:pPr>
    </w:p>
    <w:p>
      <w:pPr>
        <w:ind w:right="670"/>
        <w:spacing w:after="0" w:line="246" w:lineRule="auto"/>
        <w:rPr>
          <w:sz w:val="20"/>
          <w:szCs w:val="20"/>
          <w:color w:val="auto"/>
        </w:rPr>
      </w:pPr>
      <w:r>
        <w:rPr>
          <w:rFonts w:ascii="Arial" w:cs="Arial" w:eastAsia="Arial" w:hAnsi="Arial"/>
          <w:sz w:val="13"/>
          <w:szCs w:val="13"/>
          <w:b w:val="1"/>
          <w:bCs w:val="1"/>
          <w:color w:val="auto"/>
        </w:rPr>
        <w:t>The Board of Directors recommends you vote FOR each of the nominees in item 1 and FOR proposals 2 and 3:</w:t>
      </w:r>
    </w:p>
    <w:p>
      <w:pPr>
        <w:spacing w:after="0" w:line="101" w:lineRule="exact"/>
        <w:rPr>
          <w:sz w:val="20"/>
          <w:szCs w:val="20"/>
          <w:color w:val="auto"/>
        </w:rPr>
      </w:pPr>
    </w:p>
    <w:p>
      <w:pPr>
        <w:ind w:left="240" w:hanging="240"/>
        <w:spacing w:after="0"/>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37"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244"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1a. Bradbury H. Anderson</w:t>
      </w:r>
    </w:p>
    <w:p>
      <w:pPr>
        <w:spacing w:after="0" w:line="228"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1b. Frank M. Clark, Jr.</w:t>
      </w:r>
    </w:p>
    <w:p>
      <w:pPr>
        <w:spacing w:after="0" w:line="228"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1c.  Andrés R. Gluski</w:t>
      </w:r>
    </w:p>
    <w:p>
      <w:pPr>
        <w:spacing w:after="0" w:line="228"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1d. Patrick W. Gross</w:t>
      </w:r>
    </w:p>
    <w:p>
      <w:pPr>
        <w:spacing w:after="0" w:line="228"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1e. Victoria M. Holt</w:t>
      </w:r>
    </w:p>
    <w:p>
      <w:pPr>
        <w:spacing w:after="0" w:line="228"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1f.  Kathleen M. Mazzarella</w:t>
      </w:r>
    </w:p>
    <w:p>
      <w:pPr>
        <w:spacing w:after="0" w:line="228"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1g. John C. Pope</w:t>
      </w:r>
    </w:p>
    <w:p>
      <w:pPr>
        <w:spacing w:after="0" w:line="228"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1h. W. Robert Reum</w:t>
      </w:r>
    </w:p>
    <w:p>
      <w:pPr>
        <w:spacing w:after="0" w:line="228"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1i.  David P. Steiner</w:t>
      </w:r>
    </w:p>
    <w:p>
      <w:pPr>
        <w:spacing w:after="0" w:line="228"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1j.  Thomas H. Weidemeyer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612140</wp:posOffset>
            </wp:positionV>
            <wp:extent cx="60325" cy="540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540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250" w:hanging="250"/>
        <w:spacing w:after="0" w:line="230" w:lineRule="auto"/>
        <w:tabs>
          <w:tab w:leader="none" w:pos="355" w:val="left"/>
        </w:tabs>
        <w:numPr>
          <w:ilvl w:val="0"/>
          <w:numId w:val="8"/>
        </w:numPr>
        <w:rPr>
          <w:rFonts w:ascii="Arial" w:cs="Arial" w:eastAsia="Arial" w:hAnsi="Arial"/>
          <w:sz w:val="13"/>
          <w:szCs w:val="13"/>
          <w:color w:val="auto"/>
        </w:rPr>
      </w:pPr>
      <w:r>
        <w:rPr>
          <w:rFonts w:ascii="Arial" w:cs="Arial" w:eastAsia="Arial" w:hAnsi="Arial"/>
          <w:sz w:val="13"/>
          <w:szCs w:val="13"/>
          <w:color w:val="auto"/>
        </w:rPr>
        <w:t>Ratification of the appointment of Ernst &amp; Young LLP as the independent registered public accounting firm for 2016.</w:t>
      </w:r>
    </w:p>
    <w:p>
      <w:pPr>
        <w:spacing w:after="0" w:line="226" w:lineRule="exact"/>
        <w:rPr>
          <w:rFonts w:ascii="Arial" w:cs="Arial" w:eastAsia="Arial" w:hAnsi="Arial"/>
          <w:sz w:val="13"/>
          <w:szCs w:val="13"/>
          <w:color w:val="auto"/>
        </w:rPr>
      </w:pPr>
    </w:p>
    <w:p>
      <w:pPr>
        <w:ind w:left="230" w:hanging="230"/>
        <w:spacing w:after="0"/>
        <w:tabs>
          <w:tab w:leader="none" w:pos="230" w:val="left"/>
        </w:tabs>
        <w:numPr>
          <w:ilvl w:val="0"/>
          <w:numId w:val="8"/>
        </w:numPr>
        <w:rPr>
          <w:rFonts w:ascii="Arial" w:cs="Arial" w:eastAsia="Arial" w:hAnsi="Arial"/>
          <w:sz w:val="13"/>
          <w:szCs w:val="13"/>
          <w:color w:val="auto"/>
        </w:rPr>
      </w:pPr>
      <w:r>
        <w:rPr>
          <w:rFonts w:ascii="Arial" w:cs="Arial" w:eastAsia="Arial" w:hAnsi="Arial"/>
          <w:sz w:val="13"/>
          <w:szCs w:val="13"/>
          <w:color w:val="auto"/>
        </w:rPr>
        <w:t>Approval of our executive compensation.</w:t>
      </w:r>
    </w:p>
    <w:p>
      <w:pPr>
        <w:spacing w:after="0" w:line="213" w:lineRule="exact"/>
        <w:rPr>
          <w:sz w:val="20"/>
          <w:szCs w:val="20"/>
          <w:color w:val="auto"/>
        </w:rPr>
      </w:pPr>
    </w:p>
    <w:p>
      <w:pPr>
        <w:ind w:left="10"/>
        <w:spacing w:after="0"/>
        <w:rPr>
          <w:sz w:val="20"/>
          <w:szCs w:val="20"/>
          <w:color w:val="auto"/>
        </w:rPr>
      </w:pPr>
      <w:r>
        <w:rPr>
          <w:rFonts w:ascii="Arial" w:cs="Arial" w:eastAsia="Arial" w:hAnsi="Arial"/>
          <w:sz w:val="13"/>
          <w:szCs w:val="13"/>
          <w:b w:val="1"/>
          <w:bCs w:val="1"/>
          <w:color w:val="auto"/>
        </w:rPr>
        <w:t>The Board of Directors recommends you vote AGAINST proposal 4:</w:t>
      </w:r>
    </w:p>
    <w:p>
      <w:pPr>
        <w:spacing w:after="0" w:line="245" w:lineRule="exact"/>
        <w:rPr>
          <w:sz w:val="20"/>
          <w:szCs w:val="20"/>
          <w:color w:val="auto"/>
        </w:rPr>
      </w:pPr>
    </w:p>
    <w:p>
      <w:pPr>
        <w:ind w:left="250" w:hanging="250"/>
        <w:spacing w:after="0" w:line="230" w:lineRule="auto"/>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Stockholder proposal regarding a policy on accelerated vesting of equity awards, if properly presented at the meeting.</w:t>
      </w:r>
    </w:p>
    <w:p>
      <w:pPr>
        <w:spacing w:after="0" w:line="211" w:lineRule="exact"/>
        <w:rPr>
          <w:sz w:val="20"/>
          <w:szCs w:val="20"/>
          <w:color w:val="auto"/>
        </w:rPr>
      </w:pPr>
    </w:p>
    <w:p>
      <w:pPr>
        <w:ind w:left="10"/>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In their discretion, upon such other matters that may properly come before</w:t>
      </w:r>
      <w:r>
        <w:rPr>
          <w:rFonts w:ascii="Arial" w:cs="Arial" w:eastAsia="Arial" w:hAnsi="Arial"/>
          <w:sz w:val="13"/>
          <w:szCs w:val="13"/>
          <w:b w:val="1"/>
          <w:bCs w:val="1"/>
          <w:color w:val="auto"/>
        </w:rPr>
        <w:t xml:space="preserve"> </w:t>
      </w:r>
      <w:r>
        <w:rPr>
          <w:rFonts w:ascii="Arial" w:cs="Arial" w:eastAsia="Arial" w:hAnsi="Arial"/>
          <w:sz w:val="13"/>
          <w:szCs w:val="13"/>
          <w:color w:val="auto"/>
        </w:rPr>
        <w:t>the meeting or any adjournment or adjournments thereof.</w:t>
      </w:r>
    </w:p>
    <w:p>
      <w:pPr>
        <w:sectPr>
          <w:pgSz w:w="11900" w:h="16838" w:orient="portrait"/>
          <w:cols w:equalWidth="0" w:num="2">
            <w:col w:w="5290" w:space="720"/>
            <w:col w:w="4710"/>
          </w:cols>
          <w:pgMar w:left="820" w:top="585" w:right="359" w:bottom="1440" w:gutter="0" w:footer="0" w:header="0"/>
        </w:sectPr>
      </w:pPr>
    </w:p>
    <w:bookmarkStart w:id="4" w:name="page5"/>
    <w:bookmarkEnd w:id="4"/>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2559050</wp:posOffset>
            </wp:positionV>
            <wp:extent cx="51435"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0"/>
                    </a:xfrm>
                    <a:prstGeom prst="rect">
                      <a:avLst/>
                    </a:prstGeom>
                    <a:noFill/>
                  </pic:spPr>
                </pic:pic>
              </a:graphicData>
            </a:graphic>
          </wp:anchor>
        </w:drawing>
        <w:drawing>
          <wp:anchor simplePos="0" relativeHeight="251657728" behindDoc="1" locked="0" layoutInCell="0" allowOverlap="1">
            <wp:simplePos x="0" y="0"/>
            <wp:positionH relativeFrom="page">
              <wp:posOffset>517525</wp:posOffset>
            </wp:positionH>
            <wp:positionV relativeFrom="page">
              <wp:posOffset>1289685</wp:posOffset>
            </wp:positionV>
            <wp:extent cx="6817995"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17995" cy="34290"/>
                    </a:xfrm>
                    <a:prstGeom prst="rect">
                      <a:avLst/>
                    </a:prstGeom>
                    <a:noFill/>
                  </pic:spPr>
                </pic:pic>
              </a:graphicData>
            </a:graphic>
          </wp:anchor>
        </w:drawing>
        <w:drawing>
          <wp:anchor simplePos="0" relativeHeight="251657728" behindDoc="1" locked="0" layoutInCell="0" allowOverlap="1">
            <wp:simplePos x="0" y="0"/>
            <wp:positionH relativeFrom="page">
              <wp:posOffset>517525</wp:posOffset>
            </wp:positionH>
            <wp:positionV relativeFrom="page">
              <wp:posOffset>1358265</wp:posOffset>
            </wp:positionV>
            <wp:extent cx="68179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lvl w:ilvl="1">
      <w:lvlJc w:val="left"/>
      <w:lvlText w:val="%2)"/>
      <w:numFmt w:val="decimal"/>
      <w:start w:val="2"/>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2019-12-05T20:22:19Z</dcterms:created>
  <dcterms:modified xsi:type="dcterms:W3CDTF">2019-12-05T20:22:19Z</dcterms:modified>
</cp:coreProperties>
</file>