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February 16,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Waste Management, Inc.</w:t>
      </w:r>
    </w:p>
    <w:p>
      <w:pPr>
        <w:spacing w:after="0" w:line="54"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1-12154</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73-1309529</w:t>
      </w:r>
    </w:p>
    <w:p>
      <w:pPr>
        <w:spacing w:after="0" w:line="46" w:lineRule="exact"/>
        <w:rPr>
          <w:sz w:val="24"/>
          <w:szCs w:val="24"/>
          <w:color w:val="auto"/>
        </w:rPr>
      </w:pPr>
    </w:p>
    <w:p>
      <w:pPr>
        <w:sectPr>
          <w:pgSz w:w="11900" w:h="16838" w:orient="portrait"/>
          <w:cols w:equalWidth="0" w:num="3">
            <w:col w:w="4820" w:space="720"/>
            <w:col w:w="292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ind w:left="1380"/>
        <w:spacing w:after="0"/>
        <w:rPr>
          <w:sz w:val="20"/>
          <w:szCs w:val="20"/>
          <w:color w:val="auto"/>
        </w:rPr>
      </w:pPr>
      <w:r>
        <w:rPr>
          <w:rFonts w:ascii="Arial" w:cs="Arial" w:eastAsia="Arial" w:hAnsi="Arial"/>
          <w:sz w:val="15"/>
          <w:szCs w:val="15"/>
          <w:b w:val="1"/>
          <w:bCs w:val="1"/>
          <w:color w:val="auto"/>
        </w:rPr>
        <w:t>1001 Fannin, Suite 4000 Houston, 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77002</w:t>
      </w:r>
    </w:p>
    <w:p>
      <w:pPr>
        <w:spacing w:after="0" w:line="56" w:lineRule="exact"/>
        <w:rPr>
          <w:sz w:val="24"/>
          <w:szCs w:val="24"/>
          <w:color w:val="auto"/>
        </w:rPr>
      </w:pPr>
    </w:p>
    <w:p>
      <w:pPr>
        <w:sectPr>
          <w:pgSz w:w="11900" w:h="16838" w:orient="portrait"/>
          <w:cols w:equalWidth="0" w:num="2">
            <w:col w:w="7740" w:space="720"/>
            <w:col w:w="2560"/>
          </w:cols>
          <w:pgMar w:left="240" w:top="314" w:right="63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314" w:right="639" w:bottom="1440" w:gutter="0" w:footer="0" w:header="0"/>
          <w:type w:val="continuous"/>
        </w:sectPr>
      </w:pPr>
    </w:p>
    <w:p>
      <w:pPr>
        <w:ind w:left="3180"/>
        <w:spacing w:after="0"/>
        <w:rPr>
          <w:sz w:val="20"/>
          <w:szCs w:val="20"/>
          <w:color w:val="auto"/>
        </w:rPr>
      </w:pPr>
      <w:r>
        <w:rPr>
          <w:rFonts w:ascii="Arial" w:cs="Arial" w:eastAsia="Arial" w:hAnsi="Arial"/>
          <w:sz w:val="18"/>
          <w:szCs w:val="18"/>
          <w:b w:val="1"/>
          <w:bCs w:val="1"/>
          <w:color w:val="auto"/>
        </w:rPr>
        <w:t>Registrant’s Telephone number, including area code: (713) 512-6200</w:t>
      </w:r>
    </w:p>
    <w:p>
      <w:pPr>
        <w:spacing w:after="0" w:line="375"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Waste Management, Inc. (the “Company”) issued a press release this morning announcing its financial results for the fourth quarter and full year ended December 31, 2011, a copy of which is attached hereto as Exhibit 99.1. The Company is holding a conference call to discuss these results beginning at 9:00 a.m. Central Time this morning. The call will be webcast live and may be heard by accessing the Investor Relations section of the Company’s website at www.wm.com. The call may also be heard by dialing (877) 710-6139 and entering access code 38143289. To access a replay telephonically, please dial (855) 859-2056 and use the replay conference ID number 38143289.</w:t>
      </w:r>
    </w:p>
    <w:p>
      <w:pPr>
        <w:spacing w:after="0" w:line="143"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On the call, management of the Company is expected to discuss certain non-GAAP financial measures that are included in the Company’s press release. The Company has provided information regarding its use of such non-GAAP measures and reconciliations of such measures to their most comparable GAAP measures in the footnote and schedules to the press release.</w:t>
      </w:r>
    </w:p>
    <w:p>
      <w:pPr>
        <w:spacing w:after="0" w:line="14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addition to the non-GAAP measures presented in the press release, management is also expected to discuss adjusted operating revenues, adjusted operating expenses as a percent of adjusted revenues and adjusted SG&amp;A expenses as a percent of adjusted revenues. Management believes these non-GAAP measures provide investors with information to better enable them to evaluate the Company’s performance by excluding items that management believes are not representative of our performance or indicative of our results of operations. The reconciliation of these additional non-GAAP measures to the most directly comparable GAAP measures are shown below.</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ind w:left="260"/>
              <w:spacing w:after="0"/>
              <w:rPr>
                <w:sz w:val="20"/>
                <w:szCs w:val="20"/>
                <w:color w:val="auto"/>
              </w:rPr>
            </w:pPr>
            <w:r>
              <w:rPr>
                <w:rFonts w:ascii="Arial" w:cs="Arial" w:eastAsia="Arial" w:hAnsi="Arial"/>
                <w:sz w:val="14"/>
                <w:szCs w:val="14"/>
                <w:b w:val="1"/>
                <w:bCs w:val="1"/>
                <w:color w:val="auto"/>
              </w:rPr>
              <w:t>Quarters Ended</w:t>
            </w:r>
          </w:p>
        </w:tc>
        <w:tc>
          <w:tcPr>
            <w:tcW w:w="0" w:type="dxa"/>
            <w:vAlign w:val="bottom"/>
          </w:tcPr>
          <w:p>
            <w:pPr>
              <w:spacing w:after="0"/>
              <w:rPr>
                <w:sz w:val="1"/>
                <w:szCs w:val="1"/>
                <w:color w:val="auto"/>
              </w:rPr>
            </w:pPr>
          </w:p>
        </w:tc>
      </w:tr>
      <w:tr>
        <w:trPr>
          <w:trHeight w:val="161"/>
        </w:trPr>
        <w:tc>
          <w:tcPr>
            <w:tcW w:w="95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Adjusted Operating Revenues, Adjusted Operating Expenses, and</w:t>
            </w: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95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5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Adjusted Operating Expenses as a Percent of Adjusted Revenues</w:t>
            </w:r>
          </w:p>
        </w:tc>
        <w:tc>
          <w:tcPr>
            <w:tcW w:w="100" w:type="dxa"/>
            <w:vAlign w:val="bottom"/>
          </w:tcPr>
          <w:p>
            <w:pPr>
              <w:spacing w:after="0"/>
              <w:rPr>
                <w:sz w:val="15"/>
                <w:szCs w:val="15"/>
                <w:color w:val="auto"/>
              </w:rPr>
            </w:pPr>
          </w:p>
        </w:tc>
        <w:tc>
          <w:tcPr>
            <w:tcW w:w="400" w:type="dxa"/>
            <w:vAlign w:val="bottom"/>
          </w:tcPr>
          <w:p>
            <w:pPr>
              <w:ind w:left="20"/>
              <w:spacing w:after="0"/>
              <w:rPr>
                <w:sz w:val="20"/>
                <w:szCs w:val="20"/>
                <w:color w:val="auto"/>
              </w:rPr>
            </w:pPr>
            <w:r>
              <w:rPr>
                <w:rFonts w:ascii="Arial" w:cs="Arial" w:eastAsia="Arial" w:hAnsi="Arial"/>
                <w:sz w:val="14"/>
                <w:szCs w:val="14"/>
                <w:b w:val="1"/>
                <w:bCs w:val="1"/>
                <w:color w:val="auto"/>
              </w:rPr>
              <w:t>2011</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2010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reported:</w:t>
            </w: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Operating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ind w:left="20"/>
              <w:spacing w:after="0"/>
              <w:rPr>
                <w:sz w:val="20"/>
                <w:szCs w:val="20"/>
                <w:color w:val="auto"/>
              </w:rPr>
            </w:pPr>
            <w:r>
              <w:rPr>
                <w:rFonts w:ascii="Arial" w:cs="Arial" w:eastAsia="Arial" w:hAnsi="Arial"/>
                <w:sz w:val="18"/>
                <w:szCs w:val="18"/>
                <w:color w:val="auto"/>
                <w:w w:val="79"/>
              </w:rPr>
              <w:t>3,406</w:t>
            </w:r>
          </w:p>
        </w:tc>
        <w:tc>
          <w:tcPr>
            <w:tcW w:w="4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3,187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2,145</w:t>
            </w:r>
          </w:p>
        </w:tc>
        <w:tc>
          <w:tcPr>
            <w:tcW w:w="4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1,941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b w:val="1"/>
                <w:bCs w:val="1"/>
                <w:color w:val="auto"/>
              </w:rPr>
              <w:t>Operating expenses as a percent of revenues</w:t>
            </w: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63.0%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60.9%</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Revenues attributable to the acquired Oakleaf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(145)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Expenses attributable to the results of the acquired Oakleaf operations and related integration costs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Landfill operating costs - benefit from changes in risk-free interest rates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adjusted:</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 xml:space="preserve">Operating revenues </w:t>
            </w:r>
            <w:r>
              <w:rPr>
                <w:rFonts w:ascii="Arial" w:cs="Arial" w:eastAsia="Arial" w:hAnsi="Arial"/>
                <w:sz w:val="18"/>
                <w:szCs w:val="18"/>
                <w:b w:val="1"/>
                <w:bCs w:val="1"/>
                <w:color w:val="auto"/>
              </w:rPr>
              <w:t>(a)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ind w:left="20"/>
              <w:spacing w:after="0"/>
              <w:rPr>
                <w:sz w:val="20"/>
                <w:szCs w:val="20"/>
                <w:color w:val="auto"/>
              </w:rPr>
            </w:pPr>
            <w:r>
              <w:rPr>
                <w:rFonts w:ascii="Arial" w:cs="Arial" w:eastAsia="Arial" w:hAnsi="Arial"/>
                <w:sz w:val="18"/>
                <w:szCs w:val="18"/>
                <w:color w:val="auto"/>
                <w:w w:val="79"/>
              </w:rPr>
              <w:t>3,261</w:t>
            </w:r>
          </w:p>
        </w:tc>
        <w:tc>
          <w:tcPr>
            <w:tcW w:w="4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3,187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18"/>
                <w:szCs w:val="18"/>
                <w:b w:val="1"/>
                <w:bCs w:val="1"/>
                <w:color w:val="auto"/>
              </w:rPr>
              <w:t>(b)</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2,021</w:t>
            </w:r>
          </w:p>
        </w:tc>
        <w:tc>
          <w:tcPr>
            <w:tcW w:w="4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1,951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b w:val="1"/>
                <w:bCs w:val="1"/>
                <w:color w:val="auto"/>
              </w:rPr>
              <w:t>Adjusted operating expenses as a percent of adjusted revenues</w:t>
            </w: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62.0%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61.2%</w:t>
            </w:r>
          </w:p>
        </w:tc>
        <w:tc>
          <w:tcPr>
            <w:tcW w:w="0" w:type="dxa"/>
            <w:vAlign w:val="bottom"/>
          </w:tcPr>
          <w:p>
            <w:pPr>
              <w:spacing w:after="0"/>
              <w:rPr>
                <w:sz w:val="1"/>
                <w:szCs w:val="1"/>
                <w:color w:val="auto"/>
              </w:rPr>
            </w:pPr>
          </w:p>
        </w:tc>
      </w:tr>
      <w:tr>
        <w:trPr>
          <w:trHeight w:val="350"/>
        </w:trPr>
        <w:tc>
          <w:tcPr>
            <w:tcW w:w="9560" w:type="dxa"/>
            <w:vAlign w:val="bottom"/>
            <w:gridSpan w:val="2"/>
          </w:tcPr>
          <w:p>
            <w:pPr>
              <w:jc w:val="right"/>
              <w:ind w:right="37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Quarters Ended</w:t>
            </w:r>
          </w:p>
        </w:tc>
        <w:tc>
          <w:tcPr>
            <w:tcW w:w="0" w:type="dxa"/>
            <w:vAlign w:val="bottom"/>
          </w:tcPr>
          <w:p>
            <w:pPr>
              <w:spacing w:after="0"/>
              <w:rPr>
                <w:sz w:val="1"/>
                <w:szCs w:val="1"/>
                <w:color w:val="auto"/>
              </w:rPr>
            </w:pPr>
          </w:p>
        </w:tc>
      </w:tr>
      <w:tr>
        <w:trPr>
          <w:trHeight w:val="161"/>
        </w:trPr>
        <w:tc>
          <w:tcPr>
            <w:tcW w:w="84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Adjusted Operating Revenues, Adjusted SG&amp;A expenses, and</w:t>
            </w:r>
          </w:p>
        </w:tc>
        <w:tc>
          <w:tcPr>
            <w:tcW w:w="1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8460" w:type="dxa"/>
            <w:vAlign w:val="bottom"/>
            <w:gridSpan w:val="2"/>
            <w:vMerge w:val="continue"/>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Adjusted SG&amp;A Expenses as a Percent of Adjusted Revenues</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7"/>
              <w:spacing w:after="0"/>
              <w:rPr>
                <w:sz w:val="20"/>
                <w:szCs w:val="20"/>
                <w:color w:val="auto"/>
              </w:rPr>
            </w:pPr>
            <w:r>
              <w:rPr>
                <w:rFonts w:ascii="Arial" w:cs="Arial" w:eastAsia="Arial" w:hAnsi="Arial"/>
                <w:sz w:val="14"/>
                <w:szCs w:val="14"/>
                <w:b w:val="1"/>
                <w:bCs w:val="1"/>
                <w:color w:val="auto"/>
                <w:w w:val="83"/>
              </w:rPr>
              <w:t>2011</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2010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reported:</w:t>
            </w:r>
          </w:p>
        </w:tc>
        <w:tc>
          <w:tcPr>
            <w:tcW w:w="1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Operating revenues</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3,406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3,187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SG&amp;A expenses</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SG&amp;A expenses as a percent of revenues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12.4%</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Revenues attributable to the acquired Oakleaf operations</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(145)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Expenses attributable to litigation</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Expenses attributable to the results of the acquired Oakleaf operations and related integration costs</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(16)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adjusted:</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 xml:space="preserve">Operating revenues </w:t>
            </w:r>
            <w:r>
              <w:rPr>
                <w:rFonts w:ascii="Arial" w:cs="Arial" w:eastAsia="Arial" w:hAnsi="Arial"/>
                <w:sz w:val="18"/>
                <w:szCs w:val="18"/>
                <w:b w:val="1"/>
                <w:bCs w:val="1"/>
                <w:color w:val="auto"/>
              </w:rPr>
              <w:t>(a)</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3,261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3,187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SG&amp;A expenses</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Adjusted SG&amp;A expenses as a percent of adjusted revenues (c)</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11.5%</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Adjusted operating revenues increased by $74 million, or 2.3% in the fourth quarter of 2011 when compared with fourth quarter of 2010.</w:t>
      </w:r>
    </w:p>
    <w:p>
      <w:pPr>
        <w:spacing w:after="0" w:line="15" w:lineRule="exact"/>
        <w:rPr>
          <w:rFonts w:ascii="Arial" w:cs="Arial" w:eastAsia="Arial" w:hAnsi="Arial"/>
          <w:sz w:val="18"/>
          <w:szCs w:val="18"/>
          <w:b w:val="1"/>
          <w:bCs w:val="1"/>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Adjusted operating expenses increased by $70 million in the fourth quarter of 2011 when compared with fourth quarter of 2010.</w:t>
      </w:r>
    </w:p>
    <w:p>
      <w:pPr>
        <w:spacing w:after="0" w:line="9" w:lineRule="exact"/>
        <w:rPr>
          <w:rFonts w:ascii="Arial" w:cs="Arial" w:eastAsia="Arial" w:hAnsi="Arial"/>
          <w:sz w:val="18"/>
          <w:szCs w:val="18"/>
          <w:b w:val="1"/>
          <w:bCs w:val="1"/>
          <w:color w:val="auto"/>
        </w:rPr>
      </w:pPr>
    </w:p>
    <w:p>
      <w:pPr>
        <w:ind w:left="460" w:right="260" w:hanging="452"/>
        <w:spacing w:after="0" w:line="261" w:lineRule="auto"/>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Adjusted SG&amp;A expenses as a percent of adjusted revenues improved 20 basis points to 11.3% in fourth quarter of 2011 when compared with the fourth quarter of 2010.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1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February 16,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30" w:right="239" w:bottom="1440" w:gutter="0" w:footer="0" w:header="0"/>
        </w:sectPr>
      </w:pPr>
    </w:p>
    <w:bookmarkStart w:id="3" w:name="page4"/>
    <w:bookmarkEnd w:id="3"/>
    <w:p>
      <w:pPr>
        <w:jc w:val="center"/>
        <w:ind w:right="-3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WASTE MANAGEMENT, INC.</w:t>
      </w:r>
    </w:p>
    <w:p>
      <w:pPr>
        <w:spacing w:after="0" w:line="239"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Date:February 16, 2012</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Rick L Wittenbraker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Rick L Wittenbraker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w:t>
      </w:r>
    </w:p>
    <w:p>
      <w:pPr>
        <w:spacing w:after="0" w:line="1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80"/>
          </w:cols>
          <w:pgMar w:left="240" w:top="274" w:right="579" w:bottom="1440" w:gutter="0" w:footer="0" w:header="0"/>
        </w:sectPr>
      </w:pPr>
    </w:p>
    <w:bookmarkStart w:id="4" w:name="page5"/>
    <w:bookmarkEnd w:id="4"/>
    <w:p>
      <w:pPr>
        <w:jc w:val="right"/>
        <w:ind w:right="39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11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16, 2012</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274"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 IMMEDIATE RELEASE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 Announces Fourth Quarter and Full Year 2011 Earnings</w:t>
      </w:r>
    </w:p>
    <w:p>
      <w:pPr>
        <w:spacing w:after="0" w:line="177"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Revenue and Cash Flow Show Strong Improvement</w:t>
      </w:r>
    </w:p>
    <w:p>
      <w:pPr>
        <w:spacing w:after="0" w:line="16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color w:val="auto"/>
        </w:rPr>
        <w:t>HOUSTON – February 16</w:t>
      </w:r>
      <w:r>
        <w:rPr>
          <w:rFonts w:ascii="Arial" w:cs="Arial" w:eastAsia="Arial" w:hAnsi="Arial"/>
          <w:sz w:val="16"/>
          <w:szCs w:val="16"/>
          <w:color w:val="auto"/>
        </w:rPr>
        <w:t>, 2012 – Waste Management, Inc. (NYSE: WM) today announced financial results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 its fourth quarter and for the year ended December 31, 2011. Revenues for the fourth quarter of 2011 were $3.41 billion compared with $3.19 billion for the same 2010 period. Net income </w:t>
      </w:r>
      <w:r>
        <w:rPr>
          <w:rFonts w:ascii="Arial" w:cs="Arial" w:eastAsia="Arial" w:hAnsi="Arial"/>
          <w:sz w:val="10"/>
          <w:szCs w:val="10"/>
          <w:color w:val="auto"/>
        </w:rPr>
        <w:t>(a)</w:t>
      </w:r>
      <w:r>
        <w:rPr>
          <w:rFonts w:ascii="Arial" w:cs="Arial" w:eastAsia="Arial" w:hAnsi="Arial"/>
          <w:sz w:val="16"/>
          <w:szCs w:val="16"/>
          <w:color w:val="auto"/>
        </w:rPr>
        <w:t xml:space="preserve"> for the quarter was $266 million, or $0.58 per diluted share, compared with $281 million, or $0.59 per diluted share, for the fourth quarter of 2010. Several items impacted results in the 2011 and 2010 fourth quarters. Excluding these items, net income would have been $289 million, or $0.63 per diluted share, in the fourth quarter of 2011 compared with $287 million, or $0.60 per diluted share, in the fourth quarter of 2010, an increase in earnings per diluted share of 5% on an adjusted basis.</w:t>
      </w:r>
      <w:r>
        <w:rPr>
          <w:rFonts w:ascii="Arial" w:cs="Arial" w:eastAsia="Arial" w:hAnsi="Arial"/>
          <w:sz w:val="10"/>
          <w:szCs w:val="10"/>
          <w:color w:val="auto"/>
        </w:rPr>
        <w:t>(b)</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For the full year 2011, the Company reported revenues of $13.38 billion compared with $12.52 billion for 2010. Earnings per diluted share were $2.04 for the full year 2011 compared with $1.98 for the full year 2010. During fiscal years 2011 and 2010, several items impacted the full year results. On an as-adjusted basis taking those items into account, earnings per diluted share were $2.14 for the full year 2011 and $2.09 for the full year 2010.</w:t>
      </w:r>
      <w:r>
        <w:rPr>
          <w:rFonts w:ascii="Arial" w:cs="Arial" w:eastAsia="Arial" w:hAnsi="Arial"/>
          <w:sz w:val="10"/>
          <w:szCs w:val="10"/>
          <w:color w:val="auto"/>
        </w:rPr>
        <w:t>(b)</w:t>
      </w:r>
    </w:p>
    <w:p>
      <w:pPr>
        <w:spacing w:after="0" w:line="11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As adjusted, results in the fourth quarter of 2011 excluded a negative $0.05 per diluted share consisting of the following:</w:t>
      </w:r>
    </w:p>
    <w:p>
      <w:pPr>
        <w:spacing w:after="0" w:line="51" w:lineRule="exact"/>
        <w:rPr>
          <w:sz w:val="20"/>
          <w:szCs w:val="20"/>
          <w:color w:val="auto"/>
        </w:rPr>
      </w:pPr>
    </w:p>
    <w:p>
      <w:pPr>
        <w:ind w:left="760" w:hanging="293"/>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$16 million after-tax charge for a litigation loss.</w:t>
      </w:r>
    </w:p>
    <w:p>
      <w:pPr>
        <w:spacing w:after="0" w:line="90" w:lineRule="exact"/>
        <w:rPr>
          <w:rFonts w:ascii="Arial" w:cs="Arial" w:eastAsia="Arial" w:hAnsi="Arial"/>
          <w:sz w:val="18"/>
          <w:szCs w:val="18"/>
          <w:color w:val="auto"/>
        </w:rPr>
      </w:pPr>
    </w:p>
    <w:p>
      <w:pPr>
        <w:ind w:left="760" w:right="300" w:hanging="293"/>
        <w:spacing w:after="0" w:line="259"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total of $7 million in after-tax impacts from charges for asset impairments, restructuring charges related to the Company’s cost improvement programs, and the results of the acquired Oakleaf operations and related integration costs.</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David P. Steiner, President and Chief Executive Officer of Waste Management, commented, “We had a very good fourth quarter. Our core collection, landfill, and transfer station businesses performed well. We continued to see volumes improve sequentially and we had internal revenue growth from yield of 1.4%. We also saw accelerated improvement in our cost reduction initiatives.</w:t>
      </w:r>
    </w:p>
    <w:p>
      <w:pPr>
        <w:spacing w:after="0" w:line="143"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“During 2011, we continued to produce strong cash flow and return cash to our shareholders. For the full year, our net cash provided by operating activities was $2.47 billion, we generated over $1.22 billion of adjusted free cash flow and we returned $1.21 billion to our shareholders.”</w:t>
      </w:r>
      <w:r>
        <w:rPr>
          <w:rFonts w:ascii="Arial" w:cs="Arial" w:eastAsia="Arial" w:hAnsi="Arial"/>
          <w:sz w:val="11"/>
          <w:szCs w:val="11"/>
          <w:color w:val="auto"/>
        </w:rPr>
        <w:t>(b)</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HIGHLIGHTS FOR THE FOURTH QUARTER 2011 AND THE FULL YEAR 2011</w:t>
      </w:r>
    </w:p>
    <w:p>
      <w:pPr>
        <w:spacing w:after="0" w:line="96" w:lineRule="exact"/>
        <w:rPr>
          <w:sz w:val="20"/>
          <w:szCs w:val="20"/>
          <w:color w:val="auto"/>
        </w:rPr>
      </w:pPr>
    </w:p>
    <w:p>
      <w:pPr>
        <w:ind w:left="760" w:right="320" w:hanging="293"/>
        <w:spacing w:after="0" w:line="306"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Revenue in the fourth quarter increased by 6.9%, or $219 million, with $145 million of the growth coming from acquired Oakleaf operations. For the full year, revenue increased by 6.9%, or $863 million, with $251 million of the growth coming from acquired Oakleaf operations.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 site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www.wm.com</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Ed Egl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713.265.1656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eegl@wm.com</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Lynn Brown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713.394.5093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lynnbrown@wm.com</w:t>
      </w:r>
    </w:p>
    <w:p>
      <w:pPr>
        <w:sectPr>
          <w:pgSz w:w="11900" w:h="16838" w:orient="portrait"/>
          <w:cols w:equalWidth="0" w:num="2">
            <w:col w:w="8000" w:space="340"/>
            <w:col w:w="2960"/>
          </w:cols>
          <w:pgMar w:left="240" w:top="166" w:right="359" w:bottom="1440" w:gutter="0" w:footer="0" w:header="0"/>
        </w:sectPr>
      </w:pPr>
    </w:p>
    <w:bookmarkStart w:id="6" w:name="page7"/>
    <w:bookmarkEnd w:id="6"/>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Internal revenue growth from yield for collection and disposal operations was 1.4% for the fourth quarter and 1.8% for the full year.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Internal revenue growth from volume was negative 0.6% for the fourth quarter and negative 1.5% for the full year.</w:t>
      </w:r>
    </w:p>
    <w:p>
      <w:pPr>
        <w:spacing w:after="0" w:line="90"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Operating expenses increased by $204 million in the fourth quarter and $717 million for the full year. Adjusting for the items excluded in calculating the Company’s as-adjusted earnings, operating expenses increased by $70 million in the fourth quarter and $570 million for the full year.</w:t>
      </w:r>
      <w:r>
        <w:rPr>
          <w:rFonts w:ascii="Arial" w:cs="Arial" w:eastAsia="Arial" w:hAnsi="Arial"/>
          <w:sz w:val="10"/>
          <w:szCs w:val="10"/>
          <w:color w:val="auto"/>
        </w:rPr>
        <w:t>(b)</w:t>
      </w:r>
      <w:r>
        <w:rPr>
          <w:rFonts w:ascii="Arial" w:cs="Arial" w:eastAsia="Arial" w:hAnsi="Arial"/>
          <w:sz w:val="16"/>
          <w:szCs w:val="16"/>
          <w:color w:val="auto"/>
        </w:rPr>
        <w:t xml:space="preserve"> The majority of the increase was commodity-based, relating to fuel expense and costs of good sold for rebates to our recycling customers.</w:t>
      </w:r>
    </w:p>
    <w:p>
      <w:pPr>
        <w:spacing w:after="0" w:line="25" w:lineRule="exact"/>
        <w:rPr>
          <w:rFonts w:ascii="Arial" w:cs="Arial" w:eastAsia="Arial" w:hAnsi="Arial"/>
          <w:sz w:val="16"/>
          <w:szCs w:val="16"/>
          <w:color w:val="auto"/>
        </w:rPr>
      </w:pPr>
    </w:p>
    <w:p>
      <w:pPr>
        <w:ind w:left="900" w:right="8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SG&amp;A expenses in the fourth quarter improved to 11.9% of revenue from 12.4% in the prior year period. SG&amp;A expenses increased by $11 million compared with the fourth quarter of 2010, but adjusted for the items excluded in calculating the Company’s as-adjusted earnings, SG&amp;A expenses were flat in the fourth quarter when compared with the fourth quarter 2010.</w:t>
      </w:r>
      <w:r>
        <w:rPr>
          <w:rFonts w:ascii="Arial" w:cs="Arial" w:eastAsia="Arial" w:hAnsi="Arial"/>
          <w:sz w:val="11"/>
          <w:szCs w:val="11"/>
          <w:color w:val="auto"/>
        </w:rPr>
        <w:t>(b)</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the fourth quarter, net cash provided by operating activities was $732 million; capital expenditures were $415 million; and free cash flow was</w:t>
      </w:r>
    </w:p>
    <w:p>
      <w:pPr>
        <w:spacing w:after="0" w:line="38" w:lineRule="exact"/>
        <w:rPr>
          <w:rFonts w:ascii="Arial" w:cs="Arial" w:eastAsia="Arial" w:hAnsi="Arial"/>
          <w:sz w:val="16"/>
          <w:szCs w:val="16"/>
          <w:color w:val="auto"/>
        </w:rPr>
      </w:pPr>
    </w:p>
    <w:p>
      <w:pPr>
        <w:ind w:left="900" w:right="140"/>
        <w:spacing w:after="0" w:line="242" w:lineRule="auto"/>
        <w:rPr>
          <w:rFonts w:ascii="Arial" w:cs="Arial" w:eastAsia="Arial" w:hAnsi="Arial"/>
          <w:sz w:val="16"/>
          <w:szCs w:val="16"/>
          <w:color w:val="auto"/>
        </w:rPr>
      </w:pPr>
      <w:r>
        <w:rPr>
          <w:rFonts w:ascii="Arial" w:cs="Arial" w:eastAsia="Arial" w:hAnsi="Arial"/>
          <w:sz w:val="17"/>
          <w:szCs w:val="17"/>
          <w:color w:val="auto"/>
        </w:rPr>
        <w:t>$331 million.</w:t>
      </w:r>
      <w:r>
        <w:rPr>
          <w:rFonts w:ascii="Arial" w:cs="Arial" w:eastAsia="Arial" w:hAnsi="Arial"/>
          <w:sz w:val="11"/>
          <w:szCs w:val="11"/>
          <w:color w:val="auto"/>
        </w:rPr>
        <w:t>(b)</w:t>
      </w:r>
      <w:r>
        <w:rPr>
          <w:rFonts w:ascii="Arial" w:cs="Arial" w:eastAsia="Arial" w:hAnsi="Arial"/>
          <w:sz w:val="17"/>
          <w:szCs w:val="17"/>
          <w:color w:val="auto"/>
        </w:rPr>
        <w:t xml:space="preserve"> For the full year 2011, net cash provided by operating activities was $2.47 billion; capital expenditures were $1.32 billion; and free cash flow was over $1.22 billion</w:t>
      </w:r>
      <w:r>
        <w:rPr>
          <w:rFonts w:ascii="Arial" w:cs="Arial" w:eastAsia="Arial" w:hAnsi="Arial"/>
          <w:sz w:val="11"/>
          <w:szCs w:val="11"/>
          <w:color w:val="auto"/>
        </w:rPr>
        <w:t>(b)</w:t>
      </w:r>
      <w:r>
        <w:rPr>
          <w:rFonts w:ascii="Arial" w:cs="Arial" w:eastAsia="Arial" w:hAnsi="Arial"/>
          <w:sz w:val="21"/>
          <w:szCs w:val="21"/>
          <w:color w:val="auto"/>
          <w:vertAlign w:val="subscript"/>
        </w:rPr>
        <w:t>,</w:t>
      </w:r>
      <w:r>
        <w:rPr>
          <w:rFonts w:ascii="Arial" w:cs="Arial" w:eastAsia="Arial" w:hAnsi="Arial"/>
          <w:sz w:val="17"/>
          <w:szCs w:val="17"/>
          <w:color w:val="auto"/>
        </w:rPr>
        <w:t xml:space="preserve"> adjusted for the cash effect from the litigation loss excluded from as-adjusted earnings.</w:t>
      </w:r>
    </w:p>
    <w:p>
      <w:pPr>
        <w:spacing w:after="0" w:line="66" w:lineRule="exact"/>
        <w:rPr>
          <w:rFonts w:ascii="Arial" w:cs="Arial" w:eastAsia="Arial" w:hAnsi="Arial"/>
          <w:sz w:val="16"/>
          <w:szCs w:val="16"/>
          <w:color w:val="auto"/>
        </w:rPr>
      </w:pPr>
    </w:p>
    <w:p>
      <w:pPr>
        <w:ind w:left="900" w:right="10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returned $203 million to shareholders in the fourth quarter of 2011, consisting of $156 million in dividends and $47 million in common stock repurchases. For the full year, the Company returned $1.21 billion to shareholders, consisting of $637 million in dividends and $575 million in common stock repurchases.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effective tax rate was approximately 32.5% in the fourth quarter and approximately 33.6% for the full year.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OUTLOOK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 announced the following with regard to its financial outlook for 2012:</w:t>
      </w:r>
    </w:p>
    <w:p>
      <w:pPr>
        <w:spacing w:after="0" w:line="9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2012 adjusted earnings per diluted share are expected to be between $2.22 and $2.30.</w:t>
      </w:r>
      <w:r>
        <w:rPr>
          <w:rFonts w:ascii="Arial" w:cs="Arial" w:eastAsia="Arial" w:hAnsi="Arial"/>
          <w:sz w:val="11"/>
          <w:szCs w:val="11"/>
          <w:color w:val="auto"/>
        </w:rPr>
        <w:t>(b)</w:t>
      </w:r>
    </w:p>
    <w:p>
      <w:pPr>
        <w:spacing w:after="0" w:line="90" w:lineRule="exact"/>
        <w:rPr>
          <w:rFonts w:ascii="Arial" w:cs="Arial" w:eastAsia="Arial" w:hAnsi="Arial"/>
          <w:sz w:val="18"/>
          <w:szCs w:val="18"/>
          <w:color w:val="auto"/>
        </w:rPr>
      </w:pPr>
    </w:p>
    <w:p>
      <w:pPr>
        <w:ind w:left="900" w:right="80" w:hanging="325"/>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Internal revenue growth from yield on the collection and disposal business is expected to average 1.0% to 1.5%, with yield improving in the second half over the first-half levels. Internal revenue growth from volume is expected to be flat to slightly positive.</w:t>
      </w:r>
    </w:p>
    <w:p>
      <w:pPr>
        <w:spacing w:after="0" w:line="4"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Recycling commodity sales prices are expected to have a negative $0.03 to $0.05 impact on earnings per diluted share in 2012, compared with the prior year, with a negative $0.02 to $0.03 expected in the first quarter.</w:t>
      </w:r>
    </w:p>
    <w:p>
      <w:pPr>
        <w:spacing w:after="0" w:line="5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Results from the Company’s waste-to-energy operations are expected to have a negative $0.04 to negative $0.06 impact on earnings per diluted share, compared with the prior year, with about a negative $0.03 impact occurring in the first quarter.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tax rate is expected to be approximately 35.5%.</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expense is expected to increase approximately $15 million, principally because of higher debt balances.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 expenditures are expected to be approximately $1.4 billion.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Free cash flow is projected to be between $1.1 billion to $1.2 billion.</w:t>
      </w:r>
      <w:r>
        <w:rPr>
          <w:rFonts w:ascii="Arial" w:cs="Arial" w:eastAsia="Arial" w:hAnsi="Arial"/>
          <w:sz w:val="11"/>
          <w:szCs w:val="11"/>
          <w:color w:val="auto"/>
        </w:rPr>
        <w:t>(b)</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Board of Directors has announced its intention to increase the dividend to $1.42 per share on an annual basis, at an approximate cost of $665 million. The</w:t>
      </w:r>
    </w:p>
    <w:p>
      <w:pPr>
        <w:sectPr>
          <w:pgSz w:w="11900" w:h="16838" w:orient="portrait"/>
          <w:cols w:equalWidth="0" w:num="1">
            <w:col w:w="11360"/>
          </w:cols>
          <w:pgMar w:left="240" w:top="280" w:right="299" w:bottom="1440" w:gutter="0" w:footer="0" w:header="0"/>
        </w:sectPr>
      </w:pPr>
    </w:p>
    <w:bookmarkStart w:id="7" w:name="page8"/>
    <w:bookmarkEnd w:id="7"/>
    <w:p>
      <w:pPr>
        <w:ind w:left="920"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must separately declare each dividend. The Board has authorized up to $500 million in share repurchases. The amount of share repurchases will depend on a number of items, including changes from expected levels of capital expenditures, business acquisitions, investments, and debt repayments.</w:t>
      </w:r>
    </w:p>
    <w:p>
      <w:pPr>
        <w:spacing w:after="0" w:line="14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Steiner concluded, “Based on our various assumptions for 2012, we forecast full-year adjusted earnings to be in the range of $2.22 to $2.30 per diluted share. With virtually all of our 2012 headwinds expected to occur in the first half of the year, earnings should be down year-over-year in the first quarter of 2012 but the rest of the year should show steadily increasing improvement. Capital expenditures are projected to be about $1.4 billion, and we expect the impact of bonus depreciation to be approximately a negative $200 million on free cash flow when compared to 2011. Consequently, our free cash flow for 2012 is estimated to be between $1.1 billion and $1.2 billion.</w:t>
      </w:r>
      <w:r>
        <w:rPr>
          <w:rFonts w:ascii="Arial" w:cs="Arial" w:eastAsia="Arial" w:hAnsi="Arial"/>
          <w:sz w:val="11"/>
          <w:szCs w:val="11"/>
          <w:color w:val="auto"/>
        </w:rPr>
        <w:t>(b)</w:t>
      </w:r>
      <w:r>
        <w:rPr>
          <w:rFonts w:ascii="Arial" w:cs="Arial" w:eastAsia="Arial" w:hAnsi="Arial"/>
          <w:sz w:val="18"/>
          <w:szCs w:val="18"/>
          <w:color w:val="auto"/>
        </w:rPr>
        <w:t xml:space="preserve"> We expect to continue to use our free cash to pay our dividend and to repurchase shares, as well as to make appropriate investments in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13" w:lineRule="exact"/>
        <w:rPr>
          <w:sz w:val="20"/>
          <w:szCs w:val="20"/>
          <w:color w:val="auto"/>
        </w:rPr>
      </w:pPr>
    </w:p>
    <w:p>
      <w:pPr>
        <w:ind w:left="460" w:right="80" w:hanging="452"/>
        <w:spacing w:after="0" w:line="25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purposes of this press release, all references to “Net income” refer to the financial statement line item “Net income attributable to Waste Management, Inc.”</w:t>
      </w:r>
    </w:p>
    <w:p>
      <w:pPr>
        <w:ind w:left="460" w:right="140" w:hanging="452"/>
        <w:spacing w:after="0" w:line="281"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This earnings release contains a discussion of non-GAAP measures, as defined in Regulation G of the Securities Exchange Act of 1934, as amended. The Company reports its financial results in compliance with GAAP, but believes that also discussing non-GAAP measures provides investors with</w:t>
      </w:r>
    </w:p>
    <w:p>
      <w:pPr>
        <w:spacing w:after="0" w:line="1" w:lineRule="exact"/>
        <w:rPr>
          <w:rFonts w:ascii="Arial" w:cs="Arial" w:eastAsia="Arial" w:hAnsi="Arial"/>
          <w:sz w:val="16"/>
          <w:szCs w:val="16"/>
          <w:color w:val="auto"/>
        </w:rPr>
      </w:pPr>
    </w:p>
    <w:p>
      <w:pPr>
        <w:ind w:left="460" w:right="80"/>
        <w:spacing w:after="0" w:line="295" w:lineRule="auto"/>
        <w:rPr>
          <w:rFonts w:ascii="Arial" w:cs="Arial" w:eastAsia="Arial" w:hAnsi="Arial"/>
          <w:sz w:val="16"/>
          <w:szCs w:val="16"/>
          <w:color w:val="auto"/>
        </w:rPr>
      </w:pPr>
      <w:r>
        <w:rPr>
          <w:rFonts w:ascii="Arial" w:cs="Arial" w:eastAsia="Arial" w:hAnsi="Arial"/>
          <w:sz w:val="16"/>
          <w:szCs w:val="16"/>
          <w:color w:val="auto"/>
        </w:rPr>
        <w:t>(i) additional, meaningful comparisons of current results to prior periods’ results by excluding items that the Company does not believe reflect its fundamental business performance and are not representative or indicative of our results of operations and (ii) financial measures the Company uses in the management of its business. Accordingly, net income, earnings per diluted share, operating expenses, and SG&amp;A expenses, have been presented in certain instances excluding special items noted in this press release including acquisition of the Oakleaf operations.</w:t>
      </w:r>
    </w:p>
    <w:p>
      <w:pPr>
        <w:spacing w:after="0" w:line="34"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The Company’s projected full year 2012 earnings of $2.22 to $2.30 per diluted share are not GAAP net earnings per diluted share and are anticipated to be adjusted to exclude the effects of events or circumstances in 2012 that are not representative or indicative of the Company’s results of operations. Projected GAAP earnings per diluted share for the full year would require inclusion of the projected impact of future excluded items, including items that are not currently determinable, but may be significant, such as asset impairments and one-time items, charges, gains or losses from divestitures or litigation, or other items. Due to the uncertainty of the likelihood, amount and timing of any such items, the Company does not have information available to provide a quantitative reconciliation of adjusted projected full year earnings per diluted share to a GAAP earnings per diluted share projection.</w:t>
      </w:r>
    </w:p>
    <w:p>
      <w:pPr>
        <w:spacing w:after="0" w:line="39" w:lineRule="exact"/>
        <w:rPr>
          <w:sz w:val="20"/>
          <w:szCs w:val="20"/>
          <w:color w:val="auto"/>
        </w:rPr>
      </w:pPr>
    </w:p>
    <w:p>
      <w:pPr>
        <w:ind w:left="460"/>
        <w:spacing w:after="0" w:line="314" w:lineRule="auto"/>
        <w:rPr>
          <w:sz w:val="20"/>
          <w:szCs w:val="20"/>
          <w:color w:val="auto"/>
        </w:rPr>
      </w:pPr>
      <w:r>
        <w:rPr>
          <w:rFonts w:ascii="Arial" w:cs="Arial" w:eastAsia="Arial" w:hAnsi="Arial"/>
          <w:sz w:val="15"/>
          <w:szCs w:val="15"/>
          <w:color w:val="auto"/>
        </w:rPr>
        <w:t>The Company also discusses free cash flow and adjusted free cash flow and provides a projection of free cash flow, which is a non-GAAP measure; because it believes that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U.S. GAAP measure. However, the Company believes free cash flow gives investors useful insight into how the Company views its liquidity. Nonetheless, the use of free cash flow as a liquidity measure has material limitations because it excludes certain expenditures that are required or that the Company has committed to, such as declared dividend payments and debt service requirements. The Company defines free cash flow as:</w:t>
      </w:r>
    </w:p>
    <w:p>
      <w:pPr>
        <w:spacing w:after="0" w:line="24"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cash provided by operating activities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Less, capital expenditures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Plus, proceeds from divestitures of businesses (net of cash divested), and other sales of assets.</w:t>
      </w:r>
    </w:p>
    <w:p>
      <w:pPr>
        <w:spacing w:after="0" w:line="171"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The Company's definition of free cash flow may not be comparable to similarly titled measures presented by other companies, and therefore is not subject to comparison.</w:t>
      </w:r>
    </w:p>
    <w:p>
      <w:pPr>
        <w:spacing w:after="0" w:line="132" w:lineRule="exact"/>
        <w:rPr>
          <w:sz w:val="20"/>
          <w:szCs w:val="20"/>
          <w:color w:val="auto"/>
        </w:rPr>
      </w:pPr>
    </w:p>
    <w:p>
      <w:pPr>
        <w:ind w:left="460" w:right="80"/>
        <w:spacing w:after="0" w:line="256" w:lineRule="auto"/>
        <w:rPr>
          <w:sz w:val="20"/>
          <w:szCs w:val="20"/>
          <w:color w:val="auto"/>
        </w:rPr>
      </w:pPr>
      <w:r>
        <w:rPr>
          <w:rFonts w:ascii="Arial" w:cs="Arial" w:eastAsia="Arial" w:hAnsi="Arial"/>
          <w:sz w:val="18"/>
          <w:szCs w:val="18"/>
          <w:color w:val="auto"/>
        </w:rPr>
        <w:t>The quantitative reconciliations of each of the non-GAAP measures presented herein, other than projected earnings per diluted share, to the most comparable GAAP measures are included in the accompanying schedules. Non-GAAP measures should not be considered a substitute for financial measures presented in accordance with GAAP, and investors are urged to take into account GAAP measures as well as non-GAAP measures in evaluating the Company.</w:t>
      </w:r>
    </w:p>
    <w:p>
      <w:pPr>
        <w:sectPr>
          <w:pgSz w:w="11900" w:h="16838" w:orient="portrait"/>
          <w:cols w:equalWidth="0" w:num="1">
            <w:col w:w="11380"/>
          </w:cols>
          <w:pgMar w:left="240" w:top="280" w:right="279" w:bottom="1440" w:gutter="0" w:footer="0" w:header="0"/>
        </w:sectPr>
      </w:pPr>
    </w:p>
    <w:bookmarkStart w:id="8" w:name="page9"/>
    <w:bookmarkEnd w:id="8"/>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will host a conference call at 10:00 AM (Eastern) today to discuss the fourth quarter 2011 results. Information contained within this press release will be referenced and should be considered in conjunction with the call.</w:t>
      </w:r>
    </w:p>
    <w:p>
      <w:pPr>
        <w:spacing w:after="0" w:line="132"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 xml:space="preserve">The conference call will be webcast live from the Investor Relations section of Waste Management’s website </w:t>
      </w:r>
      <w:r>
        <w:rPr>
          <w:rFonts w:ascii="Arial" w:cs="Arial" w:eastAsia="Arial" w:hAnsi="Arial"/>
          <w:sz w:val="16"/>
          <w:szCs w:val="16"/>
          <w:u w:val="single" w:color="auto"/>
          <w:color w:val="auto"/>
        </w:rPr>
        <w:t>www.wm.com</w:t>
      </w:r>
      <w:r>
        <w:rPr>
          <w:rFonts w:ascii="Arial" w:cs="Arial" w:eastAsia="Arial" w:hAnsi="Arial"/>
          <w:sz w:val="16"/>
          <w:szCs w:val="16"/>
          <w:color w:val="auto"/>
        </w:rPr>
        <w:t>. To access the conference call by telephone, please dial (877) 710-6139 approximately 10 minutes prior to the scheduled start of the call. If you are calling from outside of the United States or Canada, please dial (706) 643-7398. Please utilize conference ID number 38143289 when prompted by the conference call operator.</w:t>
      </w:r>
    </w:p>
    <w:p>
      <w:pPr>
        <w:spacing w:after="0" w:line="107"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A replay of the conference call will be available on the Company’s website www.wm.com and by telephone from approximately 1:00 PM (Eastern) Thursday, February 16, 2012 through 5:00 PM (Eastern) on Thursday, March 01, 2012. To access the replay telephonically, please dial (855) 859-2056, or from outside of the United States or Canada dial (404) 537-3406, and use the replay conference ID number 38143289.</w:t>
      </w:r>
    </w:p>
    <w:p>
      <w:pPr>
        <w:spacing w:after="0" w:line="107"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The Company, from time to time, provides estimates of financial and other data, comments on expectations relating to future periods and makes statements of opinion, view or belief about current and future events. This press release contains a number of such forward-looking statements, including but not limited to, all of the statements under the heading “2012 Outlook” (which includes 2012 earnings per diluted share; 2012 free cash flow; 2012 capital expenditures; future internal revenue growth from yield and volume; future recycling commodity prices; results from waste-to-energy operations; future interest expense and debt balances; expected tax rate; and future dividends and share repurchases), as well as statements regarding the impact of bonus depreciation; future earnings growth; and general market and industry conditions.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increased competition; pricing actions; failure to implement our optimization and growth initiatives and overall business strategy; environmental and other regulations; commodity price fluctuations; disposal alternatives and waste diversion; declining waste volumes; failure to develop and protect new technology; significant environmental or other incidents resulting in liabilities and brand damage; weakness in economic conditions; failure to obtain and maintain necessary permits; labor disruptions; impairment charges; and negative outcomes of litigation or governmental proceedings. Please also see the Company’s filings with the SEC, including Part I, Item 1A of the Company’s most recently filed Annual Report on Form 10-K, for additional information regarding these and other risks and uncertainties applicable to our business. The Company assumes no obligation to update any forward-looking statement, including financial estimates and forecasts, whether as a result of future events, circumstances or developments or otherwise.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WASTE MANAGEMENT</w:t>
      </w:r>
    </w:p>
    <w:p>
      <w:pPr>
        <w:spacing w:after="0" w:line="17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 xml:space="preserve">Waste Management, Inc.,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waste-to-energy and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6"/>
          <w:szCs w:val="16"/>
          <w:u w:val="single" w:color="auto"/>
          <w:color w:val="auto"/>
        </w:rPr>
        <w:t>www.wm.com</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www.thinkgreen.com</w:t>
      </w:r>
      <w:r>
        <w:rPr>
          <w:rFonts w:ascii="Arial" w:cs="Arial" w:eastAsia="Arial" w:hAnsi="Arial"/>
          <w:sz w:val="16"/>
          <w:szCs w:val="16"/>
          <w:color w:val="auto"/>
        </w:rPr>
        <w:t>.</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360"/>
          </w:cols>
          <w:pgMar w:left="240" w:top="280" w:right="29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87"/>
              </w:rPr>
              <w:t>Quarters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Borders>
              <w:bottom w:val="single" w:sz="8" w:color="CCEEFF"/>
            </w:tcBorders>
          </w:tcPr>
          <w:p>
            <w:pPr>
              <w:spacing w:after="0"/>
              <w:rPr>
                <w:sz w:val="12"/>
                <w:szCs w:val="12"/>
                <w:color w:val="auto"/>
              </w:rPr>
            </w:pPr>
          </w:p>
        </w:tc>
        <w:tc>
          <w:tcPr>
            <w:tcW w:w="37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6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2,145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407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Restructuring</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7"/>
              </w:rPr>
              <w:t>(Income) expense from divestitures, asset impairments and unusual items</w:t>
            </w:r>
          </w:p>
        </w:tc>
        <w:tc>
          <w:tcPr>
            <w:tcW w:w="3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3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net losses of unconsolidated entities</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1"/>
        </w:trPr>
        <w:tc>
          <w:tcPr>
            <w:tcW w:w="56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3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3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278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 Net income attributable to noncontrolling interests</w:t>
            </w:r>
          </w:p>
        </w:tc>
        <w:tc>
          <w:tcPr>
            <w:tcW w:w="3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266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3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0" w:type="dxa"/>
            <w:vAlign w:val="bottom"/>
            <w:gridSpan w:val="2"/>
            <w:vMerge w:val="continue"/>
          </w:tcPr>
          <w:p>
            <w:pPr>
              <w:spacing w:after="0"/>
              <w:rPr>
                <w:sz w:val="18"/>
                <w:szCs w:val="18"/>
                <w:color w:val="auto"/>
              </w:rPr>
            </w:pP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0.58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Basic common shares outstanding</w:t>
            </w:r>
          </w:p>
        </w:tc>
        <w:tc>
          <w:tcPr>
            <w:tcW w:w="3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Diluted common shares outstanding</w:t>
            </w:r>
          </w:p>
        </w:tc>
        <w:tc>
          <w:tcPr>
            <w:tcW w:w="3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0" w:type="dxa"/>
            <w:vAlign w:val="bottom"/>
            <w:gridSpan w:val="2"/>
            <w:vMerge w:val="continue"/>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462.3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478.0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700" w:type="dxa"/>
            <w:vAlign w:val="bottom"/>
            <w:vMerge w:val="restart"/>
          </w:tcPr>
          <w:p>
            <w:pPr>
              <w:jc w:val="right"/>
              <w:ind w:right="3392"/>
              <w:spacing w:after="0"/>
              <w:rPr>
                <w:sz w:val="20"/>
                <w:szCs w:val="20"/>
                <w:color w:val="auto"/>
              </w:rPr>
            </w:pPr>
            <w:r>
              <w:rPr>
                <w:rFonts w:ascii="Arial" w:cs="Arial" w:eastAsia="Arial" w:hAnsi="Arial"/>
                <w:sz w:val="18"/>
                <w:szCs w:val="18"/>
                <w:b w:val="1"/>
                <w:bCs w:val="1"/>
                <w:color w:val="auto"/>
                <w:w w:val="90"/>
              </w:rPr>
              <w:t>(1)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ind w:left="40"/>
              <w:spacing w:after="0"/>
              <w:rPr>
                <w:sz w:val="20"/>
                <w:szCs w:val="20"/>
                <w:color w:val="auto"/>
              </w:rPr>
            </w:pPr>
            <w:r>
              <w:rPr>
                <w:rFonts w:ascii="Arial" w:cs="Arial" w:eastAsia="Arial" w:hAnsi="Arial"/>
                <w:sz w:val="14"/>
                <w:szCs w:val="14"/>
                <w:b w:val="1"/>
                <w:bCs w:val="1"/>
                <w:color w:val="auto"/>
                <w:w w:val="98"/>
              </w:rPr>
              <w:t>Quarters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EPS Calculation:</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926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266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460.5</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Effect of using weighted average common shares outstanding</w:t>
            </w:r>
          </w:p>
        </w:tc>
        <w:tc>
          <w:tcPr>
            <w:tcW w:w="12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460.8</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12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462.3</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6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6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0.58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0.58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60" w:type="dxa"/>
            <w:vAlign w:val="bottom"/>
            <w:gridSpan w:val="2"/>
            <w:vMerge w:val="restart"/>
          </w:tcPr>
          <w:p>
            <w:pPr>
              <w:jc w:val="right"/>
              <w:ind w:right="3352"/>
              <w:spacing w:after="0"/>
              <w:rPr>
                <w:sz w:val="20"/>
                <w:szCs w:val="20"/>
                <w:color w:val="auto"/>
              </w:rPr>
            </w:pPr>
            <w:r>
              <w:rPr>
                <w:rFonts w:ascii="Arial" w:cs="Arial" w:eastAsia="Arial" w:hAnsi="Arial"/>
                <w:sz w:val="18"/>
                <w:szCs w:val="18"/>
                <w:b w:val="1"/>
                <w:bCs w:val="1"/>
                <w:color w:val="auto"/>
              </w:rPr>
              <w:t>(2)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2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4"/>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Borders>
              <w:bottom w:val="single" w:sz="8" w:color="CCEEFF"/>
            </w:tcBorders>
          </w:tcPr>
          <w:p>
            <w:pPr>
              <w:spacing w:after="0"/>
              <w:rPr>
                <w:sz w:val="12"/>
                <w:szCs w:val="12"/>
                <w:color w:val="auto"/>
              </w:rPr>
            </w:pPr>
          </w:p>
        </w:tc>
        <w:tc>
          <w:tcPr>
            <w:tcW w:w="39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6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3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8,541</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1,551</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1,229</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Restructuring</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7"/>
              </w:rPr>
              <w:t>(Income) expense from divestitures, asset impairments and unusual items</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11,350</w:t>
            </w: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10,399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2,028</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39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(481)</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net losses of unconsolidated entities</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(508)</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21"/>
        </w:trPr>
        <w:tc>
          <w:tcPr>
            <w:tcW w:w="56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39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1,520</w:t>
            </w: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3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1,009</w:t>
            </w:r>
          </w:p>
        </w:tc>
        <w:tc>
          <w:tcPr>
            <w:tcW w:w="16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 Net income attributable to noncontrolling interests</w:t>
            </w:r>
          </w:p>
        </w:tc>
        <w:tc>
          <w:tcPr>
            <w:tcW w:w="3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961</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3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3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0" w:type="dxa"/>
            <w:vAlign w:val="bottom"/>
            <w:gridSpan w:val="2"/>
            <w:vMerge w:val="continue"/>
          </w:tcPr>
          <w:p>
            <w:pPr>
              <w:spacing w:after="0"/>
              <w:rPr>
                <w:sz w:val="18"/>
                <w:szCs w:val="18"/>
                <w:color w:val="auto"/>
              </w:rPr>
            </w:pP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2.04</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Basic common shares outstanding</w:t>
            </w:r>
          </w:p>
        </w:tc>
        <w:tc>
          <w:tcPr>
            <w:tcW w:w="3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469.7</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Diluted common shares outstanding</w:t>
            </w:r>
          </w:p>
        </w:tc>
        <w:tc>
          <w:tcPr>
            <w:tcW w:w="3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0" w:type="dxa"/>
            <w:vAlign w:val="bottom"/>
            <w:gridSpan w:val="2"/>
            <w:vMerge w:val="continue"/>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471.4</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482.2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980" w:type="dxa"/>
            <w:vAlign w:val="bottom"/>
            <w:vMerge w:val="restart"/>
          </w:tcPr>
          <w:p>
            <w:pPr>
              <w:jc w:val="right"/>
              <w:ind w:right="3672"/>
              <w:spacing w:after="0"/>
              <w:rPr>
                <w:sz w:val="20"/>
                <w:szCs w:val="20"/>
                <w:color w:val="auto"/>
              </w:rPr>
            </w:pPr>
            <w:r>
              <w:rPr>
                <w:rFonts w:ascii="Arial" w:cs="Arial" w:eastAsia="Arial" w:hAnsi="Arial"/>
                <w:sz w:val="18"/>
                <w:szCs w:val="18"/>
                <w:b w:val="1"/>
                <w:bCs w:val="1"/>
                <w:color w:val="auto"/>
                <w:w w:val="90"/>
              </w:rPr>
              <w:t>(3)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6"/>
          </w:tcPr>
          <w:p>
            <w:pPr>
              <w:ind w:left="20"/>
              <w:spacing w:after="0"/>
              <w:rPr>
                <w:sz w:val="20"/>
                <w:szCs w:val="20"/>
                <w:color w:val="auto"/>
              </w:rPr>
            </w:pPr>
            <w:r>
              <w:rPr>
                <w:rFonts w:ascii="Arial" w:cs="Arial" w:eastAsia="Arial" w:hAnsi="Arial"/>
                <w:sz w:val="14"/>
                <w:szCs w:val="14"/>
                <w:b w:val="1"/>
                <w:bCs w:val="1"/>
                <w:color w:val="auto"/>
                <w:w w:val="96"/>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8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EPS Calculation:</w:t>
            </w: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820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961</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Effect of using weighted average common shares outstanding</w:t>
            </w:r>
          </w:p>
        </w:tc>
        <w:tc>
          <w:tcPr>
            <w:tcW w:w="1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1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1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1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00" w:type="dxa"/>
            <w:vAlign w:val="bottom"/>
            <w:gridSpan w:val="2"/>
            <w:vMerge w:val="continue"/>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2.05</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jc w:val="right"/>
              <w:ind w:right="2292"/>
              <w:spacing w:after="0"/>
              <w:rPr>
                <w:sz w:val="20"/>
                <w:szCs w:val="20"/>
                <w:color w:val="auto"/>
              </w:rPr>
            </w:pPr>
            <w:r>
              <w:rPr>
                <w:rFonts w:ascii="Arial" w:cs="Arial" w:eastAsia="Arial" w:hAnsi="Arial"/>
                <w:sz w:val="18"/>
                <w:szCs w:val="18"/>
                <w:b w:val="1"/>
                <w:bCs w:val="1"/>
                <w:color w:val="auto"/>
              </w:rPr>
              <w:t>(4)</w:t>
            </w:r>
          </w:p>
        </w:tc>
        <w:tc>
          <w:tcPr>
            <w:tcW w:w="1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20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w:t>
            </w:r>
          </w:p>
        </w:tc>
        <w:tc>
          <w:tcPr>
            <w:tcW w:w="5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(Unaudited)</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Current assets:</w:t>
            </w:r>
          </w:p>
        </w:tc>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260" w:type="dxa"/>
            <w:vAlign w:val="bottom"/>
            <w:gridSpan w:val="2"/>
            <w:shd w:val="clear" w:color="auto" w:fill="CCEEFF"/>
          </w:tcPr>
          <w:p>
            <w:pPr>
              <w:ind w:left="40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1,775</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40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2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4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2,379</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1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12,242</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Goodwill</w:t>
            </w:r>
          </w:p>
        </w:tc>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6,215</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4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Other assets</w:t>
            </w:r>
          </w:p>
        </w:tc>
        <w:tc>
          <w:tcPr>
            <w:tcW w:w="4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4260" w:type="dxa"/>
            <w:vAlign w:val="bottom"/>
            <w:gridSpan w:val="2"/>
            <w:shd w:val="clear" w:color="auto" w:fill="CCEEFF"/>
          </w:tcPr>
          <w:p>
            <w:pPr>
              <w:ind w:left="40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22,569</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4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4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w w:val="97"/>
              </w:rPr>
              <w:t>Accounts payable, accrued liabilities, and deferred revenues</w:t>
            </w:r>
          </w:p>
        </w:tc>
        <w:tc>
          <w:tcPr>
            <w:tcW w:w="4260" w:type="dxa"/>
            <w:vAlign w:val="bottom"/>
            <w:gridSpan w:val="2"/>
          </w:tcPr>
          <w:p>
            <w:pPr>
              <w:ind w:left="40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2,437</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40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2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4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3,068</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4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9,125</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Other liabilities</w:t>
            </w:r>
          </w:p>
        </w:tc>
        <w:tc>
          <w:tcPr>
            <w:tcW w:w="4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3,986</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40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16,179</w:t>
            </w: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40" w:type="dxa"/>
            <w:vAlign w:val="bottom"/>
            <w:gridSpan w:val="2"/>
          </w:tcPr>
          <w:p>
            <w:pPr>
              <w:spacing w:after="0"/>
              <w:rPr>
                <w:sz w:val="20"/>
                <w:szCs w:val="20"/>
                <w:color w:val="auto"/>
              </w:rPr>
            </w:pPr>
            <w:r>
              <w:rPr>
                <w:rFonts w:ascii="Arial" w:cs="Arial" w:eastAsia="Arial" w:hAnsi="Arial"/>
                <w:sz w:val="18"/>
                <w:szCs w:val="18"/>
                <w:color w:val="auto"/>
              </w:rPr>
              <w:t>Equity:</w:t>
            </w:r>
          </w:p>
        </w:tc>
        <w:tc>
          <w:tcPr>
            <w:tcW w:w="4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Waste Management, Inc. stockholders’ equity</w:t>
            </w:r>
          </w:p>
        </w:tc>
        <w:tc>
          <w:tcPr>
            <w:tcW w:w="4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Noncontrolling interests</w:t>
            </w:r>
          </w:p>
        </w:tc>
        <w:tc>
          <w:tcPr>
            <w:tcW w:w="4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equity</w:t>
            </w:r>
          </w:p>
        </w:tc>
        <w:tc>
          <w:tcPr>
            <w:tcW w:w="40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6,390</w:t>
            </w: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20" w:type="dxa"/>
            <w:vAlign w:val="bottom"/>
          </w:tcPr>
          <w:p>
            <w:pPr>
              <w:ind w:left="860"/>
              <w:spacing w:after="0"/>
              <w:rPr>
                <w:sz w:val="20"/>
                <w:szCs w:val="20"/>
                <w:color w:val="auto"/>
              </w:rPr>
            </w:pPr>
            <w:r>
              <w:rPr>
                <w:rFonts w:ascii="Arial" w:cs="Arial" w:eastAsia="Arial" w:hAnsi="Arial"/>
                <w:sz w:val="18"/>
                <w:szCs w:val="18"/>
                <w:color w:val="auto"/>
              </w:rPr>
              <w:t>Total liabilities and equity</w:t>
            </w:r>
          </w:p>
        </w:tc>
        <w:tc>
          <w:tcPr>
            <w:tcW w:w="4260" w:type="dxa"/>
            <w:vAlign w:val="bottom"/>
            <w:gridSpan w:val="2"/>
          </w:tcPr>
          <w:p>
            <w:pPr>
              <w:ind w:left="40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22,569</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21,476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408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85"/>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4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Consolidated net income</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1,009</w:t>
            </w:r>
          </w:p>
        </w:tc>
        <w:tc>
          <w:tcPr>
            <w:tcW w:w="24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1,229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ind w:left="86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(172)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 of businesses, net of cash acquired</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(1,324)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Investments in unconsolidated entities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receipts from restricted trust and escrow accounts, and other</w:t>
            </w:r>
          </w:p>
        </w:tc>
        <w:tc>
          <w:tcPr>
            <w:tcW w:w="1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Net cash used in investing activities</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(2,185)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New borrowings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1,201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repayments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Common stock repurchases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(575)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dividends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Exercise of common stock options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financing activities</w:t>
            </w: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60" w:type="dxa"/>
            <w:vAlign w:val="bottom"/>
            <w:gridSpan w:val="2"/>
            <w:vMerge w:val="continue"/>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(566)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2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60" w:type="dxa"/>
            <w:vAlign w:val="bottom"/>
            <w:gridSpan w:val="2"/>
          </w:tcPr>
          <w:p>
            <w:pPr>
              <w:spacing w:after="0"/>
              <w:rPr>
                <w:sz w:val="20"/>
                <w:szCs w:val="20"/>
                <w:color w:val="auto"/>
              </w:rPr>
            </w:pPr>
            <w:r>
              <w:rPr>
                <w:rFonts w:ascii="Arial" w:cs="Arial" w:eastAsia="Arial" w:hAnsi="Arial"/>
                <w:sz w:val="18"/>
                <w:szCs w:val="18"/>
                <w:color w:val="auto"/>
              </w:rPr>
              <w:t>Decrease in cash and cash equivalents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(281)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258</w:t>
            </w:r>
          </w:p>
        </w:tc>
        <w:tc>
          <w:tcPr>
            <w:tcW w:w="240" w:type="dxa"/>
            <w:vAlign w:val="bottom"/>
          </w:tcPr>
          <w:p>
            <w:pPr>
              <w:spacing w:after="0"/>
              <w:rPr>
                <w:sz w:val="19"/>
                <w:szCs w:val="19"/>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ind w:left="5620"/>
              <w:spacing w:after="0"/>
              <w:rPr>
                <w:sz w:val="20"/>
                <w:szCs w:val="20"/>
                <w:color w:val="auto"/>
              </w:rPr>
            </w:pPr>
            <w:r>
              <w:rPr>
                <w:rFonts w:ascii="Arial" w:cs="Arial" w:eastAsia="Arial" w:hAnsi="Arial"/>
                <w:sz w:val="18"/>
                <w:szCs w:val="18"/>
                <w:b w:val="1"/>
                <w:bCs w:val="1"/>
                <w:color w:val="auto"/>
              </w:rPr>
              <w:t>(6)</w:t>
            </w:r>
          </w:p>
        </w:tc>
        <w:tc>
          <w:tcPr>
            <w:tcW w:w="1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260" w:type="dxa"/>
            <w:vAlign w:val="bottom"/>
            <w:gridSpan w:val="2"/>
            <w:vMerge w:val="continue"/>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6"/>
          </w:tcPr>
          <w:p>
            <w:pPr>
              <w:jc w:val="center"/>
              <w:ind w:left="415"/>
              <w:spacing w:after="0"/>
              <w:rPr>
                <w:sz w:val="20"/>
                <w:szCs w:val="20"/>
                <w:color w:val="auto"/>
              </w:rPr>
            </w:pPr>
            <w:r>
              <w:rPr>
                <w:rFonts w:ascii="Arial" w:cs="Arial" w:eastAsia="Arial" w:hAnsi="Arial"/>
                <w:sz w:val="14"/>
                <w:szCs w:val="14"/>
                <w:b w:val="1"/>
                <w:bCs w:val="1"/>
                <w:color w:val="auto"/>
                <w:w w:val="87"/>
              </w:rPr>
              <w:t>Quarters Ended</w:t>
            </w: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w w:val="92"/>
              </w:rPr>
              <w:t>December 31,</w:t>
            </w:r>
          </w:p>
        </w:tc>
        <w:tc>
          <w:tcPr>
            <w:tcW w:w="640" w:type="dxa"/>
            <w:vAlign w:val="bottom"/>
          </w:tcPr>
          <w:p>
            <w:pPr>
              <w:spacing w:after="0"/>
              <w:rPr>
                <w:sz w:val="11"/>
                <w:szCs w:val="11"/>
                <w:color w:val="auto"/>
              </w:rPr>
            </w:pPr>
          </w:p>
        </w:tc>
        <w:tc>
          <w:tcPr>
            <w:tcW w:w="82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150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3"/>
              </w:rPr>
              <w:t>2011</w:t>
            </w: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100" w:type="dxa"/>
            <w:vAlign w:val="bottom"/>
            <w:tcBorders>
              <w:bottom w:val="single" w:sz="8" w:color="auto"/>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5"/>
              </w:rPr>
              <w:t>Operating Revenues by Lines of Business</w:t>
            </w:r>
          </w:p>
        </w:tc>
        <w:tc>
          <w:tcPr>
            <w:tcW w:w="1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20" w:type="dxa"/>
            <w:vAlign w:val="bottom"/>
            <w:gridSpan w:val="4"/>
          </w:tcPr>
          <w:p>
            <w:pPr>
              <w:ind w:left="440"/>
              <w:spacing w:after="0"/>
              <w:rPr>
                <w:sz w:val="20"/>
                <w:szCs w:val="20"/>
                <w:color w:val="auto"/>
              </w:rPr>
            </w:pPr>
            <w:r>
              <w:rPr>
                <w:rFonts w:ascii="Arial" w:cs="Arial" w:eastAsia="Arial" w:hAnsi="Arial"/>
                <w:sz w:val="18"/>
                <w:szCs w:val="18"/>
                <w:color w:val="auto"/>
              </w:rPr>
              <w:t>Collection</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12"/>
              <w:spacing w:after="0"/>
              <w:rPr>
                <w:sz w:val="20"/>
                <w:szCs w:val="20"/>
                <w:color w:val="auto"/>
              </w:rPr>
            </w:pPr>
            <w:r>
              <w:rPr>
                <w:rFonts w:ascii="Arial" w:cs="Arial" w:eastAsia="Arial" w:hAnsi="Arial"/>
                <w:sz w:val="18"/>
                <w:szCs w:val="18"/>
                <w:color w:val="auto"/>
              </w:rPr>
              <w:t>2,119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2,150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2,072</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2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Landfill</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671</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640</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20" w:type="dxa"/>
            <w:vAlign w:val="bottom"/>
            <w:gridSpan w:val="4"/>
          </w:tcPr>
          <w:p>
            <w:pPr>
              <w:ind w:left="440"/>
              <w:spacing w:after="0"/>
              <w:rPr>
                <w:sz w:val="20"/>
                <w:szCs w:val="20"/>
                <w:color w:val="auto"/>
              </w:rPr>
            </w:pPr>
            <w:r>
              <w:rPr>
                <w:rFonts w:ascii="Arial" w:cs="Arial" w:eastAsia="Arial" w:hAnsi="Arial"/>
                <w:sz w:val="18"/>
                <w:szCs w:val="18"/>
                <w:color w:val="auto"/>
              </w:rPr>
              <w:t>Transfer</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12"/>
              <w:spacing w:after="0"/>
              <w:rPr>
                <w:sz w:val="20"/>
                <w:szCs w:val="20"/>
                <w:color w:val="auto"/>
              </w:rPr>
            </w:pPr>
            <w:r>
              <w:rPr>
                <w:rFonts w:ascii="Arial" w:cs="Arial" w:eastAsia="Arial" w:hAnsi="Arial"/>
                <w:sz w:val="18"/>
                <w:szCs w:val="18"/>
                <w:color w:val="auto"/>
              </w:rPr>
              <w:t>315</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313</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2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Wheelabrator</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213</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20" w:type="dxa"/>
            <w:vAlign w:val="bottom"/>
            <w:gridSpan w:val="4"/>
          </w:tcPr>
          <w:p>
            <w:pPr>
              <w:ind w:left="440"/>
              <w:spacing w:after="0"/>
              <w:rPr>
                <w:sz w:val="20"/>
                <w:szCs w:val="20"/>
                <w:color w:val="auto"/>
              </w:rPr>
            </w:pPr>
            <w:r>
              <w:rPr>
                <w:rFonts w:ascii="Arial" w:cs="Arial" w:eastAsia="Arial" w:hAnsi="Arial"/>
                <w:sz w:val="18"/>
                <w:szCs w:val="18"/>
                <w:color w:val="auto"/>
              </w:rPr>
              <w:t>Recycling</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12"/>
              <w:spacing w:after="0"/>
              <w:rPr>
                <w:sz w:val="20"/>
                <w:szCs w:val="20"/>
                <w:color w:val="auto"/>
              </w:rPr>
            </w:pPr>
            <w:r>
              <w:rPr>
                <w:rFonts w:ascii="Arial" w:cs="Arial" w:eastAsia="Arial" w:hAnsi="Arial"/>
                <w:sz w:val="18"/>
                <w:szCs w:val="18"/>
                <w:color w:val="auto"/>
              </w:rPr>
              <w:t>353</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333</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2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251</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20" w:type="dxa"/>
            <w:vAlign w:val="bottom"/>
            <w:gridSpan w:val="4"/>
          </w:tcPr>
          <w:p>
            <w:pPr>
              <w:ind w:left="440"/>
              <w:spacing w:after="0"/>
              <w:rPr>
                <w:sz w:val="20"/>
                <w:szCs w:val="20"/>
                <w:color w:val="auto"/>
              </w:rPr>
            </w:pPr>
            <w:r>
              <w:rPr>
                <w:rFonts w:ascii="Arial" w:cs="Arial" w:eastAsia="Arial" w:hAnsi="Arial"/>
                <w:sz w:val="18"/>
                <w:szCs w:val="18"/>
                <w:color w:val="auto"/>
              </w:rPr>
              <w:t xml:space="preserve">Intercompany </w:t>
            </w:r>
            <w:r>
              <w:rPr>
                <w:rFonts w:ascii="Arial" w:cs="Arial" w:eastAsia="Arial" w:hAnsi="Arial"/>
                <w:sz w:val="18"/>
                <w:szCs w:val="18"/>
                <w:b w:val="1"/>
                <w:bCs w:val="1"/>
                <w:color w:val="auto"/>
              </w:rPr>
              <w:t>(a)</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(516)</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(531)</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(488)</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20" w:type="dxa"/>
            <w:vAlign w:val="bottom"/>
            <w:gridSpan w:val="4"/>
            <w:shd w:val="clear" w:color="auto" w:fill="CCEEFF"/>
          </w:tcPr>
          <w:p>
            <w:pPr>
              <w:ind w:left="880"/>
              <w:spacing w:after="0"/>
              <w:rPr>
                <w:sz w:val="20"/>
                <w:szCs w:val="20"/>
                <w:color w:val="auto"/>
              </w:rPr>
            </w:pPr>
            <w:r>
              <w:rPr>
                <w:rFonts w:ascii="Arial" w:cs="Arial" w:eastAsia="Arial" w:hAnsi="Arial"/>
                <w:sz w:val="18"/>
                <w:szCs w:val="18"/>
                <w:color w:val="auto"/>
              </w:rPr>
              <w:t>Operating revenues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3,406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3,187</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rPr>
              <w:t>Quarters Ended</w:t>
            </w: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60" w:type="dxa"/>
            <w:vAlign w:val="bottom"/>
            <w:gridSpan w:val="8"/>
          </w:tcPr>
          <w:p>
            <w:pPr>
              <w:jc w:val="right"/>
              <w:ind w:right="740"/>
              <w:spacing w:after="0" w:line="142" w:lineRule="exact"/>
              <w:rPr>
                <w:sz w:val="20"/>
                <w:szCs w:val="20"/>
                <w:color w:val="auto"/>
              </w:rPr>
            </w:pPr>
            <w:r>
              <w:rPr>
                <w:rFonts w:ascii="Arial" w:cs="Arial" w:eastAsia="Arial" w:hAnsi="Arial"/>
                <w:sz w:val="14"/>
                <w:szCs w:val="14"/>
                <w:b w:val="1"/>
                <w:bCs w:val="1"/>
                <w:color w:val="auto"/>
                <w:w w:val="87"/>
              </w:rPr>
              <w:t>December 31, 2011</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40" w:type="dxa"/>
            <w:vAlign w:val="bottom"/>
            <w:gridSpan w:val="6"/>
          </w:tcPr>
          <w:p>
            <w:pPr>
              <w:jc w:val="right"/>
              <w:ind w:right="517"/>
              <w:spacing w:after="0" w:line="142" w:lineRule="exact"/>
              <w:rPr>
                <w:sz w:val="20"/>
                <w:szCs w:val="20"/>
                <w:color w:val="auto"/>
              </w:rPr>
            </w:pPr>
            <w:r>
              <w:rPr>
                <w:rFonts w:ascii="Arial" w:cs="Arial" w:eastAsia="Arial" w:hAnsi="Arial"/>
                <w:sz w:val="14"/>
                <w:szCs w:val="14"/>
                <w:b w:val="1"/>
                <w:bCs w:val="1"/>
                <w:color w:val="auto"/>
                <w:w w:val="88"/>
              </w:rPr>
              <w:t>December 31, 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3"/>
          </w:tcPr>
          <w:p>
            <w:pPr>
              <w:jc w:val="center"/>
              <w:ind w:right="152"/>
              <w:spacing w:after="0" w:line="129" w:lineRule="exact"/>
              <w:rPr>
                <w:sz w:val="20"/>
                <w:szCs w:val="20"/>
                <w:color w:val="auto"/>
              </w:rPr>
            </w:pPr>
            <w:r>
              <w:rPr>
                <w:rFonts w:ascii="Arial" w:cs="Arial" w:eastAsia="Arial" w:hAnsi="Arial"/>
                <w:sz w:val="14"/>
                <w:szCs w:val="14"/>
                <w:b w:val="1"/>
                <w:bCs w:val="1"/>
                <w:color w:val="auto"/>
                <w:w w:val="91"/>
              </w:rPr>
              <w:t>As a% of</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97"/>
              <w:spacing w:after="0" w:line="129" w:lineRule="exact"/>
              <w:rPr>
                <w:sz w:val="20"/>
                <w:szCs w:val="20"/>
                <w:color w:val="auto"/>
              </w:rPr>
            </w:pPr>
            <w:r>
              <w:rPr>
                <w:rFonts w:ascii="Arial" w:cs="Arial" w:eastAsia="Arial" w:hAnsi="Arial"/>
                <w:sz w:val="14"/>
                <w:szCs w:val="14"/>
                <w:b w:val="1"/>
                <w:bCs w:val="1"/>
                <w:color w:val="auto"/>
                <w:w w:val="91"/>
              </w:rPr>
              <w:t>As a% of</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40" w:type="dxa"/>
            <w:vAlign w:val="bottom"/>
            <w:gridSpan w:val="3"/>
          </w:tcPr>
          <w:p>
            <w:pPr>
              <w:jc w:val="center"/>
              <w:ind w:right="32"/>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8"/>
              </w:rPr>
              <w:t>Total Company</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4"/>
          </w:tcPr>
          <w:p>
            <w:pPr>
              <w:jc w:val="center"/>
              <w:ind w:right="232"/>
              <w:spacing w:after="0"/>
              <w:rPr>
                <w:sz w:val="20"/>
                <w:szCs w:val="20"/>
                <w:color w:val="auto"/>
              </w:rPr>
            </w:pPr>
            <w:r>
              <w:rPr>
                <w:rFonts w:ascii="Arial" w:cs="Arial" w:eastAsia="Arial" w:hAnsi="Arial"/>
                <w:sz w:val="14"/>
                <w:szCs w:val="14"/>
                <w:b w:val="1"/>
                <w:bCs w:val="1"/>
                <w:color w:val="auto"/>
                <w:w w:val="86"/>
              </w:rPr>
              <w:t>Amount</w:t>
            </w:r>
          </w:p>
        </w:tc>
        <w:tc>
          <w:tcPr>
            <w:tcW w:w="540" w:type="dxa"/>
            <w:vAlign w:val="bottom"/>
          </w:tcPr>
          <w:p>
            <w:pPr>
              <w:spacing w:after="0"/>
              <w:rPr>
                <w:sz w:val="14"/>
                <w:szCs w:val="14"/>
                <w:color w:val="auto"/>
              </w:rPr>
            </w:pPr>
          </w:p>
        </w:tc>
        <w:tc>
          <w:tcPr>
            <w:tcW w:w="11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8"/>
              </w:rPr>
              <w:t>Total Company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00" w:type="dxa"/>
            <w:vAlign w:val="bottom"/>
            <w:tcBorders>
              <w:top w:val="single" w:sz="8" w:color="CCEEFF"/>
              <w:bottom w:val="single" w:sz="8" w:color="auto"/>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6"/>
              </w:rPr>
              <w:t>Analysis of Change in Year Over Year Revenues</w:t>
            </w:r>
          </w:p>
        </w:tc>
        <w:tc>
          <w:tcPr>
            <w:tcW w:w="232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5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right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5"/>
          </w:tcPr>
          <w:p>
            <w:pPr>
              <w:ind w:left="420"/>
              <w:spacing w:after="0"/>
              <w:rPr>
                <w:sz w:val="20"/>
                <w:szCs w:val="20"/>
                <w:color w:val="auto"/>
              </w:rPr>
            </w:pPr>
            <w:r>
              <w:rPr>
                <w:rFonts w:ascii="Arial" w:cs="Arial" w:eastAsia="Arial" w:hAnsi="Arial"/>
                <w:sz w:val="18"/>
                <w:szCs w:val="18"/>
                <w:color w:val="auto"/>
              </w:rPr>
              <w:t xml:space="preserve">Average yield </w:t>
            </w:r>
            <w:r>
              <w:rPr>
                <w:rFonts w:ascii="Arial" w:cs="Arial" w:eastAsia="Arial" w:hAnsi="Arial"/>
                <w:sz w:val="18"/>
                <w:szCs w:val="18"/>
                <w:b w:val="1"/>
                <w:bCs w:val="1"/>
                <w:color w:val="auto"/>
              </w:rPr>
              <w:t>(i)</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18"/>
                <w:szCs w:val="18"/>
                <w:color w:val="auto"/>
              </w:rPr>
            </w:pP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42"/>
              <w:spacing w:after="0"/>
              <w:rPr>
                <w:sz w:val="20"/>
                <w:szCs w:val="20"/>
                <w:color w:val="auto"/>
              </w:rPr>
            </w:pPr>
            <w:r>
              <w:rPr>
                <w:rFonts w:ascii="Arial" w:cs="Arial" w:eastAsia="Arial" w:hAnsi="Arial"/>
                <w:sz w:val="18"/>
                <w:szCs w:val="18"/>
                <w:color w:val="auto"/>
              </w:rPr>
              <w:t>169</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Volume</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gridSpan w:val="5"/>
            <w:vMerge w:val="restart"/>
          </w:tcPr>
          <w:p>
            <w:pPr>
              <w:ind w:left="420"/>
              <w:spacing w:after="0"/>
              <w:rPr>
                <w:sz w:val="20"/>
                <w:szCs w:val="20"/>
                <w:color w:val="auto"/>
              </w:rPr>
            </w:pPr>
            <w:r>
              <w:rPr>
                <w:rFonts w:ascii="Arial" w:cs="Arial" w:eastAsia="Arial" w:hAnsi="Arial"/>
                <w:sz w:val="18"/>
                <w:szCs w:val="18"/>
                <w:color w:val="auto"/>
              </w:rPr>
              <w:t>Internal revenue growth</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2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0.9%</w:t>
            </w: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42"/>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Acquisition</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5"/>
          </w:tcPr>
          <w:p>
            <w:pPr>
              <w:ind w:left="420"/>
              <w:spacing w:after="0"/>
              <w:rPr>
                <w:sz w:val="20"/>
                <w:szCs w:val="20"/>
                <w:color w:val="auto"/>
              </w:rPr>
            </w:pPr>
            <w:r>
              <w:rPr>
                <w:rFonts w:ascii="Arial" w:cs="Arial" w:eastAsia="Arial" w:hAnsi="Arial"/>
                <w:sz w:val="18"/>
                <w:szCs w:val="18"/>
                <w:color w:val="auto"/>
              </w:rPr>
              <w:t>Divestitures</w:t>
            </w:r>
          </w:p>
        </w:tc>
        <w:tc>
          <w:tcPr>
            <w:tcW w:w="120" w:type="dxa"/>
            <w:vAlign w:val="bottom"/>
          </w:tcPr>
          <w:p>
            <w:pPr>
              <w:spacing w:after="0"/>
              <w:rPr>
                <w:sz w:val="18"/>
                <w:szCs w:val="18"/>
                <w:color w:val="auto"/>
              </w:rPr>
            </w:pPr>
          </w:p>
        </w:tc>
        <w:tc>
          <w:tcPr>
            <w:tcW w:w="52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Foreign currency translation</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6.9%</w:t>
            </w:r>
          </w:p>
        </w:tc>
        <w:tc>
          <w:tcPr>
            <w:tcW w:w="560" w:type="dxa"/>
            <w:vAlign w:val="bottom"/>
          </w:tcPr>
          <w:p>
            <w:pPr>
              <w:spacing w:after="0"/>
              <w:rPr>
                <w:sz w:val="19"/>
                <w:szCs w:val="19"/>
                <w:color w:val="auto"/>
              </w:rPr>
            </w:pP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42"/>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1"/>
              </w:rPr>
              <w:t>As a% of</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As a%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Related</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Related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40" w:type="dxa"/>
            <w:vAlign w:val="bottom"/>
            <w:gridSpan w:val="3"/>
          </w:tcPr>
          <w:p>
            <w:pPr>
              <w:jc w:val="center"/>
              <w:ind w:right="32"/>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0"/>
              </w:rPr>
              <w:t>Business</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4"/>
          </w:tcPr>
          <w:p>
            <w:pPr>
              <w:jc w:val="center"/>
              <w:ind w:right="232"/>
              <w:spacing w:after="0"/>
              <w:rPr>
                <w:sz w:val="20"/>
                <w:szCs w:val="20"/>
                <w:color w:val="auto"/>
              </w:rPr>
            </w:pPr>
            <w:r>
              <w:rPr>
                <w:rFonts w:ascii="Arial" w:cs="Arial" w:eastAsia="Arial" w:hAnsi="Arial"/>
                <w:sz w:val="14"/>
                <w:szCs w:val="14"/>
                <w:b w:val="1"/>
                <w:bCs w:val="1"/>
                <w:color w:val="auto"/>
                <w:w w:val="86"/>
              </w:rPr>
              <w:t>Amount</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0"/>
              </w:rPr>
              <w:t>Business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20" w:type="dxa"/>
            <w:vAlign w:val="bottom"/>
            <w:tcBorders>
              <w:top w:val="single" w:sz="8" w:color="CCEEFF"/>
            </w:tcBorders>
            <w:gridSpan w:val="5"/>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8"/>
                <w:szCs w:val="18"/>
                <w:color w:val="auto"/>
              </w:rPr>
              <w:t>Average yield</w:t>
            </w: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right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5"/>
          </w:tcPr>
          <w:p>
            <w:pPr>
              <w:ind w:left="860"/>
              <w:spacing w:after="0"/>
              <w:rPr>
                <w:sz w:val="20"/>
                <w:szCs w:val="20"/>
                <w:color w:val="auto"/>
              </w:rPr>
            </w:pPr>
            <w:r>
              <w:rPr>
                <w:rFonts w:ascii="Arial" w:cs="Arial" w:eastAsia="Arial" w:hAnsi="Arial"/>
                <w:sz w:val="18"/>
                <w:szCs w:val="18"/>
                <w:color w:val="auto"/>
              </w:rPr>
              <w:t>Collection, landfill and transfer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560" w:type="dxa"/>
            <w:vAlign w:val="bottom"/>
          </w:tcPr>
          <w:p>
            <w:pPr>
              <w:spacing w:after="0"/>
              <w:rPr>
                <w:sz w:val="18"/>
                <w:szCs w:val="18"/>
                <w:color w:val="auto"/>
              </w:rPr>
            </w:pP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42"/>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Waste-to-energy disposal</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gridSpan w:val="5"/>
            <w:vMerge w:val="restart"/>
          </w:tcPr>
          <w:p>
            <w:pPr>
              <w:ind w:left="420"/>
              <w:spacing w:after="0"/>
              <w:rPr>
                <w:sz w:val="20"/>
                <w:szCs w:val="20"/>
                <w:color w:val="auto"/>
              </w:rPr>
            </w:pPr>
            <w:r>
              <w:rPr>
                <w:rFonts w:ascii="Arial" w:cs="Arial" w:eastAsia="Arial" w:hAnsi="Arial"/>
                <w:sz w:val="18"/>
                <w:szCs w:val="18"/>
                <w:color w:val="auto"/>
              </w:rPr>
              <w:t>Collection and disposal</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3"/>
            <w:vMerge w:val="restart"/>
          </w:tcPr>
          <w:p>
            <w:pPr>
              <w:jc w:val="right"/>
              <w:spacing w:after="0"/>
              <w:rPr>
                <w:sz w:val="20"/>
                <w:szCs w:val="20"/>
                <w:color w:val="auto"/>
              </w:rPr>
            </w:pPr>
            <w:r>
              <w:rPr>
                <w:rFonts w:ascii="Arial" w:cs="Arial" w:eastAsia="Arial" w:hAnsi="Arial"/>
                <w:sz w:val="18"/>
                <w:szCs w:val="18"/>
                <w:color w:val="auto"/>
              </w:rPr>
              <w:t>1.4%</w:t>
            </w: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2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3"/>
            <w:vMerge w:val="continue"/>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42"/>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Recycling commodities</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5"/>
          </w:tcPr>
          <w:p>
            <w:pPr>
              <w:ind w:left="420"/>
              <w:spacing w:after="0"/>
              <w:rPr>
                <w:sz w:val="20"/>
                <w:szCs w:val="20"/>
                <w:color w:val="auto"/>
              </w:rPr>
            </w:pPr>
            <w:r>
              <w:rPr>
                <w:rFonts w:ascii="Arial" w:cs="Arial" w:eastAsia="Arial" w:hAnsi="Arial"/>
                <w:sz w:val="18"/>
                <w:szCs w:val="18"/>
                <w:color w:val="auto"/>
              </w:rPr>
              <w:t>Electricity</w:t>
            </w: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-8.5%</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Fuel surcharges and mandated fees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5940" w:type="dxa"/>
            <w:vAlign w:val="bottom"/>
            <w:gridSpan w:val="6"/>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3"/>
            <w:vMerge w:val="restart"/>
          </w:tcPr>
          <w:p>
            <w:pPr>
              <w:jc w:val="right"/>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line="20" w:lineRule="exact"/>
              <w:rPr>
                <w:sz w:val="1"/>
                <w:szCs w:val="1"/>
                <w:color w:val="auto"/>
              </w:rPr>
            </w:pPr>
          </w:p>
        </w:tc>
      </w:tr>
      <w:tr>
        <w:trPr>
          <w:trHeight w:val="222"/>
        </w:trPr>
        <w:tc>
          <w:tcPr>
            <w:tcW w:w="5940" w:type="dxa"/>
            <w:vAlign w:val="bottom"/>
            <w:gridSpan w:val="6"/>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3"/>
            <w:vMerge w:val="continue"/>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42"/>
              <w:spacing w:after="0"/>
              <w:rPr>
                <w:sz w:val="20"/>
                <w:szCs w:val="20"/>
                <w:color w:val="auto"/>
              </w:rPr>
            </w:pPr>
            <w:r>
              <w:rPr>
                <w:rFonts w:ascii="Arial" w:cs="Arial" w:eastAsia="Arial" w:hAnsi="Arial"/>
                <w:sz w:val="18"/>
                <w:szCs w:val="18"/>
                <w:color w:val="auto"/>
              </w:rPr>
              <w:t>169</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9"/>
          </w:tcPr>
          <w:p>
            <w:pPr>
              <w:jc w:val="right"/>
              <w:ind w:right="400"/>
              <w:spacing w:after="0"/>
              <w:rPr>
                <w:sz w:val="20"/>
                <w:szCs w:val="20"/>
                <w:color w:val="auto"/>
              </w:rPr>
            </w:pPr>
            <w:r>
              <w:rPr>
                <w:rFonts w:ascii="Arial" w:cs="Arial" w:eastAsia="Arial" w:hAnsi="Arial"/>
                <w:sz w:val="14"/>
                <w:szCs w:val="14"/>
                <w:b w:val="1"/>
                <w:bCs w:val="1"/>
                <w:color w:val="auto"/>
                <w:w w:val="92"/>
              </w:rPr>
              <w:t>Quarters Ended December 31,</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center"/>
              <w:ind w:right="95"/>
              <w:spacing w:after="0" w:line="142" w:lineRule="exact"/>
              <w:rPr>
                <w:sz w:val="20"/>
                <w:szCs w:val="20"/>
                <w:color w:val="auto"/>
              </w:rPr>
            </w:pPr>
            <w:r>
              <w:rPr>
                <w:rFonts w:ascii="Arial" w:cs="Arial" w:eastAsia="Arial" w:hAnsi="Arial"/>
                <w:sz w:val="14"/>
                <w:szCs w:val="14"/>
                <w:b w:val="1"/>
                <w:bCs w:val="1"/>
                <w:color w:val="auto"/>
                <w:w w:val="83"/>
              </w:rPr>
              <w:t>2010</w:t>
            </w:r>
          </w:p>
        </w:tc>
        <w:tc>
          <w:tcPr>
            <w:tcW w:w="12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1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ind w:right="97"/>
              <w:spacing w:after="0" w:line="142" w:lineRule="exact"/>
              <w:rPr>
                <w:sz w:val="20"/>
                <w:szCs w:val="20"/>
                <w:color w:val="auto"/>
              </w:rPr>
            </w:pPr>
            <w:r>
              <w:rPr>
                <w:rFonts w:ascii="Arial" w:cs="Arial" w:eastAsia="Arial" w:hAnsi="Arial"/>
                <w:sz w:val="14"/>
                <w:szCs w:val="14"/>
                <w:b w:val="1"/>
                <w:bCs w:val="1"/>
                <w:color w:val="auto"/>
                <w:w w:val="83"/>
              </w:rPr>
              <w:t>2010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20" w:type="dxa"/>
            <w:vAlign w:val="bottom"/>
            <w:gridSpan w:val="5"/>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Free Cash Flow Analysis (b)</w:t>
            </w: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auto"/>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gridSpan w:val="5"/>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622</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gridSpan w:val="4"/>
          </w:tcPr>
          <w:p>
            <w:pPr>
              <w:jc w:val="right"/>
              <w:ind w:right="42"/>
              <w:spacing w:after="0"/>
              <w:rPr>
                <w:sz w:val="20"/>
                <w:szCs w:val="20"/>
                <w:color w:val="auto"/>
              </w:rPr>
            </w:pPr>
            <w:r>
              <w:rPr>
                <w:rFonts w:ascii="Arial" w:cs="Arial" w:eastAsia="Arial" w:hAnsi="Arial"/>
                <w:sz w:val="18"/>
                <w:szCs w:val="18"/>
                <w:color w:val="auto"/>
                <w:w w:val="93"/>
              </w:rPr>
              <w:t>$ 2,469</w:t>
            </w:r>
          </w:p>
        </w:tc>
        <w:tc>
          <w:tcPr>
            <w:tcW w:w="18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(367)</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(1,324)</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5"/>
          </w:tcPr>
          <w:p>
            <w:pPr>
              <w:spacing w:after="0"/>
              <w:rPr>
                <w:sz w:val="20"/>
                <w:szCs w:val="20"/>
                <w:color w:val="auto"/>
              </w:rPr>
            </w:pPr>
            <w:r>
              <w:rPr>
                <w:rFonts w:ascii="Arial" w:cs="Arial" w:eastAsia="Arial" w:hAnsi="Arial"/>
                <w:sz w:val="18"/>
                <w:szCs w:val="18"/>
                <w:color w:val="auto"/>
              </w:rPr>
              <w:t>Proceeds from divestitures of businesses (net of</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 xml:space="preserve">cash divested) and other sales of assets </w:t>
            </w:r>
            <w:r>
              <w:rPr>
                <w:rFonts w:ascii="Arial" w:cs="Arial" w:eastAsia="Arial" w:hAnsi="Arial"/>
                <w:sz w:val="18"/>
                <w:szCs w:val="18"/>
                <w:b w:val="1"/>
                <w:bCs w:val="1"/>
                <w:color w:val="auto"/>
              </w:rPr>
              <w:t>(c)</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5940" w:type="dxa"/>
            <w:vAlign w:val="bottom"/>
            <w:gridSpan w:val="6"/>
            <w:vMerge w:val="restart"/>
          </w:tcPr>
          <w:p>
            <w:pPr>
              <w:spacing w:after="0"/>
              <w:rPr>
                <w:sz w:val="20"/>
                <w:szCs w:val="20"/>
                <w:color w:val="auto"/>
              </w:rPr>
            </w:pPr>
            <w:r>
              <w:rPr>
                <w:rFonts w:ascii="Arial" w:cs="Arial" w:eastAsia="Arial" w:hAnsi="Arial"/>
                <w:sz w:val="18"/>
                <w:szCs w:val="18"/>
                <w:color w:val="auto"/>
              </w:rPr>
              <w:t>Free cash flow</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w:t>
            </w:r>
          </w:p>
        </w:tc>
        <w:tc>
          <w:tcPr>
            <w:tcW w:w="540" w:type="dxa"/>
            <w:vAlign w:val="bottom"/>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40" w:type="dxa"/>
            <w:vAlign w:val="bottom"/>
            <w:gridSpan w:val="6"/>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263</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auto"/>
                <w:w w:val="86"/>
              </w:rPr>
              <w:t>$ 1,198</w:t>
            </w:r>
          </w:p>
        </w:tc>
        <w:tc>
          <w:tcPr>
            <w:tcW w:w="300" w:type="dxa"/>
            <w:vAlign w:val="bottom"/>
            <w:gridSpan w:val="2"/>
            <w:vMerge w:val="continue"/>
          </w:tcPr>
          <w:p>
            <w:pPr>
              <w:spacing w:after="0"/>
              <w:rPr>
                <w:sz w:val="19"/>
                <w:szCs w:val="19"/>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Intercompany revenues between lines of business are eliminated within the Condensed Consolidated Financial Statements included herein.</w:t>
      </w:r>
    </w:p>
    <w:p>
      <w:pPr>
        <w:spacing w:after="0" w:line="38" w:lineRule="exact"/>
        <w:rPr>
          <w:rFonts w:ascii="Arial" w:cs="Arial" w:eastAsia="Arial" w:hAnsi="Arial"/>
          <w:sz w:val="16"/>
          <w:szCs w:val="16"/>
          <w:color w:val="auto"/>
        </w:rPr>
      </w:pPr>
    </w:p>
    <w:p>
      <w:pPr>
        <w:ind w:left="460" w:right="26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 w:lineRule="exact"/>
        <w:rPr>
          <w:rFonts w:ascii="Arial" w:cs="Arial" w:eastAsia="Arial" w:hAnsi="Arial"/>
          <w:sz w:val="18"/>
          <w:szCs w:val="18"/>
          <w:color w:val="auto"/>
        </w:rPr>
      </w:pPr>
    </w:p>
    <w:p>
      <w:pPr>
        <w:ind w:left="460" w:right="140" w:hanging="452"/>
        <w:spacing w:after="0" w:line="300"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Proceeds for the year ended December 31, 2011 includes the repayment of a $17.0 million note receivable from a prior year divestiture. This repayment is included as a component of “Net receipts from restricted trust and escrow accounts, and other” in our Condensed Consolidated Statement of Cash Flows.</w:t>
      </w:r>
    </w:p>
    <w:p>
      <w:pPr>
        <w:ind w:left="460" w:right="120" w:hanging="452"/>
        <w:spacing w:after="0" w:line="261"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Excluding $27.0 million paid in connection with a litigation loss in the fourth quarter of 2011, full year free cash flowwould have been $1,225.0 million in 2011.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w:t>
      </w:r>
    </w:p>
    <w:p>
      <w:pPr>
        <w:sectPr>
          <w:pgSz w:w="11900" w:h="16838" w:orient="portrait"/>
          <w:cols w:equalWidth="0" w:num="1">
            <w:col w:w="11420"/>
          </w:cols>
          <w:pgMar w:left="240" w:top="27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Quarters Ended</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1"/>
                <w:szCs w:val="11"/>
                <w:color w:val="auto"/>
              </w:rPr>
            </w:pPr>
          </w:p>
        </w:tc>
        <w:tc>
          <w:tcPr>
            <w:tcW w:w="14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84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3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6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60" w:type="dxa"/>
            <w:vAlign w:val="bottom"/>
            <w:gridSpan w:val="5"/>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Balance Sheet Data</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7480" w:type="dxa"/>
            <w:vAlign w:val="bottom"/>
            <w:gridSpan w:val="6"/>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258</w:t>
            </w:r>
          </w:p>
        </w:tc>
        <w:tc>
          <w:tcPr>
            <w:tcW w:w="360" w:type="dxa"/>
            <w:vAlign w:val="bottom"/>
          </w:tcPr>
          <w:p>
            <w:pPr>
              <w:spacing w:after="0"/>
              <w:rPr>
                <w:sz w:val="24"/>
                <w:szCs w:val="24"/>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282</w:t>
            </w:r>
          </w:p>
        </w:tc>
        <w:tc>
          <w:tcPr>
            <w:tcW w:w="66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Debt-to-total capital ratio:</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5"/>
          </w:tcPr>
          <w:p>
            <w:pPr>
              <w:ind w:left="420"/>
              <w:spacing w:after="0"/>
              <w:rPr>
                <w:sz w:val="20"/>
                <w:szCs w:val="20"/>
                <w:color w:val="auto"/>
              </w:rPr>
            </w:pPr>
            <w:r>
              <w:rPr>
                <w:rFonts w:ascii="Arial" w:cs="Arial" w:eastAsia="Arial" w:hAnsi="Arial"/>
                <w:sz w:val="18"/>
                <w:szCs w:val="18"/>
                <w:color w:val="auto"/>
              </w:rPr>
              <w:t>Long-term indebtedness, including current portion</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9,756</w:t>
            </w:r>
          </w:p>
        </w:tc>
        <w:tc>
          <w:tcPr>
            <w:tcW w:w="360" w:type="dxa"/>
            <w:vAlign w:val="bottom"/>
          </w:tcPr>
          <w:p>
            <w:pPr>
              <w:spacing w:after="0"/>
              <w:rPr>
                <w:sz w:val="18"/>
                <w:szCs w:val="18"/>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9,613</w:t>
            </w:r>
          </w:p>
        </w:tc>
        <w:tc>
          <w:tcPr>
            <w:tcW w:w="6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6,285</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gridSpan w:val="5"/>
          </w:tcPr>
          <w:p>
            <w:pPr>
              <w:ind w:left="860"/>
              <w:spacing w:after="0"/>
              <w:rPr>
                <w:sz w:val="20"/>
                <w:szCs w:val="20"/>
                <w:color w:val="auto"/>
              </w:rPr>
            </w:pPr>
            <w:r>
              <w:rPr>
                <w:rFonts w:ascii="Arial" w:cs="Arial" w:eastAsia="Arial" w:hAnsi="Arial"/>
                <w:sz w:val="18"/>
                <w:szCs w:val="18"/>
                <w:color w:val="auto"/>
              </w:rPr>
              <w:t>Total capital</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16,146</w:t>
            </w:r>
          </w:p>
        </w:tc>
        <w:tc>
          <w:tcPr>
            <w:tcW w:w="360" w:type="dxa"/>
            <w:vAlign w:val="bottom"/>
          </w:tcPr>
          <w:p>
            <w:pPr>
              <w:spacing w:after="0"/>
              <w:rPr>
                <w:sz w:val="19"/>
                <w:szCs w:val="19"/>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15,898</w:t>
            </w:r>
          </w:p>
        </w:tc>
        <w:tc>
          <w:tcPr>
            <w:tcW w:w="6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15,498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Debt-to-total capital</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60.5%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0"/>
        </w:trPr>
        <w:tc>
          <w:tcPr>
            <w:tcW w:w="7480" w:type="dxa"/>
            <w:vAlign w:val="bottom"/>
            <w:gridSpan w:val="6"/>
            <w:vMerge w:val="restart"/>
          </w:tcPr>
          <w:p>
            <w:pPr>
              <w:spacing w:after="0"/>
              <w:rPr>
                <w:sz w:val="20"/>
                <w:szCs w:val="20"/>
                <w:color w:val="auto"/>
              </w:rPr>
            </w:pPr>
            <w:r>
              <w:rPr>
                <w:rFonts w:ascii="Arial" w:cs="Arial" w:eastAsia="Arial" w:hAnsi="Arial"/>
                <w:sz w:val="18"/>
                <w:szCs w:val="18"/>
                <w:color w:val="auto"/>
              </w:rPr>
              <w:t>Capitalized interest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80" w:type="dxa"/>
            <w:vAlign w:val="bottom"/>
            <w:gridSpan w:val="6"/>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8"/>
                <w:szCs w:val="18"/>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6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7460" w:type="dxa"/>
            <w:vAlign w:val="bottom"/>
            <w:gridSpan w:val="5"/>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Acquisition Summary (a)</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8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20" w:type="dxa"/>
            <w:vAlign w:val="bottom"/>
          </w:tcPr>
          <w:p>
            <w:pPr>
              <w:spacing w:after="0"/>
              <w:rPr>
                <w:sz w:val="24"/>
                <w:szCs w:val="24"/>
                <w:color w:val="auto"/>
              </w:rPr>
            </w:pPr>
          </w:p>
        </w:tc>
        <w:tc>
          <w:tcPr>
            <w:tcW w:w="7460" w:type="dxa"/>
            <w:vAlign w:val="bottom"/>
            <w:gridSpan w:val="5"/>
          </w:tcPr>
          <w:p>
            <w:pPr>
              <w:ind w:left="420"/>
              <w:spacing w:after="0"/>
              <w:rPr>
                <w:sz w:val="20"/>
                <w:szCs w:val="20"/>
                <w:color w:val="auto"/>
              </w:rPr>
            </w:pPr>
            <w:r>
              <w:rPr>
                <w:rFonts w:ascii="Arial" w:cs="Arial" w:eastAsia="Arial" w:hAnsi="Arial"/>
                <w:sz w:val="18"/>
                <w:szCs w:val="18"/>
                <w:color w:val="auto"/>
              </w:rPr>
              <w:t>Gross annualized revenue acquired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169</w:t>
            </w:r>
          </w:p>
        </w:tc>
        <w:tc>
          <w:tcPr>
            <w:tcW w:w="360" w:type="dxa"/>
            <w:vAlign w:val="bottom"/>
          </w:tcPr>
          <w:p>
            <w:pPr>
              <w:spacing w:after="0"/>
              <w:rPr>
                <w:sz w:val="24"/>
                <w:szCs w:val="24"/>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651</w:t>
            </w:r>
          </w:p>
        </w:tc>
        <w:tc>
          <w:tcPr>
            <w:tcW w:w="66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Total consideration</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gridSpan w:val="5"/>
            <w:vMerge w:val="restart"/>
          </w:tcPr>
          <w:p>
            <w:pPr>
              <w:ind w:left="420"/>
              <w:spacing w:after="0"/>
              <w:rPr>
                <w:sz w:val="20"/>
                <w:szCs w:val="20"/>
                <w:color w:val="auto"/>
              </w:rPr>
            </w:pPr>
            <w:r>
              <w:rPr>
                <w:rFonts w:ascii="Arial" w:cs="Arial" w:eastAsia="Arial" w:hAnsi="Arial"/>
                <w:sz w:val="18"/>
                <w:szCs w:val="18"/>
                <w:color w:val="auto"/>
              </w:rPr>
              <w:t>Cash paid for acquisitions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460" w:type="dxa"/>
            <w:vAlign w:val="bottom"/>
            <w:gridSpan w:val="5"/>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222</w:t>
            </w:r>
          </w:p>
        </w:tc>
        <w:tc>
          <w:tcPr>
            <w:tcW w:w="360" w:type="dxa"/>
            <w:vAlign w:val="bottom"/>
          </w:tcPr>
          <w:p>
            <w:pPr>
              <w:spacing w:after="0"/>
              <w:rPr>
                <w:sz w:val="18"/>
                <w:szCs w:val="18"/>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488</w:t>
            </w:r>
          </w:p>
        </w:tc>
        <w:tc>
          <w:tcPr>
            <w:tcW w:w="6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80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0"/>
              </w:rPr>
              <w:t>Other Operational Data</w:t>
            </w:r>
          </w:p>
        </w:tc>
        <w:tc>
          <w:tcPr>
            <w:tcW w:w="5660" w:type="dxa"/>
            <w:vAlign w:val="bottom"/>
            <w:tcBorders>
              <w:bottom w:val="single" w:sz="8" w:color="CCEEFF"/>
            </w:tcBorders>
            <w:gridSpan w:val="3"/>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7480" w:type="dxa"/>
            <w:vAlign w:val="bottom"/>
            <w:gridSpan w:val="6"/>
          </w:tcPr>
          <w:p>
            <w:pPr>
              <w:spacing w:after="0"/>
              <w:rPr>
                <w:sz w:val="20"/>
                <w:szCs w:val="20"/>
                <w:color w:val="auto"/>
              </w:rPr>
            </w:pPr>
            <w:r>
              <w:rPr>
                <w:rFonts w:ascii="Arial" w:cs="Arial" w:eastAsia="Arial" w:hAnsi="Arial"/>
                <w:sz w:val="18"/>
                <w:szCs w:val="18"/>
                <w:color w:val="auto"/>
              </w:rPr>
              <w:t>Internalization of waste, based on disposal costs</w:t>
            </w:r>
          </w:p>
        </w:tc>
        <w:tc>
          <w:tcPr>
            <w:tcW w:w="1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68.3%</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67.8%</w:t>
            </w:r>
          </w:p>
        </w:tc>
        <w:tc>
          <w:tcPr>
            <w:tcW w:w="18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landfill disposal volumes (tons in millions)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gridSpan w:val="5"/>
          </w:tcPr>
          <w:p>
            <w:pPr>
              <w:spacing w:after="0"/>
              <w:rPr>
                <w:sz w:val="20"/>
                <w:szCs w:val="20"/>
                <w:color w:val="auto"/>
              </w:rPr>
            </w:pPr>
            <w:r>
              <w:rPr>
                <w:rFonts w:ascii="Arial" w:cs="Arial" w:eastAsia="Arial" w:hAnsi="Arial"/>
                <w:sz w:val="18"/>
                <w:szCs w:val="18"/>
                <w:color w:val="auto"/>
              </w:rPr>
              <w:t>Total waste-to-energy disposal volumes (tons in millions)</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Total disposal volumes (tons in millions)</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6"/>
            <w:vMerge w:val="restart"/>
          </w:tcPr>
          <w:p>
            <w:pPr>
              <w:spacing w:after="0"/>
              <w:rPr>
                <w:sz w:val="20"/>
                <w:szCs w:val="20"/>
                <w:color w:val="auto"/>
              </w:rPr>
            </w:pPr>
            <w:r>
              <w:rPr>
                <w:rFonts w:ascii="Arial" w:cs="Arial" w:eastAsia="Arial" w:hAnsi="Arial"/>
                <w:sz w:val="18"/>
                <w:szCs w:val="18"/>
                <w:color w:val="auto"/>
              </w:rPr>
              <w:t>Active landfills</w:t>
            </w: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80" w:type="dxa"/>
            <w:vAlign w:val="bottom"/>
            <w:gridSpan w:val="6"/>
            <w:vMerge w:val="continue"/>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271</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Landfills reporting volume</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
        </w:trPr>
        <w:tc>
          <w:tcPr>
            <w:tcW w:w="7480" w:type="dxa"/>
            <w:vAlign w:val="bottom"/>
            <w:gridSpan w:val="6"/>
            <w:vMerge w:val="restart"/>
          </w:tcPr>
          <w:p>
            <w:pPr>
              <w:spacing w:after="0"/>
              <w:rPr>
                <w:sz w:val="20"/>
                <w:szCs w:val="20"/>
                <w:color w:val="auto"/>
              </w:rPr>
            </w:pPr>
            <w:r>
              <w:rPr>
                <w:rFonts w:ascii="Arial" w:cs="Arial" w:eastAsia="Arial" w:hAnsi="Arial"/>
                <w:sz w:val="18"/>
                <w:szCs w:val="18"/>
                <w:b w:val="1"/>
                <w:bCs w:val="1"/>
                <w:color w:val="auto"/>
                <w:w w:val="98"/>
              </w:rPr>
              <w:t>Amortization, Accretion and Other Expenses for Landfills Included in Operating Groups: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480" w:type="dxa"/>
            <w:vAlign w:val="bottom"/>
            <w:gridSpan w:val="6"/>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84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Landfill amortization expense -</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5"/>
          </w:tcPr>
          <w:p>
            <w:pPr>
              <w:ind w:left="420"/>
              <w:spacing w:after="0"/>
              <w:rPr>
                <w:sz w:val="20"/>
                <w:szCs w:val="20"/>
                <w:color w:val="auto"/>
              </w:rPr>
            </w:pPr>
            <w:r>
              <w:rPr>
                <w:rFonts w:ascii="Arial" w:cs="Arial" w:eastAsia="Arial" w:hAnsi="Arial"/>
                <w:sz w:val="18"/>
                <w:szCs w:val="18"/>
                <w:color w:val="auto"/>
              </w:rPr>
              <w:t>Cost basis of landfill assets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84.5</w:t>
            </w:r>
          </w:p>
        </w:tc>
        <w:tc>
          <w:tcPr>
            <w:tcW w:w="360" w:type="dxa"/>
            <w:vAlign w:val="bottom"/>
          </w:tcPr>
          <w:p>
            <w:pPr>
              <w:spacing w:after="0"/>
              <w:rPr>
                <w:sz w:val="18"/>
                <w:szCs w:val="18"/>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86.2</w:t>
            </w:r>
          </w:p>
        </w:tc>
        <w:tc>
          <w:tcPr>
            <w:tcW w:w="6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Asset retirement costs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460" w:type="dxa"/>
            <w:vAlign w:val="bottom"/>
            <w:gridSpan w:val="5"/>
          </w:tcPr>
          <w:p>
            <w:pPr>
              <w:ind w:left="860"/>
              <w:spacing w:after="0"/>
              <w:rPr>
                <w:sz w:val="20"/>
                <w:szCs w:val="20"/>
                <w:color w:val="auto"/>
              </w:rPr>
            </w:pPr>
            <w:r>
              <w:rPr>
                <w:rFonts w:ascii="Arial" w:cs="Arial" w:eastAsia="Arial" w:hAnsi="Arial"/>
                <w:sz w:val="18"/>
                <w:szCs w:val="18"/>
                <w:color w:val="auto"/>
              </w:rPr>
              <w:t>Total landfill amortization expense (b)(c)</w:t>
            </w: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Accretion and other related expense</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gridSpan w:val="5"/>
          </w:tcPr>
          <w:p>
            <w:pPr>
              <w:ind w:left="420"/>
              <w:spacing w:after="0"/>
              <w:rPr>
                <w:sz w:val="20"/>
                <w:szCs w:val="20"/>
                <w:color w:val="auto"/>
              </w:rPr>
            </w:pPr>
            <w:r>
              <w:rPr>
                <w:rFonts w:ascii="Arial" w:cs="Arial" w:eastAsia="Arial" w:hAnsi="Arial"/>
                <w:sz w:val="18"/>
                <w:szCs w:val="18"/>
                <w:color w:val="auto"/>
              </w:rPr>
              <w:t>Landfill amortization, accretion and other related expense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89.9</w:t>
            </w:r>
          </w:p>
        </w:tc>
        <w:tc>
          <w:tcPr>
            <w:tcW w:w="360" w:type="dxa"/>
            <w:vAlign w:val="bottom"/>
          </w:tcPr>
          <w:p>
            <w:pPr>
              <w:spacing w:after="0"/>
              <w:rPr>
                <w:sz w:val="19"/>
                <w:szCs w:val="19"/>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119.4</w:t>
            </w:r>
          </w:p>
        </w:tc>
        <w:tc>
          <w:tcPr>
            <w:tcW w:w="6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60" w:hanging="452"/>
        <w:spacing w:after="0" w:line="25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 Note that cash paid for acquisitions may include cash payments for business acquisitions consummated in prior quarters.</w:t>
      </w:r>
    </w:p>
    <w:p>
      <w:pPr>
        <w:jc w:val="both"/>
        <w:ind w:left="460" w:right="160" w:hanging="452"/>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quarter ended December 31, 2011 as compared to the quarter ended September 30, 2011 reflects a reduction in amortization expense of $29.9 million of which $20.9 million is attributable to year-end adjustments of landfill capping construction and closure/post closure obligations as identified in our Q4 annual review process. The remaining decrease is due in part to seasonal reduction in landfill volumes.</w:t>
      </w:r>
    </w:p>
    <w:p>
      <w:pPr>
        <w:spacing w:after="0" w:line="2" w:lineRule="exact"/>
        <w:rPr>
          <w:rFonts w:ascii="Arial" w:cs="Arial" w:eastAsia="Arial" w:hAnsi="Arial"/>
          <w:sz w:val="16"/>
          <w:szCs w:val="16"/>
          <w:color w:val="auto"/>
        </w:rPr>
      </w:pPr>
    </w:p>
    <w:p>
      <w:pPr>
        <w:ind w:left="460" w:right="240" w:hanging="452"/>
        <w:spacing w:after="0" w:line="255"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quarter ended December 31, 2011 as compared to the quarter ended December 31, 2010, reflects an increase in amortization expense of $7.4 million which is primarily due to the differences in the annual year-end adjustments of the SFAS 143 landfill capping construction and closure/post closure obligations identified in our annual review process that occurs in the fourth quarter.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w:t>
      </w:r>
    </w:p>
    <w:p>
      <w:pPr>
        <w:sectPr>
          <w:pgSz w:w="11900" w:h="16838" w:orient="portrait"/>
          <w:cols w:equalWidth="0" w:num="1">
            <w:col w:w="11420"/>
          </w:cols>
          <w:pgMar w:left="240" w:top="27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4"/>
          </w:tcPr>
          <w:p>
            <w:pPr>
              <w:ind w:left="220"/>
              <w:spacing w:after="0"/>
              <w:rPr>
                <w:sz w:val="20"/>
                <w:szCs w:val="20"/>
                <w:color w:val="auto"/>
              </w:rPr>
            </w:pPr>
            <w:r>
              <w:rPr>
                <w:rFonts w:ascii="Arial" w:cs="Arial" w:eastAsia="Arial" w:hAnsi="Arial"/>
                <w:sz w:val="14"/>
                <w:szCs w:val="14"/>
                <w:b w:val="1"/>
                <w:bCs w:val="1"/>
                <w:color w:val="auto"/>
              </w:rPr>
              <w:t>Quarter Ended</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4"/>
          </w:tcPr>
          <w:p>
            <w:pPr>
              <w:ind w:left="220"/>
              <w:spacing w:after="0"/>
              <w:rPr>
                <w:sz w:val="20"/>
                <w:szCs w:val="20"/>
                <w:color w:val="auto"/>
              </w:rPr>
            </w:pPr>
            <w:r>
              <w:rPr>
                <w:rFonts w:ascii="Arial" w:cs="Arial" w:eastAsia="Arial" w:hAnsi="Arial"/>
                <w:sz w:val="14"/>
                <w:szCs w:val="14"/>
                <w:b w:val="1"/>
                <w:bCs w:val="1"/>
                <w:color w:val="auto"/>
              </w:rPr>
              <w:t>Quarter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ind w:left="36"/>
              <w:spacing w:after="0"/>
              <w:rPr>
                <w:sz w:val="20"/>
                <w:szCs w:val="20"/>
                <w:color w:val="auto"/>
              </w:rPr>
            </w:pPr>
            <w:r>
              <w:rPr>
                <w:rFonts w:ascii="Arial" w:cs="Arial" w:eastAsia="Arial" w:hAnsi="Arial"/>
                <w:sz w:val="14"/>
                <w:szCs w:val="14"/>
                <w:b w:val="1"/>
                <w:bCs w:val="1"/>
                <w:color w:val="auto"/>
                <w:w w:val="85"/>
              </w:rPr>
              <w:t>December 31, 2011</w:t>
            </w: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left="56"/>
              <w:spacing w:after="0"/>
              <w:rPr>
                <w:sz w:val="20"/>
                <w:szCs w:val="20"/>
                <w:color w:val="auto"/>
              </w:rPr>
            </w:pPr>
            <w:r>
              <w:rPr>
                <w:rFonts w:ascii="Arial" w:cs="Arial" w:eastAsia="Arial" w:hAnsi="Arial"/>
                <w:sz w:val="14"/>
                <w:szCs w:val="14"/>
                <w:b w:val="1"/>
                <w:bCs w:val="1"/>
                <w:color w:val="auto"/>
                <w:w w:val="85"/>
              </w:rPr>
              <w:t>December 31, 2010</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After-tax</w:t>
            </w:r>
          </w:p>
        </w:tc>
        <w:tc>
          <w:tcPr>
            <w:tcW w:w="44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5"/>
              </w:rPr>
              <w:t>Per Share</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3"/>
          </w:tcPr>
          <w:p>
            <w:pPr>
              <w:ind w:left="80"/>
              <w:spacing w:after="0" w:line="129" w:lineRule="exact"/>
              <w:rPr>
                <w:sz w:val="20"/>
                <w:szCs w:val="20"/>
                <w:color w:val="auto"/>
              </w:rPr>
            </w:pPr>
            <w:r>
              <w:rPr>
                <w:rFonts w:ascii="Arial" w:cs="Arial" w:eastAsia="Arial" w:hAnsi="Arial"/>
                <w:sz w:val="14"/>
                <w:szCs w:val="14"/>
                <w:b w:val="1"/>
                <w:bCs w:val="1"/>
                <w:color w:val="auto"/>
              </w:rPr>
              <w:t>After-tax</w:t>
            </w:r>
          </w:p>
        </w:tc>
        <w:tc>
          <w:tcPr>
            <w:tcW w:w="20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2"/>
              </w:rPr>
              <w:t>Per Share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3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Adjusted Net income and Diluted Earnings Per Share</w:t>
            </w:r>
          </w:p>
        </w:tc>
        <w:tc>
          <w:tcPr>
            <w:tcW w:w="2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89"/>
              </w:rPr>
              <w:t>Amount (a)</w:t>
            </w:r>
          </w:p>
        </w:tc>
        <w:tc>
          <w:tcPr>
            <w:tcW w:w="44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Amount (a)</w:t>
            </w:r>
          </w:p>
        </w:tc>
        <w:tc>
          <w:tcPr>
            <w:tcW w:w="20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3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and Diluted EPS, as reported</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266</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5"/>
              </w:rPr>
              <w:t>0.58</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281</w:t>
            </w: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0.59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Adjustments to Net income and Diluted EPS: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Litigation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Asset impairments, restructuring charges related to the Company’s cost improvement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Pr>
          <w:p>
            <w:pPr>
              <w:ind w:left="640"/>
              <w:spacing w:after="0"/>
              <w:rPr>
                <w:sz w:val="20"/>
                <w:szCs w:val="20"/>
                <w:color w:val="auto"/>
              </w:rPr>
            </w:pPr>
            <w:r>
              <w:rPr>
                <w:rFonts w:ascii="Arial" w:cs="Arial" w:eastAsia="Arial" w:hAnsi="Arial"/>
                <w:sz w:val="18"/>
                <w:szCs w:val="18"/>
                <w:color w:val="auto"/>
                <w:w w:val="93"/>
              </w:rPr>
              <w:t>programs, and the results of the acquired Oakleaf operations and related integration costs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 from income tax related items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Landfill operating costs - benefit from changes in risk-free interest rates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5"/>
              </w:rPr>
              <w:t>0.05</w:t>
            </w: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Net income and Diluted EPS, as adjusted (b)</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0.63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0.60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4"/>
          </w:tcPr>
          <w:p>
            <w:pPr>
              <w:jc w:val="center"/>
              <w:ind w:left="16"/>
              <w:spacing w:after="0"/>
              <w:rPr>
                <w:sz w:val="20"/>
                <w:szCs w:val="20"/>
                <w:color w:val="auto"/>
              </w:rPr>
            </w:pPr>
            <w:r>
              <w:rPr>
                <w:rFonts w:ascii="Arial" w:cs="Arial" w:eastAsia="Arial" w:hAnsi="Arial"/>
                <w:sz w:val="14"/>
                <w:szCs w:val="14"/>
                <w:b w:val="1"/>
                <w:bCs w:val="1"/>
                <w:color w:val="auto"/>
                <w:w w:val="88"/>
              </w:rPr>
              <w:t>Year Ended</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ind w:left="36"/>
              <w:spacing w:after="0"/>
              <w:rPr>
                <w:sz w:val="20"/>
                <w:szCs w:val="20"/>
                <w:color w:val="auto"/>
              </w:rPr>
            </w:pPr>
            <w:r>
              <w:rPr>
                <w:rFonts w:ascii="Arial" w:cs="Arial" w:eastAsia="Arial" w:hAnsi="Arial"/>
                <w:sz w:val="14"/>
                <w:szCs w:val="14"/>
                <w:b w:val="1"/>
                <w:bCs w:val="1"/>
                <w:color w:val="auto"/>
                <w:w w:val="85"/>
              </w:rPr>
              <w:t>December 31, 2011</w:t>
            </w: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left="36"/>
              <w:spacing w:after="0"/>
              <w:rPr>
                <w:sz w:val="20"/>
                <w:szCs w:val="20"/>
                <w:color w:val="auto"/>
              </w:rPr>
            </w:pPr>
            <w:r>
              <w:rPr>
                <w:rFonts w:ascii="Arial" w:cs="Arial" w:eastAsia="Arial" w:hAnsi="Arial"/>
                <w:sz w:val="14"/>
                <w:szCs w:val="14"/>
                <w:b w:val="1"/>
                <w:bCs w:val="1"/>
                <w:color w:val="auto"/>
                <w:w w:val="87"/>
              </w:rPr>
              <w:t>December 31, 2010</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After-tax</w:t>
            </w:r>
          </w:p>
        </w:tc>
        <w:tc>
          <w:tcPr>
            <w:tcW w:w="44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5"/>
              </w:rPr>
              <w:t>Per Share</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3"/>
          </w:tcPr>
          <w:p>
            <w:pPr>
              <w:ind w:left="80"/>
              <w:spacing w:after="0" w:line="129" w:lineRule="exact"/>
              <w:rPr>
                <w:sz w:val="20"/>
                <w:szCs w:val="20"/>
                <w:color w:val="auto"/>
              </w:rPr>
            </w:pPr>
            <w:r>
              <w:rPr>
                <w:rFonts w:ascii="Arial" w:cs="Arial" w:eastAsia="Arial" w:hAnsi="Arial"/>
                <w:sz w:val="14"/>
                <w:szCs w:val="14"/>
                <w:b w:val="1"/>
                <w:bCs w:val="1"/>
                <w:color w:val="auto"/>
              </w:rPr>
              <w:t>After-tax</w:t>
            </w:r>
          </w:p>
        </w:tc>
        <w:tc>
          <w:tcPr>
            <w:tcW w:w="2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Per Share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3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Adjusted Net income and Diluted Earnings Per Share</w:t>
            </w:r>
          </w:p>
        </w:tc>
        <w:tc>
          <w:tcPr>
            <w:tcW w:w="2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89"/>
              </w:rPr>
              <w:t>Amount (a)</w:t>
            </w:r>
          </w:p>
        </w:tc>
        <w:tc>
          <w:tcPr>
            <w:tcW w:w="44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Amount (a)</w:t>
            </w:r>
          </w:p>
        </w:tc>
        <w:tc>
          <w:tcPr>
            <w:tcW w:w="20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3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and Diluted EPS, as reported</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961</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5"/>
              </w:rPr>
              <w:t>2.04</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953</w:t>
            </w: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Adjustments to Net income and Diluted EPS: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Litigation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Restructuring</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(Income) expense from divestitures, asset impairments and unusual items, net </w:t>
            </w:r>
            <w:r>
              <w:rPr>
                <w:rFonts w:ascii="Arial" w:cs="Arial" w:eastAsia="Arial" w:hAnsi="Arial"/>
                <w:sz w:val="18"/>
                <w:szCs w:val="18"/>
                <w:b w:val="1"/>
                <w:bCs w:val="1"/>
                <w:color w:val="auto"/>
              </w:rPr>
              <w:t>(c)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Results of the acquired Oakleaf operations and related integration costs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Landfill operating costs </w:t>
            </w:r>
            <w:r>
              <w:rPr>
                <w:rFonts w:ascii="Arial" w:cs="Arial" w:eastAsia="Arial" w:hAnsi="Arial"/>
                <w:sz w:val="18"/>
                <w:szCs w:val="18"/>
                <w:b w:val="1"/>
                <w:bCs w:val="1"/>
                <w:color w:val="auto"/>
              </w:rPr>
              <w:t>(d)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Tax items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Multiemployer pension withdrawal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Labor disruptions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46</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5"/>
              </w:rPr>
              <w:t>0.10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Net income and Diluted EPS, as adjusted</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1,007</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2.14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2.09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00" w:hanging="452"/>
        <w:spacing w:after="0" w:line="254" w:lineRule="auto"/>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Please see the “Adjusted tax expense reconciliation” for the tax expense associated with each of the after-tax adjustments to net income and diluted EPS in the fourth quarter and full year of 2011 and 2010.</w:t>
      </w: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Increase of 5% in diluted EPS, as adjusted.</w:t>
      </w:r>
    </w:p>
    <w:p>
      <w:pPr>
        <w:spacing w:after="0" w:line="9" w:lineRule="exact"/>
        <w:rPr>
          <w:rFonts w:ascii="Arial" w:cs="Arial" w:eastAsia="Arial" w:hAnsi="Arial"/>
          <w:sz w:val="18"/>
          <w:szCs w:val="18"/>
          <w:b w:val="1"/>
          <w:bCs w:val="1"/>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Adjustment in 2010 consisted of an after-tax benefit of $48 million associated with a litigation settlement in the second quarter of 2010.</w:t>
      </w:r>
    </w:p>
    <w:p>
      <w:pPr>
        <w:spacing w:after="0" w:line="9" w:lineRule="exact"/>
        <w:rPr>
          <w:rFonts w:ascii="Arial" w:cs="Arial" w:eastAsia="Arial" w:hAnsi="Arial"/>
          <w:sz w:val="18"/>
          <w:szCs w:val="18"/>
          <w:b w:val="1"/>
          <w:bCs w:val="1"/>
          <w:color w:val="auto"/>
        </w:rPr>
      </w:pPr>
    </w:p>
    <w:p>
      <w:pPr>
        <w:ind w:left="460" w:right="40" w:hanging="452"/>
        <w:spacing w:after="0" w:line="254" w:lineRule="auto"/>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Adjustments in 2011 consisted of after-tax charges of $11 million due to the changes in risk-free interest rates offset by an after-tax benefit of $6 million due to decreases in environmental remediation reserves and closure and post-closure costs. Adjustments in 2010 consisted of after-tax charges aggregating $37 million due to increases in environmental remediation reserves and closure and post-closure costs offset by after-tax benefit aggregating $3 million due to the changes in risk-free interest rates.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w:t>
      </w:r>
    </w:p>
    <w:p>
      <w:pPr>
        <w:sectPr>
          <w:pgSz w:w="11900" w:h="16838" w:orient="portrait"/>
          <w:cols w:equalWidth="0" w:num="1">
            <w:col w:w="11420"/>
          </w:cols>
          <w:pgMar w:left="240" w:top="27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Adjusted Operating Expenses</w:t>
            </w:r>
          </w:p>
        </w:tc>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6"/>
              </w:rPr>
              <w:t>Quarters Ended December 31,</w:t>
            </w:r>
          </w:p>
        </w:tc>
        <w:tc>
          <w:tcPr>
            <w:tcW w:w="0" w:type="dxa"/>
            <w:vAlign w:val="bottom"/>
          </w:tcPr>
          <w:p>
            <w:pPr>
              <w:spacing w:after="0"/>
              <w:rPr>
                <w:sz w:val="1"/>
                <w:szCs w:val="1"/>
                <w:color w:val="auto"/>
              </w:rPr>
            </w:pPr>
          </w:p>
        </w:tc>
      </w:tr>
      <w:tr>
        <w:trPr>
          <w:trHeight w:val="142"/>
        </w:trPr>
        <w:tc>
          <w:tcPr>
            <w:tcW w:w="7240" w:type="dxa"/>
            <w:vAlign w:val="bottom"/>
            <w:gridSpan w:val="2"/>
            <w:vMerge w:val="continue"/>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2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 as reported</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2,145</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b w:val="1"/>
                <w:bCs w:val="1"/>
                <w:color w:val="auto"/>
              </w:rPr>
              <w:t>Adjustments to Operating Expenses</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Results of the acquired Oakleaf operations and related integration costs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Landfill operating costs - benefit from changes in risk-free interest rates</w:t>
            </w:r>
          </w:p>
        </w:tc>
        <w:tc>
          <w:tcPr>
            <w:tcW w:w="1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Operating Expenses (e)</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2,021</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Adjusted Operating Expenses</w:t>
            </w: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5"/>
              </w:rPr>
              <w:t>Years Ended December 31,</w:t>
            </w:r>
          </w:p>
        </w:tc>
        <w:tc>
          <w:tcPr>
            <w:tcW w:w="0" w:type="dxa"/>
            <w:vAlign w:val="bottom"/>
          </w:tcPr>
          <w:p>
            <w:pPr>
              <w:spacing w:after="0"/>
              <w:rPr>
                <w:sz w:val="1"/>
                <w:szCs w:val="1"/>
                <w:color w:val="auto"/>
              </w:rPr>
            </w:pPr>
          </w:p>
        </w:tc>
      </w:tr>
      <w:tr>
        <w:trPr>
          <w:trHeight w:val="142"/>
        </w:trPr>
        <w:tc>
          <w:tcPr>
            <w:tcW w:w="7240" w:type="dxa"/>
            <w:vAlign w:val="bottom"/>
            <w:gridSpan w:val="2"/>
            <w:vMerge w:val="continue"/>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2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 as reported</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8,541</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b w:val="1"/>
                <w:bCs w:val="1"/>
                <w:color w:val="auto"/>
              </w:rPr>
              <w:t>Adjustments to Operating Expenses</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Results of the acquired Oakleaf operations and related integration costs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 xml:space="preserve">Landfill operating costs </w:t>
            </w:r>
            <w:r>
              <w:rPr>
                <w:rFonts w:ascii="Arial" w:cs="Arial" w:eastAsia="Arial" w:hAnsi="Arial"/>
                <w:sz w:val="18"/>
                <w:szCs w:val="18"/>
                <w:b w:val="1"/>
                <w:bCs w:val="1"/>
                <w:color w:val="auto"/>
              </w:rPr>
              <w:t>(f)</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Multi-employer pension withdrawal costs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Labor disruption costs</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Operating Expenses (g)</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8,315</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7,745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Adjusted SG&amp;A Expenses</w:t>
            </w: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6"/>
              </w:rPr>
              <w:t>Quarters Ended December 31,</w:t>
            </w:r>
          </w:p>
        </w:tc>
        <w:tc>
          <w:tcPr>
            <w:tcW w:w="0" w:type="dxa"/>
            <w:vAlign w:val="bottom"/>
          </w:tcPr>
          <w:p>
            <w:pPr>
              <w:spacing w:after="0"/>
              <w:rPr>
                <w:sz w:val="1"/>
                <w:szCs w:val="1"/>
                <w:color w:val="auto"/>
              </w:rPr>
            </w:pPr>
          </w:p>
        </w:tc>
      </w:tr>
      <w:tr>
        <w:trPr>
          <w:trHeight w:val="142"/>
        </w:trPr>
        <w:tc>
          <w:tcPr>
            <w:tcW w:w="7240" w:type="dxa"/>
            <w:vAlign w:val="bottom"/>
            <w:gridSpan w:val="2"/>
            <w:vMerge w:val="continue"/>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2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SG&amp;A Expenses, as reported</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407</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b w:val="1"/>
                <w:bCs w:val="1"/>
                <w:color w:val="auto"/>
              </w:rPr>
              <w:t>Adjustments to SG&amp;A Expenses</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Litigation</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Results of the acquired Oakleaf operations and related integration costs</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SG&amp;A Expenses (h)</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367</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Adjusted operating expenses for fourth quarter 2011 increased $70 million as compared with fourth quarter 2010.</w:t>
      </w:r>
    </w:p>
    <w:p>
      <w:pPr>
        <w:spacing w:after="0" w:line="15" w:lineRule="exact"/>
        <w:rPr>
          <w:rFonts w:ascii="Arial" w:cs="Arial" w:eastAsia="Arial" w:hAnsi="Arial"/>
          <w:sz w:val="18"/>
          <w:szCs w:val="18"/>
          <w:b w:val="1"/>
          <w:bCs w:val="1"/>
          <w:color w:val="auto"/>
        </w:rPr>
      </w:pPr>
    </w:p>
    <w:p>
      <w:pPr>
        <w:ind w:left="460" w:right="560" w:hanging="452"/>
        <w:spacing w:after="0" w:line="250" w:lineRule="auto"/>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Adjustments in 2011 primarily driven by $17 million charge due to changes in risk-free interest rates offset by $9 million benefit due to decreases in environmental remediation reserves and closure and post-closure costs. Adjustments in 2010 primarily driven by charges aggregating $39 million associated with increases in environmental remediation reserves in second quarter 2010.</w:t>
      </w:r>
    </w:p>
    <w:p>
      <w:pPr>
        <w:spacing w:after="0" w:line="1" w:lineRule="exact"/>
        <w:rPr>
          <w:rFonts w:ascii="Arial" w:cs="Arial" w:eastAsia="Arial" w:hAnsi="Arial"/>
          <w:sz w:val="18"/>
          <w:szCs w:val="18"/>
          <w:b w:val="1"/>
          <w:bCs w:val="1"/>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Adjusted operating expenses for full year 2011 increased $570 million as compared with full year 2010.</w:t>
      </w:r>
    </w:p>
    <w:p>
      <w:pPr>
        <w:spacing w:after="0" w:line="9" w:lineRule="exact"/>
        <w:rPr>
          <w:rFonts w:ascii="Arial" w:cs="Arial" w:eastAsia="Arial" w:hAnsi="Arial"/>
          <w:sz w:val="18"/>
          <w:szCs w:val="18"/>
          <w:b w:val="1"/>
          <w:bCs w:val="1"/>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Adjusted SG&amp;A expenses in the fourth quarter of 2011 were flat when compared with the fourth quarter of 2010.</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w:t>
      </w:r>
    </w:p>
    <w:p>
      <w:pPr>
        <w:sectPr>
          <w:pgSz w:w="11900" w:h="16838" w:orient="portrait"/>
          <w:cols w:equalWidth="0" w:num="1">
            <w:col w:w="11420"/>
          </w:cols>
          <w:pgMar w:left="240" w:top="27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90"/>
              </w:rPr>
              <w:t>Quarter Ended</w:t>
            </w:r>
          </w:p>
        </w:tc>
        <w:tc>
          <w:tcPr>
            <w:tcW w:w="140" w:type="dxa"/>
            <w:vAlign w:val="bottom"/>
          </w:tcPr>
          <w:p>
            <w:pPr>
              <w:spacing w:after="0"/>
              <w:rPr>
                <w:sz w:val="14"/>
                <w:szCs w:val="14"/>
                <w:color w:val="auto"/>
              </w:rPr>
            </w:pPr>
          </w:p>
        </w:tc>
        <w:tc>
          <w:tcPr>
            <w:tcW w:w="13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Quarter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85"/>
              </w:rPr>
              <w:t>December 31, 2011</w:t>
            </w:r>
          </w:p>
        </w:tc>
        <w:tc>
          <w:tcPr>
            <w:tcW w:w="140" w:type="dxa"/>
            <w:vAlign w:val="bottom"/>
          </w:tcPr>
          <w:p>
            <w:pPr>
              <w:spacing w:after="0"/>
              <w:rPr>
                <w:sz w:val="14"/>
                <w:szCs w:val="14"/>
                <w:color w:val="auto"/>
              </w:rPr>
            </w:pPr>
          </w:p>
        </w:tc>
        <w:tc>
          <w:tcPr>
            <w:tcW w:w="13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7"/>
              </w:rPr>
              <w:t>December 31, 2010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3"/>
          </w:tcPr>
          <w:p>
            <w:pPr>
              <w:jc w:val="right"/>
              <w:ind w:right="500"/>
              <w:spacing w:after="0" w:line="129" w:lineRule="exact"/>
              <w:rPr>
                <w:sz w:val="20"/>
                <w:szCs w:val="20"/>
                <w:color w:val="auto"/>
              </w:rPr>
            </w:pPr>
            <w:r>
              <w:rPr>
                <w:rFonts w:ascii="Arial" w:cs="Arial" w:eastAsia="Arial" w:hAnsi="Arial"/>
                <w:sz w:val="14"/>
                <w:szCs w:val="14"/>
                <w:b w:val="1"/>
                <w:bCs w:val="1"/>
                <w:color w:val="auto"/>
                <w:w w:val="88"/>
              </w:rPr>
              <w:t>Pre-tax</w:t>
            </w: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center"/>
              <w:ind w:right="34"/>
              <w:spacing w:after="0" w:line="129" w:lineRule="exact"/>
              <w:rPr>
                <w:sz w:val="20"/>
                <w:szCs w:val="20"/>
                <w:color w:val="auto"/>
              </w:rPr>
            </w:pPr>
            <w:r>
              <w:rPr>
                <w:rFonts w:ascii="Arial" w:cs="Arial" w:eastAsia="Arial" w:hAnsi="Arial"/>
                <w:sz w:val="14"/>
                <w:szCs w:val="14"/>
                <w:b w:val="1"/>
                <w:bCs w:val="1"/>
                <w:color w:val="auto"/>
                <w:w w:val="90"/>
              </w:rPr>
              <w:t>Tax</w:t>
            </w:r>
          </w:p>
        </w:tc>
        <w:tc>
          <w:tcPr>
            <w:tcW w:w="420" w:type="dxa"/>
            <w:vAlign w:val="bottom"/>
          </w:tcPr>
          <w:p>
            <w:pPr>
              <w:spacing w:after="0"/>
              <w:rPr>
                <w:sz w:val="11"/>
                <w:szCs w:val="11"/>
                <w:color w:val="auto"/>
              </w:rPr>
            </w:pPr>
          </w:p>
        </w:tc>
        <w:tc>
          <w:tcPr>
            <w:tcW w:w="920" w:type="dxa"/>
            <w:vAlign w:val="bottom"/>
            <w:tcBorders>
              <w:top w:val="single" w:sz="8" w:color="auto"/>
            </w:tcBorders>
            <w:gridSpan w:val="3"/>
          </w:tcPr>
          <w:p>
            <w:pPr>
              <w:ind w:left="40"/>
              <w:spacing w:after="0" w:line="129" w:lineRule="exact"/>
              <w:rPr>
                <w:sz w:val="20"/>
                <w:szCs w:val="20"/>
                <w:color w:val="auto"/>
              </w:rPr>
            </w:pPr>
            <w:r>
              <w:rPr>
                <w:rFonts w:ascii="Arial" w:cs="Arial" w:eastAsia="Arial" w:hAnsi="Arial"/>
                <w:sz w:val="14"/>
                <w:szCs w:val="14"/>
                <w:b w:val="1"/>
                <w:bCs w:val="1"/>
                <w:color w:val="auto"/>
              </w:rPr>
              <w:t>Pre-tax</w:t>
            </w: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w w:val="90"/>
              </w:rPr>
              <w:t>Tax</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8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Adjusted tax expense reconciliation</w:t>
            </w:r>
          </w:p>
        </w:tc>
        <w:tc>
          <w:tcPr>
            <w:tcW w:w="80" w:type="dxa"/>
            <w:vAlign w:val="bottom"/>
          </w:tcPr>
          <w:p>
            <w:pPr>
              <w:spacing w:after="0"/>
              <w:rPr>
                <w:sz w:val="14"/>
                <w:szCs w:val="14"/>
                <w:color w:val="auto"/>
              </w:rPr>
            </w:pPr>
          </w:p>
        </w:tc>
        <w:tc>
          <w:tcPr>
            <w:tcW w:w="9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5"/>
              </w:rPr>
              <w:t>Income</w:t>
            </w:r>
          </w:p>
        </w:tc>
        <w:tc>
          <w:tcPr>
            <w:tcW w:w="10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3"/>
              </w:rPr>
              <w:t>Expense</w:t>
            </w: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Income</w:t>
            </w: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reported amounts</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412</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b w:val="1"/>
                <w:bCs w:val="1"/>
                <w:color w:val="auto"/>
                <w:w w:val="79"/>
              </w:rPr>
              <w:t>134</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454</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Adjustments to Tax Expense:</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Litigation</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w w:val="92"/>
              </w:rPr>
              <w:t>Asset impairments, restructuring charges related to the Company’s cost improvement programs, and</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640"/>
              <w:spacing w:after="0"/>
              <w:rPr>
                <w:sz w:val="20"/>
                <w:szCs w:val="20"/>
                <w:color w:val="auto"/>
              </w:rPr>
            </w:pPr>
            <w:r>
              <w:rPr>
                <w:rFonts w:ascii="Arial" w:cs="Arial" w:eastAsia="Arial" w:hAnsi="Arial"/>
                <w:sz w:val="18"/>
                <w:szCs w:val="18"/>
                <w:color w:val="auto"/>
              </w:rPr>
              <w:t>the results of the acquired Oakleaf operations and related integration costs</w:t>
            </w:r>
          </w:p>
        </w:tc>
        <w:tc>
          <w:tcPr>
            <w:tcW w:w="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 from income tax related items</w:t>
            </w: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Landfill operating costs - benefit from changes in risk-free interest rates</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adjusted amounts</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146</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4"/>
          </w:tcPr>
          <w:p>
            <w:pPr>
              <w:jc w:val="center"/>
              <w:ind w:left="278"/>
              <w:spacing w:after="0"/>
              <w:rPr>
                <w:sz w:val="20"/>
                <w:szCs w:val="20"/>
                <w:color w:val="auto"/>
              </w:rPr>
            </w:pPr>
            <w:r>
              <w:rPr>
                <w:rFonts w:ascii="Arial" w:cs="Arial" w:eastAsia="Arial" w:hAnsi="Arial"/>
                <w:sz w:val="14"/>
                <w:szCs w:val="14"/>
                <w:b w:val="1"/>
                <w:bCs w:val="1"/>
                <w:color w:val="auto"/>
                <w:w w:val="88"/>
              </w:rPr>
              <w:t>Year Ended</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3"/>
          </w:tcPr>
          <w:p>
            <w:pPr>
              <w:jc w:val="center"/>
              <w:ind w:left="137"/>
              <w:spacing w:after="0"/>
              <w:rPr>
                <w:sz w:val="20"/>
                <w:szCs w:val="20"/>
                <w:color w:val="auto"/>
              </w:rPr>
            </w:pPr>
            <w:r>
              <w:rPr>
                <w:rFonts w:ascii="Arial" w:cs="Arial" w:eastAsia="Arial" w:hAnsi="Arial"/>
                <w:sz w:val="14"/>
                <w:szCs w:val="14"/>
                <w:b w:val="1"/>
                <w:bCs w:val="1"/>
                <w:color w:val="auto"/>
                <w:w w:val="88"/>
              </w:rPr>
              <w:t>Year Ended</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87"/>
              </w:rPr>
              <w:t>December 31, 2011</w:t>
            </w:r>
          </w:p>
        </w:tc>
        <w:tc>
          <w:tcPr>
            <w:tcW w:w="140" w:type="dxa"/>
            <w:vAlign w:val="bottom"/>
          </w:tcPr>
          <w:p>
            <w:pPr>
              <w:spacing w:after="0"/>
              <w:rPr>
                <w:sz w:val="14"/>
                <w:szCs w:val="14"/>
                <w:color w:val="auto"/>
              </w:rPr>
            </w:pPr>
          </w:p>
        </w:tc>
        <w:tc>
          <w:tcPr>
            <w:tcW w:w="13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7"/>
              </w:rPr>
              <w:t>December 31, 2010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3"/>
          </w:tcPr>
          <w:p>
            <w:pPr>
              <w:jc w:val="right"/>
              <w:ind w:right="500"/>
              <w:spacing w:after="0" w:line="129" w:lineRule="exact"/>
              <w:rPr>
                <w:sz w:val="20"/>
                <w:szCs w:val="20"/>
                <w:color w:val="auto"/>
              </w:rPr>
            </w:pPr>
            <w:r>
              <w:rPr>
                <w:rFonts w:ascii="Arial" w:cs="Arial" w:eastAsia="Arial" w:hAnsi="Arial"/>
                <w:sz w:val="14"/>
                <w:szCs w:val="14"/>
                <w:b w:val="1"/>
                <w:bCs w:val="1"/>
                <w:color w:val="auto"/>
                <w:w w:val="88"/>
              </w:rPr>
              <w:t>Pre-tax</w:t>
            </w: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center"/>
              <w:ind w:right="34"/>
              <w:spacing w:after="0" w:line="129" w:lineRule="exact"/>
              <w:rPr>
                <w:sz w:val="20"/>
                <w:szCs w:val="20"/>
                <w:color w:val="auto"/>
              </w:rPr>
            </w:pPr>
            <w:r>
              <w:rPr>
                <w:rFonts w:ascii="Arial" w:cs="Arial" w:eastAsia="Arial" w:hAnsi="Arial"/>
                <w:sz w:val="14"/>
                <w:szCs w:val="14"/>
                <w:b w:val="1"/>
                <w:bCs w:val="1"/>
                <w:color w:val="auto"/>
                <w:w w:val="90"/>
              </w:rPr>
              <w:t>Tax</w:t>
            </w:r>
          </w:p>
        </w:tc>
        <w:tc>
          <w:tcPr>
            <w:tcW w:w="420" w:type="dxa"/>
            <w:vAlign w:val="bottom"/>
          </w:tcPr>
          <w:p>
            <w:pPr>
              <w:spacing w:after="0"/>
              <w:rPr>
                <w:sz w:val="11"/>
                <w:szCs w:val="11"/>
                <w:color w:val="auto"/>
              </w:rPr>
            </w:pPr>
          </w:p>
        </w:tc>
        <w:tc>
          <w:tcPr>
            <w:tcW w:w="920" w:type="dxa"/>
            <w:vAlign w:val="bottom"/>
            <w:tcBorders>
              <w:top w:val="single" w:sz="8" w:color="auto"/>
            </w:tcBorders>
            <w:gridSpan w:val="3"/>
          </w:tcPr>
          <w:p>
            <w:pPr>
              <w:ind w:left="40"/>
              <w:spacing w:after="0" w:line="129" w:lineRule="exact"/>
              <w:rPr>
                <w:sz w:val="20"/>
                <w:szCs w:val="20"/>
                <w:color w:val="auto"/>
              </w:rPr>
            </w:pPr>
            <w:r>
              <w:rPr>
                <w:rFonts w:ascii="Arial" w:cs="Arial" w:eastAsia="Arial" w:hAnsi="Arial"/>
                <w:sz w:val="14"/>
                <w:szCs w:val="14"/>
                <w:b w:val="1"/>
                <w:bCs w:val="1"/>
                <w:color w:val="auto"/>
              </w:rPr>
              <w:t>Pre-tax</w:t>
            </w: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w w:val="90"/>
              </w:rPr>
              <w:t>Tax</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8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Adjusted tax expense reconciliation</w:t>
            </w:r>
          </w:p>
        </w:tc>
        <w:tc>
          <w:tcPr>
            <w:tcW w:w="80" w:type="dxa"/>
            <w:vAlign w:val="bottom"/>
          </w:tcPr>
          <w:p>
            <w:pPr>
              <w:spacing w:after="0"/>
              <w:rPr>
                <w:sz w:val="14"/>
                <w:szCs w:val="14"/>
                <w:color w:val="auto"/>
              </w:rPr>
            </w:pPr>
          </w:p>
        </w:tc>
        <w:tc>
          <w:tcPr>
            <w:tcW w:w="9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5"/>
              </w:rPr>
              <w:t>Income</w:t>
            </w:r>
          </w:p>
        </w:tc>
        <w:tc>
          <w:tcPr>
            <w:tcW w:w="10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3"/>
              </w:rPr>
              <w:t>Expense</w:t>
            </w: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Income</w:t>
            </w: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reported amounts</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1,520</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511</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$1,631</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Adjustments to Tax Expense:</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Litigation</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Restructuring</w:t>
            </w:r>
          </w:p>
        </w:tc>
        <w:tc>
          <w:tcPr>
            <w:tcW w:w="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Results of the acquired Oakleaf operations and related integration costs</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(Income) expense from divestitures, asset impairments and unusual items, net</w:t>
            </w:r>
          </w:p>
        </w:tc>
        <w:tc>
          <w:tcPr>
            <w:tcW w:w="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Landfill operating costs</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Tax items</w:t>
            </w:r>
          </w:p>
        </w:tc>
        <w:tc>
          <w:tcPr>
            <w:tcW w:w="80" w:type="dxa"/>
            <w:vAlign w:val="bottom"/>
          </w:tcPr>
          <w:p>
            <w:pPr>
              <w:spacing w:after="0"/>
              <w:rPr>
                <w:sz w:val="18"/>
                <w:szCs w:val="18"/>
                <w:color w:val="auto"/>
              </w:rPr>
            </w:pPr>
          </w:p>
        </w:tc>
        <w:tc>
          <w:tcPr>
            <w:tcW w:w="9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Multiemployer pension withdrawal costs</w:t>
            </w: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Labor disruptions</w:t>
            </w: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adjusted amounts</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535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1,666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606</w:t>
            </w:r>
          </w:p>
        </w:tc>
        <w:tc>
          <w:tcPr>
            <w:tcW w:w="0" w:type="dxa"/>
            <w:vAlign w:val="bottom"/>
          </w:tcPr>
          <w:p>
            <w:pPr>
              <w:spacing w:after="0"/>
              <w:rPr>
                <w:sz w:val="1"/>
                <w:szCs w:val="1"/>
                <w:color w:val="auto"/>
              </w:rPr>
            </w:pPr>
          </w:p>
        </w:tc>
      </w:tr>
      <w:tr>
        <w:trPr>
          <w:trHeight w:val="20"/>
        </w:trPr>
        <w:tc>
          <w:tcPr>
            <w:tcW w:w="786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8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Full Year 2012 Free Cash Flow Reconciliation (i)</w:t>
            </w: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Scenario 1</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Scenario 2</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2,500</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Capital expenditures</w:t>
            </w:r>
          </w:p>
        </w:tc>
        <w:tc>
          <w:tcPr>
            <w:tcW w:w="80" w:type="dxa"/>
            <w:vAlign w:val="bottom"/>
          </w:tcPr>
          <w:p>
            <w:pPr>
              <w:spacing w:after="0"/>
              <w:rPr>
                <w:sz w:val="18"/>
                <w:szCs w:val="18"/>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w w:val="98"/>
              </w:rPr>
              <w:t>(1,400)</w:t>
            </w:r>
          </w:p>
        </w:tc>
        <w:tc>
          <w:tcPr>
            <w:tcW w:w="1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(1,400)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1,100</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1,200</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340" w:hanging="452"/>
        <w:spacing w:after="0" w:line="268" w:lineRule="auto"/>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reconciliation illustrates two scenarios that show our projected free cash flow for 2012. The amounts used in the reconciliation are subject to many variables, some of which are not under our control and, therefore, are not necessarily indicative of actual results.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(11)</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Letter"/>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5"/>
    </w:lvl>
  </w:abstractNum>
  <w:abstractNum w:abstractNumId="12">
    <w:nsid w:val="335225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2019-12-09T09:29:40Z</dcterms:created>
  <dcterms:modified xsi:type="dcterms:W3CDTF">2019-12-09T09:29:40Z</dcterms:modified>
</cp:coreProperties>
</file>