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525145</wp:posOffset>
            </wp:positionH>
            <wp:positionV relativeFrom="page">
              <wp:posOffset>431800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page">
              <wp:posOffset>525145</wp:posOffset>
            </wp:positionH>
            <wp:positionV relativeFrom="page">
              <wp:posOffset>500380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t>UNITED STATES SECURITIES AND EXCHANGE COMMISSION</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10-K/A</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5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(Mark One)</w:t>
      </w:r>
    </w:p>
    <w:p>
      <w:pPr>
        <w:spacing w:after="0" w:line="96" w:lineRule="exact"/>
        <w:rPr>
          <w:sz w:val="24"/>
          <w:szCs w:val="24"/>
          <w:color w:val="auto"/>
        </w:rPr>
      </w:pPr>
    </w:p>
    <w:p>
      <w:pPr>
        <w:ind w:left="520" w:right="940" w:hanging="373"/>
        <w:spacing w:after="0" w:line="358" w:lineRule="auto"/>
        <w:tabs>
          <w:tab w:leader="none" w:pos="52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ANNUAL REPORT PURSUANT TO SECTION 13 OR 15(d) OF THE SECURITIES AND EXCHANGE ACT OF 1934 For the fiscal year ended December 31, 2021</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0" w:lineRule="exact"/>
        <w:rPr>
          <w:sz w:val="24"/>
          <w:szCs w:val="24"/>
          <w:color w:val="auto"/>
        </w:rPr>
      </w:pPr>
    </w:p>
    <w:p>
      <w:pPr>
        <w:ind w:left="540" w:hanging="393"/>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TRANSITION REPORT PURSUANT TO SECTION 13 OR 15(d) OF THE SECURITIES AND EXCHANGE ACT OF 1934</w:t>
      </w:r>
    </w:p>
    <w:p>
      <w:pPr>
        <w:sectPr>
          <w:pgSz w:w="11900" w:h="16838" w:orient="portrait"/>
          <w:cols w:equalWidth="0" w:num="1">
            <w:col w:w="10240"/>
          </w:cols>
          <w:pgMar w:left="820" w:top="853" w:right="839" w:bottom="1440" w:gutter="0" w:footer="0" w:header="0"/>
        </w:sectPr>
      </w:pPr>
    </w:p>
    <w:p>
      <w:pPr>
        <w:spacing w:after="0" w:line="91" w:lineRule="exact"/>
        <w:rPr>
          <w:sz w:val="24"/>
          <w:szCs w:val="24"/>
          <w:color w:val="auto"/>
        </w:rPr>
      </w:pPr>
    </w:p>
    <w:p>
      <w:pPr>
        <w:jc w:val="center"/>
        <w:ind w:left="52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112" w:lineRule="exact"/>
        <w:rPr>
          <w:sz w:val="24"/>
          <w:szCs w:val="24"/>
          <w:color w:val="auto"/>
        </w:rPr>
      </w:pPr>
    </w:p>
    <w:p>
      <w:pPr>
        <w:sectPr>
          <w:pgSz w:w="11900" w:h="16838" w:orient="portrait"/>
          <w:cols w:equalWidth="0" w:num="2">
            <w:col w:w="2860" w:space="540"/>
            <w:col w:w="6840"/>
          </w:cols>
          <w:pgMar w:left="820" w:top="853" w:right="8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1-12154</w:t>
      </w:r>
    </w:p>
    <w:p>
      <w:pPr>
        <w:sectPr>
          <w:pgSz w:w="11900" w:h="16838" w:orient="portrait"/>
          <w:cols w:equalWidth="0" w:num="1">
            <w:col w:w="10240"/>
          </w:cols>
          <w:pgMar w:left="820" w:top="853" w:right="839" w:bottom="1440" w:gutter="0" w:footer="0" w:header="0"/>
          <w:type w:val="continuous"/>
        </w:sectPr>
      </w:pP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Waste Management, Inc.</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(Exact name of registrant as specified in its charter)</w:t>
      </w:r>
    </w:p>
    <w:p>
      <w:pPr>
        <w:spacing w:after="0" w:line="47" w:lineRule="exact"/>
        <w:rPr>
          <w:sz w:val="24"/>
          <w:szCs w:val="24"/>
          <w:color w:val="auto"/>
        </w:rPr>
      </w:pPr>
    </w:p>
    <w:tbl>
      <w:tblPr>
        <w:tblLayout w:type="fixed"/>
        <w:tblInd w:w="26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2400" w:type="dxa"/>
            <w:vAlign w:val="bottom"/>
            <w:gridSpan w:val="2"/>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820" w:type="dxa"/>
            <w:vAlign w:val="bottom"/>
          </w:tcPr>
          <w:p>
            <w:pPr>
              <w:jc w:val="right"/>
              <w:ind w:right="1828"/>
              <w:spacing w:after="0"/>
              <w:rPr>
                <w:sz w:val="20"/>
                <w:szCs w:val="20"/>
                <w:color w:val="auto"/>
              </w:rPr>
            </w:pPr>
            <w:r>
              <w:rPr>
                <w:rFonts w:ascii="Times New Roman" w:cs="Times New Roman" w:eastAsia="Times New Roman" w:hAnsi="Times New Roman"/>
                <w:sz w:val="14"/>
                <w:szCs w:val="14"/>
                <w:b w:val="1"/>
                <w:bCs w:val="1"/>
                <w:color w:val="auto"/>
              </w:rPr>
              <w:t>73-1309529</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2400" w:type="dxa"/>
            <w:vAlign w:val="bottom"/>
            <w:gridSpan w:val="2"/>
          </w:tcPr>
          <w:p>
            <w:pPr>
              <w:jc w:val="center"/>
              <w:ind w:left="388"/>
              <w:spacing w:after="0" w:line="149" w:lineRule="exact"/>
              <w:rPr>
                <w:sz w:val="20"/>
                <w:szCs w:val="20"/>
                <w:color w:val="auto"/>
              </w:rPr>
            </w:pPr>
            <w:r>
              <w:rPr>
                <w:rFonts w:ascii="Times New Roman" w:cs="Times New Roman" w:eastAsia="Times New Roman" w:hAnsi="Times New Roman"/>
                <w:sz w:val="14"/>
                <w:szCs w:val="14"/>
                <w:i w:val="1"/>
                <w:iCs w:val="1"/>
                <w:color w:val="auto"/>
              </w:rPr>
              <w:t>(State or other jurisdiction of</w:t>
            </w: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820" w:type="dxa"/>
            <w:vAlign w:val="bottom"/>
          </w:tcPr>
          <w:p>
            <w:pPr>
              <w:jc w:val="center"/>
              <w:ind w:right="1628"/>
              <w:spacing w:after="0" w:line="149" w:lineRule="exact"/>
              <w:rPr>
                <w:sz w:val="20"/>
                <w:szCs w:val="20"/>
                <w:color w:val="auto"/>
              </w:rPr>
            </w:pPr>
            <w:r>
              <w:rPr>
                <w:rFonts w:ascii="Times New Roman" w:cs="Times New Roman" w:eastAsia="Times New Roman" w:hAnsi="Times New Roman"/>
                <w:sz w:val="14"/>
                <w:szCs w:val="14"/>
                <w:i w:val="1"/>
                <w:iCs w:val="1"/>
                <w:color w:val="auto"/>
              </w:rPr>
              <w:t>(I.R.S. Employer</w:t>
            </w:r>
          </w:p>
        </w:tc>
        <w:tc>
          <w:tcPr>
            <w:tcW w:w="0" w:type="dxa"/>
            <w:vAlign w:val="bottom"/>
          </w:tcPr>
          <w:p>
            <w:pPr>
              <w:spacing w:after="0"/>
              <w:rPr>
                <w:sz w:val="1"/>
                <w:szCs w:val="1"/>
                <w:color w:val="auto"/>
              </w:rPr>
            </w:pPr>
          </w:p>
        </w:tc>
      </w:tr>
      <w:tr>
        <w:trPr>
          <w:trHeight w:val="190"/>
        </w:trPr>
        <w:tc>
          <w:tcPr>
            <w:tcW w:w="880" w:type="dxa"/>
            <w:vAlign w:val="bottom"/>
          </w:tcPr>
          <w:p>
            <w:pPr>
              <w:spacing w:after="0"/>
              <w:rPr>
                <w:sz w:val="16"/>
                <w:szCs w:val="16"/>
                <w:color w:val="auto"/>
              </w:rPr>
            </w:pPr>
          </w:p>
        </w:tc>
        <w:tc>
          <w:tcPr>
            <w:tcW w:w="2400" w:type="dxa"/>
            <w:vAlign w:val="bottom"/>
            <w:gridSpan w:val="2"/>
          </w:tcPr>
          <w:p>
            <w:pPr>
              <w:jc w:val="center"/>
              <w:ind w:left="388"/>
              <w:spacing w:after="0"/>
              <w:rPr>
                <w:sz w:val="20"/>
                <w:szCs w:val="20"/>
                <w:color w:val="auto"/>
              </w:rPr>
            </w:pPr>
            <w:r>
              <w:rPr>
                <w:rFonts w:ascii="Times New Roman" w:cs="Times New Roman" w:eastAsia="Times New Roman" w:hAnsi="Times New Roman"/>
                <w:sz w:val="14"/>
                <w:szCs w:val="14"/>
                <w:i w:val="1"/>
                <w:iCs w:val="1"/>
                <w:color w:val="auto"/>
              </w:rPr>
              <w:t>incorporation or organization)</w:t>
            </w: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820" w:type="dxa"/>
            <w:vAlign w:val="bottom"/>
          </w:tcPr>
          <w:p>
            <w:pPr>
              <w:jc w:val="center"/>
              <w:ind w:right="1608"/>
              <w:spacing w:after="0"/>
              <w:rPr>
                <w:sz w:val="20"/>
                <w:szCs w:val="20"/>
                <w:color w:val="auto"/>
              </w:rPr>
            </w:pPr>
            <w:r>
              <w:rPr>
                <w:rFonts w:ascii="Times New Roman" w:cs="Times New Roman" w:eastAsia="Times New Roman" w:hAnsi="Times New Roman"/>
                <w:sz w:val="14"/>
                <w:szCs w:val="14"/>
                <w:i w:val="1"/>
                <w:iCs w:val="1"/>
                <w:color w:val="auto"/>
              </w:rPr>
              <w:t>Identification No.)</w:t>
            </w:r>
          </w:p>
        </w:tc>
        <w:tc>
          <w:tcPr>
            <w:tcW w:w="0" w:type="dxa"/>
            <w:vAlign w:val="bottom"/>
          </w:tcPr>
          <w:p>
            <w:pPr>
              <w:spacing w:after="0"/>
              <w:rPr>
                <w:sz w:val="1"/>
                <w:szCs w:val="1"/>
                <w:color w:val="auto"/>
              </w:rPr>
            </w:pPr>
          </w:p>
        </w:tc>
      </w:tr>
      <w:tr>
        <w:trPr>
          <w:trHeight w:val="201"/>
        </w:trPr>
        <w:tc>
          <w:tcPr>
            <w:tcW w:w="880" w:type="dxa"/>
            <w:vAlign w:val="bottom"/>
          </w:tcPr>
          <w:p>
            <w:pPr>
              <w:spacing w:after="0"/>
              <w:rPr>
                <w:sz w:val="17"/>
                <w:szCs w:val="17"/>
                <w:color w:val="auto"/>
              </w:rPr>
            </w:pPr>
          </w:p>
        </w:tc>
        <w:tc>
          <w:tcPr>
            <w:tcW w:w="2400" w:type="dxa"/>
            <w:vAlign w:val="bottom"/>
            <w:gridSpan w:val="2"/>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800 Capitol Street</w:t>
            </w: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2400" w:type="dxa"/>
            <w:vAlign w:val="bottom"/>
            <w:gridSpan w:val="2"/>
          </w:tcPr>
          <w:p>
            <w:pPr>
              <w:jc w:val="center"/>
              <w:ind w:left="408"/>
              <w:spacing w:after="0" w:line="149" w:lineRule="exact"/>
              <w:rPr>
                <w:sz w:val="20"/>
                <w:szCs w:val="20"/>
                <w:color w:val="auto"/>
              </w:rPr>
            </w:pPr>
            <w:r>
              <w:rPr>
                <w:rFonts w:ascii="Times New Roman" w:cs="Times New Roman" w:eastAsia="Times New Roman" w:hAnsi="Times New Roman"/>
                <w:sz w:val="14"/>
                <w:szCs w:val="14"/>
                <w:b w:val="1"/>
                <w:bCs w:val="1"/>
                <w:color w:val="auto"/>
              </w:rPr>
              <w:t>Suite 3000</w:t>
            </w: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820" w:type="dxa"/>
            <w:vAlign w:val="bottom"/>
            <w:vMerge w:val="restart"/>
          </w:tcPr>
          <w:p>
            <w:pPr>
              <w:jc w:val="right"/>
              <w:ind w:right="2008"/>
              <w:spacing w:after="0"/>
              <w:rPr>
                <w:sz w:val="20"/>
                <w:szCs w:val="20"/>
                <w:color w:val="auto"/>
              </w:rPr>
            </w:pPr>
            <w:r>
              <w:rPr>
                <w:rFonts w:ascii="Times New Roman" w:cs="Times New Roman" w:eastAsia="Times New Roman" w:hAnsi="Times New Roman"/>
                <w:sz w:val="14"/>
                <w:szCs w:val="14"/>
                <w:b w:val="1"/>
                <w:bCs w:val="1"/>
                <w:color w:val="auto"/>
              </w:rPr>
              <w:t>77002</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2400" w:type="dxa"/>
            <w:vAlign w:val="bottom"/>
            <w:gridSpan w:val="2"/>
          </w:tcPr>
          <w:p>
            <w:pPr>
              <w:jc w:val="center"/>
              <w:ind w:left="388"/>
              <w:spacing w:after="0" w:line="149" w:lineRule="exact"/>
              <w:rPr>
                <w:sz w:val="20"/>
                <w:szCs w:val="20"/>
                <w:color w:val="auto"/>
              </w:rPr>
            </w:pPr>
            <w:r>
              <w:rPr>
                <w:rFonts w:ascii="Times New Roman" w:cs="Times New Roman" w:eastAsia="Times New Roman" w:hAnsi="Times New Roman"/>
                <w:sz w:val="14"/>
                <w:szCs w:val="14"/>
                <w:b w:val="1"/>
                <w:bCs w:val="1"/>
                <w:color w:val="auto"/>
              </w:rPr>
              <w:t>Houston, Texas</w:t>
            </w: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80" w:type="dxa"/>
            <w:vAlign w:val="bottom"/>
          </w:tcPr>
          <w:p>
            <w:pPr>
              <w:spacing w:after="0"/>
              <w:rPr>
                <w:sz w:val="16"/>
                <w:szCs w:val="16"/>
                <w:color w:val="auto"/>
              </w:rPr>
            </w:pPr>
          </w:p>
        </w:tc>
        <w:tc>
          <w:tcPr>
            <w:tcW w:w="5980" w:type="dxa"/>
            <w:vAlign w:val="bottom"/>
            <w:gridSpan w:val="5"/>
          </w:tcPr>
          <w:p>
            <w:pPr>
              <w:jc w:val="center"/>
              <w:ind w:right="312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2820" w:type="dxa"/>
            <w:vAlign w:val="bottom"/>
          </w:tcPr>
          <w:p>
            <w:pPr>
              <w:jc w:val="center"/>
              <w:ind w:right="1628"/>
              <w:spacing w:after="0"/>
              <w:rPr>
                <w:sz w:val="20"/>
                <w:szCs w:val="20"/>
                <w:color w:val="auto"/>
              </w:rPr>
            </w:pPr>
            <w:r>
              <w:rPr>
                <w:rFonts w:ascii="Times New Roman" w:cs="Times New Roman" w:eastAsia="Times New Roman" w:hAnsi="Times New Roman"/>
                <w:sz w:val="14"/>
                <w:szCs w:val="14"/>
                <w:i w:val="1"/>
                <w:iCs w:val="1"/>
                <w:color w:val="auto"/>
              </w:rPr>
              <w:t>(Zip code)</w:t>
            </w:r>
          </w:p>
        </w:tc>
        <w:tc>
          <w:tcPr>
            <w:tcW w:w="0" w:type="dxa"/>
            <w:vAlign w:val="bottom"/>
          </w:tcPr>
          <w:p>
            <w:pPr>
              <w:spacing w:after="0"/>
              <w:rPr>
                <w:sz w:val="1"/>
                <w:szCs w:val="1"/>
                <w:color w:val="auto"/>
              </w:rPr>
            </w:pPr>
          </w:p>
        </w:tc>
      </w:tr>
      <w:tr>
        <w:trPr>
          <w:trHeight w:val="188"/>
        </w:trPr>
        <w:tc>
          <w:tcPr>
            <w:tcW w:w="8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58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80" w:type="dxa"/>
            <w:vAlign w:val="bottom"/>
            <w:gridSpan w:val="2"/>
          </w:tcPr>
          <w:p>
            <w:pPr>
              <w:jc w:val="center"/>
              <w:ind w:left="1028"/>
              <w:spacing w:after="0"/>
              <w:rPr>
                <w:sz w:val="20"/>
                <w:szCs w:val="20"/>
                <w:color w:val="auto"/>
              </w:rPr>
            </w:pPr>
            <w:r>
              <w:rPr>
                <w:rFonts w:ascii="Times New Roman" w:cs="Times New Roman" w:eastAsia="Times New Roman" w:hAnsi="Times New Roman"/>
                <w:sz w:val="14"/>
                <w:szCs w:val="14"/>
                <w:b w:val="1"/>
                <w:bCs w:val="1"/>
                <w:color w:val="auto"/>
              </w:rPr>
              <w:t>(713) 512-6200</w:t>
            </w:r>
          </w:p>
        </w:tc>
        <w:tc>
          <w:tcPr>
            <w:tcW w:w="15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20" w:type="dxa"/>
            <w:vAlign w:val="bottom"/>
            <w:gridSpan w:val="4"/>
          </w:tcPr>
          <w:p>
            <w:pPr>
              <w:jc w:val="center"/>
              <w:ind w:left="748"/>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80" w:type="dxa"/>
            <w:vAlign w:val="bottom"/>
          </w:tcPr>
          <w:p>
            <w:pPr>
              <w:spacing w:after="0"/>
              <w:rPr>
                <w:sz w:val="18"/>
                <w:szCs w:val="18"/>
                <w:color w:val="auto"/>
              </w:rPr>
            </w:pPr>
          </w:p>
        </w:tc>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500" w:type="dxa"/>
            <w:vAlign w:val="bottom"/>
          </w:tcPr>
          <w:p>
            <w:pPr>
              <w:spacing w:after="0"/>
              <w:rPr>
                <w:sz w:val="18"/>
                <w:szCs w:val="18"/>
                <w:color w:val="auto"/>
              </w:rPr>
            </w:pPr>
          </w:p>
        </w:tc>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2"/>
        </w:trPr>
        <w:tc>
          <w:tcPr>
            <w:tcW w:w="20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Common Stock, $0.01 par</w:t>
            </w:r>
          </w:p>
        </w:tc>
        <w:tc>
          <w:tcPr>
            <w:tcW w:w="1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value</w:t>
            </w:r>
          </w:p>
        </w:tc>
        <w:tc>
          <w:tcPr>
            <w:tcW w:w="1080" w:type="dxa"/>
            <w:vAlign w:val="bottom"/>
          </w:tcPr>
          <w:p>
            <w:pPr>
              <w:spacing w:after="0"/>
              <w:rPr>
                <w:sz w:val="15"/>
                <w:szCs w:val="15"/>
                <w:color w:val="auto"/>
              </w:rPr>
            </w:pPr>
          </w:p>
        </w:tc>
        <w:tc>
          <w:tcPr>
            <w:tcW w:w="2500" w:type="dxa"/>
            <w:vAlign w:val="bottom"/>
            <w:gridSpan w:val="2"/>
          </w:tcPr>
          <w:p>
            <w:pPr>
              <w:jc w:val="center"/>
              <w:ind w:right="1520"/>
              <w:spacing w:after="0"/>
              <w:rPr>
                <w:sz w:val="20"/>
                <w:szCs w:val="20"/>
                <w:color w:val="auto"/>
              </w:rPr>
            </w:pPr>
            <w:r>
              <w:rPr>
                <w:rFonts w:ascii="Times New Roman" w:cs="Times New Roman" w:eastAsia="Times New Roman" w:hAnsi="Times New Roman"/>
                <w:sz w:val="14"/>
                <w:szCs w:val="14"/>
                <w:color w:val="auto"/>
              </w:rPr>
              <w:t>WM</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r>
        <w:trPr>
          <w:trHeight w:val="234"/>
        </w:trPr>
        <w:tc>
          <w:tcPr>
            <w:tcW w:w="68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by Rule 405 of the Securities Act.</w:t>
            </w:r>
          </w:p>
        </w:tc>
        <w:tc>
          <w:tcPr>
            <w:tcW w:w="2820" w:type="dxa"/>
            <w:vAlign w:val="bottom"/>
          </w:tcPr>
          <w:p>
            <w:pPr>
              <w:ind w:left="4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260"/>
        <w:spacing w:after="0" w:line="161" w:lineRule="exact"/>
        <w:tabs>
          <w:tab w:leader="none" w:pos="7720" w:val="left"/>
        </w:tabs>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105" w:lineRule="exact"/>
        <w:rPr>
          <w:sz w:val="24"/>
          <w:szCs w:val="24"/>
          <w:color w:val="auto"/>
        </w:rPr>
      </w:pPr>
    </w:p>
    <w:p>
      <w:pPr>
        <w:jc w:val="both"/>
        <w:ind w:left="20" w:firstLine="259"/>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80"/>
        <w:spacing w:after="0" w:line="161" w:lineRule="exact"/>
        <w:tabs>
          <w:tab w:leader="none" w:pos="56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71"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Regulations S-T (§</w:t>
      </w:r>
    </w:p>
    <w:p>
      <w:pPr>
        <w:spacing w:after="0" w:line="12" w:lineRule="exact"/>
        <w:rPr>
          <w:sz w:val="24"/>
          <w:szCs w:val="24"/>
          <w:color w:val="auto"/>
        </w:rPr>
      </w:pPr>
    </w:p>
    <w:p>
      <w:pPr>
        <w:ind w:left="20"/>
        <w:spacing w:after="0" w:line="161" w:lineRule="exact"/>
        <w:tabs>
          <w:tab w:leader="none" w:pos="8960" w:val="left"/>
        </w:tabs>
        <w:rPr>
          <w:sz w:val="20"/>
          <w:szCs w:val="20"/>
          <w:color w:val="auto"/>
        </w:rPr>
      </w:pPr>
      <w:r>
        <w:rPr>
          <w:rFonts w:ascii="Times New Roman" w:cs="Times New Roman" w:eastAsia="Times New Roman" w:hAnsi="Times New Roman"/>
          <w:sz w:val="14"/>
          <w:szCs w:val="14"/>
          <w:color w:val="auto"/>
        </w:rPr>
        <w:t xml:space="preserve">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71" w:lineRule="exact"/>
        <w:rPr>
          <w:sz w:val="24"/>
          <w:szCs w:val="24"/>
          <w:color w:val="auto"/>
        </w:rPr>
      </w:pPr>
    </w:p>
    <w:p>
      <w:pPr>
        <w:ind w:left="20" w:right="20" w:firstLine="259"/>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820" w:top="853" w:right="839" w:bottom="1440" w:gutter="0" w:footer="0" w:header="0"/>
          <w:type w:val="continuous"/>
        </w:sectPr>
      </w:pPr>
    </w:p>
    <w:p>
      <w:pPr>
        <w:spacing w:after="0" w:line="45" w:lineRule="exact"/>
        <w:rPr>
          <w:sz w:val="24"/>
          <w:szCs w:val="24"/>
          <w:color w:val="auto"/>
        </w:rPr>
      </w:pPr>
    </w:p>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54" w:lineRule="exact"/>
        <w:rPr>
          <w:sz w:val="24"/>
          <w:szCs w:val="24"/>
          <w:color w:val="auto"/>
        </w:rPr>
      </w:pPr>
    </w:p>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620"/>
        <w:spacing w:after="0" w:line="16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5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15" w:lineRule="exact"/>
        <w:rPr>
          <w:sz w:val="24"/>
          <w:szCs w:val="24"/>
          <w:color w:val="auto"/>
        </w:rPr>
      </w:pPr>
    </w:p>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80" w:lineRule="exact"/>
        <w:rPr>
          <w:sz w:val="24"/>
          <w:szCs w:val="24"/>
          <w:color w:val="auto"/>
        </w:rPr>
      </w:pPr>
    </w:p>
    <w:p>
      <w:pPr>
        <w:sectPr>
          <w:pgSz w:w="11900" w:h="16838" w:orient="portrait"/>
          <w:cols w:equalWidth="0" w:num="2">
            <w:col w:w="7760" w:space="720"/>
            <w:col w:w="1760"/>
          </w:cols>
          <w:pgMar w:left="820" w:top="853" w:right="839" w:bottom="1440" w:gutter="0" w:footer="0" w:header="0"/>
          <w:type w:val="continuous"/>
        </w:sectPr>
      </w:pPr>
    </w:p>
    <w:p>
      <w:pPr>
        <w:jc w:val="both"/>
        <w:ind w:left="20" w:firstLine="259"/>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1" w:lineRule="exact"/>
        <w:rPr>
          <w:sz w:val="24"/>
          <w:szCs w:val="24"/>
          <w:color w:val="auto"/>
        </w:rPr>
      </w:pPr>
    </w:p>
    <w:p>
      <w:pPr>
        <w:jc w:val="both"/>
        <w:ind w:left="20" w:right="20" w:firstLine="259"/>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32" w:lineRule="exact"/>
        <w:rPr>
          <w:sz w:val="24"/>
          <w:szCs w:val="24"/>
          <w:color w:val="auto"/>
        </w:rPr>
      </w:pPr>
    </w:p>
    <w:p>
      <w:pPr>
        <w:ind w:left="26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05" w:lineRule="exact"/>
        <w:rPr>
          <w:sz w:val="24"/>
          <w:szCs w:val="24"/>
          <w:color w:val="auto"/>
        </w:rPr>
      </w:pPr>
    </w:p>
    <w:p>
      <w:pPr>
        <w:jc w:val="both"/>
        <w:ind w:left="20" w:firstLine="259"/>
        <w:spacing w:after="0" w:line="241" w:lineRule="auto"/>
        <w:rPr>
          <w:sz w:val="20"/>
          <w:szCs w:val="20"/>
          <w:color w:val="auto"/>
        </w:rPr>
      </w:pPr>
      <w:r>
        <w:rPr>
          <w:rFonts w:ascii="Times New Roman" w:cs="Times New Roman" w:eastAsia="Times New Roman" w:hAnsi="Times New Roman"/>
          <w:sz w:val="14"/>
          <w:szCs w:val="14"/>
          <w:color w:val="auto"/>
        </w:rPr>
        <w:t>The aggregate market value of the voting stock held by non-affiliates of the registrant as of June 30, 2021 was approximately $58.9 billion. The aggregate market value was computed by using the closing price of the common stock as of that date on the New York Stock Exchange (“NYSE”). (For purposes of calculating this amount only, all directors and executive officers of the registrant have been treated as affiliates.)</w:t>
      </w:r>
    </w:p>
    <w:p>
      <w:pPr>
        <w:spacing w:after="0" w:line="4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The number of shares of Common Stock, $0.01 par value, of the registrant outstanding as of February 9, 2022 was 414,586,718 (excluding treasury shares of 215,695,743).</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720" w:type="dxa"/>
            <w:vAlign w:val="bottom"/>
            <w:gridSpan w:val="2"/>
          </w:tcPr>
          <w:p>
            <w:pPr>
              <w:jc w:val="center"/>
              <w:ind w:right="1013"/>
              <w:spacing w:after="0"/>
              <w:rPr>
                <w:sz w:val="20"/>
                <w:szCs w:val="20"/>
                <w:color w:val="auto"/>
              </w:rPr>
            </w:pPr>
            <w:r>
              <w:rPr>
                <w:rFonts w:ascii="Times New Roman" w:cs="Times New Roman" w:eastAsia="Times New Roman" w:hAnsi="Times New Roman"/>
                <w:sz w:val="14"/>
                <w:szCs w:val="14"/>
                <w:b w:val="1"/>
                <w:bCs w:val="1"/>
                <w:color w:val="auto"/>
              </w:rPr>
              <w:t>Document</w:t>
            </w:r>
          </w:p>
        </w:tc>
        <w:tc>
          <w:tcPr>
            <w:tcW w:w="2680" w:type="dxa"/>
            <w:vAlign w:val="bottom"/>
          </w:tcPr>
          <w:p>
            <w:pPr>
              <w:spacing w:after="0"/>
              <w:rPr>
                <w:sz w:val="13"/>
                <w:szCs w:val="13"/>
                <w:color w:val="auto"/>
              </w:rPr>
            </w:pPr>
          </w:p>
        </w:tc>
        <w:tc>
          <w:tcPr>
            <w:tcW w:w="3640" w:type="dxa"/>
            <w:vAlign w:val="bottom"/>
            <w:gridSpan w:val="3"/>
          </w:tcPr>
          <w:p>
            <w:pPr>
              <w:jc w:val="center"/>
              <w:ind w:right="1380"/>
              <w:spacing w:after="0"/>
              <w:rPr>
                <w:sz w:val="20"/>
                <w:szCs w:val="20"/>
                <w:color w:val="auto"/>
              </w:rPr>
            </w:pPr>
            <w:r>
              <w:rPr>
                <w:rFonts w:ascii="Times New Roman" w:cs="Times New Roman" w:eastAsia="Times New Roman" w:hAnsi="Times New Roman"/>
                <w:sz w:val="14"/>
                <w:szCs w:val="14"/>
                <w:b w:val="1"/>
                <w:bCs w:val="1"/>
                <w:color w:val="auto"/>
              </w:rPr>
              <w:t>Incorporated as to</w:t>
            </w:r>
          </w:p>
        </w:tc>
      </w:tr>
      <w:tr>
        <w:trPr>
          <w:trHeight w:val="119"/>
        </w:trPr>
        <w:tc>
          <w:tcPr>
            <w:tcW w:w="20" w:type="dxa"/>
            <w:vAlign w:val="bottom"/>
          </w:tcPr>
          <w:p>
            <w:pPr>
              <w:spacing w:after="0"/>
              <w:rPr>
                <w:sz w:val="10"/>
                <w:szCs w:val="10"/>
                <w:color w:val="auto"/>
              </w:rPr>
            </w:pPr>
          </w:p>
        </w:tc>
        <w:tc>
          <w:tcPr>
            <w:tcW w:w="2180" w:type="dxa"/>
            <w:vAlign w:val="bottom"/>
          </w:tcPr>
          <w:p>
            <w:pPr>
              <w:ind w:left="1820"/>
              <w:spacing w:after="0" w:line="119" w:lineRule="exact"/>
              <w:rPr>
                <w:sz w:val="20"/>
                <w:szCs w:val="20"/>
                <w:color w:val="auto"/>
              </w:rPr>
            </w:pPr>
            <w:r>
              <w:rPr>
                <w:rFonts w:ascii="Times New Roman" w:cs="Times New Roman" w:eastAsia="Times New Roman" w:hAnsi="Times New Roman"/>
                <w:sz w:val="13"/>
                <w:szCs w:val="13"/>
                <w:color w:val="auto"/>
              </w:rPr>
              <w:t>Proxy</w:t>
            </w:r>
          </w:p>
        </w:tc>
        <w:tc>
          <w:tcPr>
            <w:tcW w:w="64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Statement</w:t>
            </w:r>
          </w:p>
        </w:tc>
        <w:tc>
          <w:tcPr>
            <w:tcW w:w="108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for the</w:t>
            </w:r>
          </w:p>
        </w:tc>
        <w:tc>
          <w:tcPr>
            <w:tcW w:w="2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4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Part III</w:t>
            </w:r>
          </w:p>
        </w:tc>
        <w:tc>
          <w:tcPr>
            <w:tcW w:w="194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3900" w:type="dxa"/>
            <w:vAlign w:val="bottom"/>
            <w:tcBorders>
              <w:bottom w:val="single" w:sz="8" w:color="auto"/>
            </w:tcBorders>
            <w:gridSpan w:val="3"/>
          </w:tcPr>
          <w:p>
            <w:pPr>
              <w:jc w:val="center"/>
              <w:ind w:left="1033"/>
              <w:spacing w:after="0"/>
              <w:rPr>
                <w:sz w:val="20"/>
                <w:szCs w:val="20"/>
                <w:color w:val="auto"/>
              </w:rPr>
            </w:pPr>
            <w:r>
              <w:rPr>
                <w:rFonts w:ascii="Times New Roman" w:cs="Times New Roman" w:eastAsia="Times New Roman" w:hAnsi="Times New Roman"/>
                <w:sz w:val="14"/>
                <w:szCs w:val="14"/>
                <w:color w:val="auto"/>
              </w:rPr>
              <w:t>2022 Annual Meeting of Stockholders</w:t>
            </w:r>
          </w:p>
        </w:tc>
        <w:tc>
          <w:tcPr>
            <w:tcW w:w="26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spacing w:after="0"/>
              <w:rPr>
                <w:sz w:val="14"/>
                <w:szCs w:val="14"/>
                <w:color w:val="auto"/>
              </w:rPr>
            </w:pPr>
          </w:p>
        </w:tc>
      </w:tr>
      <w:tr>
        <w:trPr>
          <w:trHeight w:val="248"/>
        </w:trPr>
        <w:tc>
          <w:tcPr>
            <w:tcW w:w="20" w:type="dxa"/>
            <w:vAlign w:val="bottom"/>
          </w:tcPr>
          <w:p>
            <w:pPr>
              <w:spacing w:after="0"/>
              <w:rPr>
                <w:sz w:val="21"/>
                <w:szCs w:val="21"/>
                <w:color w:val="auto"/>
              </w:rPr>
            </w:pPr>
          </w:p>
        </w:tc>
        <w:tc>
          <w:tcPr>
            <w:tcW w:w="3900" w:type="dxa"/>
            <w:vAlign w:val="bottom"/>
            <w:gridSpan w:val="3"/>
          </w:tcPr>
          <w:p>
            <w:pPr>
              <w:ind w:left="760"/>
              <w:spacing w:after="0"/>
              <w:rPr>
                <w:sz w:val="20"/>
                <w:szCs w:val="20"/>
                <w:color w:val="auto"/>
              </w:rPr>
            </w:pPr>
            <w:r>
              <w:rPr>
                <w:rFonts w:ascii="Times New Roman" w:cs="Times New Roman" w:eastAsia="Times New Roman" w:hAnsi="Times New Roman"/>
                <w:sz w:val="13"/>
                <w:szCs w:val="13"/>
                <w:b w:val="1"/>
                <w:bCs w:val="1"/>
                <w:color w:val="auto"/>
              </w:rPr>
              <w:t xml:space="preserve">Auditor Name: </w:t>
            </w:r>
            <w:r>
              <w:rPr>
                <w:rFonts w:ascii="Times New Roman" w:cs="Times New Roman" w:eastAsia="Times New Roman" w:hAnsi="Times New Roman"/>
                <w:sz w:val="13"/>
                <w:szCs w:val="13"/>
                <w:color w:val="auto"/>
              </w:rPr>
              <w:t>Ernst &amp; Young LLP</w:t>
            </w:r>
          </w:p>
        </w:tc>
        <w:tc>
          <w:tcPr>
            <w:tcW w:w="268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 xml:space="preserve">Auditor Location: </w:t>
            </w:r>
            <w:r>
              <w:rPr>
                <w:rFonts w:ascii="Times New Roman" w:cs="Times New Roman" w:eastAsia="Times New Roman" w:hAnsi="Times New Roman"/>
                <w:sz w:val="13"/>
                <w:szCs w:val="13"/>
                <w:color w:val="auto"/>
              </w:rPr>
              <w:t>Houston, Texas</w:t>
            </w:r>
          </w:p>
        </w:tc>
        <w:tc>
          <w:tcPr>
            <w:tcW w:w="560" w:type="dxa"/>
            <w:vAlign w:val="bottom"/>
          </w:tcPr>
          <w:p>
            <w:pPr>
              <w:spacing w:after="0"/>
              <w:rPr>
                <w:sz w:val="21"/>
                <w:szCs w:val="21"/>
                <w:color w:val="auto"/>
              </w:rPr>
            </w:pPr>
          </w:p>
        </w:tc>
        <w:tc>
          <w:tcPr>
            <w:tcW w:w="3080" w:type="dxa"/>
            <w:vAlign w:val="bottom"/>
            <w:gridSpan w:val="2"/>
          </w:tcPr>
          <w:p>
            <w:pPr>
              <w:ind w:left="800"/>
              <w:spacing w:after="0"/>
              <w:rPr>
                <w:sz w:val="20"/>
                <w:szCs w:val="20"/>
                <w:color w:val="auto"/>
              </w:rPr>
            </w:pPr>
            <w:r>
              <w:rPr>
                <w:rFonts w:ascii="Times New Roman" w:cs="Times New Roman" w:eastAsia="Times New Roman" w:hAnsi="Times New Roman"/>
                <w:sz w:val="13"/>
                <w:szCs w:val="13"/>
                <w:b w:val="1"/>
                <w:bCs w:val="1"/>
                <w:color w:val="auto"/>
              </w:rPr>
              <w:t xml:space="preserve">Auditor Firm ID: </w:t>
            </w:r>
            <w:r>
              <w:rPr>
                <w:rFonts w:ascii="Times New Roman" w:cs="Times New Roman" w:eastAsia="Times New Roman" w:hAnsi="Times New Roman"/>
                <w:sz w:val="13"/>
                <w:szCs w:val="13"/>
                <w:color w:val="auto"/>
              </w:rPr>
              <w:t>42</w:t>
            </w:r>
          </w:p>
        </w:tc>
      </w:tr>
      <w:tr>
        <w:trPr>
          <w:trHeight w:val="131"/>
        </w:trPr>
        <w:tc>
          <w:tcPr>
            <w:tcW w:w="2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26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r>
      <w:tr>
        <w:trPr>
          <w:trHeight w:val="776"/>
        </w:trPr>
        <w:tc>
          <w:tcPr>
            <w:tcW w:w="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853" w:right="8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This Amendment No. 1 on Form 10-K/A (“Form 10-K/A”) to our Annual Report on Form 10-K for the fiscal year ended December 31, 2021, initially filed with the Securities and Exchange Commission on February 15, 2022 (the “Original 2021 Form 10-K”), is being filed solely to revise Part II, Item 9A “Controls and Procedures” in response to a comment received from the staff of the Securities and Exchange Commission’s Division of Corporation Finance. This Form 10-K/A amends and restates in its entirety Part II, Item 9A of the Original 2021 Form 10-K. Except as stated above, this Form 10-K/A does not reflect events occurring after the Original 2021 Form 10-K and does not modify or update in any way the disclosures contained in the Original 2021 Form 10-K. Accordingly, this Form 10-K/A should be read in conjunction with the Original 2021 Form 10-K.</w:t>
      </w:r>
    </w:p>
    <w:p>
      <w:pPr>
        <w:spacing w:after="0" w:line="19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In addition, pursuant to Rule 12b-15 under the Securities Exchange Act of 1934, as amended, new certifications by the Company’s principal executive officer and principal financial officer have been included as exhibits to this Form 10-K/A.</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19" w:right="1440" w:bottom="1440" w:gutter="0" w:footer="0" w:header="0"/>
        </w:sectPr>
      </w:pPr>
    </w:p>
    <w:bookmarkStart w:id="2" w:name="page3"/>
    <w:bookmarkEnd w:id="2"/>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Effectiveness of Controls and Procedures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and financial officers, has evaluated the effectiveness of our disclosure controls and procedures (as defined in Rules 13a-15(e) and 15d-15(e) of the Securities Exchange Act of 1934, as amended)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December 31, 2021 (the end of the period covered by this Annual Report on Form 10-K) at a reasonable assurance level.</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Management of the Company, including the principal executive and financial officers, is responsible for establishing and maintaining adequate internal control over financial reporting, as defined in Rules 13a-15(f) and 15d-15(f) of the Securities Exchange Act of 1934, as amended. Our management conducted an evaluation of the effectiveness of our internal control over financial reporting based on the 2013 framework in Internal Control—Integrated Framework issued by the Committee of Sponsoring Organizations of the Treadway Commission (the COSO criteria). Our internal controls are designed to provide reasonable assurance as to the reliability of our financial reporting and the preparation of the consolidated financial statements for external purposes in accordance with accounting principles generally accepted in the United States and includes those policies and procedures that:</w:t>
      </w:r>
    </w:p>
    <w:p>
      <w:pPr>
        <w:spacing w:after="0" w:line="192" w:lineRule="exact"/>
        <w:rPr>
          <w:sz w:val="20"/>
          <w:szCs w:val="20"/>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79"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6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Management of the Company assessed the effectiveness of our internal control over financial reporting as of December 31, 2021 based on the 2013 framework in Internal Control—Integrated Framework issued by the Committee of Sponsoring Organizations of the Treadway Commission (the COSO criteria). Based on this assessment, management has concluded that our internal control over financial reporting was effective as of December 31, 2021.</w:t>
      </w:r>
    </w:p>
    <w:p>
      <w:pPr>
        <w:spacing w:after="0" w:line="180"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has been audited by Ernst &amp; Young LLP, the independent registered public accounting firm that audited our consolidated financial statements, as stated in their report, which is included in Item 8 of this Annual Report on Form 10-K.</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December 31, 2021 that materially affected, or are reasonably likely to materially affect, our internal control over financial reporting.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19"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Financial Statement Schedules.</w:t>
      </w:r>
    </w:p>
    <w:p>
      <w:pPr>
        <w:spacing w:after="0" w:line="229" w:lineRule="exact"/>
        <w:rPr>
          <w:sz w:val="20"/>
          <w:szCs w:val="20"/>
          <w:color w:val="auto"/>
        </w:rPr>
      </w:pPr>
    </w:p>
    <w:p>
      <w:pPr>
        <w:ind w:left="380" w:right="79" w:hanging="6"/>
        <w:spacing w:after="0" w:line="282" w:lineRule="auto"/>
        <w:tabs>
          <w:tab w:leader="none" w:pos="71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consolidated financial statements, notes thereto and independent auditors’ report thereon, filed as part hereof, were filed as Part II, Item 8 of the Original 2021 Form 10-K.</w:t>
      </w:r>
    </w:p>
    <w:p>
      <w:pPr>
        <w:spacing w:after="0" w:line="162" w:lineRule="exact"/>
        <w:rPr>
          <w:sz w:val="20"/>
          <w:szCs w:val="20"/>
          <w:color w:val="auto"/>
        </w:rPr>
      </w:pPr>
    </w:p>
    <w:p>
      <w:pPr>
        <w:ind w:left="380" w:right="639" w:hanging="6"/>
        <w:spacing w:after="0" w:line="282" w:lineRule="auto"/>
        <w:tabs>
          <w:tab w:leader="none" w:pos="67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All schedules have been omitted because the required information is not significant or is included in the financial statements or notes thereto, or is not applicable.</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(3) Exhibits:</w:t>
      </w:r>
    </w:p>
    <w:p>
      <w:pPr>
        <w:spacing w:after="0" w:line="231" w:lineRule="exact"/>
        <w:rPr>
          <w:sz w:val="20"/>
          <w:szCs w:val="20"/>
          <w:color w:val="auto"/>
        </w:rPr>
      </w:pPr>
    </w:p>
    <w:tbl>
      <w:tblPr>
        <w:tblLayout w:type="fixed"/>
        <w:tblInd w:w="60" w:type="dxa"/>
        <w:tblCellMar>
          <w:top w:w="0" w:type="dxa"/>
          <w:left w:w="0" w:type="dxa"/>
          <w:bottom w:w="0" w:type="dxa"/>
          <w:right w:w="0" w:type="dxa"/>
        </w:tblCellMar>
      </w:tblPr>
      <w:tr>
        <w:trPr>
          <w:trHeight w:val="181"/>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restart"/>
          </w:tcPr>
          <w:p>
            <w:pPr>
              <w:spacing w:after="0"/>
              <w:rPr>
                <w:sz w:val="15"/>
                <w:szCs w:val="15"/>
                <w:color w:val="auto"/>
              </w:rPr>
            </w:pPr>
          </w:p>
        </w:tc>
        <w:tc>
          <w:tcPr>
            <w:tcW w:w="1260" w:type="dxa"/>
            <w:vAlign w:val="bottom"/>
          </w:tcPr>
          <w:p>
            <w:pPr>
              <w:spacing w:after="0"/>
              <w:rPr>
                <w:sz w:val="15"/>
                <w:szCs w:val="15"/>
                <w:color w:val="auto"/>
              </w:rPr>
            </w:pPr>
          </w:p>
        </w:tc>
        <w:tc>
          <w:tcPr>
            <w:tcW w:w="6400" w:type="dxa"/>
            <w:vAlign w:val="bottom"/>
            <w:gridSpan w:val="6"/>
          </w:tcPr>
          <w:p>
            <w:pPr>
              <w:ind w:left="22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3"/>
        </w:trPr>
        <w:tc>
          <w:tcPr>
            <w:tcW w:w="700" w:type="dxa"/>
            <w:vAlign w:val="bottom"/>
            <w:tcBorders>
              <w:top w:val="single" w:sz="8" w:color="auto"/>
            </w:tcBorders>
          </w:tcPr>
          <w:p>
            <w:pPr>
              <w:spacing w:after="0" w:line="163" w:lineRule="exact"/>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7660" w:type="dxa"/>
            <w:vAlign w:val="bottom"/>
            <w:tcBorders>
              <w:top w:val="single" w:sz="8" w:color="auto"/>
            </w:tcBorders>
            <w:gridSpan w:val="7"/>
          </w:tcPr>
          <w:p>
            <w:pPr>
              <w:spacing w:after="0" w:line="163"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Certification Pursuant to Rule 13a-14(a) and 15d-14(a) under the Securities Exchange Act of 1934 of</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14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James C. Fish, Jr., President and Chief Executive Officer.</w:t>
              </w:r>
            </w:hyperlink>
          </w:p>
        </w:tc>
        <w:tc>
          <w:tcPr>
            <w:tcW w:w="3140" w:type="dxa"/>
            <w:vAlign w:val="bottom"/>
            <w:tcBorders>
              <w:top w:val="single" w:sz="8" w:color="0000EE"/>
            </w:tcBorders>
            <w:gridSpan w:val="3"/>
          </w:tcPr>
          <w:p>
            <w:pPr>
              <w:spacing w:after="0"/>
              <w:rPr>
                <w:sz w:val="17"/>
                <w:szCs w:val="17"/>
                <w:color w:val="auto"/>
              </w:rPr>
            </w:pPr>
          </w:p>
        </w:tc>
        <w:tc>
          <w:tcPr>
            <w:tcW w:w="4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17"/>
                <w:szCs w:val="17"/>
                <w:color w:val="auto"/>
              </w:rPr>
            </w:pPr>
          </w:p>
        </w:tc>
        <w:tc>
          <w:tcPr>
            <w:tcW w:w="8060" w:type="dxa"/>
            <w:vAlign w:val="bottom"/>
            <w:gridSpan w:val="9"/>
          </w:tcPr>
          <w:p>
            <w:pPr>
              <w:ind w:left="6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w:anchor="page7">
              <w:r>
                <w:rPr>
                  <w:rFonts w:ascii="Times New Roman" w:cs="Times New Roman" w:eastAsia="Times New Roman" w:hAnsi="Times New Roman"/>
                  <w:sz w:val="18"/>
                  <w:szCs w:val="18"/>
                  <w:color w:val="0000EE"/>
                </w:rPr>
                <w:t>Certification Pursuant to Rule 13a-14(a) and 15d-14(a) under the Securities Exchange Act of 1934 of</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8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Devina A. Rankin, Executive Vice President and Chief Financial Officer.</w:t>
              </w:r>
            </w:hyperlink>
          </w:p>
        </w:tc>
        <w:tc>
          <w:tcPr>
            <w:tcW w:w="4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3980" w:type="dxa"/>
            <w:vAlign w:val="bottom"/>
            <w:gridSpan w:val="2"/>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17"/>
                <w:szCs w:val="17"/>
                <w:color w:val="auto"/>
              </w:rPr>
            </w:pPr>
          </w:p>
        </w:tc>
        <w:tc>
          <w:tcPr>
            <w:tcW w:w="8060" w:type="dxa"/>
            <w:vAlign w:val="bottom"/>
            <w:gridSpan w:val="9"/>
          </w:tcPr>
          <w:p>
            <w:pPr>
              <w:ind w:left="6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w:anchor="page8">
              <w:r>
                <w:rPr>
                  <w:rFonts w:ascii="Times New Roman" w:cs="Times New Roman" w:eastAsia="Times New Roman" w:hAnsi="Times New Roman"/>
                  <w:sz w:val="18"/>
                  <w:szCs w:val="18"/>
                  <w:color w:val="0000EE"/>
                </w:rPr>
                <w:t>Certification Pursuant to 18 U.S.C. §1350 of James C. Fish, Jr., President and Chief Executive Officer.</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594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17"/>
                <w:szCs w:val="17"/>
                <w:color w:val="auto"/>
              </w:rPr>
            </w:pPr>
          </w:p>
        </w:tc>
        <w:tc>
          <w:tcPr>
            <w:tcW w:w="8060" w:type="dxa"/>
            <w:vAlign w:val="bottom"/>
            <w:gridSpan w:val="9"/>
          </w:tcPr>
          <w:p>
            <w:pPr>
              <w:ind w:left="6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w:anchor="page9">
              <w:r>
                <w:rPr>
                  <w:rFonts w:ascii="Times New Roman" w:cs="Times New Roman" w:eastAsia="Times New Roman" w:hAnsi="Times New Roman"/>
                  <w:sz w:val="18"/>
                  <w:szCs w:val="18"/>
                  <w:color w:val="0000EE"/>
                </w:rPr>
                <w:t>Certification Pursuant to 18 U.S.C. §1350 of Devina A. Rankin, Executive Vice President and Chief</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9">
              <w:r>
                <w:rPr>
                  <w:rFonts w:ascii="Times New Roman" w:cs="Times New Roman" w:eastAsia="Times New Roman" w:hAnsi="Times New Roman"/>
                  <w:sz w:val="18"/>
                  <w:szCs w:val="18"/>
                  <w:color w:val="0000EE"/>
                  <w:w w:val="98"/>
                </w:rPr>
                <w:t>Financial Officer.</w:t>
              </w:r>
            </w:hyperlink>
          </w:p>
        </w:tc>
        <w:tc>
          <w:tcPr>
            <w:tcW w:w="5940" w:type="dxa"/>
            <w:vAlign w:val="bottom"/>
            <w:tcBorders>
              <w:top w:val="single" w:sz="8" w:color="0000EE"/>
            </w:tcBorders>
            <w:gridSpan w:val="3"/>
          </w:tcPr>
          <w:p>
            <w:pPr>
              <w:spacing w:after="0"/>
              <w:rPr>
                <w:sz w:val="17"/>
                <w:szCs w:val="17"/>
                <w:color w:val="auto"/>
              </w:rPr>
            </w:pPr>
          </w:p>
        </w:tc>
        <w:tc>
          <w:tcPr>
            <w:tcW w:w="4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w:t>
            </w:r>
          </w:p>
        </w:tc>
        <w:tc>
          <w:tcPr>
            <w:tcW w:w="0" w:type="dxa"/>
            <w:vAlign w:val="bottom"/>
          </w:tcPr>
          <w:p>
            <w:pPr>
              <w:spacing w:after="0"/>
              <w:rPr>
                <w:sz w:val="1"/>
                <w:szCs w:val="1"/>
                <w:color w:val="auto"/>
              </w:rPr>
            </w:pPr>
          </w:p>
        </w:tc>
      </w:tr>
      <w:tr>
        <w:trPr>
          <w:trHeight w:val="216"/>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8060" w:type="dxa"/>
            <w:vAlign w:val="bottom"/>
            <w:gridSpan w:val="9"/>
          </w:tcPr>
          <w:p>
            <w:pPr>
              <w:ind w:left="60"/>
              <w:spacing w:after="0"/>
              <w:rPr>
                <w:sz w:val="20"/>
                <w:szCs w:val="20"/>
                <w:color w:val="auto"/>
              </w:rPr>
            </w:pPr>
            <w:r>
              <w:rPr>
                <w:rFonts w:ascii="Times New Roman" w:cs="Times New Roman" w:eastAsia="Times New Roman" w:hAnsi="Times New Roman"/>
                <w:sz w:val="18"/>
                <w:szCs w:val="18"/>
                <w:color w:val="auto"/>
              </w:rPr>
              <w:t>—  Inline XBRL Taxonomy Extension Schema.</w:t>
            </w:r>
          </w:p>
        </w:tc>
        <w:tc>
          <w:tcPr>
            <w:tcW w:w="0" w:type="dxa"/>
            <w:vAlign w:val="bottom"/>
          </w:tcPr>
          <w:p>
            <w:pPr>
              <w:spacing w:after="0"/>
              <w:rPr>
                <w:sz w:val="1"/>
                <w:szCs w:val="1"/>
                <w:color w:val="auto"/>
              </w:rPr>
            </w:pPr>
          </w:p>
        </w:tc>
      </w:tr>
      <w:tr>
        <w:trPr>
          <w:trHeight w:val="216"/>
        </w:trPr>
        <w:tc>
          <w:tcPr>
            <w:tcW w:w="8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101.CAL*  —  Inline XBRL Taxonomy Extension Calculation.</w:t>
            </w:r>
          </w:p>
        </w:tc>
        <w:tc>
          <w:tcPr>
            <w:tcW w:w="0" w:type="dxa"/>
            <w:vAlign w:val="bottom"/>
          </w:tcPr>
          <w:p>
            <w:pPr>
              <w:spacing w:after="0"/>
              <w:rPr>
                <w:sz w:val="1"/>
                <w:szCs w:val="1"/>
                <w:color w:val="auto"/>
              </w:rPr>
            </w:pPr>
          </w:p>
        </w:tc>
      </w:tr>
      <w:tr>
        <w:trPr>
          <w:trHeight w:val="216"/>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8060" w:type="dxa"/>
            <w:vAlign w:val="bottom"/>
            <w:gridSpan w:val="9"/>
          </w:tcPr>
          <w:p>
            <w:pPr>
              <w:ind w:left="60"/>
              <w:spacing w:after="0"/>
              <w:rPr>
                <w:sz w:val="20"/>
                <w:szCs w:val="20"/>
                <w:color w:val="auto"/>
              </w:rPr>
            </w:pPr>
            <w:r>
              <w:rPr>
                <w:rFonts w:ascii="Times New Roman" w:cs="Times New Roman" w:eastAsia="Times New Roman" w:hAnsi="Times New Roman"/>
                <w:sz w:val="18"/>
                <w:szCs w:val="18"/>
                <w:color w:val="auto"/>
              </w:rPr>
              <w:t>—  Inline XBRL Taxonomy Extension Labels.</w:t>
            </w:r>
          </w:p>
        </w:tc>
        <w:tc>
          <w:tcPr>
            <w:tcW w:w="0" w:type="dxa"/>
            <w:vAlign w:val="bottom"/>
          </w:tcPr>
          <w:p>
            <w:pPr>
              <w:spacing w:after="0"/>
              <w:rPr>
                <w:sz w:val="1"/>
                <w:szCs w:val="1"/>
                <w:color w:val="auto"/>
              </w:rPr>
            </w:pPr>
          </w:p>
        </w:tc>
      </w:tr>
      <w:tr>
        <w:trPr>
          <w:trHeight w:val="216"/>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8060" w:type="dxa"/>
            <w:vAlign w:val="bottom"/>
            <w:gridSpan w:val="9"/>
          </w:tcPr>
          <w:p>
            <w:pPr>
              <w:ind w:left="60"/>
              <w:spacing w:after="0"/>
              <w:rPr>
                <w:sz w:val="20"/>
                <w:szCs w:val="20"/>
                <w:color w:val="auto"/>
              </w:rPr>
            </w:pPr>
            <w:r>
              <w:rPr>
                <w:rFonts w:ascii="Times New Roman" w:cs="Times New Roman" w:eastAsia="Times New Roman" w:hAnsi="Times New Roman"/>
                <w:sz w:val="18"/>
                <w:szCs w:val="18"/>
                <w:color w:val="auto"/>
              </w:rPr>
              <w:t>—  Inline XBRL Taxonomy Extension Presentation.</w:t>
            </w:r>
          </w:p>
        </w:tc>
        <w:tc>
          <w:tcPr>
            <w:tcW w:w="0" w:type="dxa"/>
            <w:vAlign w:val="bottom"/>
          </w:tcPr>
          <w:p>
            <w:pPr>
              <w:spacing w:after="0"/>
              <w:rPr>
                <w:sz w:val="1"/>
                <w:szCs w:val="1"/>
                <w:color w:val="auto"/>
              </w:rPr>
            </w:pPr>
          </w:p>
        </w:tc>
      </w:tr>
      <w:tr>
        <w:trPr>
          <w:trHeight w:val="216"/>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8060" w:type="dxa"/>
            <w:vAlign w:val="bottom"/>
            <w:gridSpan w:val="9"/>
          </w:tcPr>
          <w:p>
            <w:pPr>
              <w:ind w:left="60"/>
              <w:spacing w:after="0"/>
              <w:rPr>
                <w:sz w:val="20"/>
                <w:szCs w:val="20"/>
                <w:color w:val="auto"/>
              </w:rPr>
            </w:pPr>
            <w:r>
              <w:rPr>
                <w:rFonts w:ascii="Times New Roman" w:cs="Times New Roman" w:eastAsia="Times New Roman" w:hAnsi="Times New Roman"/>
                <w:sz w:val="18"/>
                <w:szCs w:val="18"/>
                <w:color w:val="auto"/>
              </w:rPr>
              <w:t>—  Inline XBRL Taxonomy Extension Definition.</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0"/>
                <w:szCs w:val="20"/>
                <w:color w:val="auto"/>
              </w:rPr>
            </w:pP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19" w:right="144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5" w:lineRule="exact"/>
        <w:rPr>
          <w:sz w:val="20"/>
          <w:szCs w:val="20"/>
          <w:color w:val="auto"/>
        </w:rPr>
      </w:pPr>
    </w:p>
    <w:tbl>
      <w:tblPr>
        <w:tblLayout w:type="fixed"/>
        <w:tblInd w:w="458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JAMES C. FISH, JR.</w:t>
            </w:r>
          </w:p>
        </w:tc>
      </w:tr>
      <w:tr>
        <w:trPr>
          <w:trHeight w:val="189"/>
        </w:trPr>
        <w:tc>
          <w:tcPr>
            <w:tcW w:w="320" w:type="dxa"/>
            <w:vAlign w:val="bottom"/>
          </w:tcPr>
          <w:p>
            <w:pPr>
              <w:spacing w:after="0"/>
              <w:rPr>
                <w:sz w:val="16"/>
                <w:szCs w:val="16"/>
                <w:color w:val="auto"/>
              </w:rPr>
            </w:pPr>
          </w:p>
        </w:tc>
        <w:tc>
          <w:tcPr>
            <w:tcW w:w="40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James C. Fish, Jr.</w:t>
            </w:r>
          </w:p>
        </w:tc>
      </w:tr>
      <w:tr>
        <w:trPr>
          <w:trHeight w:val="236"/>
        </w:trPr>
        <w:tc>
          <w:tcPr>
            <w:tcW w:w="32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President, Chief Executive Officer and Director</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March 29,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19" w:right="1440" w:bottom="1440" w:gutter="0" w:footer="0" w:header="0"/>
        </w:sectPr>
      </w:pPr>
    </w:p>
    <w:bookmarkStart w:id="5" w:name="page6"/>
    <w:bookmarkEnd w:id="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James C. Fish, Jr., certify that:</w:t>
      </w:r>
    </w:p>
    <w:p>
      <w:pPr>
        <w:spacing w:after="0" w:line="185" w:lineRule="exact"/>
        <w:rPr>
          <w:sz w:val="20"/>
          <w:szCs w:val="20"/>
          <w:color w:val="auto"/>
        </w:rPr>
      </w:pPr>
    </w:p>
    <w:p>
      <w:pPr>
        <w:ind w:left="720" w:hanging="22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10-K/A of Waste Management, Inc.;</w:t>
      </w:r>
    </w:p>
    <w:p>
      <w:pPr>
        <w:spacing w:after="0" w:line="184" w:lineRule="exact"/>
        <w:rPr>
          <w:rFonts w:ascii="Times New Roman" w:cs="Times New Roman" w:eastAsia="Times New Roman" w:hAnsi="Times New Roman"/>
          <w:sz w:val="18"/>
          <w:szCs w:val="18"/>
          <w:color w:val="auto"/>
        </w:rPr>
      </w:pPr>
    </w:p>
    <w:p>
      <w:pPr>
        <w:jc w:val="both"/>
        <w:ind w:left="60" w:right="59" w:firstLine="431"/>
        <w:spacing w:after="0" w:line="266" w:lineRule="auto"/>
        <w:tabs>
          <w:tab w:leader="none" w:pos="76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60" w:right="59" w:firstLine="431"/>
        <w:spacing w:after="0" w:line="266" w:lineRule="auto"/>
        <w:tabs>
          <w:tab w:leader="none" w:pos="7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jc w:val="both"/>
        <w:ind w:left="60" w:right="79" w:firstLine="431"/>
        <w:spacing w:after="0" w:line="266" w:lineRule="auto"/>
        <w:tabs>
          <w:tab w:leader="none" w:pos="75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35" w:lineRule="exact"/>
        <w:rPr>
          <w:rFonts w:ascii="Times New Roman" w:cs="Times New Roman" w:eastAsia="Times New Roman" w:hAnsi="Times New Roman"/>
          <w:sz w:val="18"/>
          <w:szCs w:val="18"/>
          <w:color w:val="auto"/>
        </w:rPr>
      </w:pPr>
    </w:p>
    <w:p>
      <w:pPr>
        <w:jc w:val="both"/>
        <w:ind w:left="500" w:right="59" w:firstLine="431"/>
        <w:spacing w:after="0" w:line="261" w:lineRule="auto"/>
        <w:tabs>
          <w:tab w:leader="none" w:pos="121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9" w:lineRule="exact"/>
        <w:rPr>
          <w:rFonts w:ascii="Times New Roman" w:cs="Times New Roman" w:eastAsia="Times New Roman" w:hAnsi="Times New Roman"/>
          <w:sz w:val="18"/>
          <w:szCs w:val="18"/>
          <w:color w:val="auto"/>
        </w:rPr>
      </w:pPr>
    </w:p>
    <w:p>
      <w:pPr>
        <w:jc w:val="both"/>
        <w:ind w:left="500" w:right="59" w:firstLine="431"/>
        <w:spacing w:after="0" w:line="261" w:lineRule="auto"/>
        <w:tabs>
          <w:tab w:leader="none" w:pos="126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8"/>
          <w:szCs w:val="18"/>
          <w:color w:val="auto"/>
        </w:rPr>
      </w:pPr>
    </w:p>
    <w:p>
      <w:pPr>
        <w:jc w:val="both"/>
        <w:ind w:left="500" w:right="59" w:firstLine="431"/>
        <w:spacing w:after="0" w:line="266" w:lineRule="auto"/>
        <w:tabs>
          <w:tab w:leader="none" w:pos="125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jc w:val="both"/>
        <w:ind w:left="500" w:right="59" w:firstLine="431"/>
        <w:spacing w:after="0" w:line="261" w:lineRule="auto"/>
        <w:tabs>
          <w:tab w:leader="none" w:pos="121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39" w:lineRule="exact"/>
        <w:rPr>
          <w:rFonts w:ascii="Times New Roman" w:cs="Times New Roman" w:eastAsia="Times New Roman" w:hAnsi="Times New Roman"/>
          <w:sz w:val="18"/>
          <w:szCs w:val="18"/>
          <w:color w:val="auto"/>
        </w:rPr>
      </w:pPr>
    </w:p>
    <w:p>
      <w:pPr>
        <w:jc w:val="both"/>
        <w:ind w:left="60" w:right="79" w:firstLine="431"/>
        <w:spacing w:after="0" w:line="266" w:lineRule="auto"/>
        <w:tabs>
          <w:tab w:leader="none" w:pos="74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jc w:val="both"/>
        <w:ind w:left="500" w:right="59" w:firstLine="431"/>
        <w:spacing w:after="0" w:line="266" w:lineRule="auto"/>
        <w:tabs>
          <w:tab w:leader="none" w:pos="123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480" w:right="59" w:firstLine="461"/>
        <w:spacing w:after="0" w:line="282" w:lineRule="auto"/>
        <w:tabs>
          <w:tab w:leader="none" w:pos="120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JAMES C. FISH, JR.</w:t>
            </w:r>
          </w:p>
        </w:tc>
      </w:tr>
      <w:tr>
        <w:trPr>
          <w:trHeight w:val="189"/>
        </w:trPr>
        <w:tc>
          <w:tcPr>
            <w:tcW w:w="360" w:type="dxa"/>
            <w:vAlign w:val="bottom"/>
          </w:tcPr>
          <w:p>
            <w:pPr>
              <w:spacing w:after="0"/>
              <w:rPr>
                <w:sz w:val="16"/>
                <w:szCs w:val="16"/>
                <w:color w:val="auto"/>
              </w:rPr>
            </w:pPr>
          </w:p>
        </w:tc>
        <w:tc>
          <w:tcPr>
            <w:tcW w:w="40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James C. Fish, Jr.</w:t>
            </w:r>
          </w:p>
        </w:tc>
      </w:tr>
      <w:tr>
        <w:trPr>
          <w:trHeight w:val="236"/>
        </w:trPr>
        <w:tc>
          <w:tcPr>
            <w:tcW w:w="360" w:type="dxa"/>
            <w:vAlign w:val="bottom"/>
          </w:tcPr>
          <w:p>
            <w:pPr>
              <w:spacing w:after="0"/>
              <w:rPr>
                <w:sz w:val="20"/>
                <w:szCs w:val="20"/>
                <w:color w:val="auto"/>
              </w:rPr>
            </w:pP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President and Chief Executive Officer</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March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514350</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6" w:name="page7"/>
    <w:bookmarkEnd w:id="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Devina A. Rankin, certify that:</w:t>
      </w:r>
    </w:p>
    <w:p>
      <w:pPr>
        <w:spacing w:after="0" w:line="185" w:lineRule="exact"/>
        <w:rPr>
          <w:sz w:val="20"/>
          <w:szCs w:val="20"/>
          <w:color w:val="auto"/>
        </w:rPr>
      </w:pPr>
    </w:p>
    <w:p>
      <w:pPr>
        <w:ind w:left="720" w:hanging="22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10-K/A of Waste Management, Inc.;</w:t>
      </w:r>
    </w:p>
    <w:p>
      <w:pPr>
        <w:spacing w:after="0" w:line="184" w:lineRule="exact"/>
        <w:rPr>
          <w:rFonts w:ascii="Times New Roman" w:cs="Times New Roman" w:eastAsia="Times New Roman" w:hAnsi="Times New Roman"/>
          <w:sz w:val="18"/>
          <w:szCs w:val="18"/>
          <w:color w:val="auto"/>
        </w:rPr>
      </w:pPr>
    </w:p>
    <w:p>
      <w:pPr>
        <w:jc w:val="both"/>
        <w:ind w:left="60" w:right="59" w:firstLine="431"/>
        <w:spacing w:after="0" w:line="266" w:lineRule="auto"/>
        <w:tabs>
          <w:tab w:leader="none" w:pos="76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60" w:right="59" w:firstLine="431"/>
        <w:spacing w:after="0" w:line="266" w:lineRule="auto"/>
        <w:tabs>
          <w:tab w:leader="none" w:pos="7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jc w:val="both"/>
        <w:ind w:left="60" w:right="79" w:firstLine="431"/>
        <w:spacing w:after="0" w:line="266" w:lineRule="auto"/>
        <w:tabs>
          <w:tab w:leader="none" w:pos="7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35" w:lineRule="exact"/>
        <w:rPr>
          <w:rFonts w:ascii="Times New Roman" w:cs="Times New Roman" w:eastAsia="Times New Roman" w:hAnsi="Times New Roman"/>
          <w:sz w:val="18"/>
          <w:szCs w:val="18"/>
          <w:color w:val="auto"/>
        </w:rPr>
      </w:pPr>
    </w:p>
    <w:p>
      <w:pPr>
        <w:jc w:val="both"/>
        <w:ind w:left="500" w:right="59" w:firstLine="431"/>
        <w:spacing w:after="0" w:line="261" w:lineRule="auto"/>
        <w:tabs>
          <w:tab w:leader="none" w:pos="121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9" w:lineRule="exact"/>
        <w:rPr>
          <w:rFonts w:ascii="Times New Roman" w:cs="Times New Roman" w:eastAsia="Times New Roman" w:hAnsi="Times New Roman"/>
          <w:sz w:val="18"/>
          <w:szCs w:val="18"/>
          <w:color w:val="auto"/>
        </w:rPr>
      </w:pPr>
    </w:p>
    <w:p>
      <w:pPr>
        <w:jc w:val="both"/>
        <w:ind w:left="500" w:right="59" w:firstLine="431"/>
        <w:spacing w:after="0" w:line="261" w:lineRule="auto"/>
        <w:tabs>
          <w:tab w:leader="none" w:pos="126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8"/>
          <w:szCs w:val="18"/>
          <w:color w:val="auto"/>
        </w:rPr>
      </w:pPr>
    </w:p>
    <w:p>
      <w:pPr>
        <w:jc w:val="both"/>
        <w:ind w:left="500" w:right="59" w:firstLine="431"/>
        <w:spacing w:after="0" w:line="266" w:lineRule="auto"/>
        <w:tabs>
          <w:tab w:leader="none" w:pos="125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jc w:val="both"/>
        <w:ind w:left="500" w:right="59" w:firstLine="431"/>
        <w:spacing w:after="0" w:line="261" w:lineRule="auto"/>
        <w:tabs>
          <w:tab w:leader="none" w:pos="121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39" w:lineRule="exact"/>
        <w:rPr>
          <w:rFonts w:ascii="Times New Roman" w:cs="Times New Roman" w:eastAsia="Times New Roman" w:hAnsi="Times New Roman"/>
          <w:sz w:val="18"/>
          <w:szCs w:val="18"/>
          <w:color w:val="auto"/>
        </w:rPr>
      </w:pPr>
    </w:p>
    <w:p>
      <w:pPr>
        <w:jc w:val="both"/>
        <w:ind w:left="60" w:right="79" w:firstLine="431"/>
        <w:spacing w:after="0" w:line="266" w:lineRule="auto"/>
        <w:tabs>
          <w:tab w:leader="none" w:pos="74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jc w:val="both"/>
        <w:ind w:left="500" w:right="59" w:firstLine="431"/>
        <w:spacing w:after="0" w:line="266" w:lineRule="auto"/>
        <w:tabs>
          <w:tab w:leader="none" w:pos="123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500" w:right="59" w:firstLine="441"/>
        <w:spacing w:after="0" w:line="280" w:lineRule="auto"/>
        <w:tabs>
          <w:tab w:leader="none" w:pos="121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r>
        <w:rPr>
          <w:rFonts w:ascii="Times New Roman" w:cs="Times New Roman" w:eastAsia="Times New Roman" w:hAnsi="Times New Roman"/>
          <w:sz w:val="21"/>
          <w:szCs w:val="21"/>
          <w:color w:val="auto"/>
        </w:rPr>
        <w:t>.</w:t>
      </w:r>
    </w:p>
    <w:p>
      <w:pPr>
        <w:spacing w:after="0" w:line="125" w:lineRule="exact"/>
        <w:rPr>
          <w:sz w:val="20"/>
          <w:szCs w:val="20"/>
          <w:color w:val="auto"/>
        </w:rPr>
      </w:pPr>
    </w:p>
    <w:tbl>
      <w:tblPr>
        <w:tblLayout w:type="fixed"/>
        <w:tblInd w:w="450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DEVINA A. RANKIN</w:t>
            </w:r>
          </w:p>
        </w:tc>
      </w:tr>
      <w:tr>
        <w:trPr>
          <w:trHeight w:val="189"/>
        </w:trPr>
        <w:tc>
          <w:tcPr>
            <w:tcW w:w="380" w:type="dxa"/>
            <w:vAlign w:val="bottom"/>
          </w:tcPr>
          <w:p>
            <w:pPr>
              <w:spacing w:after="0"/>
              <w:rPr>
                <w:sz w:val="16"/>
                <w:szCs w:val="16"/>
                <w:color w:val="auto"/>
              </w:rPr>
            </w:pPr>
          </w:p>
        </w:tc>
        <w:tc>
          <w:tcPr>
            <w:tcW w:w="40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Devina A. Rankin</w:t>
            </w:r>
          </w:p>
        </w:tc>
      </w:tr>
      <w:tr>
        <w:trPr>
          <w:trHeight w:val="216"/>
        </w:trPr>
        <w:tc>
          <w:tcPr>
            <w:tcW w:w="380" w:type="dxa"/>
            <w:vAlign w:val="bottom"/>
          </w:tcPr>
          <w:p>
            <w:pPr>
              <w:spacing w:after="0"/>
              <w:rPr>
                <w:sz w:val="18"/>
                <w:szCs w:val="18"/>
                <w:color w:val="auto"/>
              </w:rPr>
            </w:pP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Executive Vice President and</w:t>
            </w:r>
          </w:p>
        </w:tc>
      </w:tr>
      <w:tr>
        <w:trPr>
          <w:trHeight w:val="236"/>
        </w:trPr>
        <w:tc>
          <w:tcPr>
            <w:tcW w:w="380" w:type="dxa"/>
            <w:vAlign w:val="bottom"/>
          </w:tcPr>
          <w:p>
            <w:pPr>
              <w:spacing w:after="0"/>
              <w:rPr>
                <w:sz w:val="20"/>
                <w:szCs w:val="20"/>
                <w:color w:val="auto"/>
              </w:rPr>
            </w:pP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Financial Officer</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March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514350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7" w:name="page8"/>
    <w:bookmarkEnd w:id="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Waste Management, Inc. (the “Company”) on Form 10-K/A for the period ended December 31, 2021 as filed with the Securities and Exchange Commission on the date hereof (the “Report”), I, James C. Fish, Jr., Chief Executive Officer of the Company, certify, pursuant to 18 U.S.C. § 1350, as adopted pursuant to § 906 of the Sarbanes-Oxley Act of 2002, that:</w:t>
      </w:r>
    </w:p>
    <w:p>
      <w:pPr>
        <w:spacing w:after="0" w:line="180" w:lineRule="exact"/>
        <w:rPr>
          <w:sz w:val="20"/>
          <w:szCs w:val="20"/>
          <w:color w:val="auto"/>
        </w:rPr>
      </w:pPr>
    </w:p>
    <w:p>
      <w:pPr>
        <w:ind w:left="1180" w:right="59" w:hanging="248"/>
        <w:spacing w:after="0" w:line="282" w:lineRule="auto"/>
        <w:tabs>
          <w:tab w:leader="none" w:pos="119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180" w:right="59" w:hanging="248"/>
        <w:spacing w:after="0" w:line="282" w:lineRule="auto"/>
        <w:tabs>
          <w:tab w:leader="none" w:pos="118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450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JAMES C. FISH, JR.</w:t>
            </w:r>
          </w:p>
        </w:tc>
      </w:tr>
      <w:tr>
        <w:trPr>
          <w:trHeight w:val="189"/>
        </w:trPr>
        <w:tc>
          <w:tcPr>
            <w:tcW w:w="340" w:type="dxa"/>
            <w:vAlign w:val="bottom"/>
          </w:tcPr>
          <w:p>
            <w:pPr>
              <w:spacing w:after="0"/>
              <w:rPr>
                <w:sz w:val="16"/>
                <w:szCs w:val="16"/>
                <w:color w:val="auto"/>
              </w:rPr>
            </w:pPr>
          </w:p>
        </w:tc>
        <w:tc>
          <w:tcPr>
            <w:tcW w:w="41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James C. Fish, Jr.</w:t>
            </w:r>
          </w:p>
        </w:tc>
      </w:tr>
      <w:tr>
        <w:trPr>
          <w:trHeight w:val="236"/>
        </w:trPr>
        <w:tc>
          <w:tcPr>
            <w:tcW w:w="34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President and Chief Executive Officer</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March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514350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8" w:name="page9"/>
    <w:bookmarkEnd w:id="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Waste Management, Inc. (the “Company”) on Form 10-K/A for the period ended December 31, 2021 as filed with the Securities and Exchange Commission on the date hereof (the “Report”), I, Devina A. Rankin, Chief Financial Officer of the Company, certify, pursuant to 18 U.S.C. § 1350, as adopted pursuant to § 906 of the Sarbanes-Oxley Act of 2002, that:</w:t>
      </w:r>
    </w:p>
    <w:p>
      <w:pPr>
        <w:spacing w:after="0" w:line="180" w:lineRule="exact"/>
        <w:rPr>
          <w:sz w:val="20"/>
          <w:szCs w:val="20"/>
          <w:color w:val="auto"/>
        </w:rPr>
      </w:pPr>
    </w:p>
    <w:p>
      <w:pPr>
        <w:ind w:left="1180" w:right="59" w:hanging="248"/>
        <w:spacing w:after="0" w:line="282" w:lineRule="auto"/>
        <w:tabs>
          <w:tab w:leader="none" w:pos="119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180" w:right="59" w:hanging="248"/>
        <w:spacing w:after="0" w:line="282" w:lineRule="auto"/>
        <w:tabs>
          <w:tab w:leader="none" w:pos="118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DEVINA A. RANKIN</w:t>
            </w:r>
          </w:p>
        </w:tc>
      </w:tr>
      <w:tr>
        <w:trPr>
          <w:trHeight w:val="189"/>
        </w:trPr>
        <w:tc>
          <w:tcPr>
            <w:tcW w:w="300" w:type="dxa"/>
            <w:vAlign w:val="bottom"/>
          </w:tcPr>
          <w:p>
            <w:pPr>
              <w:spacing w:after="0"/>
              <w:rPr>
                <w:sz w:val="16"/>
                <w:szCs w:val="16"/>
                <w:color w:val="auto"/>
              </w:rPr>
            </w:pPr>
          </w:p>
        </w:tc>
        <w:tc>
          <w:tcPr>
            <w:tcW w:w="4140" w:type="dxa"/>
            <w:vAlign w:val="bottom"/>
          </w:tcPr>
          <w:p>
            <w:pPr>
              <w:ind w:left="1480"/>
              <w:spacing w:after="0" w:line="189" w:lineRule="exact"/>
              <w:rPr>
                <w:sz w:val="20"/>
                <w:szCs w:val="20"/>
                <w:color w:val="auto"/>
              </w:rPr>
            </w:pPr>
            <w:r>
              <w:rPr>
                <w:rFonts w:ascii="Times New Roman" w:cs="Times New Roman" w:eastAsia="Times New Roman" w:hAnsi="Times New Roman"/>
                <w:sz w:val="18"/>
                <w:szCs w:val="18"/>
                <w:color w:val="auto"/>
              </w:rPr>
              <w:t>Devina A. Rankin</w:t>
            </w:r>
          </w:p>
        </w:tc>
      </w:tr>
      <w:tr>
        <w:trPr>
          <w:trHeight w:val="216"/>
        </w:trPr>
        <w:tc>
          <w:tcPr>
            <w:tcW w:w="300" w:type="dxa"/>
            <w:vAlign w:val="bottom"/>
          </w:tcPr>
          <w:p>
            <w:pPr>
              <w:spacing w:after="0"/>
              <w:rPr>
                <w:sz w:val="18"/>
                <w:szCs w:val="18"/>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Executive Vice President and</w:t>
            </w:r>
          </w:p>
        </w:tc>
      </w:tr>
      <w:tr>
        <w:trPr>
          <w:trHeight w:val="236"/>
        </w:trPr>
        <w:tc>
          <w:tcPr>
            <w:tcW w:w="30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March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514350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Roman"/>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Roman"/>
      <w:start w:val="1"/>
    </w:lvl>
    <w:lvl w:ilvl="1">
      <w:lvlJc w:val="left"/>
      <w:lvlText w:val="%2."/>
      <w:numFmt w:val="upperLetter"/>
      <w:start w:val="1"/>
    </w:lvl>
  </w:abstractNum>
  <w:abstractNum w:abstractNumId="6">
    <w:nsid w:val="7545E146"/>
    <w:multiLevelType w:val="hybridMultilevel"/>
    <w:lvl w:ilvl="0">
      <w:lvlJc w:val="left"/>
      <w:lvlText w:val="%1."/>
      <w:numFmt w:val="lowerRoman"/>
      <w:start w:val="1"/>
    </w:lvl>
    <w:lvl w:ilvl="1">
      <w:lvlJc w:val="left"/>
      <w:lvlText w:val="%2."/>
      <w:numFmt w:val="upp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2022-03-29T14:20:01Z</dcterms:created>
  <dcterms:modified xsi:type="dcterms:W3CDTF">2022-03-29T14:20:01Z</dcterms:modified>
</cp:coreProperties>
</file>