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131445</wp:posOffset>
            </wp:positionV>
            <wp:extent cx="7461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229870</wp:posOffset>
            </wp:positionV>
            <wp:extent cx="746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January 28, 2005</w:t>
      </w: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(Exact Name of Registrant as Specified in Charter)</w:t>
            </w:r>
          </w:p>
        </w:tc>
        <w:tc>
          <w:tcPr>
            <w:tcW w:w="2940" w:type="dxa"/>
            <w:vAlign w:val="bottom"/>
          </w:tcPr>
          <w:p>
            <w:pPr>
              <w:spacing w:after="0"/>
              <w:rPr>
                <w:sz w:val="20"/>
                <w:szCs w:val="20"/>
                <w:color w:val="auto"/>
              </w:rPr>
            </w:pPr>
          </w:p>
        </w:tc>
      </w:tr>
      <w:tr>
        <w:trPr>
          <w:trHeight w:val="414"/>
        </w:trPr>
        <w:tc>
          <w:tcPr>
            <w:tcW w:w="3620" w:type="dxa"/>
            <w:vAlign w:val="bottom"/>
          </w:tcPr>
          <w:p>
            <w:pPr>
              <w:jc w:val="center"/>
              <w:ind w:right="30"/>
              <w:spacing w:after="0"/>
              <w:rPr>
                <w:sz w:val="20"/>
                <w:szCs w:val="20"/>
                <w:color w:val="auto"/>
              </w:rPr>
            </w:pPr>
            <w:r>
              <w:rPr>
                <w:rFonts w:ascii="Arial" w:cs="Arial" w:eastAsia="Arial" w:hAnsi="Arial"/>
                <w:sz w:val="18"/>
                <w:szCs w:val="18"/>
                <w:color w:val="auto"/>
                <w:w w:val="92"/>
              </w:rPr>
              <w:t>Delaware</w:t>
            </w:r>
          </w:p>
        </w:tc>
        <w:tc>
          <w:tcPr>
            <w:tcW w:w="4340" w:type="dxa"/>
            <w:vAlign w:val="bottom"/>
          </w:tcPr>
          <w:p>
            <w:pPr>
              <w:jc w:val="center"/>
              <w:ind w:right="170"/>
              <w:spacing w:after="0"/>
              <w:rPr>
                <w:sz w:val="20"/>
                <w:szCs w:val="20"/>
                <w:color w:val="auto"/>
              </w:rPr>
            </w:pPr>
            <w:r>
              <w:rPr>
                <w:rFonts w:ascii="Arial" w:cs="Arial" w:eastAsia="Arial" w:hAnsi="Arial"/>
                <w:sz w:val="18"/>
                <w:szCs w:val="18"/>
                <w:color w:val="auto"/>
                <w:w w:val="90"/>
              </w:rPr>
              <w:t>1-12154</w:t>
            </w:r>
          </w:p>
        </w:tc>
        <w:tc>
          <w:tcPr>
            <w:tcW w:w="2940" w:type="dxa"/>
            <w:vAlign w:val="bottom"/>
          </w:tcPr>
          <w:p>
            <w:pPr>
              <w:jc w:val="right"/>
              <w:ind w:right="790"/>
              <w:spacing w:after="0"/>
              <w:rPr>
                <w:sz w:val="20"/>
                <w:szCs w:val="20"/>
                <w:color w:val="auto"/>
              </w:rPr>
            </w:pPr>
            <w:r>
              <w:rPr>
                <w:rFonts w:ascii="Arial" w:cs="Arial" w:eastAsia="Arial" w:hAnsi="Arial"/>
                <w:sz w:val="18"/>
                <w:szCs w:val="18"/>
                <w:color w:val="auto"/>
              </w:rPr>
              <w:t>73-1309529</w:t>
            </w:r>
          </w:p>
        </w:tc>
      </w:tr>
      <w:tr>
        <w:trPr>
          <w:trHeight w:val="234"/>
        </w:trPr>
        <w:tc>
          <w:tcPr>
            <w:tcW w:w="36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4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(Commission File Number)</w:t>
            </w:r>
          </w:p>
        </w:tc>
        <w:tc>
          <w:tcPr>
            <w:tcW w:w="2940" w:type="dxa"/>
            <w:vAlign w:val="bottom"/>
          </w:tcPr>
          <w:p>
            <w:pPr>
              <w:jc w:val="center"/>
              <w:ind w:left="23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3620" w:type="dxa"/>
            <w:vAlign w:val="bottom"/>
          </w:tcPr>
          <w:p>
            <w:pPr>
              <w:jc w:val="center"/>
              <w:ind w:right="30"/>
              <w:spacing w:after="0"/>
              <w:rPr>
                <w:sz w:val="20"/>
                <w:szCs w:val="20"/>
                <w:color w:val="auto"/>
              </w:rPr>
            </w:pPr>
            <w:r>
              <w:rPr>
                <w:rFonts w:ascii="Arial" w:cs="Arial" w:eastAsia="Arial" w:hAnsi="Arial"/>
                <w:sz w:val="18"/>
                <w:szCs w:val="18"/>
                <w:color w:val="auto"/>
                <w:w w:val="89"/>
              </w:rPr>
              <w:t>1001 Fannin, Suite 4000 Houston, Texas</w:t>
            </w:r>
          </w:p>
        </w:tc>
        <w:tc>
          <w:tcPr>
            <w:tcW w:w="4340" w:type="dxa"/>
            <w:vAlign w:val="bottom"/>
          </w:tcPr>
          <w:p>
            <w:pPr>
              <w:spacing w:after="0"/>
              <w:rPr>
                <w:sz w:val="24"/>
                <w:szCs w:val="24"/>
                <w:color w:val="auto"/>
              </w:rPr>
            </w:pPr>
          </w:p>
        </w:tc>
        <w:tc>
          <w:tcPr>
            <w:tcW w:w="2940" w:type="dxa"/>
            <w:vAlign w:val="bottom"/>
          </w:tcPr>
          <w:p>
            <w:pPr>
              <w:jc w:val="right"/>
              <w:ind w:right="1010"/>
              <w:spacing w:after="0"/>
              <w:rPr>
                <w:sz w:val="20"/>
                <w:szCs w:val="20"/>
                <w:color w:val="auto"/>
              </w:rPr>
            </w:pPr>
            <w:r>
              <w:rPr>
                <w:rFonts w:ascii="Arial" w:cs="Arial" w:eastAsia="Arial" w:hAnsi="Arial"/>
                <w:sz w:val="18"/>
                <w:szCs w:val="18"/>
                <w:color w:val="auto"/>
              </w:rPr>
              <w:t>77002</w:t>
            </w:r>
          </w:p>
        </w:tc>
      </w:tr>
      <w:tr>
        <w:trPr>
          <w:trHeight w:val="234"/>
        </w:trPr>
        <w:tc>
          <w:tcPr>
            <w:tcW w:w="36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4340" w:type="dxa"/>
            <w:vAlign w:val="bottom"/>
          </w:tcPr>
          <w:p>
            <w:pPr>
              <w:spacing w:after="0"/>
              <w:rPr>
                <w:sz w:val="20"/>
                <w:szCs w:val="20"/>
                <w:color w:val="auto"/>
              </w:rPr>
            </w:pPr>
          </w:p>
        </w:tc>
        <w:tc>
          <w:tcPr>
            <w:tcW w:w="294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(Zip Code)</w:t>
            </w:r>
          </w:p>
        </w:tc>
      </w:tr>
    </w:tbl>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266065</wp:posOffset>
            </wp:positionV>
            <wp:extent cx="2915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line="239"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5.02 Departure of Directors or Principal Officers; Election of Directors; Appointment of Principal Officers</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Item 9.01 Financial Statements and Exhibits</w:t>
        </w:r>
      </w:hyperlink>
    </w:p>
    <w:p>
      <w:pPr>
        <w:spacing w:after="0"/>
        <w:rPr>
          <w:sz w:val="20"/>
          <w:szCs w:val="20"/>
          <w:color w:val="auto"/>
        </w:rPr>
      </w:pPr>
      <w:r>
        <w:rPr>
          <w:rFonts w:ascii="Arial" w:cs="Arial" w:eastAsia="Arial" w:hAnsi="Arial"/>
          <w:sz w:val="22"/>
          <w:szCs w:val="22"/>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80"/>
          </w:cols>
          <w:pgMar w:left="820" w:top="111" w:right="10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02"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On January 28, 2005, the Board of Directors of Waste Management, Inc. (the “Company”) elected Thomas H. Weidemeyer as a director of the Company. Mr. Weidemeyer has been named a member of the Company’s Nominating &amp; Governance Committee and its Compensation Committee. Mr. Weidemeyer was not elected pursuant to any arrangement or understanding between him and any other persons. A copy of the press release issued by the Company on Monday, January 31, 2005, announcing the election of Mr. Weidemeyer, is attached hereto as Exhibit 99.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Exhibit Number</w:t>
            </w:r>
          </w:p>
        </w:tc>
        <w:tc>
          <w:tcPr>
            <w:tcW w:w="860" w:type="dxa"/>
            <w:vAlign w:val="bottom"/>
          </w:tcPr>
          <w:p>
            <w:pPr>
              <w:spacing w:after="0"/>
              <w:rPr>
                <w:sz w:val="20"/>
                <w:szCs w:val="20"/>
                <w:color w:val="auto"/>
              </w:rPr>
            </w:pPr>
          </w:p>
        </w:tc>
        <w:tc>
          <w:tcPr>
            <w:tcW w:w="9300" w:type="dxa"/>
            <w:vAlign w:val="bottom"/>
            <w:tcBorders>
              <w:bottom w:val="single" w:sz="8" w:color="auto"/>
            </w:tcBorders>
          </w:tcPr>
          <w:p>
            <w:pPr>
              <w:ind w:left="4200"/>
              <w:spacing w:after="0"/>
              <w:rPr>
                <w:sz w:val="20"/>
                <w:szCs w:val="20"/>
                <w:color w:val="auto"/>
              </w:rPr>
            </w:pPr>
            <w:r>
              <w:rPr>
                <w:rFonts w:ascii="Arial" w:cs="Arial" w:eastAsia="Arial" w:hAnsi="Arial"/>
                <w:sz w:val="18"/>
                <w:szCs w:val="18"/>
                <w:b w:val="1"/>
                <w:bCs w:val="1"/>
                <w:color w:val="auto"/>
              </w:rPr>
              <w:t>Description</w:t>
            </w:r>
          </w:p>
        </w:tc>
      </w:tr>
      <w:tr>
        <w:trPr>
          <w:trHeight w:val="439"/>
        </w:trPr>
        <w:tc>
          <w:tcPr>
            <w:tcW w:w="1260" w:type="dxa"/>
            <w:vAlign w:val="bottom"/>
          </w:tcPr>
          <w:p>
            <w:pPr>
              <w:jc w:val="right"/>
              <w:ind w:right="450"/>
              <w:spacing w:after="0"/>
              <w:rPr>
                <w:sz w:val="20"/>
                <w:szCs w:val="20"/>
                <w:color w:val="auto"/>
              </w:rPr>
            </w:pPr>
            <w:r>
              <w:rPr>
                <w:rFonts w:ascii="Arial" w:cs="Arial" w:eastAsia="Arial" w:hAnsi="Arial"/>
                <w:sz w:val="18"/>
                <w:szCs w:val="18"/>
                <w:color w:val="auto"/>
              </w:rPr>
              <w:t>99</w:t>
            </w:r>
          </w:p>
        </w:tc>
        <w:tc>
          <w:tcPr>
            <w:tcW w:w="86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Press Release dated January 31, 2005.</w:t>
            </w:r>
          </w:p>
        </w:tc>
      </w:tr>
      <w:tr>
        <w:trPr>
          <w:trHeight w:val="632"/>
        </w:trPr>
        <w:tc>
          <w:tcPr>
            <w:tcW w:w="12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9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January 31, 2005</w:t>
            </w: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16"/>
        </w:trPr>
        <w:tc>
          <w:tcPr>
            <w:tcW w:w="35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 General Counsel and</w:t>
            </w:r>
          </w:p>
        </w:tc>
        <w:tc>
          <w:tcPr>
            <w:tcW w:w="1680" w:type="dxa"/>
            <w:vAlign w:val="bottom"/>
          </w:tcPr>
          <w:p>
            <w:pPr>
              <w:spacing w:after="0"/>
              <w:rPr>
                <w:sz w:val="18"/>
                <w:szCs w:val="18"/>
                <w:color w:val="auto"/>
              </w:rPr>
            </w:pPr>
          </w:p>
        </w:tc>
      </w:tr>
      <w:tr>
        <w:trPr>
          <w:trHeight w:val="230"/>
        </w:trPr>
        <w:tc>
          <w:tcPr>
            <w:tcW w:w="3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Compliance Officer</w:t>
            </w:r>
          </w:p>
        </w:tc>
        <w:tc>
          <w:tcPr>
            <w:tcW w:w="1680" w:type="dxa"/>
            <w:vAlign w:val="bottom"/>
          </w:tcPr>
          <w:p>
            <w:pPr>
              <w:spacing w:after="0"/>
              <w:rPr>
                <w:sz w:val="20"/>
                <w:szCs w:val="20"/>
                <w:color w:val="auto"/>
              </w:rPr>
            </w:pPr>
          </w:p>
        </w:tc>
      </w:tr>
      <w:tr>
        <w:trPr>
          <w:trHeight w:val="618"/>
        </w:trPr>
        <w:tc>
          <w:tcPr>
            <w:tcW w:w="35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300" w:type="dxa"/>
            <w:vAlign w:val="bottom"/>
            <w:gridSpan w:val="3"/>
          </w:tcPr>
          <w:p>
            <w:pPr>
              <w:ind w:left="3060"/>
              <w:spacing w:after="0"/>
              <w:rPr>
                <w:sz w:val="20"/>
                <w:szCs w:val="20"/>
                <w:color w:val="auto"/>
              </w:rPr>
            </w:pPr>
            <w:r>
              <w:rPr>
                <w:rFonts w:ascii="Arial" w:cs="Arial" w:eastAsia="Arial" w:hAnsi="Arial"/>
                <w:sz w:val="18"/>
                <w:szCs w:val="18"/>
                <w:b w:val="1"/>
                <w:bCs w:val="1"/>
                <w:color w:val="auto"/>
              </w:rPr>
              <w:t>Exhibit Index</w:t>
            </w:r>
          </w:p>
        </w:tc>
      </w:tr>
      <w:tr>
        <w:trPr>
          <w:trHeight w:val="844"/>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Exhibit Number</w:t>
            </w:r>
          </w:p>
        </w:tc>
        <w:tc>
          <w:tcPr>
            <w:tcW w:w="86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439"/>
        </w:trPr>
        <w:tc>
          <w:tcPr>
            <w:tcW w:w="1260" w:type="dxa"/>
            <w:vAlign w:val="bottom"/>
          </w:tcPr>
          <w:p>
            <w:pPr>
              <w:jc w:val="right"/>
              <w:ind w:right="450"/>
              <w:spacing w:after="0"/>
              <w:rPr>
                <w:sz w:val="20"/>
                <w:szCs w:val="20"/>
                <w:color w:val="auto"/>
              </w:rPr>
            </w:pPr>
            <w:r>
              <w:rPr>
                <w:rFonts w:ascii="Arial" w:cs="Arial" w:eastAsia="Arial" w:hAnsi="Arial"/>
                <w:sz w:val="18"/>
                <w:szCs w:val="18"/>
                <w:color w:val="auto"/>
              </w:rPr>
              <w:t>99</w:t>
            </w:r>
          </w:p>
        </w:tc>
        <w:tc>
          <w:tcPr>
            <w:tcW w:w="86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Press Release dated January 31, 2005</w:t>
            </w:r>
          </w:p>
        </w:tc>
      </w:tr>
    </w:tbl>
    <w:p>
      <w:pPr>
        <w:sectPr>
          <w:pgSz w:w="11900" w:h="16838" w:orient="portrait"/>
          <w:cols w:equalWidth="0" w:num="1">
            <w:col w:w="11420"/>
          </w:cols>
          <w:pgMar w:left="240" w:top="419" w:right="239" w:bottom="1440" w:gutter="0" w:footer="0" w:header="0"/>
        </w:sectPr>
      </w:pPr>
    </w:p>
    <w:bookmarkStart w:id="6" w:name="page7"/>
    <w:bookmarkEnd w:id="6"/>
    <w:p>
      <w:pPr>
        <w:ind w:left="10620"/>
        <w:spacing w:after="0"/>
        <w:rPr>
          <w:sz w:val="20"/>
          <w:szCs w:val="20"/>
          <w:color w:val="auto"/>
        </w:rPr>
      </w:pPr>
      <w:r>
        <w:rPr>
          <w:rFonts w:ascii="Arial" w:cs="Arial" w:eastAsia="Arial" w:hAnsi="Arial"/>
          <w:sz w:val="16"/>
          <w:szCs w:val="16"/>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152400</wp:posOffset>
            </wp:positionV>
            <wp:extent cx="1646555"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655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IMMEDIATE RELEASE</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Analysts</w:t>
      </w:r>
      <w:r>
        <w:rPr>
          <w:rFonts w:ascii="Arial" w:cs="Arial" w:eastAsia="Arial" w:hAnsi="Arial"/>
          <w:sz w:val="18"/>
          <w:szCs w:val="18"/>
          <w:b w:val="1"/>
          <w:bCs w:val="1"/>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Greg Nikkel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713.265.1358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Media: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Heather Browne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713-265-1514</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#05-05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 Elects Thomas H. Weidemeyer to Board of Directors</w:t>
      </w:r>
    </w:p>
    <w:p>
      <w:pPr>
        <w:spacing w:after="0" w:line="185"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 xml:space="preserve">HOUSTON — January 31, 2005 — </w:t>
      </w:r>
      <w:r>
        <w:rPr>
          <w:rFonts w:ascii="Arial" w:cs="Arial" w:eastAsia="Arial" w:hAnsi="Arial"/>
          <w:sz w:val="16"/>
          <w:szCs w:val="16"/>
          <w:color w:val="auto"/>
        </w:rPr>
        <w:t>Waste Management, Inc. (NYSE: WMI) today announced that Thomas H. Weidemeyer, formerly Senior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and Chief Operating Officer of United Parcel Service, Inc. and President of UPS Airlines, was elected to its Board of Directors Friday, January 28</w:t>
      </w:r>
      <w:r>
        <w:rPr>
          <w:rFonts w:ascii="Arial" w:cs="Arial" w:eastAsia="Arial" w:hAnsi="Arial"/>
          <w:sz w:val="13"/>
          <w:szCs w:val="13"/>
          <w:color w:val="auto"/>
        </w:rPr>
        <w:t>th</w:t>
      </w:r>
      <w:r>
        <w:rPr>
          <w:rFonts w:ascii="Arial" w:cs="Arial" w:eastAsia="Arial" w:hAnsi="Arial"/>
          <w:sz w:val="16"/>
          <w:szCs w:val="16"/>
          <w:color w:val="auto"/>
        </w:rPr>
        <w:t>.</w:t>
      </w:r>
    </w:p>
    <w:p>
      <w:pPr>
        <w:spacing w:after="0" w:line="9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Mr. Weidemeyer’s career at UPS included a broad range of experiences in the United States and managing Latin American operations. Mr. Weidemeyer started at UPS in 1972, and held various assignments of increasing responsibility before being named Vice President of UPS Airlines in 1990. He was named Senior Vice President for UPS in 1994 and along with his UPS Airlines responsibility, was also responsible for transportation operations and labor relations. In 2001, Mr. Weidemeyer assumed the additional responsibility of Chief Operating Officer for UPS.</w:t>
      </w:r>
    </w:p>
    <w:p>
      <w:pPr>
        <w:spacing w:after="0" w:line="13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“Tom’s knowledge and experience in the transportation services and package delivery industries will provide our Board and our company with valuable perspective and guidance. We are pleased to have him as part of our team,” said Jack Pope, Non-Executive Chairman of Waste Management.</w:t>
      </w:r>
    </w:p>
    <w:p>
      <w:pPr>
        <w:spacing w:after="0" w:line="8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Mr. Weidemeyer holds a Bachelor of Arts degree from Colgate University and a Juris Doctorate degree from the University of North Carolina. He was a member of the UPS board of directors until his retirement in December 2003, and currently serves on the board of NRG Energy Inc., a leading independent power producer headquartered in Princeton, N.J., and The Goodyear Tire &amp; Rubber Company, the world’s largest tire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election of Mr. Weidemeyer brings the size of Waste Management’s Board of Directors to nine members, eight of whom are independent.</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Waste Management, Inc. is its industry’s leading provider of comprehensive waste management services. Based in Houston, the Company serves municipal, commercial, industrial, and residential customers throughout North America.</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2019-12-20T04:02:51Z</dcterms:created>
  <dcterms:modified xsi:type="dcterms:W3CDTF">2019-12-20T04:02:51Z</dcterms:modified>
</cp:coreProperties>
</file>