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22, 2006</w:t>
      </w:r>
    </w:p>
    <w:p>
      <w:pPr>
        <w:spacing w:after="0" w:line="27"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Registration Number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634" w:right="239" w:bottom="424" w:gutter="0" w:footer="0" w:header="0"/>
        </w:sectPr>
      </w:pPr>
    </w:p>
    <w:p>
      <w:pPr>
        <w:spacing w:after="0" w:line="2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8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148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0"/>
          <w:szCs w:val="20"/>
          <w:color w:val="auto"/>
        </w:rPr>
      </w:pPr>
    </w:p>
    <w:p>
      <w:pPr>
        <w:sectPr>
          <w:pgSz w:w="11900" w:h="16838" w:orient="portrait"/>
          <w:cols w:equalWidth="0" w:num="2">
            <w:col w:w="6640" w:space="720"/>
            <w:col w:w="4060"/>
          </w:cols>
          <w:pgMar w:left="240" w:top="634" w:right="239" w:bottom="424"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 Suite 4000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and telephone number, including area code, of registrant’s principal executive offices)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 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512-6200</w:t>
      </w:r>
    </w:p>
    <w:p>
      <w:pPr>
        <w:spacing w:after="0" w:line="9" w:lineRule="exact"/>
        <w:rPr>
          <w:rFonts w:ascii="Arial" w:cs="Arial" w:eastAsia="Arial" w:hAnsi="Arial"/>
          <w:sz w:val="18"/>
          <w:szCs w:val="18"/>
          <w:b w:val="1"/>
          <w:bCs w:val="1"/>
          <w:color w:val="auto"/>
        </w:rPr>
      </w:pPr>
    </w:p>
    <w:p>
      <w:pPr>
        <w:ind w:left="4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Attention: General Counsel</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(Name, address, including zip code, and telephone number, including area code, of agent for service)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the effective date of this Registration Statement.</w:t>
      </w:r>
    </w:p>
    <w:p>
      <w:pPr>
        <w:spacing w:after="0" w:line="133" w:lineRule="exact"/>
        <w:rPr>
          <w:sz w:val="20"/>
          <w:szCs w:val="20"/>
          <w:color w:val="auto"/>
        </w:rPr>
      </w:pPr>
    </w:p>
    <w:p>
      <w:pPr>
        <w:ind w:right="380" w:firstLine="450"/>
        <w:spacing w:after="0" w:line="277" w:lineRule="auto"/>
        <w:rPr>
          <w:sz w:val="20"/>
          <w:szCs w:val="20"/>
          <w:color w:val="auto"/>
        </w:rPr>
      </w:pPr>
      <w:r>
        <w:rPr>
          <w:rFonts w:ascii="Arial" w:cs="Arial" w:eastAsia="Arial" w:hAnsi="Arial"/>
          <w:sz w:val="18"/>
          <w:szCs w:val="18"/>
          <w:color w:val="auto"/>
        </w:rPr>
        <w:t>If the only securities being registered on this form are being offered pursuant to dividend or interest reinvestment plans, please check the following box: o</w:t>
      </w:r>
    </w:p>
    <w:p>
      <w:pPr>
        <w:spacing w:after="0" w:line="62" w:lineRule="exact"/>
        <w:rPr>
          <w:sz w:val="20"/>
          <w:szCs w:val="20"/>
          <w:color w:val="auto"/>
        </w:rPr>
      </w:pPr>
    </w:p>
    <w:p>
      <w:pPr>
        <w:ind w:right="60" w:firstLine="450"/>
        <w:spacing w:after="0" w:line="233" w:lineRule="exact"/>
        <w:rPr>
          <w:sz w:val="20"/>
          <w:szCs w:val="20"/>
          <w:color w:val="auto"/>
        </w:rPr>
      </w:pPr>
      <w:r>
        <w:rPr>
          <w:rFonts w:ascii="Arial" w:cs="Arial" w:eastAsia="Arial" w:hAnsi="Arial"/>
          <w:sz w:val="18"/>
          <w:szCs w:val="18"/>
          <w:color w:val="auto"/>
        </w:rPr>
        <w:t xml:space="preserve">If any of the securities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320" w:firstLine="45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firstLine="45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6580" w:type="dxa"/>
            <w:vAlign w:val="bottom"/>
            <w:tcBorders>
              <w:top w:val="single" w:sz="8" w:color="auto"/>
              <w:bottom w:val="single" w:sz="8" w:color="auto"/>
            </w:tcBorders>
          </w:tcPr>
          <w:p>
            <w:pPr>
              <w:spacing w:after="0"/>
              <w:rPr>
                <w:sz w:val="3"/>
                <w:szCs w:val="3"/>
                <w:color w:val="auto"/>
              </w:rPr>
            </w:pPr>
          </w:p>
        </w:tc>
        <w:tc>
          <w:tcPr>
            <w:tcW w:w="4840" w:type="dxa"/>
            <w:vAlign w:val="bottom"/>
            <w:tcBorders>
              <w:top w:val="single" w:sz="8" w:color="auto"/>
              <w:bottom w:val="single" w:sz="8" w:color="auto"/>
            </w:tcBorders>
          </w:tcPr>
          <w:p>
            <w:pPr>
              <w:spacing w:after="0"/>
              <w:rPr>
                <w:sz w:val="3"/>
                <w:szCs w:val="3"/>
                <w:color w:val="auto"/>
              </w:rPr>
            </w:pPr>
          </w:p>
        </w:tc>
      </w:tr>
      <w:tr>
        <w:trPr>
          <w:trHeight w:val="106"/>
        </w:trPr>
        <w:tc>
          <w:tcPr>
            <w:tcW w:w="6580" w:type="dxa"/>
            <w:vAlign w:val="bottom"/>
            <w:tcBorders>
              <w:right w:val="single" w:sz="8" w:color="auto"/>
            </w:tcBorders>
          </w:tcPr>
          <w:p>
            <w:pPr>
              <w:ind w:left="2600"/>
              <w:spacing w:after="0" w:line="106" w:lineRule="exact"/>
              <w:rPr>
                <w:sz w:val="20"/>
                <w:szCs w:val="20"/>
                <w:color w:val="auto"/>
              </w:rPr>
            </w:pPr>
            <w:r>
              <w:rPr>
                <w:rFonts w:ascii="Arial" w:cs="Arial" w:eastAsia="Arial" w:hAnsi="Arial"/>
                <w:sz w:val="12"/>
                <w:szCs w:val="12"/>
                <w:b w:val="1"/>
                <w:bCs w:val="1"/>
                <w:color w:val="auto"/>
              </w:rPr>
              <w:t>Title of Each Class of</w:t>
            </w:r>
          </w:p>
        </w:tc>
        <w:tc>
          <w:tcPr>
            <w:tcW w:w="484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Amount to be Registered/Proposed Maximum Offering Price Per Unit/</w:t>
            </w:r>
          </w:p>
        </w:tc>
      </w:tr>
      <w:tr>
        <w:trPr>
          <w:trHeight w:val="178"/>
        </w:trPr>
        <w:tc>
          <w:tcPr>
            <w:tcW w:w="6580" w:type="dxa"/>
            <w:vAlign w:val="bottom"/>
            <w:tcBorders>
              <w:bottom w:val="single" w:sz="8" w:color="auto"/>
              <w:right w:val="single" w:sz="8" w:color="auto"/>
            </w:tcBorders>
          </w:tcPr>
          <w:p>
            <w:pPr>
              <w:ind w:left="2440"/>
              <w:spacing w:after="0"/>
              <w:rPr>
                <w:sz w:val="20"/>
                <w:szCs w:val="20"/>
                <w:color w:val="auto"/>
              </w:rPr>
            </w:pPr>
            <w:r>
              <w:rPr>
                <w:rFonts w:ascii="Arial" w:cs="Arial" w:eastAsia="Arial" w:hAnsi="Arial"/>
                <w:sz w:val="14"/>
                <w:szCs w:val="14"/>
                <w:b w:val="1"/>
                <w:bCs w:val="1"/>
                <w:color w:val="auto"/>
              </w:rPr>
              <w:t>Securities to be Registered</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Proposed Maximum Aggregate Offering Price/Amount of Registration Fee</w:t>
            </w:r>
          </w:p>
        </w:tc>
      </w:tr>
      <w:tr>
        <w:trPr>
          <w:trHeight w:val="223"/>
        </w:trPr>
        <w:tc>
          <w:tcPr>
            <w:tcW w:w="6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Debt Securities</w:t>
            </w:r>
          </w:p>
        </w:tc>
        <w:tc>
          <w:tcPr>
            <w:tcW w:w="4840" w:type="dxa"/>
            <w:vAlign w:val="bottom"/>
            <w:tcBorders>
              <w:bottom w:val="single" w:sz="8" w:color="auto"/>
            </w:tcBorders>
          </w:tcPr>
          <w:p>
            <w:pPr>
              <w:spacing w:after="0"/>
              <w:rPr>
                <w:sz w:val="19"/>
                <w:szCs w:val="19"/>
                <w:color w:val="auto"/>
              </w:rPr>
            </w:pPr>
          </w:p>
        </w:tc>
      </w:tr>
      <w:tr>
        <w:trPr>
          <w:trHeight w:val="223"/>
        </w:trPr>
        <w:tc>
          <w:tcPr>
            <w:tcW w:w="6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Common Stock, par value $0.01 per share</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23"/>
        </w:trPr>
        <w:tc>
          <w:tcPr>
            <w:tcW w:w="6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Preferred Stock</w:t>
            </w:r>
          </w:p>
        </w:tc>
        <w:tc>
          <w:tcPr>
            <w:tcW w:w="4840" w:type="dxa"/>
            <w:vAlign w:val="bottom"/>
            <w:tcBorders>
              <w:bottom w:val="single" w:sz="8" w:color="auto"/>
            </w:tcBorders>
          </w:tcPr>
          <w:p>
            <w:pPr>
              <w:spacing w:after="0"/>
              <w:rPr>
                <w:sz w:val="19"/>
                <w:szCs w:val="19"/>
                <w:color w:val="auto"/>
              </w:rPr>
            </w:pPr>
          </w:p>
        </w:tc>
      </w:tr>
      <w:tr>
        <w:trPr>
          <w:trHeight w:val="223"/>
        </w:trPr>
        <w:tc>
          <w:tcPr>
            <w:tcW w:w="6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Warrants</w:t>
            </w:r>
          </w:p>
        </w:tc>
        <w:tc>
          <w:tcPr>
            <w:tcW w:w="4840" w:type="dxa"/>
            <w:vAlign w:val="bottom"/>
            <w:tcBorders>
              <w:bottom w:val="single" w:sz="8" w:color="auto"/>
            </w:tcBorders>
          </w:tcPr>
          <w:p>
            <w:pPr>
              <w:spacing w:after="0"/>
              <w:rPr>
                <w:sz w:val="19"/>
                <w:szCs w:val="19"/>
                <w:color w:val="auto"/>
              </w:rPr>
            </w:pPr>
          </w:p>
        </w:tc>
      </w:tr>
      <w:tr>
        <w:trPr>
          <w:trHeight w:val="223"/>
        </w:trPr>
        <w:tc>
          <w:tcPr>
            <w:tcW w:w="6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Guarantees (2)</w:t>
            </w:r>
          </w:p>
        </w:tc>
        <w:tc>
          <w:tcPr>
            <w:tcW w:w="4840" w:type="dxa"/>
            <w:vAlign w:val="bottom"/>
            <w:tcBorders>
              <w:bottom w:val="single" w:sz="8" w:color="auto"/>
            </w:tcBorders>
          </w:tcPr>
          <w:p>
            <w:pPr>
              <w:spacing w:after="0"/>
              <w:rPr>
                <w:sz w:val="19"/>
                <w:szCs w:val="19"/>
                <w:color w:val="auto"/>
              </w:rPr>
            </w:pPr>
          </w:p>
        </w:tc>
      </w:tr>
      <w:tr>
        <w:trPr>
          <w:trHeight w:val="216"/>
        </w:trPr>
        <w:tc>
          <w:tcPr>
            <w:tcW w:w="6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Units (3)</w:t>
            </w:r>
          </w:p>
        </w:tc>
        <w:tc>
          <w:tcPr>
            <w:tcW w:w="4840" w:type="dxa"/>
            <w:vAlign w:val="bottom"/>
            <w:tcBorders>
              <w:bottom w:val="single" w:sz="8" w:color="auto"/>
            </w:tcBorders>
          </w:tcPr>
          <w:p>
            <w:pPr>
              <w:spacing w:after="0"/>
              <w:rPr>
                <w:sz w:val="18"/>
                <w:szCs w:val="18"/>
                <w:color w:val="auto"/>
              </w:rPr>
            </w:pP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460" w:right="20" w:hanging="452"/>
        <w:spacing w:after="0" w:line="29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indeterminate aggregate initial offering price or number of the securities of each identified class is being registered as may from time to time be issued at indeterminate prices. Separate consideration may or may not be received for securities that are issuable on exercise, conversion or exchange of other securities. In accordance with Rules 456(b) and 457(r), the registrant is deferring payment of all of the registration fees except for $40,338 that has already been paid with respect to $1,868,070,886 aggregate principal amount of securities that were previously registered pursuant to registration statement No. 333-97697 that were not sold thereunder pursuant to Rule 457(p) under the Securities Act of 1933, as amended (the “Securities Act”). The previously paid filing fees will be applied in lieu of the registration fees due for the first $376,990,654 aggregate initial offering price of securities offered with respect to this registration statement. Any additional fees will be paid in advance or on a pay-as-you-go basis.</w:t>
      </w:r>
    </w:p>
    <w:p>
      <w:pPr>
        <w:spacing w:after="0" w:line="18" w:lineRule="exact"/>
        <w:rPr>
          <w:rFonts w:ascii="Arial" w:cs="Arial" w:eastAsia="Arial" w:hAnsi="Arial"/>
          <w:sz w:val="16"/>
          <w:szCs w:val="16"/>
          <w:color w:val="auto"/>
        </w:rPr>
      </w:pPr>
    </w:p>
    <w:p>
      <w:pPr>
        <w:ind w:left="460" w:right="760" w:hanging="452"/>
        <w:spacing w:after="0" w:line="306"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also registering guarantees that Waste Management Holdings, Inc. may have with respect to debt securities we may issue. No separate consideration will be received for the guarantees. See inside facing page for information on the additional registrant guarantor.</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securities registered hereunder may be sold separately or as units with other securities registered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34" w:right="239" w:bottom="424"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ADDITIONAL REGISTRANT GUARANTORS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State or Other</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Address Including</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IRS Employer</w:t>
            </w:r>
          </w:p>
        </w:tc>
        <w:tc>
          <w:tcPr>
            <w:tcW w:w="4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Zip Code and</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Jurisdiction of</w:t>
            </w:r>
          </w:p>
        </w:tc>
        <w:tc>
          <w:tcPr>
            <w:tcW w:w="4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Telephone Number of</w:t>
            </w:r>
          </w:p>
        </w:tc>
        <w:tc>
          <w:tcPr>
            <w:tcW w:w="0" w:type="dxa"/>
            <w:vAlign w:val="bottom"/>
          </w:tcPr>
          <w:p>
            <w:pPr>
              <w:spacing w:after="0"/>
              <w:rPr>
                <w:sz w:val="1"/>
                <w:szCs w:val="1"/>
                <w:color w:val="auto"/>
              </w:rPr>
            </w:pPr>
          </w:p>
        </w:tc>
      </w:tr>
      <w:tr>
        <w:trPr>
          <w:trHeight w:val="149"/>
        </w:trPr>
        <w:tc>
          <w:tcPr>
            <w:tcW w:w="636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Exact Name as Specified in Charter</w:t>
            </w:r>
          </w:p>
        </w:tc>
        <w:tc>
          <w:tcPr>
            <w:tcW w:w="4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Incorporation or</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Identification</w:t>
            </w:r>
          </w:p>
        </w:tc>
        <w:tc>
          <w:tcPr>
            <w:tcW w:w="4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Executive</w:t>
            </w:r>
          </w:p>
        </w:tc>
        <w:tc>
          <w:tcPr>
            <w:tcW w:w="0" w:type="dxa"/>
            <w:vAlign w:val="bottom"/>
          </w:tcPr>
          <w:p>
            <w:pPr>
              <w:spacing w:after="0"/>
              <w:rPr>
                <w:sz w:val="1"/>
                <w:szCs w:val="1"/>
                <w:color w:val="auto"/>
              </w:rPr>
            </w:pPr>
          </w:p>
        </w:tc>
      </w:tr>
      <w:tr>
        <w:trPr>
          <w:trHeight w:val="171"/>
        </w:trPr>
        <w:tc>
          <w:tcPr>
            <w:tcW w:w="636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4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8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Office</w:t>
            </w:r>
          </w:p>
        </w:tc>
        <w:tc>
          <w:tcPr>
            <w:tcW w:w="0" w:type="dxa"/>
            <w:vAlign w:val="bottom"/>
          </w:tcPr>
          <w:p>
            <w:pPr>
              <w:spacing w:after="0"/>
              <w:rPr>
                <w:sz w:val="1"/>
                <w:szCs w:val="1"/>
                <w:color w:val="auto"/>
              </w:rPr>
            </w:pPr>
          </w:p>
        </w:tc>
      </w:tr>
      <w:tr>
        <w:trPr>
          <w:trHeight w:val="411"/>
        </w:trPr>
        <w:tc>
          <w:tcPr>
            <w:tcW w:w="636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46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36-26660763</w:t>
            </w:r>
          </w:p>
        </w:tc>
        <w:tc>
          <w:tcPr>
            <w:tcW w:w="48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1001 Fannin Street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Suite 4000</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Houston, Texas 77002</w:t>
            </w:r>
          </w:p>
        </w:tc>
        <w:tc>
          <w:tcPr>
            <w:tcW w:w="0" w:type="dxa"/>
            <w:vAlign w:val="bottom"/>
          </w:tcPr>
          <w:p>
            <w:pPr>
              <w:spacing w:after="0"/>
              <w:rPr>
                <w:sz w:val="1"/>
                <w:szCs w:val="1"/>
                <w:color w:val="auto"/>
              </w:rPr>
            </w:pPr>
          </w:p>
        </w:tc>
      </w:tr>
      <w:tr>
        <w:trPr>
          <w:trHeight w:val="632"/>
        </w:trPr>
        <w:tc>
          <w:tcPr>
            <w:tcW w:w="63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223520</wp:posOffset>
            </wp:positionV>
            <wp:extent cx="1586230" cy="711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62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WASTE MANAGEMENT, INC.</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GUARANTEES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UNITS</w:t>
      </w:r>
    </w:p>
    <w:p>
      <w:pPr>
        <w:spacing w:after="0" w:line="103"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62" w:lineRule="exact"/>
        <w:rPr>
          <w:sz w:val="20"/>
          <w:szCs w:val="20"/>
          <w:color w:val="auto"/>
        </w:rPr>
      </w:pPr>
    </w:p>
    <w:p>
      <w:pPr>
        <w:ind w:right="500" w:firstLine="450"/>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“WMI.”</w:t>
      </w:r>
    </w:p>
    <w:p>
      <w:pPr>
        <w:spacing w:after="0" w:line="117" w:lineRule="exact"/>
        <w:rPr>
          <w:sz w:val="20"/>
          <w:szCs w:val="20"/>
          <w:color w:val="auto"/>
        </w:rPr>
      </w:pPr>
    </w:p>
    <w:p>
      <w:pPr>
        <w:ind w:right="60" w:firstLine="443"/>
        <w:spacing w:after="0" w:line="277" w:lineRule="auto"/>
        <w:rPr>
          <w:sz w:val="20"/>
          <w:szCs w:val="20"/>
          <w:color w:val="auto"/>
        </w:rPr>
      </w:pPr>
      <w:r>
        <w:rPr>
          <w:rFonts w:ascii="Arial" w:cs="Arial" w:eastAsia="Arial" w:hAnsi="Arial"/>
          <w:sz w:val="18"/>
          <w:szCs w:val="18"/>
          <w:color w:val="auto"/>
        </w:rPr>
        <w:t>You should consider carefully the risk factors included in our periodic reports filed with the SEC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This prospectus is dated September 22,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5" w:name="page6"/>
    <w:bookmarkEnd w:id="5"/>
    <w:p>
      <w:pPr>
        <w:ind w:right="140" w:firstLine="450"/>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4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About this Prospectus</w:t>
            </w:r>
          </w:p>
        </w:tc>
        <w:tc>
          <w:tcPr>
            <w:tcW w:w="4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Incorporation by Reference</w:t>
            </w:r>
          </w:p>
        </w:tc>
        <w:tc>
          <w:tcPr>
            <w:tcW w:w="4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The Company</w:t>
            </w:r>
          </w:p>
        </w:tc>
        <w:tc>
          <w:tcPr>
            <w:tcW w:w="4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4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Use of Proceeds</w:t>
            </w:r>
          </w:p>
        </w:tc>
        <w:tc>
          <w:tcPr>
            <w:tcW w:w="4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4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Description of Guarantees</w:t>
            </w:r>
          </w:p>
        </w:tc>
        <w:tc>
          <w:tcPr>
            <w:tcW w:w="4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4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Description of Other Securities</w:t>
            </w:r>
          </w:p>
        </w:tc>
        <w:tc>
          <w:tcPr>
            <w:tcW w:w="4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Plan of Distribution</w:t>
            </w:r>
          </w:p>
        </w:tc>
        <w:tc>
          <w:tcPr>
            <w:tcW w:w="4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Selling Securityholders</w:t>
            </w:r>
          </w:p>
        </w:tc>
        <w:tc>
          <w:tcPr>
            <w:tcW w:w="4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Legal Matters</w:t>
            </w:r>
          </w:p>
        </w:tc>
        <w:tc>
          <w:tcPr>
            <w:tcW w:w="4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Experts</w:t>
            </w:r>
          </w:p>
        </w:tc>
        <w:tc>
          <w:tcPr>
            <w:tcW w:w="4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632"/>
        </w:trPr>
        <w:tc>
          <w:tcPr>
            <w:tcW w:w="706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left="416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80" w:firstLine="447"/>
        <w:spacing w:after="0" w:line="293"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57"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SEC filings, including the report on Form 10-K for the year ended December 31, 2005.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 the following:</w:t>
      </w:r>
    </w:p>
    <w:p>
      <w:pPr>
        <w:spacing w:after="0" w:line="57" w:lineRule="exact"/>
        <w:rPr>
          <w:sz w:val="20"/>
          <w:szCs w:val="20"/>
          <w:color w:val="auto"/>
        </w:rPr>
      </w:pPr>
    </w:p>
    <w:p>
      <w:pPr>
        <w:ind w:left="540" w:right="180" w:hanging="316"/>
        <w:spacing w:after="0" w:line="277"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may be unable to maintain or expand margins if we are unable to control costs;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may be unable to attract or retain qualified personnel, including licensed commercial drivers and truck maintenance professionals;</w:t>
      </w:r>
    </w:p>
    <w:p>
      <w:pPr>
        <w:spacing w:after="0" w:line="130" w:lineRule="exact"/>
        <w:rPr>
          <w:rFonts w:ascii="Arial" w:cs="Arial" w:eastAsia="Arial" w:hAnsi="Arial"/>
          <w:sz w:val="18"/>
          <w:szCs w:val="18"/>
          <w:b w:val="1"/>
          <w:bCs w:val="1"/>
          <w:color w:val="auto"/>
        </w:rPr>
      </w:pPr>
    </w:p>
    <w:p>
      <w:pPr>
        <w:ind w:left="540" w:right="60" w:hanging="316"/>
        <w:spacing w:after="0" w:line="264"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may not be able to successfully execute or continue our operational or other margin improvement plans and programs, including pricing increases, passing on increased costs to our customers, divesting under-performing assets and purchasing accretive businesses, any of which could negatively affect our revenues and margins;</w:t>
      </w:r>
    </w:p>
    <w:p>
      <w:pPr>
        <w:spacing w:after="0" w:line="86" w:lineRule="exact"/>
        <w:rPr>
          <w:rFonts w:ascii="Arial" w:cs="Arial" w:eastAsia="Arial" w:hAnsi="Arial"/>
          <w:sz w:val="18"/>
          <w:szCs w:val="18"/>
          <w:b w:val="1"/>
          <w:bCs w:val="1"/>
          <w:color w:val="auto"/>
        </w:rPr>
      </w:pPr>
    </w:p>
    <w:p>
      <w:pPr>
        <w:ind w:left="540" w:right="580" w:hanging="316"/>
        <w:spacing w:after="0" w:line="277"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fuel price increases or fuel supply shortages may increase our expenses, including our tax expense if Section 45K credits are phased out due to continued high crude oil prices;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fluctuating commodity prices may have negative effects on our operating revenues and expenses;</w:t>
      </w:r>
    </w:p>
    <w:p>
      <w:pPr>
        <w:spacing w:after="0" w:line="130" w:lineRule="exact"/>
        <w:rPr>
          <w:rFonts w:ascii="Arial" w:cs="Arial" w:eastAsia="Arial" w:hAnsi="Arial"/>
          <w:sz w:val="18"/>
          <w:szCs w:val="18"/>
          <w:b w:val="1"/>
          <w:bCs w:val="1"/>
          <w:color w:val="auto"/>
        </w:rPr>
      </w:pPr>
    </w:p>
    <w:p>
      <w:pPr>
        <w:ind w:left="540" w:right="120" w:hanging="316"/>
        <w:spacing w:after="0" w:line="277"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inflation and resulting higher interest rates may have negative effects on the economy, which could result in decreases in volumes of waste generated and increases in our financing costs and other expenses </w:t>
      </w:r>
      <w:r>
        <w:rPr>
          <w:rFonts w:ascii="Arial" w:cs="Arial" w:eastAsia="Arial" w:hAnsi="Arial"/>
          <w:sz w:val="18"/>
          <w:szCs w:val="18"/>
          <w:i w:val="1"/>
          <w:iCs w:val="1"/>
          <w:color w:val="auto"/>
        </w:rPr>
        <w:t>;</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possible inability of our insurers to meet their obligations may cause our expenses to increase;</w:t>
      </w:r>
    </w:p>
    <w:p>
      <w:pPr>
        <w:spacing w:after="0" w:line="130" w:lineRule="exact"/>
        <w:rPr>
          <w:rFonts w:ascii="Arial" w:cs="Arial" w:eastAsia="Arial" w:hAnsi="Arial"/>
          <w:sz w:val="18"/>
          <w:szCs w:val="18"/>
          <w:b w:val="1"/>
          <w:bCs w:val="1"/>
          <w:color w:val="auto"/>
        </w:rPr>
      </w:pPr>
    </w:p>
    <w:p>
      <w:pPr>
        <w:ind w:left="540" w:right="540" w:hanging="316"/>
        <w:spacing w:after="0" w:line="277"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weather conditions cause our quarter to quarter results to fluctuate, and extremely harsh weather or natural disasters may cause us to shut down operations;</w:t>
      </w:r>
    </w:p>
    <w:p>
      <w:pPr>
        <w:spacing w:after="0" w:line="75" w:lineRule="exact"/>
        <w:rPr>
          <w:rFonts w:ascii="Arial" w:cs="Arial" w:eastAsia="Arial" w:hAnsi="Arial"/>
          <w:sz w:val="18"/>
          <w:szCs w:val="18"/>
          <w:b w:val="1"/>
          <w:bCs w:val="1"/>
          <w:color w:val="auto"/>
        </w:rPr>
      </w:pPr>
    </w:p>
    <w:p>
      <w:pPr>
        <w:ind w:left="540" w:right="340" w:hanging="316"/>
        <w:spacing w:after="0" w:line="277"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possible changes in our estimates of site remediation requirements, final capping, closure and post-closure obligations, compliance and regulatory developments may increase our expenses or reduce revenues;</w:t>
      </w:r>
    </w:p>
    <w:p>
      <w:pPr>
        <w:spacing w:after="0" w:line="75" w:lineRule="exact"/>
        <w:rPr>
          <w:rFonts w:ascii="Arial" w:cs="Arial" w:eastAsia="Arial" w:hAnsi="Arial"/>
          <w:sz w:val="18"/>
          <w:szCs w:val="18"/>
          <w:b w:val="1"/>
          <w:bCs w:val="1"/>
          <w:color w:val="auto"/>
        </w:rPr>
      </w:pPr>
    </w:p>
    <w:p>
      <w:pPr>
        <w:ind w:left="540" w:right="160" w:hanging="316"/>
        <w:spacing w:after="0" w:line="277"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regulations may negatively impact our business by, among other things, increasing the cost to comply with regulatory requirements and the potential liabilities associated with disposal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7" w:name="page8"/>
    <w:bookmarkEnd w:id="7"/>
    <w:p>
      <w:pPr>
        <w:ind w:left="540" w:right="460" w:hanging="316"/>
        <w:spacing w:after="0" w:line="277"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540" w:right="380" w:hanging="316"/>
        <w:spacing w:after="0" w:line="277"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limitations or bans on disposal or transportation of out-of-state or cross-border waste or certain categories of waste can increase our expenses and reduce our revenues;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53" w:lineRule="exact"/>
        <w:rPr>
          <w:rFonts w:ascii="Arial" w:cs="Arial" w:eastAsia="Arial" w:hAnsi="Arial"/>
          <w:sz w:val="16"/>
          <w:szCs w:val="16"/>
          <w:b w:val="1"/>
          <w:bCs w:val="1"/>
          <w:color w:val="auto"/>
        </w:rPr>
      </w:pPr>
    </w:p>
    <w:p>
      <w:pPr>
        <w:ind w:left="540" w:hanging="316"/>
        <w:spacing w:after="0" w:line="277"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trends requiring recycling, waste reduction at the source and prohibiting the disposal of certain types of wastes could have negative effects on volumes of waste going to landfills and waste-to-energy facilities, which are higher margin businesses than recycling;</w:t>
      </w:r>
    </w:p>
    <w:p>
      <w:pPr>
        <w:spacing w:after="0" w:line="75" w:lineRule="exact"/>
        <w:rPr>
          <w:rFonts w:ascii="Arial" w:cs="Arial" w:eastAsia="Arial" w:hAnsi="Arial"/>
          <w:sz w:val="18"/>
          <w:szCs w:val="18"/>
          <w:b w:val="1"/>
          <w:bCs w:val="1"/>
          <w:color w:val="auto"/>
        </w:rPr>
      </w:pPr>
    </w:p>
    <w:p>
      <w:pPr>
        <w:ind w:left="540" w:right="260" w:hanging="316"/>
        <w:spacing w:after="0" w:line="264"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efforts by labor unions to organize our employees may divert management’s attention and increase operating expenses and we may be unable to negotiate acceptable collective bargaining agreements with those who have chosen to be represented by unions, which could lead to union-initiated work stoppages, including strikes,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540" w:right="180" w:hanging="316"/>
        <w:spacing w:after="0" w:line="277"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negative outcomes of litigation or threatened litigation or governmental proceedings may increase our costs or limit our ability to conduct or expand our operations;</w:t>
      </w:r>
    </w:p>
    <w:p>
      <w:pPr>
        <w:spacing w:after="0" w:line="75" w:lineRule="exact"/>
        <w:rPr>
          <w:rFonts w:ascii="Arial" w:cs="Arial" w:eastAsia="Arial" w:hAnsi="Arial"/>
          <w:sz w:val="18"/>
          <w:szCs w:val="18"/>
          <w:b w:val="1"/>
          <w:bCs w:val="1"/>
          <w:color w:val="auto"/>
        </w:rPr>
      </w:pPr>
    </w:p>
    <w:p>
      <w:pPr>
        <w:ind w:left="540" w:right="300" w:hanging="316"/>
        <w:spacing w:after="0" w:line="277"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possible errors or problems with implementing and deploying new information technology systems may decrease our efficiencies and increase our costs to operate;</w:t>
      </w:r>
    </w:p>
    <w:p>
      <w:pPr>
        <w:spacing w:after="0" w:line="75" w:lineRule="exact"/>
        <w:rPr>
          <w:rFonts w:ascii="Arial" w:cs="Arial" w:eastAsia="Arial" w:hAnsi="Arial"/>
          <w:sz w:val="18"/>
          <w:szCs w:val="18"/>
          <w:b w:val="1"/>
          <w:bCs w:val="1"/>
          <w:color w:val="auto"/>
        </w:rPr>
      </w:pPr>
    </w:p>
    <w:p>
      <w:pPr>
        <w:ind w:left="540" w:right="40" w:hanging="316"/>
        <w:spacing w:after="0" w:line="277"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adoption of new accounting standards or interpretations may cause fluctuations in quarterly results of operations or adversely impact our results of operations; and</w:t>
      </w:r>
    </w:p>
    <w:p>
      <w:pPr>
        <w:spacing w:after="0" w:line="75" w:lineRule="exact"/>
        <w:rPr>
          <w:rFonts w:ascii="Arial" w:cs="Arial" w:eastAsia="Arial" w:hAnsi="Arial"/>
          <w:sz w:val="18"/>
          <w:szCs w:val="18"/>
          <w:b w:val="1"/>
          <w:bCs w:val="1"/>
          <w:color w:val="auto"/>
        </w:rPr>
      </w:pPr>
    </w:p>
    <w:p>
      <w:pPr>
        <w:ind w:left="540" w:right="460" w:hanging="316"/>
        <w:spacing w:after="0" w:line="308" w:lineRule="auto"/>
        <w:tabs>
          <w:tab w:leader="none" w:pos="54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we may reduce or eliminate our dividend or share repurchase program or we may need additional capital if cash flows are less than we expect or capital expenditures are more than we expect, and we may not be able to obtain any needed capital on acceptable terms.</w:t>
      </w:r>
    </w:p>
    <w:p>
      <w:pPr>
        <w:spacing w:after="0" w:line="38"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520" w:firstLine="447"/>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sell any combination of the securities described in this prospectus from time to time up to an indeterminate dollar amount.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117" w:lineRule="exact"/>
        <w:rPr>
          <w:sz w:val="20"/>
          <w:szCs w:val="20"/>
          <w:color w:val="auto"/>
        </w:rPr>
      </w:pPr>
    </w:p>
    <w:p>
      <w:pPr>
        <w:ind w:left="1360" w:hanging="326"/>
        <w:spacing w:after="0"/>
        <w:tabs>
          <w:tab w:leader="none" w:pos="13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debt securities;</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warrants;</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guarantees; and</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units consisting of any of the securities listed above.</w:t>
      </w:r>
    </w:p>
    <w:p>
      <w:pPr>
        <w:spacing w:after="0" w:line="117" w:lineRule="exact"/>
        <w:rPr>
          <w:sz w:val="20"/>
          <w:szCs w:val="20"/>
          <w:color w:val="auto"/>
        </w:rPr>
      </w:pPr>
    </w:p>
    <w:p>
      <w:pPr>
        <w:jc w:val="both"/>
        <w:ind w:right="60" w:firstLine="450"/>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8" w:name="page9"/>
    <w:bookmarkEnd w:id="8"/>
    <w:p>
      <w:pPr>
        <w:ind w:left="1360" w:hanging="326"/>
        <w:spacing w:after="0"/>
        <w:tabs>
          <w:tab w:leader="none" w:pos="13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type and amount of securities that we or selling securityholders propose to sell;</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initial public offering price of the securities;</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any compensation of those underwriters or agents; and</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117"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 “Documents Incorporated by Reference” and “Where You Can Find More Information.”</w:t>
      </w:r>
    </w:p>
    <w:p>
      <w:pPr>
        <w:spacing w:after="0" w:line="73" w:lineRule="exact"/>
        <w:rPr>
          <w:sz w:val="20"/>
          <w:szCs w:val="20"/>
          <w:color w:val="auto"/>
        </w:rPr>
      </w:pPr>
    </w:p>
    <w:p>
      <w:pPr>
        <w:ind w:right="140" w:firstLine="447"/>
        <w:spacing w:after="0" w:line="279" w:lineRule="auto"/>
        <w:rPr>
          <w:sz w:val="20"/>
          <w:szCs w:val="20"/>
          <w:color w:val="auto"/>
        </w:rPr>
      </w:pPr>
      <w:r>
        <w:rPr>
          <w:rFonts w:ascii="Arial" w:cs="Arial" w:eastAsia="Arial" w:hAnsi="Arial"/>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right="400" w:firstLine="447"/>
        <w:spacing w:after="0" w:line="286" w:lineRule="auto"/>
        <w:rPr>
          <w:sz w:val="20"/>
          <w:szCs w:val="20"/>
          <w:color w:val="auto"/>
        </w:rPr>
      </w:pPr>
      <w:r>
        <w:rPr>
          <w:rFonts w:ascii="Arial" w:cs="Arial" w:eastAsia="Arial" w:hAnsi="Arial"/>
          <w:sz w:val="17"/>
          <w:szCs w:val="17"/>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57" w:lineRule="exact"/>
        <w:rPr>
          <w:sz w:val="20"/>
          <w:szCs w:val="20"/>
          <w:color w:val="auto"/>
        </w:rPr>
      </w:pPr>
    </w:p>
    <w:p>
      <w:pPr>
        <w:ind w:right="20" w:firstLine="447"/>
        <w:spacing w:after="0" w:line="257"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60" w:type="dxa"/>
            <w:vAlign w:val="bottom"/>
            <w:tcBorders>
              <w:bottom w:val="single" w:sz="8" w:color="auto"/>
            </w:tcBorders>
          </w:tcPr>
          <w:p>
            <w:pPr>
              <w:ind w:left="3300"/>
              <w:spacing w:after="0"/>
              <w:rPr>
                <w:sz w:val="20"/>
                <w:szCs w:val="20"/>
                <w:color w:val="auto"/>
              </w:rPr>
            </w:pPr>
            <w:r>
              <w:rPr>
                <w:rFonts w:ascii="Arial" w:cs="Arial" w:eastAsia="Arial" w:hAnsi="Arial"/>
                <w:sz w:val="14"/>
                <w:szCs w:val="14"/>
                <w:color w:val="auto"/>
              </w:rPr>
              <w:t>SEC Filing (our SEC file number is 1-1254)</w:t>
            </w:r>
          </w:p>
        </w:tc>
        <w:tc>
          <w:tcPr>
            <w:tcW w:w="5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Date Filed</w:t>
            </w:r>
          </w:p>
        </w:tc>
      </w:tr>
      <w:tr>
        <w:trPr>
          <w:trHeight w:val="411"/>
        </w:trPr>
        <w:tc>
          <w:tcPr>
            <w:tcW w:w="9160" w:type="dxa"/>
            <w:vAlign w:val="bottom"/>
          </w:tcPr>
          <w:p>
            <w:pPr>
              <w:spacing w:after="0"/>
              <w:rPr>
                <w:sz w:val="20"/>
                <w:szCs w:val="20"/>
                <w:color w:val="auto"/>
              </w:rPr>
            </w:pPr>
            <w:r>
              <w:rPr>
                <w:rFonts w:ascii="Arial" w:cs="Arial" w:eastAsia="Arial" w:hAnsi="Arial"/>
                <w:sz w:val="18"/>
                <w:szCs w:val="18"/>
                <w:color w:val="auto"/>
                <w:w w:val="96"/>
              </w:rPr>
              <w:t>Annual Report on Form 10-K (including the portions of our proxy statement for our 2006 annual meeting of stockholders</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21, 2006</w:t>
            </w:r>
          </w:p>
        </w:tc>
      </w:t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incorporated by reference therein) for the year ended December 31, 2005</w:t>
            </w: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Quarterly report on Form 10-Q for the quarter ended March 31, 2006</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27, 2006</w:t>
            </w: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Quarterly Report on Form 10-Q for the quarter ended June 30, 2006</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July 28, 2006</w:t>
            </w: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1, 2006</w:t>
            </w: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March 28, 2006</w:t>
            </w: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20, 2006</w:t>
            </w: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12, 2006</w:t>
            </w:r>
          </w:p>
        </w:tc>
      </w:tr>
      <w:tr>
        <w:trPr>
          <w:trHeight w:val="405"/>
        </w:trPr>
        <w:tc>
          <w:tcPr>
            <w:tcW w:w="9160" w:type="dxa"/>
            <w:vAlign w:val="bottom"/>
          </w:tcPr>
          <w:p>
            <w:pPr>
              <w:ind w:left="566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6"/>
        </w:trPr>
        <w:tc>
          <w:tcPr>
            <w:tcW w:w="9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7"/>
        </w:trPr>
        <w:tc>
          <w:tcPr>
            <w:tcW w:w="9160" w:type="dxa"/>
            <w:vAlign w:val="bottom"/>
            <w:tcBorders>
              <w:bottom w:val="single" w:sz="8" w:color="auto"/>
            </w:tcBorders>
          </w:tcPr>
          <w:p>
            <w:pPr>
              <w:ind w:left="3300"/>
              <w:spacing w:after="0"/>
              <w:rPr>
                <w:sz w:val="20"/>
                <w:szCs w:val="20"/>
                <w:color w:val="auto"/>
              </w:rPr>
            </w:pPr>
            <w:r>
              <w:rPr>
                <w:rFonts w:ascii="Arial" w:cs="Arial" w:eastAsia="Arial" w:hAnsi="Arial"/>
                <w:sz w:val="14"/>
                <w:szCs w:val="14"/>
                <w:color w:val="auto"/>
              </w:rPr>
              <w:t>SEC Filing (our SEC file number is 1-1254)</w:t>
            </w:r>
          </w:p>
        </w:tc>
        <w:tc>
          <w:tcPr>
            <w:tcW w:w="5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Date Filed</w:t>
            </w:r>
          </w:p>
        </w:tc>
      </w:tr>
      <w:tr>
        <w:trPr>
          <w:trHeight w:val="426"/>
        </w:trPr>
        <w:tc>
          <w:tcPr>
            <w:tcW w:w="91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18, 2006</w:t>
            </w: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24, 2006</w:t>
            </w: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June 22, 2006</w:t>
            </w: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July 6, 2006</w:t>
            </w: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July 28, 2006</w:t>
            </w: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21, 2006</w:t>
            </w: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Description of our Common Stock on Form 8-B</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July 13, 1995</w:t>
            </w:r>
          </w:p>
        </w:tc>
      </w:tr>
    </w:tbl>
    <w:p>
      <w:pPr>
        <w:spacing w:after="0" w:line="94" w:lineRule="exact"/>
        <w:rPr>
          <w:sz w:val="20"/>
          <w:szCs w:val="20"/>
          <w:color w:val="auto"/>
        </w:rPr>
      </w:pPr>
    </w:p>
    <w:p>
      <w:pPr>
        <w:ind w:right="40" w:firstLine="447"/>
        <w:spacing w:after="0" w:line="257" w:lineRule="auto"/>
        <w:rPr>
          <w:sz w:val="20"/>
          <w:szCs w:val="20"/>
          <w:color w:val="auto"/>
        </w:rPr>
      </w:pPr>
      <w:r>
        <w:rPr>
          <w:rFonts w:ascii="Arial" w:cs="Arial" w:eastAsia="Arial" w:hAnsi="Arial"/>
          <w:sz w:val="18"/>
          <w:szCs w:val="18"/>
          <w:color w:val="auto"/>
        </w:rPr>
        <w:t>We also incorporate by reference into this prospectus additional documents that we may file with the SEC under Section 13(a), 13(c), 14 or 15(d) of the Exchange Act from the date of this prospectus to the end of the offering of the securities.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80" w:lineRule="exact"/>
        <w:rPr>
          <w:sz w:val="20"/>
          <w:szCs w:val="20"/>
          <w:color w:val="auto"/>
        </w:rPr>
      </w:pPr>
    </w:p>
    <w:p>
      <w:pPr>
        <w:ind w:right="180" w:firstLine="443"/>
        <w:spacing w:after="0" w:line="264" w:lineRule="auto"/>
        <w:rPr>
          <w:sz w:val="20"/>
          <w:szCs w:val="20"/>
          <w:color w:val="auto"/>
        </w:rPr>
      </w:pPr>
      <w:r>
        <w:rPr>
          <w:rFonts w:ascii="Arial" w:cs="Arial" w:eastAsia="Arial" w:hAnsi="Arial"/>
          <w:sz w:val="18"/>
          <w:szCs w:val="18"/>
          <w:color w:val="auto"/>
        </w:rPr>
        <w:t>You may obtain copies of any of these filings through Waste Management as described below, through the SEC or through the SEC’s Internet website as described above.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60" w:firstLine="447"/>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80" w:lineRule="exact"/>
        <w:rPr>
          <w:sz w:val="20"/>
          <w:szCs w:val="20"/>
          <w:color w:val="auto"/>
        </w:rPr>
      </w:pPr>
    </w:p>
    <w:p>
      <w:pPr>
        <w:ind w:right="260" w:firstLine="447"/>
        <w:spacing w:after="0" w:line="279" w:lineRule="auto"/>
        <w:rPr>
          <w:sz w:val="20"/>
          <w:szCs w:val="20"/>
          <w:color w:val="auto"/>
        </w:rPr>
      </w:pPr>
      <w:r>
        <w:rPr>
          <w:rFonts w:ascii="Arial" w:cs="Arial" w:eastAsia="Arial" w:hAnsi="Arial"/>
          <w:sz w:val="17"/>
          <w:szCs w:val="17"/>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1040" w:firstLine="447"/>
        <w:spacing w:after="0" w:line="277" w:lineRule="auto"/>
        <w:rPr>
          <w:sz w:val="20"/>
          <w:szCs w:val="20"/>
          <w:color w:val="auto"/>
        </w:rPr>
      </w:pPr>
      <w:r>
        <w:rPr>
          <w:rFonts w:ascii="Arial" w:cs="Arial" w:eastAsia="Arial" w:hAnsi="Arial"/>
          <w:sz w:val="18"/>
          <w:szCs w:val="18"/>
          <w:color w:val="auto"/>
        </w:rPr>
        <w:t>We are the leading provider of integrated waste services in North America. Using our vast network of assets and employees, we provide a comprehensive range of waste management services. Through our subsidiaries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0" w:name="page11"/>
    <w:bookmarkEnd w:id="10"/>
    <w:p>
      <w:pPr>
        <w:ind w:right="200"/>
        <w:spacing w:after="0" w:line="259" w:lineRule="auto"/>
        <w:rPr>
          <w:sz w:val="20"/>
          <w:szCs w:val="20"/>
          <w:color w:val="auto"/>
        </w:rPr>
      </w:pPr>
      <w:r>
        <w:rPr>
          <w:rFonts w:ascii="Arial" w:cs="Arial" w:eastAsia="Arial" w:hAnsi="Arial"/>
          <w:sz w:val="18"/>
          <w:szCs w:val="18"/>
          <w:color w:val="auto"/>
        </w:rPr>
        <w:t>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principal executive offices are located at 1001 Fannin Street, Suite 4000, Houston, Texas 77002 and our telephone number is (713) 512-6200.</w:t>
      </w:r>
    </w:p>
    <w:p>
      <w:pPr>
        <w:spacing w:after="0" w:line="34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w w:val="94"/>
              </w:rPr>
              <w:t>Years Ended December 31,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2005</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2004</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2003</w:t>
            </w:r>
          </w:p>
        </w:tc>
        <w:tc>
          <w:tcPr>
            <w:tcW w:w="140" w:type="dxa"/>
            <w:vAlign w:val="bottom"/>
          </w:tcPr>
          <w:p>
            <w:pPr>
              <w:spacing w:after="0"/>
              <w:rPr>
                <w:sz w:val="12"/>
                <w:szCs w:val="12"/>
                <w:color w:val="auto"/>
              </w:rPr>
            </w:pPr>
          </w:p>
        </w:tc>
      </w:tr>
      <w:tr>
        <w:trPr>
          <w:trHeight w:val="195"/>
        </w:trPr>
        <w:tc>
          <w:tcPr>
            <w:tcW w:w="7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Income before taxes, cumulative effect of changes in accounting principles, losses in equity</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and minority interests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Fixed charges deducted from income:</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Implicit interest in rents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r>
      <w:tr>
        <w:trPr>
          <w:trHeight w:val="27"/>
        </w:trPr>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w:t>
            </w:r>
          </w:p>
        </w:tc>
      </w:tr>
      <w:tr>
        <w:trPr>
          <w:trHeight w:val="223"/>
        </w:trPr>
        <w:tc>
          <w:tcPr>
            <w:tcW w:w="7860" w:type="dxa"/>
            <w:vAlign w:val="bottom"/>
          </w:tcPr>
          <w:p>
            <w:pPr>
              <w:ind w:left="420"/>
              <w:spacing w:after="0"/>
              <w:rPr>
                <w:sz w:val="20"/>
                <w:szCs w:val="20"/>
                <w:color w:val="auto"/>
              </w:rPr>
            </w:pPr>
            <w:r>
              <w:rPr>
                <w:rFonts w:ascii="Arial" w:cs="Arial" w:eastAsia="Arial" w:hAnsi="Arial"/>
                <w:sz w:val="18"/>
                <w:szCs w:val="18"/>
                <w:color w:val="auto"/>
              </w:rPr>
              <w:t>Earnings available for fixed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4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Capitalized interest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r>
      <w:tr>
        <w:trPr>
          <w:trHeight w:val="223"/>
        </w:trPr>
        <w:tc>
          <w:tcPr>
            <w:tcW w:w="7860" w:type="dxa"/>
            <w:vAlign w:val="bottom"/>
          </w:tcPr>
          <w:p>
            <w:pPr>
              <w:ind w:left="220"/>
              <w:spacing w:after="0"/>
              <w:rPr>
                <w:sz w:val="20"/>
                <w:szCs w:val="20"/>
                <w:color w:val="auto"/>
              </w:rPr>
            </w:pPr>
            <w:r>
              <w:rPr>
                <w:rFonts w:ascii="Arial" w:cs="Arial" w:eastAsia="Arial" w:hAnsi="Arial"/>
                <w:sz w:val="18"/>
                <w:szCs w:val="18"/>
                <w:color w:val="auto"/>
              </w:rPr>
              <w:t>Total fixed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3.2x</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3.5x</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3.1x</w:t>
            </w: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200" w:firstLine="450"/>
        <w:spacing w:after="0" w:line="286" w:lineRule="auto"/>
        <w:rPr>
          <w:sz w:val="20"/>
          <w:szCs w:val="20"/>
          <w:color w:val="auto"/>
        </w:rPr>
      </w:pPr>
      <w:r>
        <w:rPr>
          <w:rFonts w:ascii="Arial" w:cs="Arial" w:eastAsia="Arial" w:hAnsi="Arial"/>
          <w:sz w:val="17"/>
          <w:szCs w:val="17"/>
          <w:color w:val="auto"/>
        </w:rPr>
        <w:t>Unless otherwise indicated in an accompanying prospectus supplement, we intend to use the net proceeds we receive from the sale of securities by us for general corporate purposes, which may include the repayment of indebtedness and our working capital requirements. Unless otherwise specified in the applicable prospectus supplement, we will not receive any proceeds from the sale of securities by selling securityholders.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121" w:lineRule="exact"/>
        <w:rPr>
          <w:sz w:val="20"/>
          <w:szCs w:val="20"/>
          <w:color w:val="auto"/>
        </w:rPr>
      </w:pPr>
    </w:p>
    <w:p>
      <w:pPr>
        <w:ind w:right="20" w:firstLine="447"/>
        <w:spacing w:after="0" w:line="302" w:lineRule="auto"/>
        <w:rPr>
          <w:sz w:val="20"/>
          <w:szCs w:val="20"/>
          <w:color w:val="auto"/>
        </w:rPr>
      </w:pPr>
      <w:r>
        <w:rPr>
          <w:rFonts w:ascii="Arial" w:cs="Arial" w:eastAsia="Arial" w:hAnsi="Arial"/>
          <w:sz w:val="16"/>
          <w:szCs w:val="16"/>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JPMorgan Chase Bank), as trustee. We will issue subordinated debt securities under an indenture dated as of February 1, 1997 among Waste Management, as issuer, and JPMorgan Chase, as trustee. The indentures are substantially identical, except for provisions relating to subordination and covenants.</w:t>
      </w:r>
    </w:p>
    <w:p>
      <w:pPr>
        <w:spacing w:after="0" w:line="46" w:lineRule="exact"/>
        <w:rPr>
          <w:sz w:val="20"/>
          <w:szCs w:val="20"/>
          <w:color w:val="auto"/>
        </w:rPr>
      </w:pPr>
    </w:p>
    <w:p>
      <w:pPr>
        <w:ind w:right="140" w:firstLine="447"/>
        <w:spacing w:after="0" w:line="264" w:lineRule="auto"/>
        <w:rPr>
          <w:sz w:val="20"/>
          <w:szCs w:val="20"/>
          <w:color w:val="auto"/>
        </w:rPr>
      </w:pPr>
      <w:r>
        <w:rPr>
          <w:rFonts w:ascii="Arial" w:cs="Arial" w:eastAsia="Arial" w:hAnsi="Arial"/>
          <w:sz w:val="18"/>
          <w:szCs w:val="18"/>
          <w:color w:val="auto"/>
        </w:rPr>
        <w:t>We have summarized material provisions of the indentures, the debt securities and the guarantees below. This summary is not complete. We have filed the senior indenture and the form of subordinated indenture with the SEC as exhibits to the registration statement, and you should read the indentures for provisions that may be important to you.</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 unsecured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securities that we may issue. We may issue debt securities under the indentures from time to time in one or more series, each in an amount authorized prior to issuance.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some or all of the following:</w:t>
      </w:r>
    </w:p>
    <w:p>
      <w:pPr>
        <w:spacing w:after="0" w:line="6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whether the debt securities will be senior or subordinated debt securities;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b w:val="1"/>
          <w:bCs w:val="1"/>
          <w:color w:val="auto"/>
        </w:rPr>
      </w:pPr>
    </w:p>
    <w:p>
      <w:pPr>
        <w:ind w:left="540" w:hanging="316"/>
        <w:spacing w:after="0" w:line="277"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date or dates on which the principal of and any premium on the debt securities will be payable;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any interest rate, the date from which interest will accrue, interest payment dates and record dates for interest payments;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any right to extend or defer the interest payment periods and the duration of the extension;</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place or places where payments on the debt securities will be payable;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any provisions for optional redemption or early repayment;</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any provisions that would require the redemption, purchase or repayment of debt securities;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denominations in which the debt securities will be issued;</w:t>
      </w:r>
    </w:p>
    <w:p>
      <w:pPr>
        <w:spacing w:after="0" w:line="130" w:lineRule="exact"/>
        <w:rPr>
          <w:rFonts w:ascii="Arial" w:cs="Arial" w:eastAsia="Arial" w:hAnsi="Arial"/>
          <w:sz w:val="18"/>
          <w:szCs w:val="18"/>
          <w:b w:val="1"/>
          <w:bCs w:val="1"/>
          <w:color w:val="auto"/>
        </w:rPr>
      </w:pPr>
    </w:p>
    <w:p>
      <w:pPr>
        <w:ind w:left="540" w:right="60" w:hanging="316"/>
        <w:spacing w:after="0" w:line="277"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portion of the principal amount of debt securities that will be payable if the maturity is accelerated, if other than the entire principal amount;</w:t>
      </w:r>
    </w:p>
    <w:p>
      <w:pPr>
        <w:spacing w:after="0" w:line="142" w:lineRule="exact"/>
        <w:rPr>
          <w:rFonts w:ascii="Arial" w:cs="Arial" w:eastAsia="Arial" w:hAnsi="Arial"/>
          <w:sz w:val="17"/>
          <w:szCs w:val="17"/>
          <w:b w:val="1"/>
          <w:bCs w:val="1"/>
          <w:color w:val="auto"/>
        </w:rPr>
      </w:pPr>
    </w:p>
    <w:p>
      <w:pPr>
        <w:ind w:left="540" w:right="60" w:hanging="316"/>
        <w:spacing w:after="0" w:line="277"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any changes or additions to the events of default or covenants described in this prospectus;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any restrictions or other provisions relating to the transfer or exchange of debt securities;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any other terms of the debt securities not inconsistent with the applicable indenture.</w:t>
      </w:r>
    </w:p>
    <w:p>
      <w:pPr>
        <w:spacing w:after="0" w:line="117" w:lineRule="exact"/>
        <w:rPr>
          <w:sz w:val="20"/>
          <w:szCs w:val="20"/>
          <w:color w:val="auto"/>
        </w:rPr>
      </w:pPr>
    </w:p>
    <w:p>
      <w:pPr>
        <w:ind w:firstLine="447"/>
        <w:spacing w:after="0" w:line="264"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2" w:name="page13"/>
    <w:bookmarkEnd w:id="12"/>
    <w:p>
      <w:pPr>
        <w:ind w:firstLine="450"/>
        <w:spacing w:after="0" w:line="264"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Consolidation, Merger and Sale of Assets. </w:t>
      </w:r>
      <w:r>
        <w:rPr>
          <w:rFonts w:ascii="Arial" w:cs="Arial" w:eastAsia="Arial" w:hAnsi="Arial"/>
          <w:sz w:val="18"/>
          <w:szCs w:val="18"/>
          <w:color w:val="auto"/>
        </w:rPr>
        <w:t>The indentures generally prohibit a consolidation or merger involving Waste Management or a lease, transfer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disposition of all or substantially all of our assets unless:</w:t>
      </w:r>
    </w:p>
    <w:p>
      <w:pPr>
        <w:spacing w:after="0" w:line="6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are the continuing corporation; or</w:t>
      </w:r>
    </w:p>
    <w:p>
      <w:pPr>
        <w:spacing w:after="0" w:line="130" w:lineRule="exact"/>
        <w:rPr>
          <w:rFonts w:ascii="Arial" w:cs="Arial" w:eastAsia="Arial" w:hAnsi="Arial"/>
          <w:sz w:val="18"/>
          <w:szCs w:val="18"/>
          <w:b w:val="1"/>
          <w:bCs w:val="1"/>
          <w:color w:val="auto"/>
        </w:rPr>
      </w:pPr>
    </w:p>
    <w:p>
      <w:pPr>
        <w:ind w:left="540" w:right="720" w:hanging="316"/>
        <w:spacing w:after="0" w:line="277"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if we are not the continuing corporation, the resulting entity or transferee assumes the performance of its covenants and obligations under the indentures and the due and punctual payments on the debt securities; and</w:t>
      </w:r>
    </w:p>
    <w:p>
      <w:pPr>
        <w:spacing w:after="0" w:line="75" w:lineRule="exact"/>
        <w:rPr>
          <w:rFonts w:ascii="Arial" w:cs="Arial" w:eastAsia="Arial" w:hAnsi="Arial"/>
          <w:sz w:val="18"/>
          <w:szCs w:val="18"/>
          <w:b w:val="1"/>
          <w:bCs w:val="1"/>
          <w:color w:val="auto"/>
        </w:rPr>
      </w:pPr>
    </w:p>
    <w:p>
      <w:pPr>
        <w:ind w:left="540" w:right="60" w:hanging="316"/>
        <w:spacing w:after="0" w:line="277"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 either case, immediately after giving effect to the transaction, no default or event of default would occur and be continuing or would result from the transaction.</w:t>
      </w:r>
    </w:p>
    <w:p>
      <w:pPr>
        <w:spacing w:after="0" w:line="62" w:lineRule="exact"/>
        <w:rPr>
          <w:sz w:val="20"/>
          <w:szCs w:val="20"/>
          <w:color w:val="auto"/>
        </w:rPr>
      </w:pPr>
    </w:p>
    <w:p>
      <w:pPr>
        <w:ind w:right="280" w:firstLine="450"/>
        <w:spacing w:after="0" w:line="34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62"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failure to pay interest on that series of debt securities for 30 days when due;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failure to pay principal of or any premium on that series of debt securities when due;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default in the deposit of any sinking fund payment when and as due by that series of debt securities</w:t>
      </w:r>
    </w:p>
    <w:p>
      <w:pPr>
        <w:spacing w:after="0" w:line="130" w:lineRule="exact"/>
        <w:rPr>
          <w:rFonts w:ascii="Arial" w:cs="Arial" w:eastAsia="Arial" w:hAnsi="Arial"/>
          <w:sz w:val="18"/>
          <w:szCs w:val="18"/>
          <w:b w:val="1"/>
          <w:bCs w:val="1"/>
          <w:color w:val="auto"/>
        </w:rPr>
      </w:pPr>
    </w:p>
    <w:p>
      <w:pPr>
        <w:ind w:left="540" w:right="40" w:hanging="316"/>
        <w:spacing w:after="0" w:line="279" w:lineRule="auto"/>
        <w:tabs>
          <w:tab w:leader="none" w:pos="54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76" w:lineRule="exact"/>
        <w:rPr>
          <w:rFonts w:ascii="Arial" w:cs="Arial" w:eastAsia="Arial" w:hAnsi="Arial"/>
          <w:sz w:val="17"/>
          <w:szCs w:val="17"/>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specified events involving bankruptcy, insolvency or reorganization;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any other event of default provided for that series of debt securities.</w:t>
      </w:r>
    </w:p>
    <w:p>
      <w:pPr>
        <w:spacing w:after="0" w:line="117"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17"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holder gives the trustee written notice of a continuing event of default for that series;</w:t>
      </w:r>
    </w:p>
    <w:p>
      <w:pPr>
        <w:spacing w:after="0" w:line="130" w:lineRule="exact"/>
        <w:rPr>
          <w:rFonts w:ascii="Arial" w:cs="Arial" w:eastAsia="Arial" w:hAnsi="Arial"/>
          <w:sz w:val="18"/>
          <w:szCs w:val="18"/>
          <w:b w:val="1"/>
          <w:bCs w:val="1"/>
          <w:color w:val="auto"/>
        </w:rPr>
      </w:pPr>
    </w:p>
    <w:p>
      <w:pPr>
        <w:ind w:left="540" w:right="480" w:hanging="316"/>
        <w:spacing w:after="0" w:line="277" w:lineRule="auto"/>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holders offer to the trustee indemnity satisfactory to the trustee;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30" w:lineRule="exact"/>
        <w:rPr>
          <w:rFonts w:ascii="Arial" w:cs="Arial" w:eastAsia="Arial" w:hAnsi="Arial"/>
          <w:sz w:val="18"/>
          <w:szCs w:val="18"/>
          <w:b w:val="1"/>
          <w:bCs w:val="1"/>
          <w:color w:val="auto"/>
        </w:rPr>
      </w:pPr>
    </w:p>
    <w:p>
      <w:pPr>
        <w:ind w:left="540" w:right="760" w:hanging="316"/>
        <w:spacing w:after="0" w:line="277"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17" w:lineRule="exact"/>
        <w:rPr>
          <w:sz w:val="20"/>
          <w:szCs w:val="20"/>
          <w:color w:val="auto"/>
        </w:rPr>
      </w:pPr>
    </w:p>
    <w:p>
      <w:pPr>
        <w:ind w:right="780" w:firstLine="450"/>
        <w:spacing w:after="0" w:line="277" w:lineRule="auto"/>
        <w:rPr>
          <w:sz w:val="20"/>
          <w:szCs w:val="20"/>
          <w:color w:val="auto"/>
        </w:rPr>
      </w:pPr>
      <w:r>
        <w:rPr>
          <w:rFonts w:ascii="Arial" w:cs="Arial" w:eastAsia="Arial" w:hAnsi="Arial"/>
          <w:sz w:val="18"/>
          <w:szCs w:val="18"/>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62"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conducting any proceeding for any remedy available to the trustee;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117" w:lineRule="exact"/>
        <w:rPr>
          <w:sz w:val="20"/>
          <w:szCs w:val="20"/>
          <w:color w:val="auto"/>
        </w:rPr>
      </w:pPr>
    </w:p>
    <w:p>
      <w:pPr>
        <w:ind w:right="440" w:firstLine="447"/>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 series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46"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reduce the rate of or change the time for payment of interest on the debt security;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reduce the principal of the debt security or change its stated maturity;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reduce any premium payable on the redemption of the debt security or change the time at which the debt security may or must be redeemed;</w:t>
      </w:r>
    </w:p>
    <w:p>
      <w:pPr>
        <w:spacing w:after="0" w:line="142" w:lineRule="exact"/>
        <w:rPr>
          <w:rFonts w:ascii="Arial" w:cs="Arial" w:eastAsia="Arial" w:hAnsi="Arial"/>
          <w:sz w:val="17"/>
          <w:szCs w:val="17"/>
          <w:b w:val="1"/>
          <w:bCs w:val="1"/>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 any obligation to pay additional amounts on the debt security;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130" w:lineRule="exact"/>
        <w:rPr>
          <w:rFonts w:ascii="Arial" w:cs="Arial" w:eastAsia="Arial" w:hAnsi="Arial"/>
          <w:sz w:val="18"/>
          <w:szCs w:val="18"/>
          <w:b w:val="1"/>
          <w:bCs w:val="1"/>
          <w:color w:val="auto"/>
        </w:rPr>
      </w:pPr>
    </w:p>
    <w:p>
      <w:pPr>
        <w:ind w:left="540" w:right="80" w:hanging="316"/>
        <w:spacing w:after="0" w:line="277" w:lineRule="auto"/>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adversely affect the right to convert subordinated debt securities, if applicable.</w:t>
      </w:r>
    </w:p>
    <w:p>
      <w:pPr>
        <w:spacing w:after="0" w:line="117" w:lineRule="exact"/>
        <w:rPr>
          <w:sz w:val="20"/>
          <w:szCs w:val="20"/>
          <w:color w:val="auto"/>
        </w:rPr>
      </w:pPr>
    </w:p>
    <w:p>
      <w:pPr>
        <w:jc w:val="both"/>
        <w:ind w:right="180" w:firstLine="44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73"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default or event of default in any payment on any debt security; or</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4" w:name="page15"/>
    <w:bookmarkEnd w:id="14"/>
    <w:p>
      <w:pPr>
        <w:ind w:right="140"/>
        <w:spacing w:after="0" w:line="286" w:lineRule="auto"/>
        <w:rPr>
          <w:sz w:val="20"/>
          <w:szCs w:val="20"/>
          <w:color w:val="auto"/>
        </w:rPr>
      </w:pPr>
      <w:r>
        <w:rPr>
          <w:rFonts w:ascii="Arial" w:cs="Arial" w:eastAsia="Arial" w:hAnsi="Arial"/>
          <w:sz w:val="17"/>
          <w:szCs w:val="17"/>
          <w:b w:val="1"/>
          <w:bCs w:val="1"/>
          <w:i w:val="1"/>
          <w:iCs w:val="1"/>
          <w:color w:val="auto"/>
        </w:rPr>
        <w:t xml:space="preserve">Defeasance. </w:t>
      </w:r>
      <w:r>
        <w:rPr>
          <w:rFonts w:ascii="Arial" w:cs="Arial" w:eastAsia="Arial" w:hAnsi="Arial"/>
          <w:sz w:val="17"/>
          <w:szCs w:val="17"/>
          <w:color w:val="auto"/>
        </w:rPr>
        <w:t>When we use the term defeasance, we mean discharge from some or all of our obligations under the indentures. If any combination of funds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57" w:lineRule="exact"/>
        <w:rPr>
          <w:sz w:val="20"/>
          <w:szCs w:val="20"/>
          <w:color w:val="auto"/>
        </w:rPr>
      </w:pPr>
    </w:p>
    <w:p>
      <w:pPr>
        <w:ind w:left="540" w:right="840" w:hanging="316"/>
        <w:spacing w:after="0" w:line="277" w:lineRule="auto"/>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b w:val="1"/>
          <w:bCs w:val="1"/>
          <w:color w:val="auto"/>
        </w:rPr>
      </w:pPr>
    </w:p>
    <w:p>
      <w:pPr>
        <w:ind w:left="540" w:right="180" w:hanging="316"/>
        <w:spacing w:after="0" w:line="277" w:lineRule="auto"/>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we will no longer have any obligation to comply with certain restrictive covenants, and the related events of default will no longer apply (“covenant defeasance”).</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80" w:lineRule="exact"/>
        <w:rPr>
          <w:sz w:val="20"/>
          <w:szCs w:val="20"/>
          <w:color w:val="auto"/>
        </w:rPr>
      </w:pPr>
    </w:p>
    <w:p>
      <w:pPr>
        <w:ind w:right="100" w:firstLine="450"/>
        <w:spacing w:after="0" w:line="312"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Trustee. </w:t>
      </w:r>
      <w:r>
        <w:rPr>
          <w:rFonts w:ascii="Arial" w:cs="Arial" w:eastAsia="Arial" w:hAnsi="Arial"/>
          <w:sz w:val="18"/>
          <w:szCs w:val="18"/>
          <w:color w:val="auto"/>
        </w:rPr>
        <w:t>JPMorgan Chase is the trustee under the senior indenture and the subordinated indenture. JPMorgan Chase serves as trustee relating to a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debt obligations of Waste Management as of December 31, 2005. JPMorgan Chase and its affiliates perform certain commercial banking services for us for which they receive customary fees and are lenders under our current credit facility.</w:t>
      </w:r>
    </w:p>
    <w:p>
      <w:pPr>
        <w:spacing w:after="0" w:line="73" w:lineRule="exact"/>
        <w:rPr>
          <w:sz w:val="20"/>
          <w:szCs w:val="20"/>
          <w:color w:val="auto"/>
        </w:rPr>
      </w:pPr>
    </w:p>
    <w:p>
      <w:pPr>
        <w:ind w:right="60" w:firstLine="450"/>
        <w:spacing w:after="0" w:line="312"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39"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7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 xml:space="preserve">Form, Exchange, Registration and Transfer. </w:t>
      </w:r>
      <w:r>
        <w:rPr>
          <w:rFonts w:ascii="Arial" w:cs="Arial" w:eastAsia="Arial" w:hAnsi="Arial"/>
          <w:sz w:val="17"/>
          <w:szCs w:val="17"/>
          <w:color w:val="auto"/>
        </w:rPr>
        <w:t>The debt securities may be issued in registered form, without interest coupons, or in bearer form, with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57"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79" w:lineRule="exact"/>
        <w:rPr>
          <w:sz w:val="20"/>
          <w:szCs w:val="20"/>
          <w:color w:val="auto"/>
        </w:rPr>
      </w:pPr>
    </w:p>
    <w:p>
      <w:pPr>
        <w:jc w:val="both"/>
        <w:ind w:right="80" w:firstLine="447"/>
        <w:spacing w:after="0" w:line="312"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5" w:name="page16"/>
    <w:bookmarkEnd w:id="15"/>
    <w:p>
      <w:pPr>
        <w:ind w:left="540" w:right="60" w:hanging="316"/>
        <w:spacing w:after="0" w:line="277" w:lineRule="auto"/>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any debt security that has been called for redemption in whole or in part, except the unredeemed portion of any debt security being redeemed in part.</w:t>
      </w:r>
    </w:p>
    <w:p>
      <w:pPr>
        <w:spacing w:after="0" w:line="14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46"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73"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place of payment on the debt securities of that series is authorized or obligated by law, regulation or executive order to remain closed.</w:t>
      </w:r>
    </w:p>
    <w:p>
      <w:pPr>
        <w:spacing w:after="0" w:line="79" w:lineRule="exact"/>
        <w:rPr>
          <w:sz w:val="20"/>
          <w:szCs w:val="20"/>
          <w:color w:val="auto"/>
        </w:rPr>
      </w:pPr>
    </w:p>
    <w:p>
      <w:pPr>
        <w:ind w:firstLine="450"/>
        <w:spacing w:after="0" w:line="312"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3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Book-Entry Debt Securities. </w:t>
      </w:r>
      <w:r>
        <w:rPr>
          <w:rFonts w:ascii="Arial" w:cs="Arial" w:eastAsia="Arial" w:hAnsi="Arial"/>
          <w:sz w:val="18"/>
          <w:szCs w:val="18"/>
          <w:color w:val="auto"/>
        </w:rPr>
        <w:t>The debt securities of a series may be issued in the form of one or more global debt securities that would be deposited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Ranking and Guarantee</w:t>
      </w:r>
      <w:r>
        <w:rPr>
          <w:rFonts w:ascii="Arial" w:cs="Arial" w:eastAsia="Arial" w:hAnsi="Arial"/>
          <w:sz w:val="17"/>
          <w:szCs w:val="17"/>
          <w:color w:val="auto"/>
        </w:rPr>
        <w:t>. The senior debt securities will constitute senior debt of Waste Management and will rank equally with all of the other series of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6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Restrictive Covenants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agreed to two principal restrictions on our activities for the benefit of holders of the senior debt securities. The restrictive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Liens</w:t>
      </w:r>
    </w:p>
    <w:p>
      <w:pPr>
        <w:spacing w:after="0" w:line="117"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73" w:lineRule="exact"/>
        <w:rPr>
          <w:sz w:val="20"/>
          <w:szCs w:val="20"/>
          <w:color w:val="auto"/>
        </w:rPr>
      </w:pPr>
    </w:p>
    <w:p>
      <w:pPr>
        <w:ind w:left="5620" w:right="1120" w:hanging="5396"/>
        <w:spacing w:after="0" w:line="496" w:lineRule="auto"/>
        <w:tabs>
          <w:tab w:leader="none" w:pos="5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left="600" w:hanging="376"/>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30" w:lineRule="exact"/>
        <w:rPr>
          <w:rFonts w:ascii="Arial" w:cs="Arial" w:eastAsia="Arial" w:hAnsi="Arial"/>
          <w:sz w:val="18"/>
          <w:szCs w:val="18"/>
          <w:color w:val="auto"/>
        </w:rPr>
      </w:pPr>
    </w:p>
    <w:p>
      <w:pPr>
        <w:ind w:left="600" w:right="100" w:hanging="376"/>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75" w:lineRule="exact"/>
        <w:rPr>
          <w:rFonts w:ascii="Arial" w:cs="Arial" w:eastAsia="Arial" w:hAnsi="Arial"/>
          <w:sz w:val="18"/>
          <w:szCs w:val="18"/>
          <w:color w:val="auto"/>
        </w:rPr>
      </w:pPr>
    </w:p>
    <w:p>
      <w:pPr>
        <w:ind w:left="600" w:right="360" w:hanging="376"/>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that becomes us in accordance with “</w:t>
      </w:r>
      <w:r>
        <w:rPr>
          <w:rFonts w:ascii="Arial" w:cs="Arial" w:eastAsia="Arial" w:hAnsi="Arial"/>
          <w:sz w:val="18"/>
          <w:szCs w:val="18"/>
          <w:i w:val="1"/>
          <w:iCs w:val="1"/>
          <w:color w:val="auto"/>
        </w:rPr>
        <w:t>Provisions Applicable to Debt Securities — 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and Sale of Assets</w:t>
      </w:r>
      <w:r>
        <w:rPr>
          <w:rFonts w:ascii="Arial" w:cs="Arial" w:eastAsia="Arial" w:hAnsi="Arial"/>
          <w:sz w:val="18"/>
          <w:szCs w:val="18"/>
          <w:color w:val="auto"/>
        </w:rPr>
        <w:t>,” above;</w:t>
      </w:r>
    </w:p>
    <w:p>
      <w:pPr>
        <w:spacing w:after="0" w:line="75" w:lineRule="exact"/>
        <w:rPr>
          <w:rFonts w:ascii="Arial" w:cs="Arial" w:eastAsia="Arial" w:hAnsi="Arial"/>
          <w:sz w:val="18"/>
          <w:szCs w:val="18"/>
          <w:color w:val="auto"/>
        </w:rPr>
      </w:pPr>
    </w:p>
    <w:p>
      <w:pPr>
        <w:ind w:left="600" w:hanging="376"/>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31" w:lineRule="exact"/>
        <w:rPr>
          <w:sz w:val="20"/>
          <w:szCs w:val="20"/>
          <w:color w:val="auto"/>
        </w:rPr>
      </w:pPr>
    </w:p>
    <w:p>
      <w:pPr>
        <w:ind w:left="600" w:hanging="376"/>
        <w:spacing w:after="0"/>
        <w:tabs>
          <w:tab w:leader="none" w:pos="6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existing at the time of, or created within 360 days after, the acquisition of the assets, or</w:t>
      </w:r>
    </w:p>
    <w:p>
      <w:pPr>
        <w:spacing w:after="0" w:line="130" w:lineRule="exact"/>
        <w:rPr>
          <w:rFonts w:ascii="Arial" w:cs="Arial" w:eastAsia="Arial" w:hAnsi="Arial"/>
          <w:sz w:val="18"/>
          <w:szCs w:val="18"/>
          <w:b w:val="1"/>
          <w:bCs w:val="1"/>
          <w:color w:val="auto"/>
        </w:rPr>
      </w:pPr>
    </w:p>
    <w:p>
      <w:pPr>
        <w:ind w:left="600" w:right="740" w:hanging="376"/>
        <w:spacing w:after="0" w:line="286" w:lineRule="auto"/>
        <w:tabs>
          <w:tab w:leader="none" w:pos="60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71" w:lineRule="exact"/>
        <w:rPr>
          <w:sz w:val="20"/>
          <w:szCs w:val="20"/>
          <w:color w:val="auto"/>
        </w:rPr>
      </w:pPr>
    </w:p>
    <w:p>
      <w:pPr>
        <w:ind w:left="600" w:hanging="37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30" w:lineRule="exact"/>
        <w:rPr>
          <w:rFonts w:ascii="Arial" w:cs="Arial" w:eastAsia="Arial" w:hAnsi="Arial"/>
          <w:sz w:val="18"/>
          <w:szCs w:val="18"/>
          <w:color w:val="auto"/>
        </w:rPr>
      </w:pPr>
    </w:p>
    <w:p>
      <w:pPr>
        <w:ind w:left="600" w:hanging="37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30" w:lineRule="exact"/>
        <w:rPr>
          <w:rFonts w:ascii="Arial" w:cs="Arial" w:eastAsia="Arial" w:hAnsi="Arial"/>
          <w:sz w:val="18"/>
          <w:szCs w:val="18"/>
          <w:color w:val="auto"/>
        </w:rPr>
      </w:pPr>
    </w:p>
    <w:p>
      <w:pPr>
        <w:ind w:left="600" w:hanging="37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130" w:lineRule="exact"/>
        <w:rPr>
          <w:rFonts w:ascii="Arial" w:cs="Arial" w:eastAsia="Arial" w:hAnsi="Arial"/>
          <w:sz w:val="18"/>
          <w:szCs w:val="18"/>
          <w:color w:val="auto"/>
        </w:rPr>
      </w:pPr>
    </w:p>
    <w:p>
      <w:pPr>
        <w:ind w:left="600" w:hanging="37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30" w:lineRule="exact"/>
        <w:rPr>
          <w:rFonts w:ascii="Arial" w:cs="Arial" w:eastAsia="Arial" w:hAnsi="Arial"/>
          <w:sz w:val="18"/>
          <w:szCs w:val="18"/>
          <w:color w:val="auto"/>
        </w:rPr>
      </w:pPr>
    </w:p>
    <w:p>
      <w:pPr>
        <w:ind w:left="600" w:hanging="37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liens in connection with legal proceedings so long as the proceeding is being contested in good faith or execution thereon is stayed;</w:t>
      </w:r>
    </w:p>
    <w:p>
      <w:pPr>
        <w:spacing w:after="0" w:line="130" w:lineRule="exact"/>
        <w:rPr>
          <w:rFonts w:ascii="Arial" w:cs="Arial" w:eastAsia="Arial" w:hAnsi="Arial"/>
          <w:sz w:val="18"/>
          <w:szCs w:val="18"/>
          <w:color w:val="auto"/>
        </w:rPr>
      </w:pPr>
    </w:p>
    <w:p>
      <w:pPr>
        <w:ind w:left="600" w:hanging="37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130" w:lineRule="exact"/>
        <w:rPr>
          <w:rFonts w:ascii="Arial" w:cs="Arial" w:eastAsia="Arial" w:hAnsi="Arial"/>
          <w:sz w:val="18"/>
          <w:szCs w:val="18"/>
          <w:color w:val="auto"/>
        </w:rPr>
      </w:pPr>
    </w:p>
    <w:p>
      <w:pPr>
        <w:ind w:left="600" w:hanging="37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130" w:lineRule="exact"/>
        <w:rPr>
          <w:rFonts w:ascii="Arial" w:cs="Arial" w:eastAsia="Arial" w:hAnsi="Arial"/>
          <w:sz w:val="18"/>
          <w:szCs w:val="18"/>
          <w:color w:val="auto"/>
        </w:rPr>
      </w:pPr>
    </w:p>
    <w:p>
      <w:pPr>
        <w:ind w:left="600" w:right="260" w:hanging="376"/>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75" w:lineRule="exact"/>
        <w:rPr>
          <w:rFonts w:ascii="Arial" w:cs="Arial" w:eastAsia="Arial" w:hAnsi="Arial"/>
          <w:sz w:val="18"/>
          <w:szCs w:val="18"/>
          <w:color w:val="auto"/>
        </w:rPr>
      </w:pPr>
    </w:p>
    <w:p>
      <w:pPr>
        <w:ind w:left="600" w:hanging="37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liens securing industrial development, pollution control or other revenue bonds of a domestic government entity;</w:t>
      </w:r>
    </w:p>
    <w:p>
      <w:pPr>
        <w:spacing w:after="0" w:line="130" w:lineRule="exact"/>
        <w:rPr>
          <w:rFonts w:ascii="Arial" w:cs="Arial" w:eastAsia="Arial" w:hAnsi="Arial"/>
          <w:sz w:val="18"/>
          <w:szCs w:val="18"/>
          <w:color w:val="auto"/>
        </w:rPr>
      </w:pPr>
    </w:p>
    <w:p>
      <w:pPr>
        <w:ind w:left="600" w:hanging="37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30" w:lineRule="exact"/>
        <w:rPr>
          <w:rFonts w:ascii="Arial" w:cs="Arial" w:eastAsia="Arial" w:hAnsi="Arial"/>
          <w:sz w:val="18"/>
          <w:szCs w:val="18"/>
          <w:color w:val="auto"/>
        </w:rPr>
      </w:pPr>
    </w:p>
    <w:p>
      <w:pPr>
        <w:ind w:left="600" w:hanging="376"/>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Sale/Leaseback Transactions</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62" w:lineRule="exact"/>
        <w:rPr>
          <w:sz w:val="20"/>
          <w:szCs w:val="20"/>
          <w:color w:val="auto"/>
        </w:rPr>
      </w:pPr>
    </w:p>
    <w:p>
      <w:pPr>
        <w:ind w:left="240" w:right="20" w:hanging="4"/>
        <w:spacing w:after="0" w:line="277" w:lineRule="auto"/>
        <w:tabs>
          <w:tab w:leader="none" w:pos="4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7" w:name="page18"/>
    <w:bookmarkEnd w:id="17"/>
    <w:p>
      <w:pPr>
        <w:ind w:left="240"/>
        <w:spacing w:after="0"/>
        <w:rPr>
          <w:sz w:val="20"/>
          <w:szCs w:val="20"/>
          <w:color w:val="auto"/>
        </w:rPr>
      </w:pPr>
      <w:r>
        <w:rPr>
          <w:rFonts w:ascii="Arial" w:cs="Arial" w:eastAsia="Arial" w:hAnsi="Arial"/>
          <w:sz w:val="18"/>
          <w:szCs w:val="18"/>
          <w:color w:val="auto"/>
        </w:rPr>
        <w:t>secure that Debt by a lien on the property to be leased without equally and ratably securing the senior debt securities.</w:t>
      </w:r>
    </w:p>
    <w:p>
      <w:pPr>
        <w:spacing w:after="0" w:line="117" w:lineRule="exact"/>
        <w:rPr>
          <w:sz w:val="20"/>
          <w:szCs w:val="20"/>
          <w:color w:val="auto"/>
        </w:rPr>
      </w:pPr>
    </w:p>
    <w:p>
      <w:pPr>
        <w:ind w:left="240" w:right="320" w:hanging="4"/>
        <w:spacing w:after="0" w:line="264"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 debt securities issued under the senior indenture or to the acquisition or capital improvement of a Principal Property.</w:t>
      </w:r>
    </w:p>
    <w:p>
      <w:pPr>
        <w:spacing w:after="0" w:line="73" w:lineRule="exact"/>
        <w:rPr>
          <w:sz w:val="20"/>
          <w:szCs w:val="20"/>
          <w:color w:val="auto"/>
        </w:rPr>
      </w:pPr>
    </w:p>
    <w:p>
      <w:pPr>
        <w:jc w:val="both"/>
        <w:ind w:left="240" w:right="400"/>
        <w:spacing w:after="0" w:line="312"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Glossary</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“Attributable Debt” means the present value of the rental payments during the remaining term of the lease included in the 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“Consolidated Net Tangible Assets” means the total amount of assets of Waste Management, Inc. and its consolidated subsidiaries less:</w:t>
      </w:r>
    </w:p>
    <w:p>
      <w:pPr>
        <w:spacing w:after="0" w:line="117" w:lineRule="exact"/>
        <w:rPr>
          <w:sz w:val="20"/>
          <w:szCs w:val="20"/>
          <w:color w:val="auto"/>
        </w:rPr>
      </w:pPr>
    </w:p>
    <w:p>
      <w:pPr>
        <w:ind w:left="540" w:hanging="316"/>
        <w:spacing w:after="0" w:line="277" w:lineRule="auto"/>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value of all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“Indebtedness” means (a) all obligations for borrowed money or on which interest charges are customarily paid, all as shown on the balance sheet of the indebted party and (b) all guarantees of Indebtedness.</w:t>
      </w:r>
    </w:p>
    <w:p>
      <w:pPr>
        <w:spacing w:after="0" w:line="6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“Restricted Subsidiary” means any Subsidiary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“Principal Property” means any waste processing, waste disposal or resource recovery plant or similar 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8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“Sale/Leaseback Transaction” means any arrangement with anyone under which we or our Restricted Subsidiaries lease any Principal Property that we or such Restricted Subsidiary has sold or transferred or will sell or transfer to that person. This term excludes the following:</w:t>
      </w:r>
    </w:p>
    <w:p>
      <w:pPr>
        <w:spacing w:after="0" w:line="38" w:lineRule="exact"/>
        <w:rPr>
          <w:sz w:val="20"/>
          <w:szCs w:val="20"/>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temporary leases for a term of not more than three years;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intercompany leases;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“Subsidiary” means an entity at least a majority of the outstanding voting stock of which is owned, directly or indirectly, by us or by one or more other Subsidiaries, or by us and one or more other Subsidiaries.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outstanding from time to time.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80" w:lineRule="exact"/>
        <w:rPr>
          <w:sz w:val="20"/>
          <w:szCs w:val="20"/>
          <w:color w:val="auto"/>
        </w:rPr>
      </w:pPr>
    </w:p>
    <w:p>
      <w:pPr>
        <w:ind w:right="180" w:firstLine="222"/>
        <w:spacing w:after="0" w:line="34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GUARANTEES</w:t>
      </w:r>
    </w:p>
    <w:p>
      <w:pPr>
        <w:spacing w:after="0" w:line="121"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73"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3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who exercise currently outstanding warrants or upon exercise of any convertible debt issued hereunder. The terms of any offering of common stock will be provided in a prospectus supplement.</w:t>
      </w:r>
    </w:p>
    <w:p>
      <w:pPr>
        <w:spacing w:after="0" w:line="73"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We are authorized to issue 1,500,000,000 shares of common stock, of which 534,480,615 shares were outstanding at September 20, 2006. We are also authorized to issue 10,000,000 shares of preferred stock, none of which were outstanding on that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62"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 stockholders to vote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stockholders do not have cumulative voting rights. Accordingly, the holders of a majority of shares voting for the election of directors can elect all of the directors standing for election.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9" w:name="page20"/>
    <w:bookmarkEnd w:id="19"/>
    <w:p>
      <w:pPr>
        <w:ind w:right="220" w:firstLine="225"/>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Transfer Agent and Registrar. </w:t>
      </w:r>
      <w:r>
        <w:rPr>
          <w:rFonts w:ascii="Arial" w:cs="Arial" w:eastAsia="Arial" w:hAnsi="Arial"/>
          <w:sz w:val="17"/>
          <w:szCs w:val="17"/>
          <w:color w:val="auto"/>
        </w:rPr>
        <w:t>The transfer agent and registrar for our common stock is Mellon Investor Services in South Hackensack, New Jersey.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right="240" w:firstLine="222"/>
        <w:spacing w:after="0" w:line="297"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but unissued shares</w:t>
      </w:r>
    </w:p>
    <w:p>
      <w:pPr>
        <w:spacing w:after="0" w:line="117" w:lineRule="exact"/>
        <w:rPr>
          <w:sz w:val="20"/>
          <w:szCs w:val="20"/>
          <w:color w:val="auto"/>
        </w:rPr>
      </w:pPr>
    </w:p>
    <w:p>
      <w:pPr>
        <w:ind w:right="160" w:firstLine="215"/>
        <w:spacing w:after="0" w:line="264"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law and certain provisions of our Certificate of Incorporation</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73" w:lineRule="exact"/>
        <w:rPr>
          <w:sz w:val="20"/>
          <w:szCs w:val="20"/>
          <w:color w:val="auto"/>
        </w:rPr>
      </w:pPr>
    </w:p>
    <w:p>
      <w:pPr>
        <w:ind w:left="540" w:hanging="316"/>
        <w:spacing w:after="0" w:line="277" w:lineRule="auto"/>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75" w:lineRule="exact"/>
        <w:rPr>
          <w:rFonts w:ascii="Arial" w:cs="Arial" w:eastAsia="Arial" w:hAnsi="Arial"/>
          <w:sz w:val="18"/>
          <w:szCs w:val="18"/>
          <w:b w:val="1"/>
          <w:bCs w:val="1"/>
          <w:color w:val="auto"/>
        </w:rPr>
      </w:pPr>
    </w:p>
    <w:p>
      <w:pPr>
        <w:ind w:left="540" w:right="120" w:hanging="316"/>
        <w:spacing w:after="0" w:line="308" w:lineRule="auto"/>
        <w:tabs>
          <w:tab w:leader="none" w:pos="54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38" w:lineRule="exact"/>
        <w:rPr>
          <w:sz w:val="20"/>
          <w:szCs w:val="20"/>
          <w:color w:val="auto"/>
        </w:rPr>
      </w:pPr>
    </w:p>
    <w:p>
      <w:pPr>
        <w:jc w:val="both"/>
        <w:ind w:right="80" w:firstLine="225"/>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62"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0" w:name="page21"/>
    <w:bookmarkEnd w:id="20"/>
    <w:p>
      <w:pPr>
        <w:ind w:right="40"/>
        <w:spacing w:after="0" w:line="277" w:lineRule="auto"/>
        <w:rPr>
          <w:sz w:val="20"/>
          <w:szCs w:val="20"/>
          <w:color w:val="auto"/>
        </w:rPr>
      </w:pPr>
      <w:r>
        <w:rPr>
          <w:rFonts w:ascii="Arial" w:cs="Arial" w:eastAsia="Arial" w:hAnsi="Arial"/>
          <w:sz w:val="18"/>
          <w:szCs w:val="18"/>
          <w:color w:val="auto"/>
        </w:rPr>
        <w:t>stockholders. Our stockholders, by adopting an amendment to the Certificate of Incorporation, may elect not to be governed by Section 203. Such an election would be effective 12 months after its adoption.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of liability and indemnification of officers and directors</w:t>
      </w:r>
    </w:p>
    <w:p>
      <w:pPr>
        <w:spacing w:after="0" w:line="117"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73"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46"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OTHER SECURITIES</w:t>
      </w:r>
    </w:p>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We will set forth in the applicable prospectus supplement a description of any warrants or units that may be offered pursuant to this prospectus.</w:t>
      </w:r>
    </w:p>
    <w:p>
      <w:pPr>
        <w:spacing w:after="0" w:line="34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17" w:lineRule="exact"/>
        <w:rPr>
          <w:sz w:val="20"/>
          <w:szCs w:val="20"/>
          <w:color w:val="auto"/>
        </w:rPr>
      </w:pPr>
    </w:p>
    <w:p>
      <w:pPr>
        <w:ind w:left="540" w:hanging="316"/>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through broker-dealers (acting as agent or principal),</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through a combination of any such methods of sale,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through any other methods described in a prospectus supplement</w:t>
      </w:r>
    </w:p>
    <w:p>
      <w:pPr>
        <w:spacing w:after="0" w:line="117" w:lineRule="exact"/>
        <w:rPr>
          <w:sz w:val="20"/>
          <w:szCs w:val="20"/>
          <w:color w:val="auto"/>
        </w:rPr>
      </w:pPr>
    </w:p>
    <w:p>
      <w:pPr>
        <w:ind w:right="100" w:firstLine="447"/>
        <w:spacing w:after="0" w:line="293" w:lineRule="auto"/>
        <w:rPr>
          <w:sz w:val="20"/>
          <w:szCs w:val="20"/>
          <w:color w:val="auto"/>
        </w:rPr>
      </w:pPr>
      <w:r>
        <w:rPr>
          <w:rFonts w:ascii="Arial" w:cs="Arial" w:eastAsia="Arial" w:hAnsi="Arial"/>
          <w:sz w:val="16"/>
          <w:szCs w:val="16"/>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them on resale of the securities may be deemed to be underwriting discounts. If such dealers or agents were deemed to be underwriters, they may be subject to statutory liabilities under the Securities Act.</w:t>
      </w:r>
    </w:p>
    <w:p>
      <w:pPr>
        <w:spacing w:after="0" w:line="6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79" w:lineRule="exact"/>
        <w:rPr>
          <w:sz w:val="20"/>
          <w:szCs w:val="20"/>
          <w:color w:val="auto"/>
        </w:rPr>
      </w:pPr>
    </w:p>
    <w:p>
      <w:pPr>
        <w:ind w:right="40" w:firstLine="450"/>
        <w:spacing w:after="0" w:line="290"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58" w:lineRule="exact"/>
        <w:rPr>
          <w:sz w:val="20"/>
          <w:szCs w:val="20"/>
          <w:color w:val="auto"/>
        </w:rPr>
      </w:pPr>
    </w:p>
    <w:p>
      <w:pPr>
        <w:jc w:val="both"/>
        <w:ind w:right="20" w:firstLine="450"/>
        <w:spacing w:after="0" w:line="264"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73" w:lineRule="exact"/>
        <w:rPr>
          <w:sz w:val="20"/>
          <w:szCs w:val="20"/>
          <w:color w:val="auto"/>
        </w:rPr>
      </w:pPr>
    </w:p>
    <w:p>
      <w:pPr>
        <w:jc w:val="both"/>
        <w:ind w:right="380" w:firstLine="447"/>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79" w:lineRule="exact"/>
        <w:rPr>
          <w:sz w:val="20"/>
          <w:szCs w:val="20"/>
          <w:color w:val="auto"/>
        </w:rPr>
      </w:pPr>
    </w:p>
    <w:p>
      <w:pPr>
        <w:ind w:right="480" w:firstLine="440"/>
        <w:spacing w:after="0" w:line="257" w:lineRule="auto"/>
        <w:rPr>
          <w:sz w:val="20"/>
          <w:szCs w:val="20"/>
          <w:color w:val="auto"/>
        </w:rPr>
      </w:pPr>
      <w:r>
        <w:rPr>
          <w:rFonts w:ascii="Arial" w:cs="Arial" w:eastAsia="Arial" w:hAnsi="Arial"/>
          <w:sz w:val="18"/>
          <w:szCs w:val="18"/>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80"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62" w:lineRule="exact"/>
        <w:rPr>
          <w:sz w:val="20"/>
          <w:szCs w:val="20"/>
          <w:color w:val="auto"/>
        </w:rPr>
      </w:pPr>
    </w:p>
    <w:p>
      <w:pPr>
        <w:ind w:right="80" w:firstLine="440"/>
        <w:spacing w:after="0" w:line="297"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50"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jc w:val="center"/>
        <w:ind w:right="-99"/>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480" w:firstLine="450"/>
        <w:spacing w:after="0" w:line="277"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2005 (including the schedule appearing therein), and Waste Management, Inc. management’s assessment of the effectiveness of internal control over financial reporting as of December 31, 2005 included therein, have been audited by Ernst &amp; 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14. </w:t>
      </w:r>
      <w:r>
        <w:rPr>
          <w:rFonts w:ascii="Arial" w:cs="Arial" w:eastAsia="Arial" w:hAnsi="Arial"/>
          <w:sz w:val="18"/>
          <w:szCs w:val="18"/>
          <w:i w:val="1"/>
          <w:iCs w:val="1"/>
          <w:color w:val="auto"/>
        </w:rPr>
        <w:t>Other Expenses of Issuance and Distribution.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estimated fees and expenses payable by the Company in connection with the registration of the securities registered hereby: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Printing fees</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Rating agency</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Trustee’s fees and expenses</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0" w:hanging="452"/>
        <w:spacing w:after="0" w:line="325"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accordance with Rule 456(b), we are deferring payment of the registration fee for the securities offered by this prospectus except for the amount of registration fees that was previously paid under registration statement No. 333-97697, which may be used for securities offered hereunder.</w:t>
      </w:r>
    </w:p>
    <w:p>
      <w:pPr>
        <w:spacing w:after="0" w:line="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Estimated expenses are not presently known.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i w:val="1"/>
          <w:iCs w:val="1"/>
          <w:color w:val="auto"/>
        </w:rPr>
        <w:t>Indemnification of Directors and Officers.</w:t>
      </w:r>
    </w:p>
    <w:p>
      <w:pPr>
        <w:spacing w:after="0" w:line="117" w:lineRule="exact"/>
        <w:rPr>
          <w:sz w:val="20"/>
          <w:szCs w:val="20"/>
          <w:color w:val="auto"/>
        </w:rPr>
      </w:pPr>
    </w:p>
    <w:p>
      <w:pPr>
        <w:ind w:right="20" w:firstLine="450"/>
        <w:spacing w:after="0" w:line="272" w:lineRule="auto"/>
        <w:rPr>
          <w:sz w:val="20"/>
          <w:szCs w:val="20"/>
          <w:color w:val="auto"/>
        </w:rPr>
      </w:pPr>
      <w:r>
        <w:rPr>
          <w:rFonts w:ascii="Arial" w:cs="Arial" w:eastAsia="Arial" w:hAnsi="Arial"/>
          <w:sz w:val="17"/>
          <w:szCs w:val="17"/>
          <w:color w:val="auto"/>
        </w:rPr>
        <w:t>Section 145 of the Delaware General Corporation Law (the “DGCL”) makes provision for the indemnification of officers and directors of corporations in terms sufficiently broad to indemnify the officers and directors of the Company under certain circumstances from liabilities (including reimbursement of expenses incurred) arising under the Securities Act. 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in respect of certain unlawful dividend payments or stock redemptions or repurchases, or (iv) for any transaction from which the director derived an improper personal benefit.</w:t>
      </w:r>
    </w:p>
    <w:p>
      <w:pPr>
        <w:spacing w:after="0" w:line="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As permitted by the DGCL, the Company’s certificate of incorporation provides that, to the fullest extent permitted by the DGCL or decisional law, no director shall be personally liable to the Company or to its stockholders for monetary damages for breach of his fiduciary duty as a director. The effect of this provision in the certificate of incorporation is to eliminate the rights of the Company and its stockholders (through stockholders’ derivative suits on behalf of the Company) to recover monetary damages against a director for breach of fiduciary duty as a director thereof (including breaches resulting from negligent or grossly negligent behavior) except in the situations described in clauses (i)-(iv), inclusive, above. These provisions will not alter the liability of directors under federal securities laws.</w:t>
      </w:r>
    </w:p>
    <w:p>
      <w:pPr>
        <w:spacing w:after="0" w:line="85" w:lineRule="exact"/>
        <w:rPr>
          <w:sz w:val="20"/>
          <w:szCs w:val="20"/>
          <w:color w:val="auto"/>
        </w:rPr>
      </w:pPr>
    </w:p>
    <w:p>
      <w:pPr>
        <w:ind w:right="40" w:firstLine="447"/>
        <w:spacing w:after="0" w:line="255" w:lineRule="auto"/>
        <w:rPr>
          <w:sz w:val="20"/>
          <w:szCs w:val="20"/>
          <w:color w:val="auto"/>
        </w:rPr>
      </w:pPr>
      <w:r>
        <w:rPr>
          <w:rFonts w:ascii="Arial" w:cs="Arial" w:eastAsia="Arial" w:hAnsi="Arial"/>
          <w:sz w:val="18"/>
          <w:szCs w:val="18"/>
          <w:color w:val="auto"/>
        </w:rPr>
        <w:t>The Company’s bylaws (the “bylaws”) provide that the Company shall indemnify any person who was or is a party or is threatened to be made a party to any threatened, pending or completed action, suit or other proceeding, whether civil, criminal, administrative or investigative by reason of the fact that he, is or was a director or officer, against all expenses, liability and loss (including attorneys’ fees, judgments, fines, and amounts paid or to be paid in settlement) reasonably incurred, to the fullest extent authorized by the DGCL, provided that the Company shall indemnify such person in connection with any such action, suit or proceeding initiated by such person only if authorized by the Board of Directors of the Company or brought to enforce certain indemnification rights.</w:t>
      </w:r>
    </w:p>
    <w:p>
      <w:pPr>
        <w:spacing w:after="0" w:line="85" w:lineRule="exact"/>
        <w:rPr>
          <w:sz w:val="20"/>
          <w:szCs w:val="20"/>
          <w:color w:val="auto"/>
        </w:rPr>
      </w:pPr>
    </w:p>
    <w:p>
      <w:pPr>
        <w:jc w:val="both"/>
        <w:ind w:right="80" w:firstLine="447"/>
        <w:spacing w:after="0" w:line="264" w:lineRule="auto"/>
        <w:rPr>
          <w:sz w:val="20"/>
          <w:szCs w:val="20"/>
          <w:color w:val="auto"/>
        </w:rPr>
      </w:pPr>
      <w:r>
        <w:rPr>
          <w:rFonts w:ascii="Arial" w:cs="Arial" w:eastAsia="Arial" w:hAnsi="Arial"/>
          <w:sz w:val="18"/>
          <w:szCs w:val="18"/>
          <w:color w:val="auto"/>
        </w:rPr>
        <w:t>The bylaws also provide that expenses incurred by an officer or director of the Company (acting in his capacity as such) in defending any such action, suit or proceeding shall be paid by the Company, provided that if required by the DGCL such expenses shall be advanced only upon delivery to the Company of an undertaking by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on behalf of such director or officer to repay such amount if it shall ultimately be determined that he is not entitled to be indemnified by the Company.</w:t>
      </w:r>
    </w:p>
    <w:p>
      <w:pPr>
        <w:spacing w:after="0" w:line="129" w:lineRule="exact"/>
        <w:rPr>
          <w:sz w:val="20"/>
          <w:szCs w:val="20"/>
          <w:color w:val="auto"/>
        </w:rPr>
      </w:pPr>
    </w:p>
    <w:p>
      <w:pPr>
        <w:ind w:right="60" w:firstLine="447"/>
        <w:spacing w:after="0" w:line="257" w:lineRule="auto"/>
        <w:rPr>
          <w:sz w:val="20"/>
          <w:szCs w:val="20"/>
          <w:color w:val="auto"/>
        </w:rPr>
      </w:pPr>
      <w:r>
        <w:rPr>
          <w:rFonts w:ascii="Arial" w:cs="Arial" w:eastAsia="Arial" w:hAnsi="Arial"/>
          <w:sz w:val="18"/>
          <w:szCs w:val="18"/>
          <w:color w:val="auto"/>
        </w:rPr>
        <w:t>The bylaws also provide that indemnification provided for in the bylaws shall not be deemed exclusive of any other rights to which the indemnified party may be entitled; that any right of indemnification or protection provided under the bylaws shall not be adversely affected by any amendment, repeal, or modification of the bylaws; and that the Company may purchase and maintain insurance to protect itself and any such person against any such expenses, liability and loss, whether or not the Company would have the power to indemnify such person against such expenses, liability or loss under the DGCL or the bylaws.</w:t>
      </w:r>
    </w:p>
    <w:p>
      <w:pPr>
        <w:spacing w:after="0" w:line="80"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In addition to the above, the Company has entered into indemnification agreements with each of its directors and certain of its officers. The indemnification agreements provide directors and officers with the same indemnification by the Company as described above and assure directors and officers that indemnification will continue to be provided despite future changes in the bylaws of the Company. The Company also provides indemnity insurance pursuant to which officers and directors are indemnified or insured against liability or loss under certain circumstances, which may include liability or related loss under the Securities Act and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16. </w:t>
      </w:r>
      <w:r>
        <w:rPr>
          <w:rFonts w:ascii="Arial" w:cs="Arial" w:eastAsia="Arial" w:hAnsi="Arial"/>
          <w:sz w:val="18"/>
          <w:szCs w:val="18"/>
          <w:i w:val="1"/>
          <w:i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attached hereto and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17. </w:t>
      </w:r>
      <w:r>
        <w:rPr>
          <w:rFonts w:ascii="Arial" w:cs="Arial" w:eastAsia="Arial" w:hAnsi="Arial"/>
          <w:sz w:val="18"/>
          <w:szCs w:val="18"/>
          <w:i w:val="1"/>
          <w:iCs w:val="1"/>
          <w:color w:val="auto"/>
        </w:rPr>
        <w:t>Undertakings.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480" w:hanging="247"/>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660" w:hanging="202"/>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right="160" w:firstLine="458"/>
        <w:spacing w:after="0" w:line="273" w:lineRule="auto"/>
        <w:tabs>
          <w:tab w:leader="none" w:pos="712" w:val="left"/>
        </w:tabs>
        <w:numPr>
          <w:ilvl w:val="1"/>
          <w:numId w:val="2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70" w:lineRule="exact"/>
        <w:rPr>
          <w:rFonts w:ascii="Arial" w:cs="Arial" w:eastAsia="Arial" w:hAnsi="Arial"/>
          <w:sz w:val="17"/>
          <w:szCs w:val="17"/>
          <w:color w:val="auto"/>
        </w:rPr>
      </w:pPr>
    </w:p>
    <w:p>
      <w:pPr>
        <w:ind w:right="280" w:firstLine="458"/>
        <w:spacing w:after="0" w:line="277" w:lineRule="auto"/>
        <w:tabs>
          <w:tab w:leader="none" w:pos="76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do not apply if the information required to be included in a post-effective amendment by those paragraphs</w:t>
      </w:r>
      <w:r>
        <w:rPr>
          <w:rFonts w:ascii="Arial" w:cs="Arial" w:eastAsia="Arial" w:hAnsi="Arial"/>
          <w:sz w:val="18"/>
          <w:szCs w:val="18"/>
          <w:i w:val="1"/>
          <w:iCs w:val="1"/>
          <w:color w:val="auto"/>
        </w:rPr>
        <w:t xml:space="preserve"> </w:t>
      </w:r>
      <w:r>
        <w:rPr>
          <w:rFonts w:ascii="Arial" w:cs="Arial" w:eastAsia="Arial" w:hAnsi="Arial"/>
          <w:sz w:val="18"/>
          <w:szCs w:val="18"/>
          <w:color w:val="auto"/>
        </w:rPr>
        <w:t>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ind w:right="240" w:firstLine="233"/>
        <w:spacing w:after="0" w:line="264" w:lineRule="auto"/>
        <w:tabs>
          <w:tab w:leader="none" w:pos="4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right="180" w:firstLine="233"/>
        <w:spacing w:after="0" w:line="277" w:lineRule="auto"/>
        <w:tabs>
          <w:tab w:leader="none" w:pos="4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left="440" w:hanging="247"/>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purposes of determining liability under the Securities Act of 1933 to any purchaser:</w:t>
      </w:r>
    </w:p>
    <w:p>
      <w:pPr>
        <w:spacing w:after="0" w:line="117" w:lineRule="exact"/>
        <w:rPr>
          <w:rFonts w:ascii="Arial" w:cs="Arial" w:eastAsia="Arial" w:hAnsi="Arial"/>
          <w:sz w:val="18"/>
          <w:szCs w:val="18"/>
          <w:color w:val="auto"/>
        </w:rPr>
      </w:pPr>
    </w:p>
    <w:p>
      <w:pPr>
        <w:ind w:left="-40" w:right="220" w:firstLine="458"/>
        <w:spacing w:after="0" w:line="277" w:lineRule="auto"/>
        <w:tabs>
          <w:tab w:leader="none" w:pos="7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40" w:right="20" w:firstLine="458"/>
        <w:spacing w:after="0" w:line="288" w:lineRule="auto"/>
        <w:tabs>
          <w:tab w:leader="none" w:pos="695"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related, and the offering of such securities at that time shall be deemed to be the initial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offering thereof.</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no statement made in a registration statement or prospectus that is part of the registration statement or made in a</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1" w:lineRule="exact"/>
        <w:rPr>
          <w:rFonts w:ascii="Arial" w:cs="Arial" w:eastAsia="Arial" w:hAnsi="Arial"/>
          <w:sz w:val="16"/>
          <w:szCs w:val="16"/>
          <w:color w:val="auto"/>
        </w:rPr>
      </w:pPr>
    </w:p>
    <w:p>
      <w:pPr>
        <w:ind w:left="-40" w:firstLine="233"/>
        <w:spacing w:after="0" w:line="302" w:lineRule="auto"/>
        <w:tabs>
          <w:tab w:leader="none" w:pos="437"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That, for purposes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6" w:lineRule="exact"/>
        <w:rPr>
          <w:sz w:val="20"/>
          <w:szCs w:val="20"/>
          <w:color w:val="auto"/>
        </w:rPr>
      </w:pPr>
    </w:p>
    <w:p>
      <w:pPr>
        <w:ind w:left="620" w:hanging="202"/>
        <w:spacing w:after="0"/>
        <w:tabs>
          <w:tab w:leader="none" w:pos="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0" w:right="40" w:firstLine="458"/>
        <w:spacing w:after="0" w:line="277" w:lineRule="auto"/>
        <w:tabs>
          <w:tab w:leader="none" w:pos="66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0" w:right="340" w:firstLine="458"/>
        <w:spacing w:after="0" w:line="277" w:lineRule="auto"/>
        <w:tabs>
          <w:tab w:leader="none" w:pos="722"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720" w:hanging="302"/>
        <w:spacing w:after="0"/>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40" w:right="120" w:firstLine="233"/>
        <w:spacing w:after="0" w:line="302" w:lineRule="auto"/>
        <w:tabs>
          <w:tab w:leader="none" w:pos="437"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46" w:lineRule="exact"/>
        <w:rPr>
          <w:rFonts w:ascii="Arial" w:cs="Arial" w:eastAsia="Arial" w:hAnsi="Arial"/>
          <w:sz w:val="16"/>
          <w:szCs w:val="16"/>
          <w:color w:val="auto"/>
        </w:rPr>
      </w:pPr>
    </w:p>
    <w:p>
      <w:pPr>
        <w:ind w:left="-40" w:right="20" w:firstLine="233"/>
        <w:spacing w:after="0" w:line="277" w:lineRule="auto"/>
        <w:tabs>
          <w:tab w:leader="none" w:pos="4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62" w:lineRule="exact"/>
        <w:rPr>
          <w:rFonts w:ascii="Arial" w:cs="Arial" w:eastAsia="Arial" w:hAnsi="Arial"/>
          <w:sz w:val="18"/>
          <w:szCs w:val="18"/>
          <w:color w:val="auto"/>
        </w:rPr>
      </w:pPr>
    </w:p>
    <w:p>
      <w:pPr>
        <w:jc w:val="both"/>
        <w:ind w:left="-40" w:right="120" w:firstLine="233"/>
        <w:spacing w:after="0" w:line="279"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paid by a director, officer or controlling person of the registrant in the successful defense of any action, suit or proceeding) is asserted by such director, officer or controlling person in connection with the securities being registered, that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right="120" w:firstLine="450"/>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22nd day of September, 2006.</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P. Steiner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P. Steiner,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121"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KNOWN ALL PERSONS BY THESE PRESENTS, that the individuals whose signature appears below hereby constitute and appoint David P. Steiner, Robert G. Simpson and Rick L Wittenbraker, and each of them severally, as his or her true and lawful attorneys-in-fact and agents with full power of substitution and resubstitution for him or her and in his or her name, place, and stead in any and all capacities to sign any and all amendments (including post-effective amendments and amendments filed pursuant to 462(b) under the Securities Act of 1933)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attorneys-in-facts and agents or any of them, or of his substitute or substitutes, may lawfully do to cause to be done by virtue hereof.</w:t>
      </w:r>
    </w:p>
    <w:p>
      <w:pPr>
        <w:spacing w:after="0" w:line="71"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indicated on September 22, 2006.</w:t>
      </w:r>
    </w:p>
    <w:p>
      <w:pPr>
        <w:sectPr>
          <w:pgSz w:w="11900" w:h="16838" w:orient="portrait"/>
          <w:cols w:equalWidth="0" w:num="1">
            <w:col w:w="11400"/>
          </w:cols>
          <w:pgMar w:left="240" w:top="958" w:right="259" w:bottom="1440" w:gutter="0" w:footer="0" w:header="0"/>
        </w:sectPr>
      </w:pPr>
    </w:p>
    <w:p>
      <w:pPr>
        <w:spacing w:after="0" w:line="162" w:lineRule="exact"/>
        <w:rPr>
          <w:sz w:val="20"/>
          <w:szCs w:val="20"/>
          <w:color w:val="auto"/>
        </w:rPr>
      </w:pPr>
    </w:p>
    <w:p>
      <w:pPr>
        <w:jc w:val="center"/>
        <w:ind w:left="540"/>
        <w:spacing w:after="0"/>
        <w:rPr>
          <w:sz w:val="20"/>
          <w:szCs w:val="20"/>
          <w:color w:val="auto"/>
        </w:rPr>
      </w:pP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413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P. Steiner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Simpson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 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 A. Robertson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Pastora San Juan Cafferty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Pastora San Juan Cafferty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6350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Senior Vice President and Chief Financial Officer</w:t>
      </w:r>
    </w:p>
    <w:p>
      <w:pPr>
        <w:spacing w:after="0" w:line="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860" w:space="720"/>
            <w:col w:w="5820"/>
          </w:cols>
          <w:pgMar w:left="240" w:top="958" w:right="25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71"/>
        </w:trPr>
        <w:tc>
          <w:tcPr>
            <w:tcW w:w="53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4"/>
                <w:szCs w:val="1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26"/>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Clark, Jr.</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Frank M. Clark, Jr.</w:t>
            </w:r>
          </w:p>
        </w:tc>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W. Gross</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Patrick W. Gross</w:t>
            </w:r>
          </w:p>
        </w:tc>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I. Morgan</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Thomas I. Morgan</w:t>
            </w:r>
          </w:p>
        </w:tc>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Pope</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John C. Pope</w:t>
            </w:r>
          </w:p>
        </w:tc>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Robert Reum</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W. Robert Reum</w:t>
            </w:r>
          </w:p>
        </w:tc>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G. Rothmeier</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Steven G. Rothmeier</w:t>
            </w:r>
          </w:p>
        </w:tc>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H. Weidemeyer</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Thomas H. Weidemeyer</w:t>
            </w:r>
          </w:p>
        </w:tc>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04"/>
        </w:trPr>
        <w:tc>
          <w:tcPr>
            <w:tcW w:w="5380" w:type="dxa"/>
            <w:vAlign w:val="bottom"/>
          </w:tcPr>
          <w:p>
            <w:pPr>
              <w:spacing w:after="0"/>
              <w:rPr>
                <w:sz w:val="24"/>
                <w:szCs w:val="24"/>
                <w:color w:val="auto"/>
              </w:rPr>
            </w:pPr>
          </w:p>
        </w:tc>
        <w:tc>
          <w:tcPr>
            <w:tcW w:w="6040" w:type="dxa"/>
            <w:vAlign w:val="bottom"/>
            <w:gridSpan w:val="2"/>
          </w:tcPr>
          <w:p>
            <w:pPr>
              <w:ind w:left="200"/>
              <w:spacing w:after="0"/>
              <w:rPr>
                <w:sz w:val="20"/>
                <w:szCs w:val="20"/>
                <w:color w:val="auto"/>
              </w:rPr>
            </w:pPr>
            <w:r>
              <w:rPr>
                <w:rFonts w:ascii="Arial" w:cs="Arial" w:eastAsia="Arial" w:hAnsi="Arial"/>
                <w:sz w:val="18"/>
                <w:szCs w:val="18"/>
                <w:color w:val="auto"/>
              </w:rPr>
              <w:t>II-6</w:t>
            </w:r>
          </w:p>
        </w:tc>
      </w:tr>
      <w:tr>
        <w:trPr>
          <w:trHeight w:val="226"/>
        </w:trPr>
        <w:tc>
          <w:tcPr>
            <w:tcW w:w="5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9" w:name="page30"/>
    <w:bookmarkEnd w:id="29"/>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80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 (Debt Securities).</w:t>
      </w:r>
    </w:p>
    <w:p>
      <w:pPr>
        <w:spacing w:after="0" w:line="225"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Form of Underwriting Agreement (Equity Securities).</w:t>
      </w:r>
    </w:p>
    <w:p>
      <w:pPr>
        <w:spacing w:after="0" w:line="225"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(Incorporated herein by reference to Exhibit 3.1 to the Quarterly Report on Form 10-Q for the quarter ended June 30,</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(Incorporated herein by reference to Exhibit 3.2 to Current Report on Form 8-K filed July 6, 2006).</w:t>
      </w:r>
    </w:p>
    <w:p>
      <w:pPr>
        <w:spacing w:after="0" w:line="225"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Certificate of Incorporation of Waste Management Holdings, Inc.</w:t>
      </w:r>
    </w:p>
    <w:p>
      <w:pPr>
        <w:spacing w:after="0" w:line="225"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Bylaws of Waste Management Holdings, Inc.</w:t>
      </w:r>
    </w:p>
    <w:p>
      <w:pPr>
        <w:spacing w:after="0" w:line="225"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certificate of Common Stock.</w:t>
      </w:r>
    </w:p>
    <w:p>
      <w:pPr>
        <w:spacing w:after="0" w:line="225" w:lineRule="exact"/>
        <w:rPr>
          <w:sz w:val="20"/>
          <w:szCs w:val="20"/>
          <w:color w:val="auto"/>
        </w:rPr>
      </w:pPr>
    </w:p>
    <w:p>
      <w:pPr>
        <w:ind w:left="820" w:right="780" w:hanging="454"/>
        <w:spacing w:after="0" w:line="277" w:lineRule="auto"/>
        <w:tabs>
          <w:tab w:leader="none" w:pos="800" w:val="left"/>
        </w:tabs>
        <w:rPr>
          <w:sz w:val="20"/>
          <w:szCs w:val="20"/>
          <w:color w:val="auto"/>
        </w:rPr>
      </w:pPr>
      <w:r>
        <w:rPr>
          <w:rFonts w:ascii="Arial" w:cs="Arial" w:eastAsia="Arial" w:hAnsi="Arial"/>
          <w:sz w:val="18"/>
          <w:szCs w:val="18"/>
          <w:color w:val="auto"/>
        </w:rPr>
        <w:t>4.2</w:t>
        <w:tab/>
        <w:t>Senior indenture dated as of September 10, 1997 (Incorporated herein by reference to Exhibit 4.1 to Current Report on Form 8-K filed September 24, 1997).</w:t>
      </w:r>
    </w:p>
    <w:p>
      <w:pPr>
        <w:spacing w:after="0" w:line="170" w:lineRule="exact"/>
        <w:rPr>
          <w:sz w:val="20"/>
          <w:szCs w:val="20"/>
          <w:color w:val="auto"/>
        </w:rPr>
      </w:pPr>
    </w:p>
    <w:p>
      <w:pPr>
        <w:ind w:left="820" w:right="500" w:hanging="454"/>
        <w:spacing w:after="0" w:line="277" w:lineRule="auto"/>
        <w:tabs>
          <w:tab w:leader="none" w:pos="800" w:val="left"/>
        </w:tabs>
        <w:rPr>
          <w:sz w:val="20"/>
          <w:szCs w:val="20"/>
          <w:color w:val="auto"/>
        </w:rPr>
      </w:pPr>
      <w:r>
        <w:rPr>
          <w:rFonts w:ascii="Arial" w:cs="Arial" w:eastAsia="Arial" w:hAnsi="Arial"/>
          <w:sz w:val="18"/>
          <w:szCs w:val="18"/>
          <w:color w:val="auto"/>
        </w:rPr>
        <w:t>4.3</w:t>
        <w:tab/>
        <w:t>Subordinated indenture dated as of February 1, 1997 (Incorporated herein by reference to Exhibit 4.1 to Current Report on Form 8-K filed February 7, 1997).</w:t>
      </w:r>
    </w:p>
    <w:p>
      <w:pPr>
        <w:spacing w:after="0" w:line="170"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Debt Securities.</w:t>
      </w:r>
    </w:p>
    <w:p>
      <w:pPr>
        <w:spacing w:after="0" w:line="225"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Guarantee Agreement.</w:t>
      </w:r>
    </w:p>
    <w:p>
      <w:pPr>
        <w:spacing w:after="0" w:line="225"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Agreement.</w:t>
      </w:r>
    </w:p>
    <w:p>
      <w:pPr>
        <w:spacing w:after="0" w:line="225"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Unit Agreement.</w:t>
      </w:r>
    </w:p>
    <w:p>
      <w:pPr>
        <w:spacing w:after="0" w:line="225"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Legal opinion of John S. Tsai regarding the legality of the securities being registered under this registration statement.</w:t>
      </w:r>
    </w:p>
    <w:p>
      <w:pPr>
        <w:spacing w:after="0" w:line="225" w:lineRule="exact"/>
        <w:rPr>
          <w:sz w:val="20"/>
          <w:szCs w:val="20"/>
          <w:color w:val="auto"/>
        </w:rPr>
      </w:pPr>
    </w:p>
    <w:p>
      <w:pPr>
        <w:ind w:left="820" w:right="200" w:hanging="543"/>
        <w:spacing w:after="0" w:line="277" w:lineRule="auto"/>
        <w:tabs>
          <w:tab w:leader="none" w:pos="800" w:val="left"/>
        </w:tabs>
        <w:rPr>
          <w:sz w:val="20"/>
          <w:szCs w:val="20"/>
          <w:color w:val="auto"/>
        </w:rPr>
      </w:pPr>
      <w:r>
        <w:rPr>
          <w:rFonts w:ascii="Arial" w:cs="Arial" w:eastAsia="Arial" w:hAnsi="Arial"/>
          <w:sz w:val="18"/>
          <w:szCs w:val="18"/>
          <w:color w:val="auto"/>
        </w:rPr>
        <w:t>12.1</w:t>
        <w:tab/>
        <w:t>Statement regarding computation of ratio of earnings to fixed charges (Incorporated herein by reference to Exhibit 12.1 to Registrant’s Annual Report on Form 10-K for the year ended December 31, 2005).</w:t>
      </w:r>
    </w:p>
    <w:p>
      <w:pPr>
        <w:spacing w:after="0" w:line="170"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John S. Tsai (included in Exhibits 5.1).</w:t>
      </w:r>
    </w:p>
    <w:p>
      <w:pPr>
        <w:spacing w:after="0" w:line="225"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 Independent Registered Public Accounting Firm.</w:t>
      </w:r>
    </w:p>
    <w:p>
      <w:pPr>
        <w:spacing w:after="0" w:line="225" w:lineRule="exact"/>
        <w:rPr>
          <w:sz w:val="20"/>
          <w:szCs w:val="20"/>
          <w:color w:val="auto"/>
        </w:rPr>
      </w:pPr>
    </w:p>
    <w:p>
      <w:pPr>
        <w:ind w:left="280" w:right="4420" w:firstLine="129"/>
        <w:spacing w:after="0" w:line="563" w:lineRule="auto"/>
        <w:tabs>
          <w:tab w:leader="none" w:pos="824" w:val="left"/>
        </w:tabs>
        <w:numPr>
          <w:ilvl w:val="1"/>
          <w:numId w:val="34"/>
        </w:numPr>
        <w:rPr>
          <w:rFonts w:ascii="Arial" w:cs="Arial" w:eastAsia="Arial" w:hAnsi="Arial"/>
          <w:sz w:val="16"/>
          <w:szCs w:val="16"/>
          <w:color w:val="auto"/>
        </w:rPr>
      </w:pPr>
      <w:r>
        <w:rPr>
          <w:rFonts w:ascii="Arial" w:cs="Arial" w:eastAsia="Arial" w:hAnsi="Arial"/>
          <w:sz w:val="16"/>
          <w:szCs w:val="16"/>
          <w:color w:val="auto"/>
        </w:rPr>
        <w:t>Powers of Attorney (Included on Page II-5 as part of the signature pages hereto). 25.1 Statement of Eligibility of Trustee on Form T-1 with respect to the senior indenture.</w:t>
      </w:r>
    </w:p>
    <w:p>
      <w:pPr>
        <w:spacing w:after="0" w:line="1"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8"/>
          <w:szCs w:val="18"/>
          <w:color w:val="auto"/>
        </w:rPr>
        <w:t>25.2   Statement of Eligibility of Trustee on Form T-1 with respect to the subordinated indenture.</w:t>
      </w:r>
    </w:p>
    <w:p>
      <w:pPr>
        <w:spacing w:after="0" w:line="387" w:lineRule="exact"/>
        <w:rPr>
          <w:rFonts w:ascii="Arial" w:cs="Arial" w:eastAsia="Arial" w:hAnsi="Arial"/>
          <w:sz w:val="16"/>
          <w:szCs w:val="16"/>
          <w:color w:val="auto"/>
        </w:rPr>
      </w:pPr>
    </w:p>
    <w:p>
      <w:pPr>
        <w:ind w:left="460" w:right="440" w:hanging="446"/>
        <w:spacing w:after="0" w:line="277" w:lineRule="auto"/>
        <w:rPr>
          <w:rFonts w:ascii="Arial" w:cs="Arial" w:eastAsia="Arial" w:hAnsi="Arial"/>
          <w:sz w:val="16"/>
          <w:szCs w:val="16"/>
          <w:color w:val="auto"/>
        </w:rPr>
      </w:pPr>
      <w:r>
        <w:rPr>
          <w:rFonts w:ascii="Arial" w:cs="Arial" w:eastAsia="Arial" w:hAnsi="Arial"/>
          <w:sz w:val="18"/>
          <w:szCs w:val="18"/>
          <w:color w:val="auto"/>
        </w:rPr>
        <w:t>*To be filed by amendment to this Registration Statement or as an exhibit to a periodic report filed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80"/>
          </w:cols>
          <w:pgMar w:left="240" w:top="958" w:right="3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HOLDINGS, INC.</w:t>
      </w:r>
    </w:p>
    <w:p>
      <w:pPr>
        <w:spacing w:after="0" w:line="103"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Waste Management Holdings, Inc., a corporation organized and existing under the laws of the State of Delaware (the “Corporation”), hereby certifies as follows:</w:t>
      </w:r>
    </w:p>
    <w:p>
      <w:pPr>
        <w:spacing w:after="0" w:line="62" w:lineRule="exact"/>
        <w:rPr>
          <w:sz w:val="20"/>
          <w:szCs w:val="20"/>
          <w:color w:val="auto"/>
        </w:rPr>
      </w:pPr>
    </w:p>
    <w:p>
      <w:pPr>
        <w:ind w:right="600" w:firstLine="8"/>
        <w:spacing w:after="0" w:line="308" w:lineRule="auto"/>
        <w:tabs>
          <w:tab w:leader="none" w:pos="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name of the Corporation is Waste Management Holdings, Inc., and the name under which the Corporation was originally incorporated is Waste Management, Inc. The date of filing of its original Certificate of Incorporation with the Secretary of State was September 23, 1968.</w:t>
      </w:r>
    </w:p>
    <w:p>
      <w:pPr>
        <w:spacing w:after="0" w:line="38"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Third Restated Certificate of Incorporation amends and restates the Restated Certificate of Incorporation of the Corporation, including all amendments thereto, in its entirety.</w:t>
      </w:r>
    </w:p>
    <w:p>
      <w:pPr>
        <w:spacing w:after="0" w:line="62" w:lineRule="exact"/>
        <w:rPr>
          <w:rFonts w:ascii="Arial" w:cs="Arial" w:eastAsia="Arial" w:hAnsi="Arial"/>
          <w:sz w:val="18"/>
          <w:szCs w:val="18"/>
          <w:color w:val="auto"/>
        </w:rPr>
      </w:pPr>
    </w:p>
    <w:p>
      <w:pPr>
        <w:ind w:right="26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provisions of the Restated Certificate of Incorporation as amended or supplemented heretofore are hereby deleted in their entirety and the following provisions are substituted in their place: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Name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name of the Corporation is Waste Management Holdings, Inc.</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Registered Office and Registered Agent</w:t>
      </w:r>
    </w:p>
    <w:p>
      <w:pPr>
        <w:spacing w:after="0" w:line="103" w:lineRule="exact"/>
        <w:rPr>
          <w:sz w:val="20"/>
          <w:szCs w:val="20"/>
          <w:color w:val="auto"/>
        </w:rPr>
      </w:pPr>
    </w:p>
    <w:p>
      <w:pPr>
        <w:ind w:right="20" w:firstLine="222"/>
        <w:spacing w:after="0" w:line="308" w:lineRule="auto"/>
        <w:rPr>
          <w:sz w:val="20"/>
          <w:szCs w:val="20"/>
          <w:color w:val="auto"/>
        </w:rPr>
      </w:pPr>
      <w:r>
        <w:rPr>
          <w:rFonts w:ascii="Arial" w:cs="Arial" w:eastAsia="Arial" w:hAnsi="Arial"/>
          <w:sz w:val="17"/>
          <w:szCs w:val="17"/>
          <w:color w:val="auto"/>
        </w:rPr>
        <w:t>The street address of the initial registered office of the Corporation in the State of Delaware is the Corporation Trust Center, 1209 Orange Street in the City of Wilmington, County of New Castle. The name of the registered agent of the Corporation is The Corporation Trust Company.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Corporate Purpose</w:t>
      </w:r>
    </w:p>
    <w:p>
      <w:pPr>
        <w:spacing w:after="0" w:line="103"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“General Corporation Law”).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Capital Stock</w:t>
      </w:r>
    </w:p>
    <w:p>
      <w:pPr>
        <w:spacing w:after="0" w:line="103"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total number of shares of all classes of stock that the Corporation shall have authority to issue is 100, all of which shall be shares of Common Stock, par value $.01 per share.</w:t>
      </w:r>
    </w:p>
    <w:p>
      <w:pPr>
        <w:spacing w:after="0" w:line="27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380"/>
        <w:spacing w:after="0"/>
        <w:rPr>
          <w:sz w:val="20"/>
          <w:szCs w:val="20"/>
          <w:color w:val="auto"/>
        </w:rPr>
      </w:pPr>
      <w:r>
        <w:rPr>
          <w:rFonts w:ascii="Arial" w:cs="Arial" w:eastAsia="Arial" w:hAnsi="Arial"/>
          <w:sz w:val="18"/>
          <w:szCs w:val="18"/>
          <w:u w:val="single" w:color="auto"/>
          <w:color w:val="auto"/>
        </w:rPr>
        <w:t>Directors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Elections of directors of the Corporation need not be by written ballot, except and to the extent provided in the By-laws of the Corporation.</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 of Directors, Officers and Others</w:t>
      </w:r>
    </w:p>
    <w:p>
      <w:pPr>
        <w:spacing w:after="0" w:line="103" w:lineRule="exact"/>
        <w:rPr>
          <w:sz w:val="20"/>
          <w:szCs w:val="20"/>
          <w:color w:val="auto"/>
        </w:rPr>
      </w:pPr>
    </w:p>
    <w:p>
      <w:pPr>
        <w:jc w:val="both"/>
        <w:ind w:right="100" w:firstLine="233"/>
        <w:spacing w:after="0" w:line="279" w:lineRule="auto"/>
        <w:tabs>
          <w:tab w:leader="none" w:pos="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director of the Corporation shall be personally liable to the Corporation or its stockholders for monetary damages for breach of fiduciary duty as a director, except to the extent provided by applicable law (i) for any breach of the director’s duty of loyalty to the Corporation or its stockholders, (ii) for acts or omissions not in good faith or which involve intentional misconduct or a knowing violation of law, (iii) pursuant to Section 174 of the Delaware General Corporation Law, or (iv) for any transaction from which the director derived an improper personal benefit.</w:t>
      </w:r>
    </w:p>
    <w:p>
      <w:pPr>
        <w:spacing w:after="0" w:line="63" w:lineRule="exact"/>
        <w:rPr>
          <w:rFonts w:ascii="Arial" w:cs="Arial" w:eastAsia="Arial" w:hAnsi="Arial"/>
          <w:sz w:val="17"/>
          <w:szCs w:val="17"/>
          <w:color w:val="auto"/>
        </w:rPr>
      </w:pPr>
    </w:p>
    <w:p>
      <w:pPr>
        <w:ind w:right="20" w:firstLine="233"/>
        <w:spacing w:after="0" w:line="272" w:lineRule="auto"/>
        <w:tabs>
          <w:tab w:leader="none" w:pos="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person who is or was a director or officer of the Corporation, and each person who serves or served at the request of the Corporation as a director or officer (or equivalent) of another enterprise, shall be indemnified by the Corporation to the fullest extent authorized by the General Corporation Law of Delaware as it may be in effect from time to time, except as to any action, suit or proceeding brought by or on behalf of such director or officer without prior approval of the Board of Directors or, if there is an Interested Stockholder (as defined below) at the time such action, suit or proceeding is brought, without prior approval of the majority of the Continuing Directors (as defined below) of the Corporation. The right to indemnification conferred in this Article VI shall not be exclusive of any other right which any person may have or hereafter acquire under this Third Restated Certificate of Incorporation or any statute, by-law, agreement, vote of stockholders or disinterested directors or otherwise.</w:t>
      </w:r>
    </w:p>
    <w:p>
      <w:pPr>
        <w:spacing w:after="0" w:line="69" w:lineRule="exact"/>
        <w:rPr>
          <w:rFonts w:ascii="Arial" w:cs="Arial" w:eastAsia="Arial" w:hAnsi="Arial"/>
          <w:sz w:val="17"/>
          <w:szCs w:val="17"/>
          <w:color w:val="auto"/>
        </w:rPr>
      </w:pPr>
    </w:p>
    <w:p>
      <w:pPr>
        <w:ind w:firstLine="233"/>
        <w:spacing w:after="0" w:line="297" w:lineRule="auto"/>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 Delaware General Corporation Law is amended to further limit or eliminate liability of the Corporation’s directors for breach of fiduciary duty, then a director of the Corporation shall not be liable for any such breach to the fullest extent permitted by the Delaware General Corporation Law as so amended. If the Delaware General Corporation Law is amended to increase or expand liability of the Corporation’s directors for breach of fiduciary duty or if the foregoing provisions of this Article VI are modified or repealed by the stockholders of the Corporation, no such amendment, modification or repeal shall apply to or have any effect on the liability or alleged liability of any director of the Corporation for or with respect to any acts or omissions of such</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32" w:name="page33"/>
    <w:bookmarkEnd w:id="32"/>
    <w:p>
      <w:pPr>
        <w:ind w:right="560"/>
        <w:spacing w:after="0" w:line="277" w:lineRule="auto"/>
        <w:rPr>
          <w:sz w:val="20"/>
          <w:szCs w:val="20"/>
          <w:color w:val="auto"/>
        </w:rPr>
      </w:pPr>
      <w:r>
        <w:rPr>
          <w:rFonts w:ascii="Arial" w:cs="Arial" w:eastAsia="Arial" w:hAnsi="Arial"/>
          <w:sz w:val="18"/>
          <w:szCs w:val="18"/>
          <w:color w:val="auto"/>
        </w:rPr>
        <w:t>director occurring prior to the time of such amendment, modification or repeal or otherwise adversely affect any right or protection of a director of the Corporation existing at the time of such amendment, modification or repeal.</w:t>
      </w:r>
    </w:p>
    <w:p>
      <w:pPr>
        <w:spacing w:after="0" w:line="62" w:lineRule="exact"/>
        <w:rPr>
          <w:sz w:val="20"/>
          <w:szCs w:val="20"/>
          <w:color w:val="auto"/>
        </w:rPr>
      </w:pPr>
    </w:p>
    <w:p>
      <w:pPr>
        <w:jc w:val="both"/>
        <w:ind w:right="20" w:firstLine="233"/>
        <w:spacing w:after="0" w:line="279" w:lineRule="auto"/>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Notwithstanding any other provision of this Third Restated Certificate of Incorporation or the by-laws of the Corporation (and notwithstanding the fact that a lesser percentage may be specified by law, this Third Restated Certificate of Incorporation or the by-laws of the Corporation), the amendment or repeal of Article VI of this Third Restated Certificate of Incorporation, or the adoption of any provision inconsistent herewith, shall require the approval of the holders of shares representing at least 80% of the outstanding shares of Common Stock.</w:t>
      </w:r>
    </w:p>
    <w:p>
      <w:pPr>
        <w:spacing w:after="0" w:line="63" w:lineRule="exact"/>
        <w:rPr>
          <w:rFonts w:ascii="Arial" w:cs="Arial" w:eastAsia="Arial" w:hAnsi="Arial"/>
          <w:sz w:val="17"/>
          <w:szCs w:val="17"/>
          <w:color w:val="auto"/>
        </w:rPr>
      </w:pPr>
    </w:p>
    <w:p>
      <w:pPr>
        <w:ind w:right="80" w:firstLine="233"/>
        <w:spacing w:after="0" w:line="257"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purposes of this Article VI, the term “Continuing Director” shall mean a Director who was a member of the Board of Directors of the Corporation prior to the time the Interested Stockholder in question became an Interested Stockholder and who is not an Affiliate or Associate of such Interested Stockholder and who was not proposed for election as a Director by or on behalf of such Interested Stockholder, and any successor of a Continuing Director who is not an Affiliate or Associate or representative of such Interested Stockholder and is recommended to succeed a Continuing Director by a majority of the Continuing Directors then on the Board of Directors of the Corporation.</w:t>
      </w:r>
    </w:p>
    <w:p>
      <w:pPr>
        <w:spacing w:after="0" w:line="80" w:lineRule="exact"/>
        <w:rPr>
          <w:rFonts w:ascii="Arial" w:cs="Arial" w:eastAsia="Arial" w:hAnsi="Arial"/>
          <w:sz w:val="18"/>
          <w:szCs w:val="18"/>
          <w:color w:val="auto"/>
        </w:rPr>
      </w:pPr>
    </w:p>
    <w:p>
      <w:pPr>
        <w:ind w:firstLine="233"/>
        <w:spacing w:after="0" w:line="271" w:lineRule="auto"/>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purposes of this Article VI, the term “Interested Stockholder” shall mean and include any individual, corporation, partnership or other person or entity (other than the Corporation or any of its Subsidiaries or any employee benefit plan of either the Corporation or any of its Subsidiaries or any trustee or fiduciary with respect to any such plan when acting in such capacity) which, together with its “Affiliates” and “Associates” (as defined pursuant to Rule 12b-2 under the Securities Exchange Act of 1934, as such Rule was in effect on March 1, 1985), was the “Beneficial Owner” (as defined pursuant to Rule 13d-3 under such Act, as such Rule was in effect on March 1, 1985), of more than five percent of the outstanding shares of Common Stock, and any Affiliate or Associate of any such individual, corporation, partnership or other person or entity, or which was the Beneficial Owner at any time within the two-year period immediately preceding the time in question of more than five percent of the outstanding Common Stock, and any Affiliate or Associate of any such individual, corporation, partnership or other person or entity.</w:t>
      </w:r>
    </w:p>
    <w:p>
      <w:pPr>
        <w:spacing w:after="0" w:line="70" w:lineRule="exact"/>
        <w:rPr>
          <w:rFonts w:ascii="Arial" w:cs="Arial" w:eastAsia="Arial" w:hAnsi="Arial"/>
          <w:sz w:val="17"/>
          <w:szCs w:val="17"/>
          <w:color w:val="auto"/>
        </w:rPr>
      </w:pPr>
    </w:p>
    <w:p>
      <w:pPr>
        <w:ind w:right="220" w:firstLine="233"/>
        <w:spacing w:after="0" w:line="277"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purposes of this Article VI, the term “Subsidiary” shall mean a corporation with respect to which the Corporation is the Beneficial Owner of the majority of each class of voting securities.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By-Laws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directors of the Corporation shall have the power to adopt, amend or repeal by-laws.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(Reserved.)</w:t>
      </w:r>
    </w:p>
    <w:p>
      <w:pPr>
        <w:spacing w:after="0" w:line="32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Amendment</w:t>
      </w:r>
    </w:p>
    <w:p>
      <w:pPr>
        <w:spacing w:after="0" w:line="103"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Corporation reserves the right to amend, alter, change or repeal any provision of this Third Restated Certificate of Incorporation, in the manner now or hereafter prescribed by law, and all rights conferred on stockholders in this Third Restated Certificate of Incorporation are subject to this reservation.”</w:t>
      </w:r>
    </w:p>
    <w:p>
      <w:pPr>
        <w:spacing w:after="0" w:line="16" w:lineRule="exact"/>
        <w:rPr>
          <w:sz w:val="20"/>
          <w:szCs w:val="20"/>
          <w:color w:val="auto"/>
        </w:rPr>
      </w:pPr>
    </w:p>
    <w:p>
      <w:pPr>
        <w:ind w:right="680" w:firstLine="233"/>
        <w:spacing w:after="0" w:line="277" w:lineRule="auto"/>
        <w:tabs>
          <w:tab w:leader="none" w:pos="40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Third Restated Certificate of Incorporation was duly adopted by the unanimous written consent of the sole stockholder in accordance with applicable provisions of Section 228, 242 and 245 of the General Corporation Law of the State of Delaware.</w:t>
      </w:r>
    </w:p>
    <w:p>
      <w:pPr>
        <w:spacing w:after="0" w:line="62"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IN WITNESS WHEREOF, WASTE MANAGEMENT HOLDINGS, INC. has caused this Third Restated Certificate of Incorporation to be signed by Linda J. Smith, its Vice President and Secretary, this 5</w:t>
      </w:r>
      <w:r>
        <w:rPr>
          <w:rFonts w:ascii="Arial" w:cs="Arial" w:eastAsia="Arial" w:hAnsi="Arial"/>
          <w:sz w:val="15"/>
          <w:szCs w:val="15"/>
          <w:color w:val="auto"/>
        </w:rPr>
        <w:t>th</w:t>
      </w:r>
      <w:r>
        <w:rPr>
          <w:rFonts w:ascii="Arial" w:cs="Arial" w:eastAsia="Arial" w:hAnsi="Arial"/>
          <w:sz w:val="18"/>
          <w:szCs w:val="18"/>
          <w:color w:val="auto"/>
        </w:rPr>
        <w:t xml:space="preserve"> day of November, 2003.</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WASTE MANAGEMENT HOLDINGS,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Linda J. Smith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and Secretary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958" w:right="2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(hereinafter called the “Corporation”)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shall be shall be c/o CT Corporation, 1209 Orange Street, Wilmington, Delaware.</w:t>
      </w:r>
    </w:p>
    <w:p>
      <w:pPr>
        <w:spacing w:after="0" w:line="140"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103"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73"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Annual Meetings</w:t>
      </w:r>
      <w:r>
        <w:rPr>
          <w:rFonts w:ascii="Arial" w:cs="Arial" w:eastAsia="Arial" w:hAnsi="Arial"/>
          <w:sz w:val="17"/>
          <w:szCs w:val="17"/>
          <w:color w:val="auto"/>
        </w:rPr>
        <w:t>. The annual meetings of stockholders shall be held on such date and at such time as shall be designated from time to time by the Board of Directors and stated in the notice of the meeting, at which meetings the stockholders shall elect directors and transact such other business as may properly be brought before the meeting. Written notice of each annual meeting stating the place, date and hour of the meeting shall be given to each stockholder entitled to vote at such meeting not less than ten (10) nor more than sixty (60) days before the date of the meeting.</w:t>
      </w:r>
    </w:p>
    <w:p>
      <w:pPr>
        <w:spacing w:after="0" w:line="6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may be called by the President or the Board of Directors. Written notice of a special meeting stating the place, date and hour of the meeting and the purpose or purposes for which the meeting is called shall be given not less than ten (10) nor more than sixty (60) days before the date of the meeting to each stockholder entitled to vote at such meeting.</w:t>
      </w:r>
    </w:p>
    <w:p>
      <w:pPr>
        <w:spacing w:after="0" w:line="73"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Quorum</w:t>
      </w:r>
      <w:r>
        <w:rPr>
          <w:rFonts w:ascii="Arial" w:cs="Arial" w:eastAsia="Arial" w:hAnsi="Arial"/>
          <w:sz w:val="16"/>
          <w:szCs w:val="16"/>
          <w:color w:val="auto"/>
        </w:rPr>
        <w:t>.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35" w:name="page36"/>
    <w:bookmarkEnd w:id="35"/>
    <w:p>
      <w:pPr>
        <w:jc w:val="both"/>
        <w:ind w:right="200"/>
        <w:spacing w:after="0" w:line="264" w:lineRule="auto"/>
        <w:rPr>
          <w:sz w:val="20"/>
          <w:szCs w:val="20"/>
          <w:color w:val="auto"/>
        </w:rPr>
      </w:pPr>
      <w:r>
        <w:rPr>
          <w:rFonts w:ascii="Arial" w:cs="Arial" w:eastAsia="Arial" w:hAnsi="Arial"/>
          <w:sz w:val="18"/>
          <w:szCs w:val="18"/>
          <w:color w:val="auto"/>
        </w:rPr>
        <w:t>business may be transacted which might have been transacted at the meeting as originally noticed. If the adjournment is for more than thirty (30) days, or if after the adjournment a new record date is fixed for the adjourned meeting, a notice of the adjourned meeting shall be given to each stockholder entitled to vote at the meeting.</w:t>
      </w:r>
    </w:p>
    <w:p>
      <w:pPr>
        <w:spacing w:after="0" w:line="7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Voting</w:t>
      </w:r>
      <w:r>
        <w:rPr>
          <w:rFonts w:ascii="Arial" w:cs="Arial" w:eastAsia="Arial" w:hAnsi="Arial"/>
          <w:sz w:val="18"/>
          <w:szCs w:val="18"/>
          <w:color w:val="auto"/>
        </w:rPr>
        <w:t>. Unless otherwise required by law, the Certificate of Incorporation or these By-laws, (i) any question brought before any meeting of stockholders shall be decided by the vote of the holders of a majority of the stock represented and entitled to vote thereat and (ii) each stockholder represented at a meeting of stockholders shall be entitled to cast one vote for each share of the capital stock entitled to vote thereat held by such stockholder. Such votes may be cast in person or by proxy but no proxy shall be voted on or after three (3)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8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officer of the Corporation who has charge of the stock ledger of the Corporation shall prepare and make, at least ten (10) days before every meeting of stockholders, a complete list of the stockholders entitled to vote at the meeting, arranged in alphabetical order, and showing the address of each stockholders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70"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 Ledger</w:t>
      </w:r>
      <w:r>
        <w:rPr>
          <w:rFonts w:ascii="Arial" w:cs="Arial" w:eastAsia="Arial" w:hAnsi="Arial"/>
          <w:sz w:val="17"/>
          <w:szCs w:val="17"/>
          <w:color w:val="auto"/>
        </w:rPr>
        <w:t>.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pacing w:after="0" w:line="2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DIRECTORS</w:t>
      </w:r>
    </w:p>
    <w:p>
      <w:pPr>
        <w:spacing w:after="0" w:line="103"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Number and Election of Directors</w:t>
      </w:r>
      <w:r>
        <w:rPr>
          <w:rFonts w:ascii="Arial" w:cs="Arial" w:eastAsia="Arial" w:hAnsi="Arial"/>
          <w:sz w:val="18"/>
          <w:szCs w:val="18"/>
          <w:color w:val="auto"/>
        </w:rPr>
        <w:t>. The business and affairs of the Corporation shall be managed by or under the direction of a Board of Directors consisting of not less than one director, the exact number of directors to be determined from time to time by resolution adopted by the affirmative vote of a majority of the directors then in office. At each annual meeting of stockholders beginning with the first, successor directors shall be elected. Each director shall hold office until the ensuing meeting and until such director’s successor is elected and qualified or until such director’s earlier death, resignation, or removal.</w:t>
      </w:r>
    </w:p>
    <w:p>
      <w:pPr>
        <w:spacing w:after="0" w:line="80"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Directors of the Corporation may be removed, with or without cause, by the holders of a majority of the shares then entitled to vote at an election of directors.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6" w:name="page37"/>
    <w:bookmarkEnd w:id="36"/>
    <w:p>
      <w:pPr>
        <w:ind w:right="40" w:firstLine="225"/>
        <w:spacing w:after="0" w:line="264"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on the Board of Directors that results from an increase in the number of directors may be filled by a majority of the Board of Directors then in office, provided that a quorum is present, and any other vacancy occurring in the Board of Directors may be filled by a majority of the directors then in office, even if less than a quorum, or by a sole remaining director.</w:t>
      </w:r>
    </w:p>
    <w:p>
      <w:pPr>
        <w:spacing w:after="0" w:line="7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Duties and Powers</w:t>
      </w:r>
      <w:r>
        <w:rPr>
          <w:rFonts w:ascii="Arial" w:cs="Arial" w:eastAsia="Arial" w:hAnsi="Arial"/>
          <w:sz w:val="18"/>
          <w:szCs w:val="18"/>
          <w:color w:val="auto"/>
        </w:rPr>
        <w:t>. The business of the Corporation shall be managed by or under the direction of the Board of Directors, which may exercise all such powers of the Corporation and do all such lawful acts and things as are not by statute or by the Corporation’s Certificate of Incorporation or by these By-laws directed or required to be exercised or done by the stockholders.</w:t>
      </w:r>
    </w:p>
    <w:p>
      <w:pPr>
        <w:spacing w:after="0" w:line="7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Meetings</w:t>
      </w:r>
      <w:r>
        <w:rPr>
          <w:rFonts w:ascii="Arial" w:cs="Arial" w:eastAsia="Arial" w:hAnsi="Arial"/>
          <w:sz w:val="18"/>
          <w:szCs w:val="18"/>
          <w:color w:val="auto"/>
        </w:rPr>
        <w:t>. The Board of Directors of the Corporation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President or any two directors. Notice thereof stating the place, date and hour of the meeting shall be given to each director either by mail not less than forty-eight (48) hours before the time of the meeting, by telephone, electronic facsimile or telegram not less than twenty-four (24) hours before the time of the meeting, or on such shorter notice as the person or persons calling such meeting may deem necessary or appropriate in the circumstances.</w:t>
      </w:r>
    </w:p>
    <w:p>
      <w:pPr>
        <w:spacing w:after="0" w:line="85"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Quorum</w:t>
      </w:r>
      <w:r>
        <w:rPr>
          <w:rFonts w:ascii="Arial" w:cs="Arial" w:eastAsia="Arial" w:hAnsi="Arial"/>
          <w:sz w:val="18"/>
          <w:szCs w:val="18"/>
          <w:color w:val="auto"/>
        </w:rPr>
        <w:t>. Except as may be otherwise specifically provided by law, the Corporation’s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spacing w:after="0" w:line="8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Actions of Board</w:t>
      </w:r>
      <w:r>
        <w:rPr>
          <w:rFonts w:ascii="Arial" w:cs="Arial" w:eastAsia="Arial" w:hAnsi="Arial"/>
          <w:sz w:val="18"/>
          <w:szCs w:val="18"/>
          <w:color w:val="auto"/>
        </w:rPr>
        <w:t>. Unless otherwise provided by the Corporation’s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79"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Meetings by Means of Conference Telephone</w:t>
      </w:r>
      <w:r>
        <w:rPr>
          <w:rFonts w:ascii="Arial" w:cs="Arial" w:eastAsia="Arial" w:hAnsi="Arial"/>
          <w:sz w:val="16"/>
          <w:szCs w:val="16"/>
          <w:color w:val="auto"/>
        </w:rPr>
        <w:t>. Unless otherwise provided by the Corporation’s Certificate of Incorporation or these By-laws, members of the Board of Directors of the Corporation, or any committee 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7 of this Article III shall constitute presence in person at such meeting.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7" w:name="page38"/>
    <w:bookmarkEnd w:id="37"/>
    <w:p>
      <w:pPr>
        <w:ind w:right="80" w:firstLine="225"/>
        <w:spacing w:after="0" w:line="253"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members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8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Compensation</w:t>
      </w:r>
      <w:r>
        <w:rPr>
          <w:rFonts w:ascii="Arial" w:cs="Arial" w:eastAsia="Arial" w:hAnsi="Arial"/>
          <w:sz w:val="18"/>
          <w:szCs w:val="18"/>
          <w:color w:val="auto"/>
        </w:rPr>
        <w:t>.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79"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Interested Directors</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w:t>
      </w:r>
    </w:p>
    <w:p>
      <w:pPr>
        <w:spacing w:after="0" w:line="2" w:lineRule="exact"/>
        <w:rPr>
          <w:sz w:val="20"/>
          <w:szCs w:val="20"/>
          <w:color w:val="auto"/>
        </w:rPr>
      </w:pPr>
    </w:p>
    <w:p>
      <w:pPr>
        <w:ind w:right="40" w:firstLine="8"/>
        <w:spacing w:after="0" w:line="269" w:lineRule="auto"/>
        <w:tabs>
          <w:tab w:leader="none" w:pos="2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53" w:lineRule="exact"/>
        <w:rPr>
          <w:rFonts w:ascii="Arial" w:cs="Arial" w:eastAsia="Arial" w:hAnsi="Arial"/>
          <w:sz w:val="17"/>
          <w:szCs w:val="17"/>
          <w:color w:val="auto"/>
        </w:rPr>
      </w:pPr>
    </w:p>
    <w:p>
      <w:pPr>
        <w:ind w:left="5660" w:hanging="96"/>
        <w:spacing w:after="0"/>
        <w:tabs>
          <w:tab w:leader="none" w:pos="5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103"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General</w:t>
      </w:r>
      <w:r>
        <w:rPr>
          <w:rFonts w:ascii="Arial" w:cs="Arial" w:eastAsia="Arial" w:hAnsi="Arial"/>
          <w:sz w:val="17"/>
          <w:szCs w:val="17"/>
          <w:color w:val="auto"/>
        </w:rPr>
        <w:t>. The offices of the Corporation shall be chosen by the Board of Directors and shall be a President and a Secretary. The Board of Directors, in its discretion, may also choose one Treasurer and one or more Vice Presidents, Assistant Secretaries, Assistant Treasurers and other officers. Any number of offices may be held by the same person, unless otherwise prohibited by law, the Corporation’s Certificate of Incorporation or these By-laws. The officers of the Corporation need not be stockholders of the Corporation nor need such officers be directors of the Corporation.</w:t>
      </w:r>
    </w:p>
    <w:p>
      <w:pPr>
        <w:spacing w:after="0" w:line="6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Election</w:t>
      </w:r>
      <w:r>
        <w:rPr>
          <w:rFonts w:ascii="Arial" w:cs="Arial" w:eastAsia="Arial" w:hAnsi="Arial"/>
          <w:sz w:val="18"/>
          <w:szCs w:val="18"/>
          <w:color w:val="auto"/>
        </w:rPr>
        <w:t>.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and other compensation of all officers of the Corporation shall be fixed by the Board of Directors.</w:t>
      </w:r>
    </w:p>
    <w:p>
      <w:pPr>
        <w:spacing w:after="0" w:line="85"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Voting Securities Owned by the Corporation</w:t>
      </w:r>
      <w:r>
        <w:rPr>
          <w:rFonts w:ascii="Arial" w:cs="Arial" w:eastAsia="Arial" w:hAnsi="Arial"/>
          <w:sz w:val="16"/>
          <w:szCs w:val="16"/>
          <w:color w:val="auto"/>
        </w:rPr>
        <w:t>. Powers of attorney, proxies, waivers of notice of meeting, consents and other instruments relating to securities owned by the Corporation may be executed in the name of and on behalf of the Corporation by the President or any Vice President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5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President</w:t>
      </w:r>
      <w:r>
        <w:rPr>
          <w:rFonts w:ascii="Arial" w:cs="Arial" w:eastAsia="Arial" w:hAnsi="Arial"/>
          <w:sz w:val="17"/>
          <w:szCs w:val="17"/>
          <w:color w:val="auto"/>
        </w:rPr>
        <w:t>. The President shall be the chief executive officer and the chief operating officer of the Corporation, shall have general direction of the business and affairs of the Corporation and general supervision over its several officers, subject, however, to the control of the Board of Directors and shall see that all orders and resolutions of the Board of Directors are carried into effect. The President may sign, with the Secretary or Assistant Secretary, certificates representing shares of stock of the Corporation. The President shall execute and deliver, in the name and on behalf of the Corporation, (i) contracts or other instruments authorized by the Board of Directors and (ii) contracts or instruments in the usual and regular course of business except in cases when the execution and delivery thereof shall be expressly delegated or permitted by the Board of Directors or by these By-laws to some other officer or agent of the Corporation, and, in general, shall perform all duties incident to the office of President and such other duties as from time to time may be assigned to him by the Board of Directors or as are prescribed by these By-laws.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9" w:name="page40"/>
    <w:bookmarkEnd w:id="39"/>
    <w:p>
      <w:pPr>
        <w:ind w:right="340" w:firstLine="225"/>
        <w:spacing w:after="0" w:line="286"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Vice Presidents</w:t>
      </w:r>
      <w:r>
        <w:rPr>
          <w:rFonts w:ascii="Arial" w:cs="Arial" w:eastAsia="Arial" w:hAnsi="Arial"/>
          <w:sz w:val="17"/>
          <w:szCs w:val="17"/>
          <w:color w:val="auto"/>
        </w:rPr>
        <w:t>. Vice Presidents, if there be any, shall perform such duties and may exercise such other powers as from time to time may be assigned to him by these By-laws or by the Board of Directors. The Vice President may sign certificates of stock of the Corporation. In the absence or disability of the President, a Vice President may preside at meetings of the stockholders and the Board of Directors.</w:t>
      </w:r>
    </w:p>
    <w:p>
      <w:pPr>
        <w:spacing w:after="0" w:line="5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President.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such officer’s signature. The Secretary shall see that all books, reports, statements, certificates and other documents and records required by law to be kept or filed are properly kept or filed, as the case may be.</w:t>
      </w:r>
    </w:p>
    <w:p>
      <w:pPr>
        <w:spacing w:after="0" w:line="61"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if there be one,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50"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Assistant Secretaries</w:t>
      </w:r>
      <w:r>
        <w:rPr>
          <w:rFonts w:ascii="Arial" w:cs="Arial" w:eastAsia="Arial" w:hAnsi="Arial"/>
          <w:sz w:val="17"/>
          <w:szCs w:val="17"/>
          <w:color w:val="auto"/>
        </w:rPr>
        <w:t>.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the Secretary’s disability or refusal to act, shall perform the duties of the Secretary, and when so acting, shall have all the powers of and be subject to all the restrictions upon the Secretary.</w:t>
      </w:r>
    </w:p>
    <w:p>
      <w:pPr>
        <w:spacing w:after="0" w:line="6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the Treasurer’s disability or refusal to act, shall perform the duties of the Treasurer, and when so acting, shall have all the powers of and be subject to all the restrictions upon the Treasurer.</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ind w:right="40" w:firstLine="225"/>
        <w:spacing w:after="0" w:line="264"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STOCK</w:t>
      </w:r>
    </w:p>
    <w:p>
      <w:pPr>
        <w:spacing w:after="0" w:line="103"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Form of Certificates</w:t>
      </w:r>
      <w:r>
        <w:rPr>
          <w:rFonts w:ascii="Arial" w:cs="Arial" w:eastAsia="Arial" w:hAnsi="Arial"/>
          <w:sz w:val="18"/>
          <w:szCs w:val="18"/>
          <w:color w:val="auto"/>
        </w:rPr>
        <w:t>. Every holder of stock in the Corporation shall be entitled to have a certificate signed, in the name of the Corporation (i) by the President or a Vice President and (ii) by the Secretary or an Assistant Secretary of the Corporation, certifying the number of shares owned by such holder of stock in the Corporation.</w:t>
      </w:r>
    </w:p>
    <w:p>
      <w:pPr>
        <w:spacing w:after="0" w:line="73"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Signatures</w:t>
      </w:r>
      <w:r>
        <w:rPr>
          <w:rFonts w:ascii="Arial" w:cs="Arial" w:eastAsia="Arial" w:hAnsi="Arial"/>
          <w:sz w:val="16"/>
          <w:szCs w:val="16"/>
          <w:color w:val="auto"/>
        </w:rPr>
        <w:t>. Where a certificate is countersigned by (i) a transfer agent other than the Corporation or its employee, or (ii)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46"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7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Transfers</w:t>
      </w:r>
      <w:r>
        <w:rPr>
          <w:rFonts w:ascii="Arial" w:cs="Arial" w:eastAsia="Arial" w:hAnsi="Arial"/>
          <w:sz w:val="18"/>
          <w:szCs w:val="18"/>
          <w:color w:val="auto"/>
        </w:rPr>
        <w:t>.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canceled before a new certificate shall be issued.</w:t>
      </w:r>
    </w:p>
    <w:p>
      <w:pPr>
        <w:spacing w:after="0" w:line="73"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Record Date</w:t>
      </w:r>
      <w:r>
        <w:rPr>
          <w:rFonts w:ascii="Arial" w:cs="Arial" w:eastAsia="Arial" w:hAnsi="Arial"/>
          <w:sz w:val="17"/>
          <w:szCs w:val="17"/>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days nor less than ten (10) days before the date of such</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1" w:name="page42"/>
    <w:bookmarkEnd w:id="41"/>
    <w:p>
      <w:pPr>
        <w:jc w:val="both"/>
        <w:ind w:right="420"/>
        <w:spacing w:after="0" w:line="264" w:lineRule="auto"/>
        <w:rPr>
          <w:sz w:val="20"/>
          <w:szCs w:val="20"/>
          <w:color w:val="auto"/>
        </w:rPr>
      </w:pPr>
      <w:r>
        <w:rPr>
          <w:rFonts w:ascii="Arial" w:cs="Arial" w:eastAsia="Arial" w:hAnsi="Arial"/>
          <w:sz w:val="18"/>
          <w:szCs w:val="18"/>
          <w:color w:val="auto"/>
        </w:rPr>
        <w:t>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7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Beneficial Owners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NOTICES</w:t>
      </w:r>
    </w:p>
    <w:p>
      <w:pPr>
        <w:spacing w:after="0" w:line="103"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Notices</w:t>
      </w:r>
      <w:r>
        <w:rPr>
          <w:rFonts w:ascii="Arial" w:cs="Arial" w:eastAsia="Arial" w:hAnsi="Arial"/>
          <w:sz w:val="16"/>
          <w:szCs w:val="16"/>
          <w:color w:val="auto"/>
        </w:rPr>
        <w:t>. Whenever written notice is required by law, the Corporation’s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electronic facsimile, telegram, telex or cable.</w:t>
      </w:r>
    </w:p>
    <w:p>
      <w:pPr>
        <w:spacing w:after="0" w:line="46"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Waivers of Notice</w:t>
      </w:r>
      <w:r>
        <w:rPr>
          <w:rFonts w:ascii="Arial" w:cs="Arial" w:eastAsia="Arial" w:hAnsi="Arial"/>
          <w:sz w:val="18"/>
          <w:szCs w:val="18"/>
          <w:color w:val="auto"/>
        </w:rPr>
        <w:t>. Whenever any notice is required by law, the Corporation’s Certificate of Incorporation or these By-laws, to be given to any director, member of a committee or stockholder, a waiver thereof in writing, signed, by the person or persons entitled to said notice, whether before or after the time stated therein, shall be deemed equivalent thereto.</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10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Dividends</w:t>
      </w:r>
      <w:r>
        <w:rPr>
          <w:rFonts w:ascii="Arial" w:cs="Arial" w:eastAsia="Arial" w:hAnsi="Arial"/>
          <w:sz w:val="17"/>
          <w:szCs w:val="17"/>
          <w:color w:val="auto"/>
        </w:rPr>
        <w:t>. Dividends upon the capital stock of the Corporation, subject to the provisions of the Corporation’s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64"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Disbursements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ind w:left="240"/>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resolution of the Board of Directors.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 Seal</w:t>
      </w:r>
      <w:r>
        <w:rPr>
          <w:rFonts w:ascii="Arial" w:cs="Arial" w:eastAsia="Arial" w:hAnsi="Arial"/>
          <w:sz w:val="18"/>
          <w:szCs w:val="18"/>
          <w:color w:val="auto"/>
        </w:rPr>
        <w:t>. The corporate seal, if there shall be one, shall be in such form as the Board of Directors may prescribe.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w:t>
      </w:r>
    </w:p>
    <w:p>
      <w:pPr>
        <w:spacing w:after="0" w:line="103"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Power to Indemnify in Actions, Suits or Proceedings Other than Those by or in the Right of the Corporation</w:t>
      </w:r>
      <w:r>
        <w:rPr>
          <w:rFonts w:ascii="Arial" w:cs="Arial" w:eastAsia="Arial" w:hAnsi="Arial"/>
          <w:sz w:val="16"/>
          <w:szCs w:val="16"/>
          <w:color w:val="auto"/>
        </w:rPr>
        <w:t xml:space="preserve">. Subject to Section 3 of this Article VIII,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serving at the request of the Corporation as a director,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such person did not act in good faith and in a manner which such person reasonably believed to be in or not opposed to the best interests of the Corporation, and, with respect to any criminal action or proceeding, had reasonable cause to believe that his conduct was unlawful.</w:t>
      </w:r>
    </w:p>
    <w:p>
      <w:pPr>
        <w:spacing w:after="0" w:line="65"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Power to Indemnify in Actions, Suits or Proceedings by or in the Right of the Corporation</w:t>
      </w:r>
      <w:r>
        <w:rPr>
          <w:rFonts w:ascii="Arial" w:cs="Arial" w:eastAsia="Arial" w:hAnsi="Arial"/>
          <w:sz w:val="16"/>
          <w:szCs w:val="16"/>
          <w:color w:val="auto"/>
        </w:rPr>
        <w:t>. Subject to Section 3 of this Article VIII,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3" w:name="page44"/>
    <w:bookmarkEnd w:id="43"/>
    <w:p>
      <w:pPr>
        <w:ind w:right="20" w:firstLine="225"/>
        <w:spacing w:after="0" w:line="271" w:lineRule="auto"/>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Authorization of Indemnification</w:t>
      </w:r>
      <w:r>
        <w:rPr>
          <w:rFonts w:ascii="Arial" w:cs="Arial" w:eastAsia="Arial" w:hAnsi="Arial"/>
          <w:sz w:val="17"/>
          <w:szCs w:val="17"/>
          <w:color w:val="auto"/>
        </w:rPr>
        <w:t>. Any indemnification under this Article VIII (unless ordered by a court) shall be made by the Corporation only as authorized in the specific case upon a determination that indemnification of the director or officer is proper in the circumstances because such person has met the applicable standard of conduct set forth in Section 1 or Section 2 of this Article VIII, as the case may be. Such determination shall be made (i) by the Board of Directors by a majority vote of the directors who are not parties to such action, suit or proceeding, even though less than a quorum, or (ii) if there are no such directors or if such directors so direct, by independent legal counsel in a written opinion, or (iii) by the stockholders. To the extent, however, that a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him in connection therewith, without the necessity of authorization in the specific case.</w:t>
      </w:r>
    </w:p>
    <w:p>
      <w:pPr>
        <w:spacing w:after="0" w:line="71" w:lineRule="exact"/>
        <w:rPr>
          <w:sz w:val="20"/>
          <w:szCs w:val="20"/>
          <w:color w:val="auto"/>
        </w:rPr>
      </w:pPr>
    </w:p>
    <w:p>
      <w:pPr>
        <w:ind w:right="140" w:firstLine="225"/>
        <w:spacing w:after="0" w:line="269" w:lineRule="auto"/>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Good Faith Defined</w:t>
      </w:r>
      <w:r>
        <w:rPr>
          <w:rFonts w:ascii="Arial" w:cs="Arial" w:eastAsia="Arial" w:hAnsi="Arial"/>
          <w:sz w:val="17"/>
          <w:szCs w:val="17"/>
          <w:color w:val="auto"/>
        </w:rPr>
        <w:t>. For purposes of any determination under Section 3 of this Article VIII,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Section 4 of this Article VIII shall mean any other corporation or any partnership, joint venture, trust, employee benefit plan or other enterprise of which such person is or was serving at the request of the Corporation as a director, officer, employee or agent. The provisions of this Section 4 of this Article VIII shall not be deemed to be exclusive or to limit in any way the circumstances in which a person may be deemed to have met the applicable standard of conduct set forth in Section 1 or Section 2 of this Article VIII, as the case may be.</w:t>
      </w:r>
    </w:p>
    <w:p>
      <w:pPr>
        <w:spacing w:after="0" w:line="75"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Indemnification by a Court</w:t>
      </w:r>
      <w:r>
        <w:rPr>
          <w:rFonts w:ascii="Arial" w:cs="Arial" w:eastAsia="Arial" w:hAnsi="Arial"/>
          <w:sz w:val="16"/>
          <w:szCs w:val="16"/>
          <w:color w:val="auto"/>
        </w:rPr>
        <w:t>. Notwithstanding any contrary determination in the specific case under Section 3 of this Article VIII, and notwithstanding the absence of any determination thereunder, any director or officer may apply to any court of competent jurisdiction in the State of Delaware for indemnification to the extent otherwise permissible under Sections 1 and 2 of this Article VIII. The basis of such indemnification by a court shall be a determination by such court that indemnification of the director or officer is proper in the circumstances because such person has met the applicable standards of conduct set forth in Section 1 or Section 2 of this Article VIII, as the case may be. Neither a contrary determination in the specific case under Section 3 of this Article VIII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5 of this Article VIII shall be given to the Corporation promptly upon the filing of such application. If successful, in whole or in part,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director or officer seeking indemnification shall also be entitled to be paid the expense of prosecuting such application.</w:t>
      </w:r>
    </w:p>
    <w:p>
      <w:pPr>
        <w:spacing w:after="0" w:line="117"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Expenses Payable in Advance</w:t>
      </w:r>
      <w:r>
        <w:rPr>
          <w:rFonts w:ascii="Arial" w:cs="Arial" w:eastAsia="Arial" w:hAnsi="Arial"/>
          <w:sz w:val="16"/>
          <w:szCs w:val="16"/>
          <w:color w:val="auto"/>
        </w:rPr>
        <w:t>. Expenses incurred by a director or officer in defending or investigating a threatened or pending action, suit or proceeding may be required by the Board of Directors to be paid (upon such terms and conditions, if any, as the Board deems appropriate)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VIII.</w:t>
      </w:r>
    </w:p>
    <w:p>
      <w:pPr>
        <w:spacing w:after="0" w:line="46"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Nonexclusivity of Indemnification and Advancement of Expenses</w:t>
      </w:r>
      <w:r>
        <w:rPr>
          <w:rFonts w:ascii="Arial" w:cs="Arial" w:eastAsia="Arial" w:hAnsi="Arial"/>
          <w:sz w:val="18"/>
          <w:szCs w:val="18"/>
          <w:color w:val="auto"/>
        </w:rPr>
        <w:t>. The indemnification and advancement of expenses provided by, or granted pursuant to, this Article VIII shall not be deemed exclusive of any other rights to which those seeking indemnification or advancement of expenses may be entitled under any By-Law, agreement, contract, vote of stockholders or disinterested directors or pursuant to the direction (howsoever embodied) of any court of competent jurisdiction or otherwise, both as to action in a person’s official capacity and as to action in another capacity while holding such office, it being the policy of the Corporation that indemnification of the persons specified in Sections 1 and 2 of this Article VIII shall be made to the fullest extent permitted by law. The provisions of this Article VIII shall not be deemed to preclude the indemnification of any person who is not specified in Section 1 of Section 2 of this Article VIII but whom the Corporation has the power or obligation to indemnify under the provisions of the General Corporation Law of the State of Delaware, or otherwise.</w:t>
      </w:r>
    </w:p>
    <w:p>
      <w:pPr>
        <w:spacing w:after="0" w:line="8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or officer of the Corporation, or is or was serving at the request of the Corporation as a director, officer, employee or agent of another corporation, partnership, joint venture, trust, employee benefit plan or other enterprise against any liability asserted against such person and incurred by him in any such capacity, or arising out of such person’s status as such, whether or not the Corporation would have the power or the obligation to indemnify such person against such liability under the provisions of this Article VIII.</w:t>
      </w:r>
    </w:p>
    <w:p>
      <w:pPr>
        <w:spacing w:after="0" w:line="80"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Article VIII,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and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Article VIII with respect to the resulting or surviving corporation as such indemnification relates to such person’s acts while serving in any of the foregoing capacities, of such constituent corporation, as such person would have with respect to such constituent corporation if its separate existence had continued. For purposes of this Article VIII, references to “fines” shall include any excise taxes assessed on a person with respect to an employee benefit plan; and references to “serving at the request of the Corporation”</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5" w:name="page46"/>
    <w:bookmarkEnd w:id="45"/>
    <w:p>
      <w:pPr>
        <w:spacing w:after="0" w:line="259" w:lineRule="auto"/>
        <w:rPr>
          <w:sz w:val="20"/>
          <w:szCs w:val="20"/>
          <w:color w:val="auto"/>
        </w:rPr>
      </w:pPr>
      <w:r>
        <w:rPr>
          <w:rFonts w:ascii="Arial" w:cs="Arial" w:eastAsia="Arial" w:hAnsi="Arial"/>
          <w:sz w:val="18"/>
          <w:szCs w:val="18"/>
          <w:color w:val="auto"/>
        </w:rPr>
        <w:t>shall include any service as a director or officer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VIII.</w:t>
      </w:r>
    </w:p>
    <w:p>
      <w:pPr>
        <w:spacing w:after="0" w:line="79"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Limitation on Indemnification</w:t>
      </w:r>
      <w:r>
        <w:rPr>
          <w:rFonts w:ascii="Arial" w:cs="Arial" w:eastAsia="Arial" w:hAnsi="Arial"/>
          <w:sz w:val="18"/>
          <w:szCs w:val="18"/>
          <w:color w:val="auto"/>
        </w:rPr>
        <w:t>. Notwithstanding anything contained in this Article VIII to the contrary, except for proceedings to enforce rights to indemnification (which shall be governed by Section 5 of this Article VIII), the Corporation shall not be obligated to indemnify any director or officer in connection with a proceeding (or part thereof) initiated by such person unless such proceeding (or part thereof) was authorized or consented to by the Board of Directors of the Corporation.</w:t>
      </w:r>
    </w:p>
    <w:p>
      <w:pPr>
        <w:spacing w:after="0" w:line="79"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The Corporation may, to the extent authorized from time to time by the Board of Directors, provide rights to indemnification and to the advancement of expenses to employees and agents of the Corporation similar to those conferred in this Article VIII to directors and officers of the Corporation.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w:t>
      </w:r>
    </w:p>
    <w:p>
      <w:pPr>
        <w:spacing w:after="0" w:line="103"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Except as otherwise provided in the Corporation’s Certificate of Incorporation, these By-laws may be altered, amended or repealed, in whole or in part, or new By-laws may be adopted by the stockholders or by the Board of Directors, provided, however, that notice of such alteration, amendment, repeal or adoption of new By-laws be contained in the notice of such meeting of stockholders or Board of Directors as the case may be. Except as otherwise provided in the Corporation’s Certificate of Incorporation, all such amendments must be approved by either the holders of a majority of the outstanding capital stock entitled to vote thereon or by a majority of the entire Board of Directors then in office.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935" w:right="239" w:bottom="1440" w:gutter="0" w:footer="0" w:header="0"/>
        </w:sectPr>
      </w:pPr>
    </w:p>
    <w:bookmarkStart w:id="46" w:name="page47"/>
    <w:bookmarkEnd w:id="46"/>
    <w:p>
      <w:pPr>
        <w:ind w:left="93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238125</wp:posOffset>
            </wp:positionV>
            <wp:extent cx="7250430" cy="45554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4555490"/>
                    </a:xfrm>
                    <a:prstGeom prst="rect">
                      <a:avLst/>
                    </a:prstGeom>
                    <a:noFill/>
                  </pic:spPr>
                </pic:pic>
              </a:graphicData>
            </a:graphic>
          </wp:anchor>
        </w:drawing>
      </w:r>
    </w:p>
    <w:p>
      <w:pPr>
        <w:sectPr>
          <w:pgSz w:w="11900" w:h="16838" w:orient="portrait"/>
          <w:cols w:equalWidth="0" w:num="1">
            <w:col w:w="10220"/>
          </w:cols>
          <w:pgMar w:left="1440" w:top="959" w:right="239" w:bottom="1440" w:gutter="0" w:footer="0" w:header="0"/>
        </w:sectPr>
      </w:pPr>
    </w:p>
    <w:bookmarkStart w:id="47" w:name="page48"/>
    <w:bookmarkEnd w:id="47"/>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3013075</wp:posOffset>
            </wp:positionH>
            <wp:positionV relativeFrom="page">
              <wp:posOffset>620395</wp:posOffset>
            </wp:positionV>
            <wp:extent cx="1543685" cy="454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543685" cy="454660"/>
                    </a:xfrm>
                    <a:prstGeom prst="rect">
                      <a:avLst/>
                    </a:prstGeom>
                    <a:noFill/>
                  </pic:spPr>
                </pic:pic>
              </a:graphicData>
            </a:graphic>
          </wp:anchor>
        </w:drawing>
      </w:r>
    </w:p>
    <w:p>
      <w:pPr>
        <w:ind w:right="80" w:firstLine="222"/>
        <w:spacing w:after="0" w:line="264" w:lineRule="auto"/>
        <w:rPr>
          <w:sz w:val="20"/>
          <w:szCs w:val="20"/>
          <w:color w:val="auto"/>
        </w:rPr>
      </w:pPr>
      <w:r>
        <w:rPr>
          <w:rFonts w:ascii="Arial" w:cs="Arial" w:eastAsia="Arial" w:hAnsi="Arial"/>
          <w:sz w:val="18"/>
          <w:szCs w:val="18"/>
          <w:color w:val="auto"/>
        </w:rPr>
        <w:t>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Such requests may be made to the Corporation’s Secretary at the principal office of the Corporation.</w:t>
      </w:r>
    </w:p>
    <w:p>
      <w:pPr>
        <w:spacing w:after="0" w:line="73"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TEN COM</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 as tenants in common</w:t>
            </w:r>
          </w:p>
        </w:tc>
        <w:tc>
          <w:tcPr>
            <w:tcW w:w="3660" w:type="dxa"/>
            <w:vAlign w:val="bottom"/>
            <w:gridSpan w:val="3"/>
          </w:tcPr>
          <w:p>
            <w:pPr>
              <w:ind w:left="1100"/>
              <w:spacing w:after="0"/>
              <w:rPr>
                <w:sz w:val="20"/>
                <w:szCs w:val="20"/>
                <w:color w:val="auto"/>
              </w:rPr>
            </w:pPr>
            <w:r>
              <w:rPr>
                <w:rFonts w:ascii="Arial" w:cs="Arial" w:eastAsia="Arial" w:hAnsi="Arial"/>
                <w:sz w:val="18"/>
                <w:szCs w:val="18"/>
                <w:color w:val="auto"/>
              </w:rPr>
              <w:t>UNIF GIFT MIN ACT-</w:t>
            </w:r>
          </w:p>
        </w:tc>
        <w:tc>
          <w:tcPr>
            <w:tcW w:w="1780" w:type="dxa"/>
            <w:vAlign w:val="bottom"/>
            <w:gridSpan w:val="4"/>
          </w:tcPr>
          <w:p>
            <w:pPr>
              <w:ind w:left="160"/>
              <w:spacing w:after="0"/>
              <w:rPr>
                <w:sz w:val="20"/>
                <w:szCs w:val="20"/>
                <w:color w:val="auto"/>
              </w:rPr>
            </w:pPr>
            <w:r>
              <w:rPr>
                <w:rFonts w:ascii="Arial" w:cs="Arial" w:eastAsia="Arial" w:hAnsi="Arial"/>
                <w:sz w:val="18"/>
                <w:szCs w:val="18"/>
                <w:color w:val="auto"/>
              </w:rPr>
              <w:t>Custodian</w:t>
            </w: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TEN ENT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440" w:type="dxa"/>
            <w:vAlign w:val="bottom"/>
          </w:tcPr>
          <w:p>
            <w:pPr>
              <w:ind w:left="60"/>
              <w:spacing w:after="0"/>
              <w:rPr>
                <w:sz w:val="20"/>
                <w:szCs w:val="20"/>
                <w:color w:val="auto"/>
              </w:rPr>
            </w:pPr>
            <w:r>
              <w:rPr>
                <w:rFonts w:ascii="Arial" w:cs="Arial" w:eastAsia="Arial" w:hAnsi="Arial"/>
                <w:sz w:val="18"/>
                <w:szCs w:val="18"/>
                <w:color w:val="auto"/>
              </w:rPr>
              <w:t>as tenants by the entireties</w:t>
            </w:r>
          </w:p>
        </w:tc>
        <w:tc>
          <w:tcPr>
            <w:tcW w:w="2920" w:type="dxa"/>
            <w:vAlign w:val="bottom"/>
          </w:tcPr>
          <w:p>
            <w:pPr>
              <w:spacing w:after="0"/>
              <w:rPr>
                <w:sz w:val="19"/>
                <w:szCs w:val="19"/>
                <w:color w:val="auto"/>
              </w:rPr>
            </w:pPr>
          </w:p>
        </w:tc>
        <w:tc>
          <w:tcPr>
            <w:tcW w:w="7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(Cust)</w:t>
            </w:r>
          </w:p>
        </w:tc>
        <w:tc>
          <w:tcPr>
            <w:tcW w:w="1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(Minor)</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JT TEN</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440" w:type="dxa"/>
            <w:vAlign w:val="bottom"/>
          </w:tcPr>
          <w:p>
            <w:pPr>
              <w:ind w:left="60"/>
              <w:spacing w:after="0"/>
              <w:rPr>
                <w:sz w:val="20"/>
                <w:szCs w:val="20"/>
                <w:color w:val="auto"/>
              </w:rPr>
            </w:pPr>
            <w:r>
              <w:rPr>
                <w:rFonts w:ascii="Arial" w:cs="Arial" w:eastAsia="Arial" w:hAnsi="Arial"/>
                <w:sz w:val="18"/>
                <w:szCs w:val="18"/>
                <w:color w:val="auto"/>
              </w:rPr>
              <w:t>as joint tenants with right of survivorship and</w:t>
            </w:r>
          </w:p>
        </w:tc>
        <w:tc>
          <w:tcPr>
            <w:tcW w:w="2920" w:type="dxa"/>
            <w:vAlign w:val="bottom"/>
          </w:tcPr>
          <w:p>
            <w:pPr>
              <w:spacing w:after="0"/>
              <w:rPr>
                <w:sz w:val="18"/>
                <w:szCs w:val="18"/>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auto"/>
              </w:rPr>
              <w:t>under Uniform Gifts to Minors</w:t>
            </w:r>
          </w:p>
        </w:tc>
      </w:tr>
      <w:tr>
        <w:trPr>
          <w:trHeight w:val="190"/>
        </w:trPr>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40" w:type="dxa"/>
            <w:vAlign w:val="bottom"/>
          </w:tcPr>
          <w:p>
            <w:pPr>
              <w:ind w:left="60"/>
              <w:spacing w:after="0" w:line="190" w:lineRule="exact"/>
              <w:rPr>
                <w:sz w:val="20"/>
                <w:szCs w:val="20"/>
                <w:color w:val="auto"/>
              </w:rPr>
            </w:pPr>
            <w:r>
              <w:rPr>
                <w:rFonts w:ascii="Arial" w:cs="Arial" w:eastAsia="Arial" w:hAnsi="Arial"/>
                <w:sz w:val="18"/>
                <w:szCs w:val="18"/>
                <w:color w:val="auto"/>
              </w:rPr>
              <w:t>not as tenants in common</w:t>
            </w:r>
          </w:p>
        </w:tc>
        <w:tc>
          <w:tcPr>
            <w:tcW w:w="2920" w:type="dxa"/>
            <w:vAlign w:val="bottom"/>
          </w:tcPr>
          <w:p>
            <w:pPr>
              <w:spacing w:after="0"/>
              <w:rPr>
                <w:sz w:val="16"/>
                <w:szCs w:val="16"/>
                <w:color w:val="auto"/>
              </w:rPr>
            </w:pPr>
          </w:p>
        </w:tc>
        <w:tc>
          <w:tcPr>
            <w:tcW w:w="260" w:type="dxa"/>
            <w:vAlign w:val="bottom"/>
          </w:tcPr>
          <w:p>
            <w:pPr>
              <w:spacing w:after="0" w:line="190" w:lineRule="exact"/>
              <w:rPr>
                <w:sz w:val="20"/>
                <w:szCs w:val="20"/>
                <w:color w:val="auto"/>
              </w:rPr>
            </w:pPr>
            <w:r>
              <w:rPr>
                <w:rFonts w:ascii="Arial" w:cs="Arial" w:eastAsia="Arial" w:hAnsi="Arial"/>
                <w:sz w:val="18"/>
                <w:szCs w:val="18"/>
                <w:color w:val="auto"/>
                <w:w w:val="92"/>
              </w:rPr>
              <w:t>Act</w:t>
            </w: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7"/>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180"/>
              <w:spacing w:after="0"/>
              <w:rPr>
                <w:sz w:val="20"/>
                <w:szCs w:val="20"/>
                <w:color w:val="auto"/>
              </w:rPr>
            </w:pPr>
            <w:r>
              <w:rPr>
                <w:rFonts w:ascii="Arial" w:cs="Arial" w:eastAsia="Arial" w:hAnsi="Arial"/>
                <w:sz w:val="18"/>
                <w:szCs w:val="18"/>
                <w:color w:val="auto"/>
              </w:rPr>
              <w:t>(State)</w:t>
            </w:r>
          </w:p>
        </w:tc>
      </w:tr>
    </w:tbl>
    <w:p>
      <w:pPr>
        <w:spacing w:after="0" w:line="310"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17" w:lineRule="exact"/>
        <w:rPr>
          <w:sz w:val="20"/>
          <w:szCs w:val="20"/>
          <w:color w:val="auto"/>
        </w:rPr>
      </w:pPr>
    </w:p>
    <w:p>
      <w:pPr>
        <w:ind w:left="240"/>
        <w:spacing w:after="0"/>
        <w:tabs>
          <w:tab w:leader="none" w:pos="438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 assign a 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-10160</wp:posOffset>
            </wp:positionV>
            <wp:extent cx="1714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5" w:lineRule="exact"/>
        <w:rPr>
          <w:sz w:val="20"/>
          <w:szCs w:val="20"/>
          <w:color w:val="auto"/>
        </w:rPr>
      </w:pPr>
    </w:p>
    <w:p>
      <w:pPr>
        <w:jc w:val="center"/>
        <w:ind w:right="7920"/>
        <w:spacing w:after="0"/>
        <w:rPr>
          <w:sz w:val="20"/>
          <w:szCs w:val="20"/>
          <w:color w:val="auto"/>
        </w:rPr>
      </w:pPr>
      <w:r>
        <w:rPr>
          <w:rFonts w:ascii="Arial" w:cs="Arial" w:eastAsia="Arial" w:hAnsi="Arial"/>
          <w:sz w:val="18"/>
          <w:szCs w:val="18"/>
          <w:color w:val="auto"/>
        </w:rPr>
        <w:t>PLEASE INSERT SOCIAL SECURITY OR</w:t>
      </w:r>
    </w:p>
    <w:p>
      <w:pPr>
        <w:spacing w:after="0" w:line="23" w:lineRule="exact"/>
        <w:rPr>
          <w:sz w:val="20"/>
          <w:szCs w:val="20"/>
          <w:color w:val="auto"/>
        </w:rPr>
      </w:pPr>
    </w:p>
    <w:p>
      <w:pPr>
        <w:jc w:val="center"/>
        <w:ind w:right="792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jc w:val="center"/>
        <w:ind w:right="7920"/>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19519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95195" cy="16319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494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 the Stock represented by the within Certificate and do hereby irrevocably constitute and appoint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494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 transfer the said stock on the books of the within-named Corporation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-10160</wp:posOffset>
            </wp:positionV>
            <wp:extent cx="11430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14605</wp:posOffset>
            </wp:positionV>
            <wp:extent cx="22898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NOTICE:</w:t>
      </w:r>
    </w:p>
    <w:p>
      <w:pPr>
        <w:ind w:left="3120"/>
        <w:spacing w:after="0" w:line="182" w:lineRule="auto"/>
        <w:tabs>
          <w:tab w:leader="none" w:pos="7140" w:val="left"/>
        </w:tabs>
        <w:rPr>
          <w:sz w:val="20"/>
          <w:szCs w:val="20"/>
          <w:color w:val="auto"/>
        </w:rPr>
      </w:pPr>
      <w:r>
        <w:rPr>
          <w:rFonts w:ascii="Arial" w:cs="Arial" w:eastAsia="Arial" w:hAnsi="Arial"/>
          <w:sz w:val="18"/>
          <w:szCs w:val="18"/>
          <w:color w:val="auto"/>
        </w:rPr>
        <w:t>THE SIGNATURE(S) TO THIS ASSIGNMENT</w:t>
      </w:r>
      <w:r>
        <w:rPr>
          <w:sz w:val="20"/>
          <w:szCs w:val="20"/>
          <w:color w:val="auto"/>
        </w:rPr>
        <w:tab/>
      </w:r>
      <w:r>
        <w:rPr>
          <w:rFonts w:ascii="Arial" w:cs="Arial" w:eastAsia="Arial" w:hAnsi="Arial"/>
          <w:sz w:val="26"/>
          <w:szCs w:val="26"/>
          <w:color w:val="auto"/>
          <w:vertAlign w:val="subscript"/>
        </w:rPr>
        <w:t>®</w:t>
      </w:r>
    </w:p>
    <w:p>
      <w:pPr>
        <w:ind w:left="3120"/>
        <w:spacing w:after="0"/>
        <w:rPr>
          <w:sz w:val="20"/>
          <w:szCs w:val="20"/>
          <w:color w:val="auto"/>
        </w:rPr>
      </w:pPr>
      <w:r>
        <w:rPr>
          <w:rFonts w:ascii="Arial" w:cs="Arial" w:eastAsia="Arial" w:hAnsi="Arial"/>
          <w:sz w:val="18"/>
          <w:szCs w:val="18"/>
          <w:color w:val="auto"/>
        </w:rPr>
        <w:t>MUST CORRESPOND WITH THE NAME(S) AS</w:t>
      </w:r>
    </w:p>
    <w:p>
      <w:pPr>
        <w:spacing w:after="0" w:line="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WRITTEN UPON THE FACE OF THE</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CERTIFICATE IN EVERY PARTICULAR WITHOUT</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ALTERATION OR ENLARGEMENT OR ANY</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CHANGE WHATEVER</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5715</wp:posOffset>
            </wp:positionV>
            <wp:extent cx="22898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152400</wp:posOffset>
            </wp:positionV>
            <wp:extent cx="2504440" cy="1414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04440" cy="1414780"/>
                    </a:xfrm>
                    <a:prstGeom prst="rect">
                      <a:avLst/>
                    </a:prstGeom>
                    <a:noFill/>
                  </pic:spPr>
                </pic:pic>
              </a:graphicData>
            </a:graphic>
          </wp:anchor>
        </w:drawing>
      </w:r>
    </w:p>
    <w:p>
      <w:pPr>
        <w:spacing w:after="0" w:line="23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THE SIGNATURE(S) SHOULD BE</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GUARANTEED BY AN ELIGIBLE</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GUARANTOR-INSTITUTION (BANKS,</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STOCKBROKERS, SAVINGS AND LOAN</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ASSOCIATIONS CREDIT UNIONS WITH</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MEMBERSHIP IN AN APPROVED</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SIGNATURE GUARANTEE MEDALLION</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PROGRAM), PURSUANT TO S.E.C. 17Ad -15</w:t>
      </w:r>
    </w:p>
    <w:p>
      <w:pPr>
        <w:spacing w:after="0" w:line="2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SIGNATURE(S) GUARANTEED BY:</w:t>
      </w:r>
    </w:p>
    <w:p>
      <w:pPr>
        <w:sectPr>
          <w:pgSz w:w="11900" w:h="16838" w:orient="portrait"/>
          <w:cols w:equalWidth="0" w:num="1">
            <w:col w:w="11420"/>
          </w:cols>
          <w:pgMar w:left="240" w:top="144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5.1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WM]</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22,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 and Waste Management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September 22, 2006)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 am Vice President and Assistant General Counsel of Waste Management, Inc., a Delaware corporation (“</w:t>
      </w:r>
      <w:r>
        <w:rPr>
          <w:rFonts w:ascii="Arial" w:cs="Arial" w:eastAsia="Arial" w:hAnsi="Arial"/>
          <w:sz w:val="16"/>
          <w:szCs w:val="16"/>
          <w:i w:val="1"/>
          <w:iCs w:val="1"/>
          <w:color w:val="auto"/>
        </w:rPr>
        <w:t>WMI</w:t>
      </w:r>
      <w:r>
        <w:rPr>
          <w:rFonts w:ascii="Arial" w:cs="Arial" w:eastAsia="Arial" w:hAnsi="Arial"/>
          <w:sz w:val="16"/>
          <w:szCs w:val="16"/>
          <w:color w:val="auto"/>
        </w:rPr>
        <w:t>”) and of Waste Management Holdings,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 a Delaware corporation (“</w:t>
      </w:r>
      <w:r>
        <w:rPr>
          <w:rFonts w:ascii="Arial" w:cs="Arial" w:eastAsia="Arial" w:hAnsi="Arial"/>
          <w:sz w:val="17"/>
          <w:szCs w:val="17"/>
          <w:i w:val="1"/>
          <w:iCs w:val="1"/>
          <w:color w:val="auto"/>
        </w:rPr>
        <w:t>Holdings</w:t>
      </w:r>
      <w:r>
        <w:rPr>
          <w:rFonts w:ascii="Arial" w:cs="Arial" w:eastAsia="Arial" w:hAnsi="Arial"/>
          <w:sz w:val="17"/>
          <w:szCs w:val="17"/>
          <w:color w:val="auto"/>
        </w:rPr>
        <w:t>”), and as such I am delivering this opinion in connection with the preparation and filing with the Securities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i w:val="1"/>
          <w:iCs w:val="1"/>
          <w:color w:val="auto"/>
        </w:rPr>
        <w:t>Act</w:t>
      </w:r>
      <w:r>
        <w:rPr>
          <w:rFonts w:ascii="Arial" w:cs="Arial" w:eastAsia="Arial" w:hAnsi="Arial"/>
          <w:sz w:val="16"/>
          <w:szCs w:val="16"/>
          <w:color w:val="auto"/>
        </w:rPr>
        <w:t>”), of a Registration Statement (filed September 22,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Form S-3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The Registration Statement relates to (</w:t>
      </w:r>
      <w:r>
        <w:rPr>
          <w:rFonts w:ascii="Arial" w:cs="Arial" w:eastAsia="Arial" w:hAnsi="Arial"/>
          <w:sz w:val="16"/>
          <w:szCs w:val="16"/>
          <w:i w:val="1"/>
          <w:iCs w:val="1"/>
          <w:color w:val="auto"/>
        </w:rPr>
        <w:t>a</w:t>
      </w:r>
      <w:r>
        <w:rPr>
          <w:rFonts w:ascii="Arial" w:cs="Arial" w:eastAsia="Arial" w:hAnsi="Arial"/>
          <w:sz w:val="16"/>
          <w:szCs w:val="16"/>
          <w:color w:val="auto"/>
        </w:rPr>
        <w:t>) securities of WMI (the “</w:t>
      </w:r>
      <w:r>
        <w:rPr>
          <w:rFonts w:ascii="Arial" w:cs="Arial" w:eastAsia="Arial" w:hAnsi="Arial"/>
          <w:sz w:val="16"/>
          <w:szCs w:val="16"/>
          <w:i w:val="1"/>
          <w:iCs w:val="1"/>
          <w:color w:val="auto"/>
        </w:rPr>
        <w:t>WMI Securities</w:t>
      </w:r>
      <w:r>
        <w:rPr>
          <w:rFonts w:ascii="Arial" w:cs="Arial" w:eastAsia="Arial" w:hAnsi="Arial"/>
          <w:sz w:val="16"/>
          <w:szCs w:val="16"/>
          <w:color w:val="auto"/>
        </w:rPr>
        <w:t>”), including (</w:t>
      </w:r>
      <w:r>
        <w:rPr>
          <w:rFonts w:ascii="Arial" w:cs="Arial" w:eastAsia="Arial" w:hAnsi="Arial"/>
          <w:sz w:val="16"/>
          <w:szCs w:val="16"/>
          <w:i w:val="1"/>
          <w:iCs w:val="1"/>
          <w:color w:val="auto"/>
        </w:rPr>
        <w:t>i</w:t>
      </w:r>
      <w:r>
        <w:rPr>
          <w:rFonts w:ascii="Arial" w:cs="Arial" w:eastAsia="Arial" w:hAnsi="Arial"/>
          <w:sz w:val="16"/>
          <w:szCs w:val="16"/>
          <w:color w:val="auto"/>
        </w:rPr>
        <w:t>)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WMI (“</w:t>
      </w:r>
      <w:r>
        <w:rPr>
          <w:rFonts w:ascii="Arial" w:cs="Arial" w:eastAsia="Arial" w:hAnsi="Arial"/>
          <w:sz w:val="16"/>
          <w:szCs w:val="16"/>
          <w:i w:val="1"/>
          <w:iCs w:val="1"/>
          <w:color w:val="auto"/>
        </w:rPr>
        <w:t>WMI Debt Securities</w:t>
      </w:r>
      <w:r>
        <w:rPr>
          <w:rFonts w:ascii="Arial" w:cs="Arial" w:eastAsia="Arial" w:hAnsi="Arial"/>
          <w:sz w:val="16"/>
          <w:szCs w:val="16"/>
          <w:color w:val="auto"/>
        </w:rPr>
        <w:t>”); (</w:t>
      </w:r>
      <w:r>
        <w:rPr>
          <w:rFonts w:ascii="Arial" w:cs="Arial" w:eastAsia="Arial" w:hAnsi="Arial"/>
          <w:sz w:val="16"/>
          <w:szCs w:val="16"/>
          <w:i w:val="1"/>
          <w:iCs w:val="1"/>
          <w:color w:val="auto"/>
        </w:rPr>
        <w:t>ii</w:t>
      </w:r>
      <w:r>
        <w:rPr>
          <w:rFonts w:ascii="Arial" w:cs="Arial" w:eastAsia="Arial" w:hAnsi="Arial"/>
          <w:sz w:val="16"/>
          <w:szCs w:val="16"/>
          <w:color w:val="auto"/>
        </w:rPr>
        <w:t>) common stock of WMI, par value $0.01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w:t>
      </w:r>
      <w:r>
        <w:rPr>
          <w:rFonts w:ascii="Arial" w:cs="Arial" w:eastAsia="Arial" w:hAnsi="Arial"/>
          <w:sz w:val="16"/>
          <w:szCs w:val="16"/>
          <w:i w:val="1"/>
          <w:iCs w:val="1"/>
          <w:color w:val="auto"/>
        </w:rPr>
        <w:t>iii</w:t>
      </w:r>
      <w:r>
        <w:rPr>
          <w:rFonts w:ascii="Arial" w:cs="Arial" w:eastAsia="Arial" w:hAnsi="Arial"/>
          <w:sz w:val="16"/>
          <w:szCs w:val="16"/>
          <w:color w:val="auto"/>
        </w:rPr>
        <w:t>) preferred stock of WMI, par value $0.01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w:t>
      </w:r>
      <w:r>
        <w:rPr>
          <w:rFonts w:ascii="Arial" w:cs="Arial" w:eastAsia="Arial" w:hAnsi="Arial"/>
          <w:sz w:val="16"/>
          <w:szCs w:val="16"/>
          <w:i w:val="1"/>
          <w:iCs w:val="1"/>
          <w:color w:val="auto"/>
        </w:rPr>
        <w:t>Preferred Stock</w:t>
      </w:r>
      <w:r>
        <w:rPr>
          <w:rFonts w:ascii="Arial" w:cs="Arial" w:eastAsia="Arial" w:hAnsi="Arial"/>
          <w:sz w:val="16"/>
          <w:szCs w:val="16"/>
          <w:color w:val="auto"/>
        </w:rPr>
        <w:t>”); (i</w:t>
      </w:r>
      <w:r>
        <w:rPr>
          <w:rFonts w:ascii="Arial" w:cs="Arial" w:eastAsia="Arial" w:hAnsi="Arial"/>
          <w:sz w:val="16"/>
          <w:szCs w:val="16"/>
          <w:i w:val="1"/>
          <w:iCs w:val="1"/>
          <w:color w:val="auto"/>
        </w:rPr>
        <w:t>v</w:t>
      </w:r>
      <w:r>
        <w:rPr>
          <w:rFonts w:ascii="Arial" w:cs="Arial" w:eastAsia="Arial" w:hAnsi="Arial"/>
          <w:sz w:val="16"/>
          <w:szCs w:val="16"/>
          <w:color w:val="auto"/>
        </w:rPr>
        <w:t>) warrants of WMI (“</w:t>
      </w:r>
      <w:r>
        <w:rPr>
          <w:rFonts w:ascii="Arial" w:cs="Arial" w:eastAsia="Arial" w:hAnsi="Arial"/>
          <w:sz w:val="16"/>
          <w:szCs w:val="16"/>
          <w:i w:val="1"/>
          <w:iCs w:val="1"/>
          <w:color w:val="auto"/>
        </w:rPr>
        <w:t>WMI Warrants</w:t>
      </w:r>
      <w:r>
        <w:rPr>
          <w:rFonts w:ascii="Arial" w:cs="Arial" w:eastAsia="Arial" w:hAnsi="Arial"/>
          <w:sz w:val="16"/>
          <w:szCs w:val="16"/>
          <w:color w:val="auto"/>
        </w:rPr>
        <w:t>”), representing rights to purchase WMI Debt Securities, Preferred Stock, Common Stock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securities, property, or assets pursuant to one or more warrant agreements (“</w:t>
      </w:r>
      <w:r>
        <w:rPr>
          <w:rFonts w:ascii="Arial" w:cs="Arial" w:eastAsia="Arial" w:hAnsi="Arial"/>
          <w:sz w:val="16"/>
          <w:szCs w:val="16"/>
          <w:i w:val="1"/>
          <w:iCs w:val="1"/>
          <w:color w:val="auto"/>
        </w:rPr>
        <w:t>WMI Warrant Agreements</w:t>
      </w:r>
      <w:r>
        <w:rPr>
          <w:rFonts w:ascii="Arial" w:cs="Arial" w:eastAsia="Arial" w:hAnsi="Arial"/>
          <w:sz w:val="16"/>
          <w:szCs w:val="16"/>
          <w:color w:val="auto"/>
        </w:rPr>
        <w:t>”); and (</w:t>
      </w:r>
      <w:r>
        <w:rPr>
          <w:rFonts w:ascii="Arial" w:cs="Arial" w:eastAsia="Arial" w:hAnsi="Arial"/>
          <w:sz w:val="16"/>
          <w:szCs w:val="16"/>
          <w:i w:val="1"/>
          <w:iCs w:val="1"/>
          <w:color w:val="auto"/>
        </w:rPr>
        <w:t>v</w:t>
      </w:r>
      <w:r>
        <w:rPr>
          <w:rFonts w:ascii="Arial" w:cs="Arial" w:eastAsia="Arial" w:hAnsi="Arial"/>
          <w:sz w:val="16"/>
          <w:szCs w:val="16"/>
          <w:color w:val="auto"/>
        </w:rPr>
        <w:t>) units of WMI (“</w:t>
      </w:r>
      <w:r>
        <w:rPr>
          <w:rFonts w:ascii="Arial" w:cs="Arial" w:eastAsia="Arial" w:hAnsi="Arial"/>
          <w:sz w:val="16"/>
          <w:szCs w:val="16"/>
          <w:i w:val="1"/>
          <w:iCs w:val="1"/>
          <w:color w:val="auto"/>
        </w:rPr>
        <w:t>Units</w:t>
      </w:r>
      <w:r>
        <w:rPr>
          <w:rFonts w:ascii="Arial" w:cs="Arial" w:eastAsia="Arial" w:hAnsi="Arial"/>
          <w:sz w:val="16"/>
          <w:szCs w:val="16"/>
          <w:color w:val="auto"/>
        </w:rPr>
        <w:t>”) representing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rights to, ownership of, or undivided beneficial ownership interests in, WMI Debt Securities, shares of Common Stock, shares of Preferred Stock, debt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obligations of third parties or Warrants relating to any of the foregoing; and (</w:t>
      </w:r>
      <w:r>
        <w:rPr>
          <w:rFonts w:ascii="Arial" w:cs="Arial" w:eastAsia="Arial" w:hAnsi="Arial"/>
          <w:sz w:val="17"/>
          <w:szCs w:val="17"/>
          <w:i w:val="1"/>
          <w:iCs w:val="1"/>
          <w:color w:val="auto"/>
        </w:rPr>
        <w:t>b</w:t>
      </w:r>
      <w:r>
        <w:rPr>
          <w:rFonts w:ascii="Arial" w:cs="Arial" w:eastAsia="Arial" w:hAnsi="Arial"/>
          <w:sz w:val="17"/>
          <w:szCs w:val="17"/>
          <w:color w:val="auto"/>
        </w:rPr>
        <w:t>) guarantees Holdings may issue with respect to WMI Debt Securities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Holdings Guarantees,</w:t>
      </w:r>
      <w:r>
        <w:rPr>
          <w:rFonts w:ascii="Arial" w:cs="Arial" w:eastAsia="Arial" w:hAnsi="Arial"/>
          <w:sz w:val="17"/>
          <w:szCs w:val="17"/>
          <w:color w:val="auto"/>
        </w:rPr>
        <w:t>” and collectively with the WMI Securities, the "</w:t>
      </w:r>
      <w:r>
        <w:rPr>
          <w:rFonts w:ascii="Arial" w:cs="Arial" w:eastAsia="Arial" w:hAnsi="Arial"/>
          <w:sz w:val="17"/>
          <w:szCs w:val="17"/>
          <w:i w:val="1"/>
          <w:iCs w:val="1"/>
          <w:color w:val="auto"/>
        </w:rPr>
        <w:t>Securities</w:t>
      </w:r>
      <w:r>
        <w:rPr>
          <w:rFonts w:ascii="Arial" w:cs="Arial" w:eastAsia="Arial" w:hAnsi="Arial"/>
          <w:sz w:val="17"/>
          <w:szCs w:val="17"/>
          <w:color w:val="auto"/>
        </w:rPr>
        <w:t>”), all of which may be issued and sold from time to time in one or more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WMI Debt Securities may be issued and sold under either a senior indenture, dated as of September 10, 1997, between WMI and JPMorgan Chase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Bank (as successor-in-interest to Texas Commerce Bank National Association), as trustee, incorporated by reference in the Registration Statement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Exhibit 4.2 (the “</w:t>
      </w:r>
      <w:r>
        <w:rPr>
          <w:rFonts w:ascii="Arial" w:cs="Arial" w:eastAsia="Arial" w:hAnsi="Arial"/>
          <w:sz w:val="16"/>
          <w:szCs w:val="16"/>
          <w:i w:val="1"/>
          <w:iCs w:val="1"/>
          <w:color w:val="auto"/>
        </w:rPr>
        <w:t>Senior Indenture</w:t>
      </w:r>
      <w:r>
        <w:rPr>
          <w:rFonts w:ascii="Arial" w:cs="Arial" w:eastAsia="Arial" w:hAnsi="Arial"/>
          <w:sz w:val="16"/>
          <w:szCs w:val="16"/>
          <w:color w:val="auto"/>
        </w:rPr>
        <w:t>”) or a subordinated indenture dated as of February 1, 1997 between WMI and JPMorgan Chase, as trustee, incorporated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reference in the Registration Statement as Exhibit 4.3 (the “</w:t>
      </w:r>
      <w:r>
        <w:rPr>
          <w:rFonts w:ascii="Arial" w:cs="Arial" w:eastAsia="Arial" w:hAnsi="Arial"/>
          <w:sz w:val="17"/>
          <w:szCs w:val="17"/>
          <w:i w:val="1"/>
          <w:iCs w:val="1"/>
          <w:color w:val="auto"/>
        </w:rPr>
        <w:t>Subordinated Indenture</w:t>
      </w:r>
      <w:r>
        <w:rPr>
          <w:rFonts w:ascii="Arial" w:cs="Arial" w:eastAsia="Arial" w:hAnsi="Arial"/>
          <w:sz w:val="17"/>
          <w:szCs w:val="17"/>
          <w:color w:val="auto"/>
        </w:rPr>
        <w:t>” and, collectively with the Senior Indenture, the "</w:t>
      </w:r>
      <w:r>
        <w:rPr>
          <w:rFonts w:ascii="Arial" w:cs="Arial" w:eastAsia="Arial" w:hAnsi="Arial"/>
          <w:sz w:val="17"/>
          <w:szCs w:val="17"/>
          <w:i w:val="1"/>
          <w:iCs w:val="1"/>
          <w:color w:val="auto"/>
        </w:rPr>
        <w:t>Indenture</w:t>
      </w:r>
      <w:r>
        <w:rPr>
          <w:rFonts w:ascii="Arial" w:cs="Arial" w:eastAsia="Arial" w:hAnsi="Arial"/>
          <w:sz w:val="17"/>
          <w:szCs w:val="17"/>
          <w:color w:val="auto"/>
        </w:rPr>
        <w:t>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Indentures and any supplemental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ind w:right="800"/>
        <w:spacing w:after="0" w:line="277" w:lineRule="auto"/>
        <w:rPr>
          <w:sz w:val="20"/>
          <w:szCs w:val="20"/>
          <w:color w:val="auto"/>
        </w:rPr>
      </w:pPr>
      <w:r>
        <w:rPr>
          <w:rFonts w:ascii="Arial" w:cs="Arial" w:eastAsia="Arial" w:hAnsi="Arial"/>
          <w:sz w:val="18"/>
          <w:szCs w:val="18"/>
          <w:color w:val="auto"/>
        </w:rPr>
        <w:t>thereto, WMI Debt Securities, WMI Warrants, WMI Warrant Agreements, Units, and Holdings Guarantees are herein referred to collectively as the “</w:t>
      </w:r>
      <w:r>
        <w:rPr>
          <w:rFonts w:ascii="Arial" w:cs="Arial" w:eastAsia="Arial" w:hAnsi="Arial"/>
          <w:sz w:val="18"/>
          <w:szCs w:val="18"/>
          <w:i w:val="1"/>
          <w:iCs w:val="1"/>
          <w:color w:val="auto"/>
        </w:rPr>
        <w:t>Operative Documents.”</w:t>
      </w:r>
    </w:p>
    <w:p>
      <w:pPr>
        <w:spacing w:after="0" w:line="62" w:lineRule="exact"/>
        <w:rPr>
          <w:sz w:val="20"/>
          <w:szCs w:val="20"/>
          <w:color w:val="auto"/>
        </w:rPr>
      </w:pPr>
    </w:p>
    <w:p>
      <w:pPr>
        <w:ind w:right="280" w:firstLine="225"/>
        <w:spacing w:after="0" w:line="342" w:lineRule="auto"/>
        <w:rPr>
          <w:sz w:val="20"/>
          <w:szCs w:val="20"/>
          <w:color w:val="auto"/>
        </w:rPr>
      </w:pPr>
      <w:r>
        <w:rPr>
          <w:rFonts w:ascii="Arial" w:cs="Arial" w:eastAsia="Arial" w:hAnsi="Arial"/>
          <w:sz w:val="16"/>
          <w:szCs w:val="16"/>
          <w:color w:val="auto"/>
        </w:rPr>
        <w:t>I, or attorneys under my supervision, have examined and relied upon the originals, or copies certified or otherwise identified to our satisfaction, of such records, documents, and other instruments as in my judgment are necessary or appropriate to enable me to render the opinion expressed below.</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Based on the foregoing, I am of the following opinion:</w:t>
      </w:r>
    </w:p>
    <w:p>
      <w:pPr>
        <w:spacing w:after="0" w:line="117" w:lineRule="exact"/>
        <w:rPr>
          <w:sz w:val="20"/>
          <w:szCs w:val="20"/>
          <w:color w:val="auto"/>
        </w:rPr>
      </w:pPr>
    </w:p>
    <w:p>
      <w:pPr>
        <w:jc w:val="both"/>
        <w:ind w:left="260" w:hanging="252"/>
        <w:spacing w:after="0" w:line="264" w:lineRule="auto"/>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the WMI Indentures has been duly and validly authorized, executed and delivered by WMI, and assuming that each such WMI Indenture has been duly and validly authorized, executed, and delivered by the relevant trustee, each such WMI Indenture constitutes the valid and binding obligation of WMI enforceable against WMI in accordance with its terms.</w:t>
      </w:r>
    </w:p>
    <w:p>
      <w:pPr>
        <w:spacing w:after="0" w:line="73" w:lineRule="exact"/>
        <w:rPr>
          <w:rFonts w:ascii="Arial" w:cs="Arial" w:eastAsia="Arial" w:hAnsi="Arial"/>
          <w:sz w:val="18"/>
          <w:szCs w:val="18"/>
          <w:color w:val="auto"/>
        </w:rPr>
      </w:pPr>
    </w:p>
    <w:p>
      <w:pPr>
        <w:ind w:left="260" w:right="80" w:hanging="252"/>
        <w:spacing w:after="0" w:line="255" w:lineRule="auto"/>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series or issuance of WMI Debt Securities will constitute valid and binding obligations of WMI enforceable against WMI in accordance with their terms, when (i) such WMI Debt Securities have been duly authorized and approved by all necessary action of WMI’s Board of Directors or the persons duly authorized thereby; and (</w:t>
      </w:r>
      <w:r>
        <w:rPr>
          <w:rFonts w:ascii="Arial" w:cs="Arial" w:eastAsia="Arial" w:hAnsi="Arial"/>
          <w:sz w:val="18"/>
          <w:szCs w:val="18"/>
          <w:i w:val="1"/>
          <w:iCs w:val="1"/>
          <w:color w:val="auto"/>
        </w:rPr>
        <w:t>ii</w:t>
      </w:r>
      <w:r>
        <w:rPr>
          <w:rFonts w:ascii="Arial" w:cs="Arial" w:eastAsia="Arial" w:hAnsi="Arial"/>
          <w:sz w:val="18"/>
          <w:szCs w:val="18"/>
          <w:color w:val="auto"/>
        </w:rPr>
        <w:t>) such WMI Debt Securities have been duly executed, authenticated, issued, and delivered (a) as contemplated by the Registration Statement and any prospectus supplement relating thereto and (b) in accordance with the applicable WMI Indenture, and any underwriting agreement, distribution agreement and other Operative Document relating to such issuance, against payment of the consideration fixed therefor by WMI’s Board of Directors or persons duly authorized thereby.</w:t>
      </w:r>
    </w:p>
    <w:p>
      <w:pPr>
        <w:spacing w:after="0" w:line="85" w:lineRule="exact"/>
        <w:rPr>
          <w:rFonts w:ascii="Arial" w:cs="Arial" w:eastAsia="Arial" w:hAnsi="Arial"/>
          <w:sz w:val="18"/>
          <w:szCs w:val="18"/>
          <w:color w:val="auto"/>
        </w:rPr>
      </w:pPr>
    </w:p>
    <w:p>
      <w:pPr>
        <w:ind w:left="260" w:right="80" w:hanging="252"/>
        <w:spacing w:after="0" w:line="297" w:lineRule="auto"/>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Common Stock will be duly authorized, validly issued, fully paid, and non-assessable, when (</w:t>
      </w:r>
      <w:r>
        <w:rPr>
          <w:rFonts w:ascii="Arial" w:cs="Arial" w:eastAsia="Arial" w:hAnsi="Arial"/>
          <w:sz w:val="16"/>
          <w:szCs w:val="16"/>
          <w:i w:val="1"/>
          <w:iCs w:val="1"/>
          <w:color w:val="auto"/>
        </w:rPr>
        <w:t>i</w:t>
      </w:r>
      <w:r>
        <w:rPr>
          <w:rFonts w:ascii="Arial" w:cs="Arial" w:eastAsia="Arial" w:hAnsi="Arial"/>
          <w:sz w:val="16"/>
          <w:szCs w:val="16"/>
          <w:color w:val="auto"/>
        </w:rPr>
        <w:t>) the terms of the issuance, sale, and related matters of the Common Stock have been duly authorized and approved by all necessary action of WMI’s Board of Directors or the persons duly authorized thereby; and (</w:t>
      </w:r>
      <w:r>
        <w:rPr>
          <w:rFonts w:ascii="Arial" w:cs="Arial" w:eastAsia="Arial" w:hAnsi="Arial"/>
          <w:sz w:val="16"/>
          <w:szCs w:val="16"/>
          <w:i w:val="1"/>
          <w:iCs w:val="1"/>
          <w:color w:val="auto"/>
        </w:rPr>
        <w:t>ii</w:t>
      </w:r>
      <w:r>
        <w:rPr>
          <w:rFonts w:ascii="Arial" w:cs="Arial" w:eastAsia="Arial" w:hAnsi="Arial"/>
          <w:sz w:val="16"/>
          <w:szCs w:val="16"/>
          <w:color w:val="auto"/>
        </w:rPr>
        <w:t>) certificates for the shares of Common Stock have been duly executed, authenticated, issued, and delivered as contemplated by the Registration Statement and any prospectus supplement relating thereto, and in accordance with any underwriting agreement, distribution agreement and Operative Document relating to such issuance, against payment of the consideration fixed therefor by WMI’s Board of Directors or persons duly authorized thereby.</w:t>
      </w:r>
    </w:p>
    <w:p>
      <w:pPr>
        <w:spacing w:after="0" w:line="50" w:lineRule="exact"/>
        <w:rPr>
          <w:rFonts w:ascii="Arial" w:cs="Arial" w:eastAsia="Arial" w:hAnsi="Arial"/>
          <w:sz w:val="16"/>
          <w:szCs w:val="16"/>
          <w:color w:val="auto"/>
        </w:rPr>
      </w:pPr>
    </w:p>
    <w:p>
      <w:pPr>
        <w:ind w:left="260" w:right="100" w:hanging="252"/>
        <w:spacing w:after="0" w:line="255" w:lineRule="auto"/>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Preferred Stock will be duly authorized, validly issued, fully paid, and non-assessable, when (</w:t>
      </w:r>
      <w:r>
        <w:rPr>
          <w:rFonts w:ascii="Arial" w:cs="Arial" w:eastAsia="Arial" w:hAnsi="Arial"/>
          <w:sz w:val="18"/>
          <w:szCs w:val="18"/>
          <w:i w:val="1"/>
          <w:iCs w:val="1"/>
          <w:color w:val="auto"/>
        </w:rPr>
        <w:t>i</w:t>
      </w:r>
      <w:r>
        <w:rPr>
          <w:rFonts w:ascii="Arial" w:cs="Arial" w:eastAsia="Arial" w:hAnsi="Arial"/>
          <w:sz w:val="18"/>
          <w:szCs w:val="18"/>
          <w:color w:val="auto"/>
        </w:rPr>
        <w:t>) the terms of the Preferred Stock and of its issuance, sale, and related matters have been duly established in conformity with WMI’s Certificate of Incorporation, and authorized and approved by all necessary action of WMI’s Board of Directors or persons duly authorized thereby; (</w:t>
      </w:r>
      <w:r>
        <w:rPr>
          <w:rFonts w:ascii="Arial" w:cs="Arial" w:eastAsia="Arial" w:hAnsi="Arial"/>
          <w:sz w:val="18"/>
          <w:szCs w:val="18"/>
          <w:i w:val="1"/>
          <w:iCs w:val="1"/>
          <w:color w:val="auto"/>
        </w:rPr>
        <w:t>ii</w:t>
      </w:r>
      <w:r>
        <w:rPr>
          <w:rFonts w:ascii="Arial" w:cs="Arial" w:eastAsia="Arial" w:hAnsi="Arial"/>
          <w:sz w:val="18"/>
          <w:szCs w:val="18"/>
          <w:color w:val="auto"/>
        </w:rPr>
        <w:t>) a Certificate of Designation fixing and determining the terms of the Preferred Stock has been filed with the Secretary of State of the State of Delaware; and (</w:t>
      </w:r>
      <w:r>
        <w:rPr>
          <w:rFonts w:ascii="Arial" w:cs="Arial" w:eastAsia="Arial" w:hAnsi="Arial"/>
          <w:sz w:val="18"/>
          <w:szCs w:val="18"/>
          <w:i w:val="1"/>
          <w:iCs w:val="1"/>
          <w:color w:val="auto"/>
        </w:rPr>
        <w:t>iii</w:t>
      </w:r>
      <w:r>
        <w:rPr>
          <w:rFonts w:ascii="Arial" w:cs="Arial" w:eastAsia="Arial" w:hAnsi="Arial"/>
          <w:sz w:val="18"/>
          <w:szCs w:val="18"/>
          <w:color w:val="auto"/>
        </w:rPr>
        <w:t>) certificates for the shares of the Preferred Stock have been duly executed, authenticated, issued, and delivered as contemplated by the Registration Statement and any prospectus supplement relating thereto and in accordance with any underwriting agreement,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ind w:left="220" w:right="100"/>
        <w:spacing w:after="0" w:line="277" w:lineRule="auto"/>
        <w:rPr>
          <w:sz w:val="20"/>
          <w:szCs w:val="20"/>
          <w:color w:val="auto"/>
        </w:rPr>
      </w:pPr>
      <w:r>
        <w:rPr>
          <w:rFonts w:ascii="Arial" w:cs="Arial" w:eastAsia="Arial" w:hAnsi="Arial"/>
          <w:sz w:val="18"/>
          <w:szCs w:val="18"/>
          <w:color w:val="auto"/>
        </w:rPr>
        <w:t>agreement and other Operative Document relating to such issuance, against payment of the consideration fixed therefor by WMI’s Board of Directors or a duly authorized committee thereof.</w:t>
      </w:r>
    </w:p>
    <w:p>
      <w:pPr>
        <w:spacing w:after="0" w:line="62" w:lineRule="exact"/>
        <w:rPr>
          <w:sz w:val="20"/>
          <w:szCs w:val="20"/>
          <w:color w:val="auto"/>
        </w:rPr>
      </w:pPr>
    </w:p>
    <w:p>
      <w:pPr>
        <w:ind w:left="260" w:hanging="252"/>
        <w:spacing w:after="0" w:line="289" w:lineRule="auto"/>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WMI Warrants will constitute valid and legally binding obligations of WMI enforceable against WMI in accordance with their terms, when (</w:t>
      </w:r>
      <w:r>
        <w:rPr>
          <w:rFonts w:ascii="Arial" w:cs="Arial" w:eastAsia="Arial" w:hAnsi="Arial"/>
          <w:sz w:val="16"/>
          <w:szCs w:val="16"/>
          <w:i w:val="1"/>
          <w:iCs w:val="1"/>
          <w:color w:val="auto"/>
        </w:rPr>
        <w:t>i</w:t>
      </w:r>
      <w:r>
        <w:rPr>
          <w:rFonts w:ascii="Arial" w:cs="Arial" w:eastAsia="Arial" w:hAnsi="Arial"/>
          <w:sz w:val="16"/>
          <w:szCs w:val="16"/>
          <w:color w:val="auto"/>
        </w:rPr>
        <w:t>) the terms of the WMI Warrants and of their issuance, sale, and related matters (including matters with respect to the WMI Debt Securities, Preferred Stock, Common Stock or other securities, property, or assets, as the case may be, that are the subject of the WMI Warrants) have been duly authorized and approved by all necessary action of WMI’s Board of Directors or a duly authorized committee thereof; (</w:t>
      </w:r>
      <w:r>
        <w:rPr>
          <w:rFonts w:ascii="Arial" w:cs="Arial" w:eastAsia="Arial" w:hAnsi="Arial"/>
          <w:sz w:val="16"/>
          <w:szCs w:val="16"/>
          <w:i w:val="1"/>
          <w:iCs w:val="1"/>
          <w:color w:val="auto"/>
        </w:rPr>
        <w:t>ii</w:t>
      </w:r>
      <w:r>
        <w:rPr>
          <w:rFonts w:ascii="Arial" w:cs="Arial" w:eastAsia="Arial" w:hAnsi="Arial"/>
          <w:sz w:val="16"/>
          <w:szCs w:val="16"/>
          <w:color w:val="auto"/>
        </w:rPr>
        <w:t>) the WMI Warrant Agreement or agreements relating to the WMI Warrants have been duly authorized and validly executed and delivered by WMI and such warrant agent, if any, as shall have been appointed by WMI; and (</w:t>
      </w:r>
      <w:r>
        <w:rPr>
          <w:rFonts w:ascii="Arial" w:cs="Arial" w:eastAsia="Arial" w:hAnsi="Arial"/>
          <w:sz w:val="16"/>
          <w:szCs w:val="16"/>
          <w:i w:val="1"/>
          <w:iCs w:val="1"/>
          <w:color w:val="auto"/>
        </w:rPr>
        <w:t>iii</w:t>
      </w:r>
      <w:r>
        <w:rPr>
          <w:rFonts w:ascii="Arial" w:cs="Arial" w:eastAsia="Arial" w:hAnsi="Arial"/>
          <w:sz w:val="16"/>
          <w:szCs w:val="16"/>
          <w:color w:val="auto"/>
        </w:rPr>
        <w:t>) the WMI Warrants or certificates representing the WMI Warrants have been duly executed, authenticated (if required), issued, and delivered as contemplated by the Registration Statement and any prospectus supplement relating thereto, and in accordance with the terms of the WMI Warrant Agreement, any underwriting agreement, distribution agreement and other Operative Document relating to such issuance, against payment of the consideration fixed therefor by WMI’s Board of Directors or a duly authorized committee thereof.</w:t>
      </w:r>
    </w:p>
    <w:p>
      <w:pPr>
        <w:spacing w:after="0" w:line="58" w:lineRule="exact"/>
        <w:rPr>
          <w:rFonts w:ascii="Arial" w:cs="Arial" w:eastAsia="Arial" w:hAnsi="Arial"/>
          <w:sz w:val="16"/>
          <w:szCs w:val="16"/>
          <w:color w:val="auto"/>
        </w:rPr>
      </w:pPr>
    </w:p>
    <w:p>
      <w:pPr>
        <w:ind w:left="260" w:right="60" w:hanging="252"/>
        <w:spacing w:after="0" w:line="291" w:lineRule="auto"/>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Units will be duly authorized and validly issued, when (</w:t>
      </w:r>
      <w:r>
        <w:rPr>
          <w:rFonts w:ascii="Arial" w:cs="Arial" w:eastAsia="Arial" w:hAnsi="Arial"/>
          <w:sz w:val="16"/>
          <w:szCs w:val="16"/>
          <w:i w:val="1"/>
          <w:iCs w:val="1"/>
          <w:color w:val="auto"/>
        </w:rPr>
        <w:t>i</w:t>
      </w:r>
      <w:r>
        <w:rPr>
          <w:rFonts w:ascii="Arial" w:cs="Arial" w:eastAsia="Arial" w:hAnsi="Arial"/>
          <w:sz w:val="16"/>
          <w:szCs w:val="16"/>
          <w:color w:val="auto"/>
        </w:rPr>
        <w:t>) the terms of the Units and of their issuance, sale and related matters (including matters with respect to the rights to, underlying ownership of, or undivided beneficial interest in, WMI Debt Securities, shares of Common Stock, shares of Preferred Stock, debt obligations of third parties, or Warrants relating to any of the foregoing, as the case may be, that are the subject of the Units) have been duly authorized and approved by all necessary action of WMI’s Board of Directors or a duly authorized committee thereof; and (</w:t>
      </w:r>
      <w:r>
        <w:rPr>
          <w:rFonts w:ascii="Arial" w:cs="Arial" w:eastAsia="Arial" w:hAnsi="Arial"/>
          <w:sz w:val="16"/>
          <w:szCs w:val="16"/>
          <w:i w:val="1"/>
          <w:iCs w:val="1"/>
          <w:color w:val="auto"/>
        </w:rPr>
        <w:t>ii</w:t>
      </w:r>
      <w:r>
        <w:rPr>
          <w:rFonts w:ascii="Arial" w:cs="Arial" w:eastAsia="Arial" w:hAnsi="Arial"/>
          <w:sz w:val="16"/>
          <w:szCs w:val="16"/>
          <w:color w:val="auto"/>
        </w:rPr>
        <w:t>) the Units or certificates representing the Units have been duly executed, authenticated (if required), issued, and delivered as contemplated by the Registration Statement and any prospectus supplement relating thereto, and in accordance with the terms of any underwriting agreement, distribution agreement and other Operative Document relating to such issuance, against payment of the consideration fixed therefor by WMI’s Board of Directors or persons duly authorized thereby.</w:t>
      </w:r>
    </w:p>
    <w:p>
      <w:pPr>
        <w:spacing w:after="0" w:line="59" w:lineRule="exact"/>
        <w:rPr>
          <w:rFonts w:ascii="Arial" w:cs="Arial" w:eastAsia="Arial" w:hAnsi="Arial"/>
          <w:sz w:val="16"/>
          <w:szCs w:val="16"/>
          <w:color w:val="auto"/>
        </w:rPr>
      </w:pPr>
    </w:p>
    <w:p>
      <w:pPr>
        <w:ind w:left="260" w:right="220" w:hanging="252"/>
        <w:spacing w:after="0" w:line="255"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Holdings Guarantees will constitute valid and binding obligations of Holdings, when (i) the terms of the Holdings Guarantees and of their issuance, sale and related matters have been duly authorized and approved by all necessary action of Holdings’ Board of Directors or persons duly authorized thereby; and (ii) the Holdings Guarantees have been duly executed, authenticated (if required), issued and delivered as contemplated by the Registration Statement and any prospectus supplement relating thereto, and in accordance with any underwriting agreement, distribution agreement and other Operative Document relating to such issuance, against payment of the consideration (if any) fixed by Holdings’ Board of Directors or persons duly authorized thereby.</w:t>
      </w:r>
    </w:p>
    <w:p>
      <w:pPr>
        <w:spacing w:after="0" w:line="85"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My opinions set forth in paragraphs 1, 2,5, 6 and 7 above are limited by and subject to the effects of (</w:t>
      </w:r>
      <w:r>
        <w:rPr>
          <w:rFonts w:ascii="Arial" w:cs="Arial" w:eastAsia="Arial" w:hAnsi="Arial"/>
          <w:sz w:val="17"/>
          <w:szCs w:val="17"/>
          <w:i w:val="1"/>
          <w:iCs w:val="1"/>
          <w:color w:val="auto"/>
        </w:rPr>
        <w:t>i</w:t>
      </w:r>
      <w:r>
        <w:rPr>
          <w:rFonts w:ascii="Arial" w:cs="Arial" w:eastAsia="Arial" w:hAnsi="Arial"/>
          <w:sz w:val="17"/>
          <w:szCs w:val="17"/>
          <w:color w:val="auto"/>
        </w:rPr>
        <w:t>) bankruptcy, insolvency, fraudulent conveyance, fraudulent transfer, reorganization and moratorium laws, and other similar laws relating to or affecting creditors’ rights or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ind w:right="20"/>
        <w:spacing w:after="0" w:line="264" w:lineRule="auto"/>
        <w:rPr>
          <w:sz w:val="20"/>
          <w:szCs w:val="20"/>
          <w:color w:val="auto"/>
        </w:rPr>
      </w:pPr>
      <w:r>
        <w:rPr>
          <w:rFonts w:ascii="Arial" w:cs="Arial" w:eastAsia="Arial" w:hAnsi="Arial"/>
          <w:sz w:val="18"/>
          <w:szCs w:val="18"/>
          <w:color w:val="auto"/>
        </w:rPr>
        <w:t>generally; (</w:t>
      </w:r>
      <w:r>
        <w:rPr>
          <w:rFonts w:ascii="Arial" w:cs="Arial" w:eastAsia="Arial" w:hAnsi="Arial"/>
          <w:sz w:val="18"/>
          <w:szCs w:val="18"/>
          <w:i w:val="1"/>
          <w:iCs w:val="1"/>
          <w:color w:val="auto"/>
        </w:rPr>
        <w:t>ii</w:t>
      </w:r>
      <w:r>
        <w:rPr>
          <w:rFonts w:ascii="Arial" w:cs="Arial" w:eastAsia="Arial" w:hAnsi="Arial"/>
          <w:sz w:val="18"/>
          <w:szCs w:val="18"/>
          <w:color w:val="auto"/>
        </w:rPr>
        <w:t>) general equitable principles (whether such principles are considered in a proceeding at law or in equity), including, without limitation, concepts of good faith, diligence, reasonableness, and fair dealing, and standards of materiality; and (</w:t>
      </w:r>
      <w:r>
        <w:rPr>
          <w:rFonts w:ascii="Arial" w:cs="Arial" w:eastAsia="Arial" w:hAnsi="Arial"/>
          <w:sz w:val="18"/>
          <w:szCs w:val="18"/>
          <w:i w:val="1"/>
          <w:iCs w:val="1"/>
          <w:color w:val="auto"/>
        </w:rPr>
        <w:t>iii</w:t>
      </w:r>
      <w:r>
        <w:rPr>
          <w:rFonts w:ascii="Arial" w:cs="Arial" w:eastAsia="Arial" w:hAnsi="Arial"/>
          <w:sz w:val="18"/>
          <w:szCs w:val="18"/>
          <w:color w:val="auto"/>
        </w:rPr>
        <w:t>) in the case of indemnity, contribution, or exculpation provisions, limitations arising under applicable law or public policy</w:t>
      </w:r>
    </w:p>
    <w:p>
      <w:pPr>
        <w:spacing w:after="0" w:line="7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My opinions above are limited to the laws of the State of Texas, the General Corporation Law of the State of Delaware (the “DGCL”) and the federal laws of the United States (except that I express no opinion with respect to any state securities laws or “blue sky” laws), and I do not express any opinion herein concerning any other law. I am licensed to practice law only in the States of Louisiana and Texas but I am generally familiar with the DGCL and the Texas Business Corporation Act (“Applicable Law”), and those laws, rules and regulations of the United States necessary for me to give the opinions expressed herein. I have not examined any laws, regulations or other governmental proceedings other than laws and regulations of general application. For purposes of the opinions expressed herein, I have assumed that the laws of the State of New York are not different from the laws of the State of Texas as they pertain to the legality, validity and binding effect of any Operative Documents governed by New York law. I assume no, and hereby specifically disclaim any, obligation to supplement this opinion if any Applicable Law changes after the date of this opinion, or if I become aware of any facts that might change the opinions expressed above after the date of this opinion.</w:t>
      </w:r>
    </w:p>
    <w:p>
      <w:pPr>
        <w:spacing w:after="0" w:line="74"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I hereby consent to the filing of this opinion as an exhibit to the Registration Statement. In giving this consent, I do not admit that I am in the category of persons whose consent is required under Section 7 of the Act or the rules and regulations of the Commission issued thereunder.</w:t>
      </w:r>
    </w:p>
    <w:p>
      <w:pPr>
        <w:spacing w:after="0" w:line="14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/s/John S. Tsai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and Assistant General Counsel --</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&amp; Securities</w:t>
      </w:r>
    </w:p>
    <w:p>
      <w:pPr>
        <w:sectPr>
          <w:pgSz w:w="11900" w:h="16838" w:orient="portrait"/>
          <w:cols w:equalWidth="0" w:num="1">
            <w:col w:w="11400"/>
          </w:cols>
          <w:pgMar w:left="240" w:top="935" w:right="2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reference to our firm under the caption “Experts” in this Registration Statement on Form S-3 and related Prospectus of Waste Management, Inc. for the registration of debt securities, common stock, preferred stock, warrants, guarantees and units and to the incorporation by reference therein of our reports dated February 20, 2006, with respect to the consolidated financial statements and schedule of Waste Management, Inc., Waste Management, Inc. management’s assessment of the effectiveness of internal control over financial reporting, and the effectiveness of internal control over financial reporting of Waste Management, Inc., included in its Annual Report (Form 10-K) for the year ended December 31, 2005, filed with the Securities and Exchange Commission.</w:t>
      </w:r>
    </w:p>
    <w:p>
      <w:pPr>
        <w:spacing w:after="0" w:line="8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2006</w:t>
      </w:r>
    </w:p>
    <w:p>
      <w:pPr>
        <w:sectPr>
          <w:pgSz w:w="11900" w:h="16838" w:orient="portrait"/>
          <w:cols w:equalWidth="0" w:num="1">
            <w:col w:w="11420"/>
          </w:cols>
          <w:pgMar w:left="240" w:top="93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w:t>
      </w:r>
    </w:p>
    <w:p>
      <w:pPr>
        <w:jc w:val="center"/>
        <w:spacing w:after="0"/>
        <w:rPr>
          <w:sz w:val="20"/>
          <w:szCs w:val="20"/>
          <w:color w:val="auto"/>
        </w:rPr>
      </w:pPr>
      <w:r>
        <w:rPr>
          <w:rFonts w:ascii="Arial" w:cs="Arial" w:eastAsia="Arial" w:hAnsi="Arial"/>
          <w:sz w:val="22"/>
          <w:szCs w:val="22"/>
          <w:b w:val="1"/>
          <w:bCs w:val="1"/>
          <w:color w:val="auto"/>
        </w:rPr>
        <w:t>A 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CHECK IF AN APPLICATION TO DETERMINE ELIGIBILITY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JPMORGAN CHASE BANK, NATIONAL ASSOCIATION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666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13-4994650</w:t>
            </w:r>
          </w:p>
        </w:tc>
      </w:tr>
      <w:tr>
        <w:trPr>
          <w:trHeight w:val="216"/>
        </w:trPr>
        <w:tc>
          <w:tcPr>
            <w:tcW w:w="6660" w:type="dxa"/>
            <w:vAlign w:val="bottom"/>
          </w:tcPr>
          <w:p>
            <w:pPr>
              <w:jc w:val="center"/>
              <w:ind w:right="3690"/>
              <w:spacing w:after="0"/>
              <w:rPr>
                <w:sz w:val="20"/>
                <w:szCs w:val="20"/>
                <w:color w:val="auto"/>
              </w:rPr>
            </w:pPr>
            <w:r>
              <w:rPr>
                <w:rFonts w:ascii="Arial" w:cs="Arial" w:eastAsia="Arial" w:hAnsi="Arial"/>
                <w:sz w:val="18"/>
                <w:szCs w:val="18"/>
                <w:color w:val="auto"/>
                <w:w w:val="92"/>
              </w:rPr>
              <w:t>(State of incorporation</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6660" w:type="dxa"/>
            <w:vAlign w:val="bottom"/>
          </w:tcPr>
          <w:p>
            <w:pPr>
              <w:jc w:val="center"/>
              <w:ind w:right="3690"/>
              <w:spacing w:after="0"/>
              <w:rPr>
                <w:sz w:val="20"/>
                <w:szCs w:val="20"/>
                <w:color w:val="auto"/>
              </w:rPr>
            </w:pPr>
            <w:r>
              <w:rPr>
                <w:rFonts w:ascii="Arial" w:cs="Arial" w:eastAsia="Arial" w:hAnsi="Arial"/>
                <w:sz w:val="18"/>
                <w:szCs w:val="18"/>
                <w:color w:val="auto"/>
                <w:w w:val="92"/>
              </w:rPr>
              <w:t>if not a national bank)</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6"/>
              </w:rPr>
              <w:t>identification No.)</w:t>
            </w:r>
          </w:p>
        </w:tc>
      </w:tr>
      <w:tr>
        <w:trPr>
          <w:trHeight w:val="414"/>
        </w:trPr>
        <w:tc>
          <w:tcPr>
            <w:tcW w:w="6660" w:type="dxa"/>
            <w:vAlign w:val="bottom"/>
          </w:tcPr>
          <w:p>
            <w:pPr>
              <w:jc w:val="center"/>
              <w:ind w:right="3690"/>
              <w:spacing w:after="0"/>
              <w:rPr>
                <w:sz w:val="20"/>
                <w:szCs w:val="20"/>
                <w:color w:val="auto"/>
              </w:rPr>
            </w:pPr>
            <w:r>
              <w:rPr>
                <w:rFonts w:ascii="Arial" w:cs="Arial" w:eastAsia="Arial" w:hAnsi="Arial"/>
                <w:sz w:val="18"/>
                <w:szCs w:val="18"/>
                <w:b w:val="1"/>
                <w:bCs w:val="1"/>
                <w:color w:val="auto"/>
                <w:w w:val="89"/>
              </w:rPr>
              <w:t>1111 Polaris Parkway</w:t>
            </w:r>
          </w:p>
        </w:tc>
        <w:tc>
          <w:tcPr>
            <w:tcW w:w="1440" w:type="dxa"/>
            <w:vAlign w:val="bottom"/>
          </w:tcPr>
          <w:p>
            <w:pPr>
              <w:spacing w:after="0"/>
              <w:rPr>
                <w:sz w:val="24"/>
                <w:szCs w:val="24"/>
                <w:color w:val="auto"/>
              </w:rPr>
            </w:pPr>
          </w:p>
        </w:tc>
      </w:tr>
      <w:tr>
        <w:trPr>
          <w:trHeight w:val="220"/>
        </w:trPr>
        <w:tc>
          <w:tcPr>
            <w:tcW w:w="6660" w:type="dxa"/>
            <w:vAlign w:val="bottom"/>
          </w:tcPr>
          <w:p>
            <w:pPr>
              <w:jc w:val="center"/>
              <w:ind w:right="3710"/>
              <w:spacing w:after="0"/>
              <w:rPr>
                <w:sz w:val="20"/>
                <w:szCs w:val="20"/>
                <w:color w:val="auto"/>
              </w:rPr>
            </w:pPr>
            <w:r>
              <w:rPr>
                <w:rFonts w:ascii="Arial" w:cs="Arial" w:eastAsia="Arial" w:hAnsi="Arial"/>
                <w:sz w:val="18"/>
                <w:szCs w:val="18"/>
                <w:b w:val="1"/>
                <w:bCs w:val="1"/>
                <w:color w:val="auto"/>
                <w:w w:val="90"/>
              </w:rPr>
              <w:t>Columbus, Ohio</w:t>
            </w: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43271</w:t>
            </w:r>
          </w:p>
        </w:tc>
      </w:tr>
      <w:tr>
        <w:trPr>
          <w:trHeight w:val="230"/>
        </w:trPr>
        <w:tc>
          <w:tcPr>
            <w:tcW w:w="6660" w:type="dxa"/>
            <w:vAlign w:val="bottom"/>
          </w:tcPr>
          <w:p>
            <w:pPr>
              <w:jc w:val="center"/>
              <w:ind w:right="3710"/>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10"/>
        </w:trPr>
        <w:tc>
          <w:tcPr>
            <w:tcW w:w="6660" w:type="dxa"/>
            <w:vAlign w:val="bottom"/>
          </w:tcPr>
          <w:p>
            <w:pPr>
              <w:jc w:val="center"/>
              <w:ind w:left="2130"/>
              <w:spacing w:after="0"/>
              <w:rPr>
                <w:sz w:val="20"/>
                <w:szCs w:val="20"/>
                <w:color w:val="auto"/>
              </w:rPr>
            </w:pPr>
            <w:r>
              <w:rPr>
                <w:rFonts w:ascii="Arial" w:cs="Arial" w:eastAsia="Arial" w:hAnsi="Arial"/>
                <w:sz w:val="18"/>
                <w:szCs w:val="18"/>
                <w:color w:val="auto"/>
                <w:w w:val="94"/>
              </w:rPr>
              <w:t>Robert M. Macallister</w:t>
            </w:r>
          </w:p>
        </w:tc>
        <w:tc>
          <w:tcPr>
            <w:tcW w:w="1440" w:type="dxa"/>
            <w:vAlign w:val="bottom"/>
          </w:tcPr>
          <w:p>
            <w:pPr>
              <w:spacing w:after="0"/>
              <w:rPr>
                <w:sz w:val="24"/>
                <w:szCs w:val="24"/>
                <w:color w:val="auto"/>
              </w:rPr>
            </w:pPr>
          </w:p>
        </w:tc>
      </w:tr>
      <w:tr>
        <w:trPr>
          <w:trHeight w:val="216"/>
        </w:trPr>
        <w:tc>
          <w:tcPr>
            <w:tcW w:w="6660" w:type="dxa"/>
            <w:vAlign w:val="bottom"/>
          </w:tcPr>
          <w:p>
            <w:pPr>
              <w:jc w:val="center"/>
              <w:ind w:left="2110"/>
              <w:spacing w:after="0"/>
              <w:rPr>
                <w:sz w:val="20"/>
                <w:szCs w:val="20"/>
                <w:color w:val="auto"/>
              </w:rPr>
            </w:pPr>
            <w:r>
              <w:rPr>
                <w:rFonts w:ascii="Arial" w:cs="Arial" w:eastAsia="Arial" w:hAnsi="Arial"/>
                <w:sz w:val="18"/>
                <w:szCs w:val="18"/>
                <w:color w:val="auto"/>
                <w:w w:val="89"/>
              </w:rPr>
              <w:t>Senior Vice President and Associate General Counsel</w:t>
            </w:r>
          </w:p>
        </w:tc>
        <w:tc>
          <w:tcPr>
            <w:tcW w:w="1440" w:type="dxa"/>
            <w:vAlign w:val="bottom"/>
          </w:tcPr>
          <w:p>
            <w:pPr>
              <w:spacing w:after="0"/>
              <w:rPr>
                <w:sz w:val="18"/>
                <w:szCs w:val="18"/>
                <w:color w:val="auto"/>
              </w:rPr>
            </w:pPr>
          </w:p>
        </w:tc>
      </w:tr>
      <w:tr>
        <w:trPr>
          <w:trHeight w:val="216"/>
        </w:trPr>
        <w:tc>
          <w:tcPr>
            <w:tcW w:w="6660" w:type="dxa"/>
            <w:vAlign w:val="bottom"/>
          </w:tcPr>
          <w:p>
            <w:pPr>
              <w:jc w:val="center"/>
              <w:ind w:left="2110"/>
              <w:spacing w:after="0"/>
              <w:rPr>
                <w:sz w:val="20"/>
                <w:szCs w:val="20"/>
                <w:color w:val="auto"/>
              </w:rPr>
            </w:pPr>
            <w:r>
              <w:rPr>
                <w:rFonts w:ascii="Arial" w:cs="Arial" w:eastAsia="Arial" w:hAnsi="Arial"/>
                <w:sz w:val="18"/>
                <w:szCs w:val="18"/>
                <w:color w:val="auto"/>
                <w:w w:val="91"/>
              </w:rPr>
              <w:t>JPMorgan Chase Bank, National Association</w:t>
            </w:r>
          </w:p>
        </w:tc>
        <w:tc>
          <w:tcPr>
            <w:tcW w:w="1440" w:type="dxa"/>
            <w:vAlign w:val="bottom"/>
          </w:tcPr>
          <w:p>
            <w:pPr>
              <w:spacing w:after="0"/>
              <w:rPr>
                <w:sz w:val="18"/>
                <w:szCs w:val="18"/>
                <w:color w:val="auto"/>
              </w:rPr>
            </w:pPr>
          </w:p>
        </w:tc>
      </w:tr>
      <w:tr>
        <w:trPr>
          <w:trHeight w:val="216"/>
        </w:trPr>
        <w:tc>
          <w:tcPr>
            <w:tcW w:w="6660" w:type="dxa"/>
            <w:vAlign w:val="bottom"/>
          </w:tcPr>
          <w:p>
            <w:pPr>
              <w:jc w:val="center"/>
              <w:ind w:left="2110"/>
              <w:spacing w:after="0"/>
              <w:rPr>
                <w:sz w:val="20"/>
                <w:szCs w:val="20"/>
                <w:color w:val="auto"/>
              </w:rPr>
            </w:pPr>
            <w:r>
              <w:rPr>
                <w:rFonts w:ascii="Arial" w:cs="Arial" w:eastAsia="Arial" w:hAnsi="Arial"/>
                <w:sz w:val="18"/>
                <w:szCs w:val="18"/>
                <w:color w:val="auto"/>
                <w:w w:val="87"/>
              </w:rPr>
              <w:t>1 Chase Manhattan Plaza</w:t>
            </w:r>
          </w:p>
        </w:tc>
        <w:tc>
          <w:tcPr>
            <w:tcW w:w="1440" w:type="dxa"/>
            <w:vAlign w:val="bottom"/>
          </w:tcPr>
          <w:p>
            <w:pPr>
              <w:spacing w:after="0"/>
              <w:rPr>
                <w:sz w:val="18"/>
                <w:szCs w:val="18"/>
                <w:color w:val="auto"/>
              </w:rPr>
            </w:pPr>
          </w:p>
        </w:tc>
      </w:tr>
      <w:tr>
        <w:trPr>
          <w:trHeight w:val="216"/>
        </w:trPr>
        <w:tc>
          <w:tcPr>
            <w:tcW w:w="6660" w:type="dxa"/>
            <w:vAlign w:val="bottom"/>
          </w:tcPr>
          <w:p>
            <w:pPr>
              <w:jc w:val="center"/>
              <w:ind w:left="2130"/>
              <w:spacing w:after="0"/>
              <w:rPr>
                <w:sz w:val="20"/>
                <w:szCs w:val="20"/>
                <w:color w:val="auto"/>
              </w:rPr>
            </w:pPr>
            <w:r>
              <w:rPr>
                <w:rFonts w:ascii="Arial" w:cs="Arial" w:eastAsia="Arial" w:hAnsi="Arial"/>
                <w:sz w:val="18"/>
                <w:szCs w:val="18"/>
                <w:color w:val="auto"/>
                <w:w w:val="93"/>
              </w:rPr>
              <w:t>New York, NY 10005-1401</w:t>
            </w:r>
          </w:p>
        </w:tc>
        <w:tc>
          <w:tcPr>
            <w:tcW w:w="1440" w:type="dxa"/>
            <w:vAlign w:val="bottom"/>
          </w:tcPr>
          <w:p>
            <w:pPr>
              <w:spacing w:after="0"/>
              <w:rPr>
                <w:sz w:val="18"/>
                <w:szCs w:val="18"/>
                <w:color w:val="auto"/>
              </w:rPr>
            </w:pPr>
          </w:p>
        </w:tc>
      </w:tr>
      <w:tr>
        <w:trPr>
          <w:trHeight w:val="216"/>
        </w:trPr>
        <w:tc>
          <w:tcPr>
            <w:tcW w:w="6660" w:type="dxa"/>
            <w:vAlign w:val="bottom"/>
          </w:tcPr>
          <w:p>
            <w:pPr>
              <w:jc w:val="center"/>
              <w:ind w:left="2130"/>
              <w:spacing w:after="0"/>
              <w:rPr>
                <w:sz w:val="20"/>
                <w:szCs w:val="20"/>
                <w:color w:val="auto"/>
              </w:rPr>
            </w:pPr>
            <w:r>
              <w:rPr>
                <w:rFonts w:ascii="Arial" w:cs="Arial" w:eastAsia="Arial" w:hAnsi="Arial"/>
                <w:sz w:val="18"/>
                <w:szCs w:val="18"/>
                <w:color w:val="auto"/>
                <w:w w:val="91"/>
              </w:rPr>
              <w:t>Tel: (212) 552-1716</w:t>
            </w:r>
          </w:p>
        </w:tc>
        <w:tc>
          <w:tcPr>
            <w:tcW w:w="1440" w:type="dxa"/>
            <w:vAlign w:val="bottom"/>
          </w:tcPr>
          <w:p>
            <w:pPr>
              <w:spacing w:after="0"/>
              <w:rPr>
                <w:sz w:val="18"/>
                <w:szCs w:val="18"/>
                <w:color w:val="auto"/>
              </w:rPr>
            </w:pPr>
          </w:p>
        </w:tc>
      </w:tr>
      <w:tr>
        <w:trPr>
          <w:trHeight w:val="230"/>
        </w:trPr>
        <w:tc>
          <w:tcPr>
            <w:tcW w:w="6660" w:type="dxa"/>
            <w:vAlign w:val="bottom"/>
          </w:tcPr>
          <w:p>
            <w:pPr>
              <w:jc w:val="center"/>
              <w:ind w:left="2110"/>
              <w:spacing w:after="0"/>
              <w:rPr>
                <w:sz w:val="20"/>
                <w:szCs w:val="20"/>
                <w:color w:val="auto"/>
              </w:rPr>
            </w:pPr>
            <w:r>
              <w:rPr>
                <w:rFonts w:ascii="Arial" w:cs="Arial" w:eastAsia="Arial" w:hAnsi="Arial"/>
                <w:sz w:val="18"/>
                <w:szCs w:val="18"/>
                <w:color w:val="auto"/>
                <w:w w:val="89"/>
              </w:rPr>
              <w:t>(Name, address and telephone number of agent for service)</w:t>
            </w:r>
          </w:p>
        </w:tc>
        <w:tc>
          <w:tcPr>
            <w:tcW w:w="1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188595</wp:posOffset>
            </wp:positionV>
            <wp:extent cx="18783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00" w:type="dxa"/>
            <w:vAlign w:val="bottom"/>
            <w:gridSpan w:val="3"/>
          </w:tcPr>
          <w:p>
            <w:pPr>
              <w:jc w:val="center"/>
              <w:ind w:right="236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2190"/>
              <w:spacing w:after="0"/>
              <w:rPr>
                <w:sz w:val="20"/>
                <w:szCs w:val="20"/>
                <w:color w:val="auto"/>
              </w:rPr>
            </w:pPr>
            <w:r>
              <w:rPr>
                <w:rFonts w:ascii="Arial" w:cs="Arial" w:eastAsia="Arial" w:hAnsi="Arial"/>
                <w:sz w:val="18"/>
                <w:szCs w:val="18"/>
                <w:b w:val="1"/>
                <w:bCs w:val="1"/>
                <w:color w:val="auto"/>
              </w:rPr>
              <w:t>73-1309529</w:t>
            </w:r>
          </w:p>
        </w:tc>
      </w:tr>
      <w:tr>
        <w:trPr>
          <w:trHeight w:val="216"/>
        </w:trPr>
        <w:tc>
          <w:tcPr>
            <w:tcW w:w="7800" w:type="dxa"/>
            <w:vAlign w:val="bottom"/>
            <w:gridSpan w:val="3"/>
          </w:tcPr>
          <w:p>
            <w:pPr>
              <w:jc w:val="center"/>
              <w:ind w:right="236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730"/>
              <w:spacing w:after="0"/>
              <w:rPr>
                <w:sz w:val="20"/>
                <w:szCs w:val="20"/>
                <w:color w:val="auto"/>
              </w:rPr>
            </w:pPr>
            <w:r>
              <w:rPr>
                <w:rFonts w:ascii="Arial" w:cs="Arial" w:eastAsia="Arial" w:hAnsi="Arial"/>
                <w:sz w:val="18"/>
                <w:szCs w:val="18"/>
                <w:color w:val="auto"/>
                <w:w w:val="92"/>
              </w:rPr>
              <w:t>(I.R.S. employer</w:t>
            </w:r>
          </w:p>
        </w:tc>
      </w:tr>
      <w:tr>
        <w:trPr>
          <w:trHeight w:val="230"/>
        </w:trPr>
        <w:tc>
          <w:tcPr>
            <w:tcW w:w="7800" w:type="dxa"/>
            <w:vAlign w:val="bottom"/>
            <w:gridSpan w:val="3"/>
          </w:tcPr>
          <w:p>
            <w:pPr>
              <w:jc w:val="center"/>
              <w:ind w:right="236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710"/>
              <w:spacing w:after="0"/>
              <w:rPr>
                <w:sz w:val="20"/>
                <w:szCs w:val="20"/>
                <w:color w:val="auto"/>
              </w:rPr>
            </w:pPr>
            <w:r>
              <w:rPr>
                <w:rFonts w:ascii="Arial" w:cs="Arial" w:eastAsia="Arial" w:hAnsi="Arial"/>
                <w:sz w:val="18"/>
                <w:szCs w:val="18"/>
                <w:color w:val="auto"/>
                <w:w w:val="96"/>
              </w:rPr>
              <w:t>identification No.)</w:t>
            </w:r>
          </w:p>
        </w:tc>
      </w:tr>
      <w:tr>
        <w:trPr>
          <w:trHeight w:val="414"/>
        </w:trPr>
        <w:tc>
          <w:tcPr>
            <w:tcW w:w="7800" w:type="dxa"/>
            <w:vAlign w:val="bottom"/>
            <w:gridSpan w:val="3"/>
          </w:tcPr>
          <w:p>
            <w:pPr>
              <w:jc w:val="center"/>
              <w:ind w:right="2360"/>
              <w:spacing w:after="0"/>
              <w:rPr>
                <w:sz w:val="20"/>
                <w:szCs w:val="20"/>
                <w:color w:val="auto"/>
              </w:rPr>
            </w:pPr>
            <w:r>
              <w:rPr>
                <w:rFonts w:ascii="Arial" w:cs="Arial" w:eastAsia="Arial" w:hAnsi="Arial"/>
                <w:sz w:val="18"/>
                <w:szCs w:val="18"/>
                <w:b w:val="1"/>
                <w:bCs w:val="1"/>
                <w:color w:val="auto"/>
                <w:w w:val="89"/>
              </w:rPr>
              <w:t>1011 Fannin Street, Suite 4000</w:t>
            </w:r>
          </w:p>
        </w:tc>
        <w:tc>
          <w:tcPr>
            <w:tcW w:w="3620" w:type="dxa"/>
            <w:vAlign w:val="bottom"/>
          </w:tcPr>
          <w:p>
            <w:pPr>
              <w:spacing w:after="0"/>
              <w:rPr>
                <w:sz w:val="24"/>
                <w:szCs w:val="24"/>
                <w:color w:val="auto"/>
              </w:rPr>
            </w:pPr>
          </w:p>
        </w:tc>
      </w:tr>
      <w:tr>
        <w:trPr>
          <w:trHeight w:val="220"/>
        </w:trPr>
        <w:tc>
          <w:tcPr>
            <w:tcW w:w="7800" w:type="dxa"/>
            <w:vAlign w:val="bottom"/>
            <w:gridSpan w:val="3"/>
          </w:tcPr>
          <w:p>
            <w:pPr>
              <w:jc w:val="center"/>
              <w:ind w:right="2380"/>
              <w:spacing w:after="0"/>
              <w:rPr>
                <w:sz w:val="20"/>
                <w:szCs w:val="20"/>
                <w:color w:val="auto"/>
              </w:rPr>
            </w:pPr>
            <w:r>
              <w:rPr>
                <w:rFonts w:ascii="Arial" w:cs="Arial" w:eastAsia="Arial" w:hAnsi="Arial"/>
                <w:sz w:val="18"/>
                <w:szCs w:val="18"/>
                <w:b w:val="1"/>
                <w:bCs w:val="1"/>
                <w:color w:val="auto"/>
                <w:w w:val="88"/>
              </w:rPr>
              <w:t>Houston, Texas</w:t>
            </w:r>
          </w:p>
        </w:tc>
        <w:tc>
          <w:tcPr>
            <w:tcW w:w="3620" w:type="dxa"/>
            <w:vAlign w:val="bottom"/>
          </w:tcPr>
          <w:p>
            <w:pPr>
              <w:jc w:val="right"/>
              <w:ind w:right="2390"/>
              <w:spacing w:after="0"/>
              <w:rPr>
                <w:sz w:val="20"/>
                <w:szCs w:val="20"/>
                <w:color w:val="auto"/>
              </w:rPr>
            </w:pPr>
            <w:r>
              <w:rPr>
                <w:rFonts w:ascii="Arial" w:cs="Arial" w:eastAsia="Arial" w:hAnsi="Arial"/>
                <w:sz w:val="18"/>
                <w:szCs w:val="18"/>
                <w:b w:val="1"/>
                <w:bCs w:val="1"/>
                <w:color w:val="auto"/>
              </w:rPr>
              <w:t>77002</w:t>
            </w:r>
          </w:p>
        </w:tc>
      </w:tr>
      <w:tr>
        <w:trPr>
          <w:trHeight w:val="230"/>
        </w:trPr>
        <w:tc>
          <w:tcPr>
            <w:tcW w:w="7800" w:type="dxa"/>
            <w:vAlign w:val="bottom"/>
            <w:gridSpan w:val="3"/>
          </w:tcPr>
          <w:p>
            <w:pPr>
              <w:jc w:val="center"/>
              <w:ind w:right="238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730"/>
              <w:spacing w:after="0"/>
              <w:rPr>
                <w:sz w:val="20"/>
                <w:szCs w:val="20"/>
                <w:color w:val="auto"/>
              </w:rPr>
            </w:pPr>
            <w:r>
              <w:rPr>
                <w:rFonts w:ascii="Arial" w:cs="Arial" w:eastAsia="Arial" w:hAnsi="Arial"/>
                <w:sz w:val="18"/>
                <w:szCs w:val="18"/>
                <w:color w:val="auto"/>
                <w:w w:val="94"/>
              </w:rPr>
              <w:t>(Zip Code)</w:t>
            </w:r>
          </w:p>
        </w:tc>
      </w:tr>
      <w:tr>
        <w:trPr>
          <w:trHeight w:val="284"/>
        </w:trPr>
        <w:tc>
          <w:tcPr>
            <w:tcW w:w="424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85"/>
        </w:trPr>
        <w:tc>
          <w:tcPr>
            <w:tcW w:w="7800" w:type="dxa"/>
            <w:vAlign w:val="bottom"/>
            <w:gridSpan w:val="3"/>
          </w:tcPr>
          <w:p>
            <w:pPr>
              <w:ind w:left="3880"/>
              <w:spacing w:after="0"/>
              <w:rPr>
                <w:sz w:val="20"/>
                <w:szCs w:val="20"/>
                <w:color w:val="auto"/>
              </w:rPr>
            </w:pPr>
            <w:r>
              <w:rPr>
                <w:rFonts w:ascii="Arial" w:cs="Arial" w:eastAsia="Arial" w:hAnsi="Arial"/>
                <w:sz w:val="18"/>
                <w:szCs w:val="18"/>
                <w:b w:val="1"/>
                <w:bCs w:val="1"/>
                <w:color w:val="auto"/>
                <w:w w:val="96"/>
              </w:rPr>
              <w:t>Waste Management, Inc. Senior Debt Securities</w:t>
            </w:r>
          </w:p>
        </w:tc>
        <w:tc>
          <w:tcPr>
            <w:tcW w:w="3620" w:type="dxa"/>
            <w:vAlign w:val="bottom"/>
          </w:tcPr>
          <w:p>
            <w:pPr>
              <w:spacing w:after="0"/>
              <w:rPr>
                <w:sz w:val="24"/>
                <w:szCs w:val="24"/>
                <w:color w:val="auto"/>
              </w:rPr>
            </w:pPr>
          </w:p>
        </w:tc>
      </w:tr>
      <w:tr>
        <w:trPr>
          <w:trHeight w:val="284"/>
        </w:trPr>
        <w:tc>
          <w:tcPr>
            <w:tcW w:w="424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64"/>
        </w:trPr>
        <w:tc>
          <w:tcPr>
            <w:tcW w:w="424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r>
      <w:tr>
        <w:trPr>
          <w:trHeight w:val="28"/>
        </w:trPr>
        <w:tc>
          <w:tcPr>
            <w:tcW w:w="42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618"/>
        </w:trPr>
        <w:tc>
          <w:tcPr>
            <w:tcW w:w="42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4" w:right="239" w:bottom="1440" w:gutter="0" w:footer="0" w:header="0"/>
        </w:sectPr>
      </w:pPr>
    </w:p>
    <w:bookmarkStart w:id="54" w:name="page55"/>
    <w:bookmarkEnd w:id="54"/>
    <w:p>
      <w:pPr>
        <w:ind w:left="52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General Information.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Furnish the following information as to the trustee:</w:t>
      </w:r>
    </w:p>
    <w:p>
      <w:pPr>
        <w:spacing w:after="0" w:line="117" w:lineRule="exact"/>
        <w:rPr>
          <w:sz w:val="20"/>
          <w:szCs w:val="20"/>
          <w:color w:val="auto"/>
        </w:rPr>
      </w:pPr>
    </w:p>
    <w:p>
      <w:pPr>
        <w:ind w:left="700" w:right="3699" w:hanging="467"/>
        <w:spacing w:after="0" w:line="375" w:lineRule="auto"/>
        <w:tabs>
          <w:tab w:leader="none" w:pos="4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 Comptroller of the Currency, Washington, D.C.</w:t>
      </w:r>
    </w:p>
    <w:p>
      <w:pPr>
        <w:spacing w:after="0" w:line="1" w:lineRule="exact"/>
        <w:rPr>
          <w:rFonts w:ascii="Arial" w:cs="Arial" w:eastAsia="Arial" w:hAnsi="Arial"/>
          <w:sz w:val="18"/>
          <w:szCs w:val="18"/>
          <w:color w:val="auto"/>
        </w:rPr>
      </w:pPr>
    </w:p>
    <w:p>
      <w:pPr>
        <w:ind w:left="700" w:right="3919"/>
        <w:spacing w:after="0" w:line="397" w:lineRule="auto"/>
        <w:rPr>
          <w:rFonts w:ascii="Arial" w:cs="Arial" w:eastAsia="Arial" w:hAnsi="Arial"/>
          <w:sz w:val="18"/>
          <w:szCs w:val="18"/>
          <w:color w:val="auto"/>
        </w:rPr>
      </w:pPr>
      <w:r>
        <w:rPr>
          <w:rFonts w:ascii="Arial" w:cs="Arial" w:eastAsia="Arial" w:hAnsi="Arial"/>
          <w:sz w:val="17"/>
          <w:szCs w:val="17"/>
          <w:color w:val="auto"/>
        </w:rPr>
        <w:t>Board of Governors of the Federal Reserve System, Washington, D.C., 20551 Federal Deposit Insurance Corporation, Washington, D.C., 20429.</w:t>
      </w:r>
    </w:p>
    <w:p>
      <w:pPr>
        <w:spacing w:after="0" w:line="1" w:lineRule="exact"/>
        <w:rPr>
          <w:rFonts w:ascii="Arial" w:cs="Arial" w:eastAsia="Arial" w:hAnsi="Arial"/>
          <w:sz w:val="18"/>
          <w:szCs w:val="18"/>
          <w:color w:val="auto"/>
        </w:rPr>
      </w:pPr>
    </w:p>
    <w:p>
      <w:pPr>
        <w:ind w:left="480" w:hanging="247"/>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it is authorized to exercise corporate trust powers.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Affiliations with the Obligor and Guarantors.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the obligor or any guarantor is an affiliate of the trustee, describe each such affiliation.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Item 16. List of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List below all exhibits filed as a part of this Statement of Eligibility.</w:t>
      </w:r>
    </w:p>
    <w:p>
      <w:pPr>
        <w:spacing w:after="0" w:line="117" w:lineRule="exact"/>
        <w:rPr>
          <w:sz w:val="20"/>
          <w:szCs w:val="20"/>
          <w:color w:val="auto"/>
        </w:rPr>
      </w:pPr>
    </w:p>
    <w:p>
      <w:pPr>
        <w:ind w:right="580" w:firstLine="233"/>
        <w:spacing w:after="0" w:line="277" w:lineRule="auto"/>
        <w:tabs>
          <w:tab w:leader="none" w:pos="3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copy of the Articles of Association of JPMorgan Chase Bank, N.A. (see Exhibit 1 to Form T-1 filed in connection with Registration Statement No. 333-106575 which is incorporated by reference).</w:t>
      </w:r>
    </w:p>
    <w:p>
      <w:pPr>
        <w:spacing w:after="0" w:line="62" w:lineRule="exact"/>
        <w:rPr>
          <w:rFonts w:ascii="Arial" w:cs="Arial" w:eastAsia="Arial" w:hAnsi="Arial"/>
          <w:sz w:val="18"/>
          <w:szCs w:val="18"/>
          <w:color w:val="auto"/>
        </w:rPr>
      </w:pPr>
    </w:p>
    <w:p>
      <w:pPr>
        <w:ind w:right="440" w:firstLine="233"/>
        <w:spacing w:after="0" w:line="277" w:lineRule="auto"/>
        <w:tabs>
          <w:tab w:leader="none" w:pos="3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copy of the Certificate of Authority of the Comptroller of the Currency for the trustee to commence business. (see Exhibit 2 to Form T-1 filed in connection with Registration Statement No. 333-106575 which is incorporated by reference).</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None, the authority of the trustee to exercise corporate trust powers being contained in the documents described in Exhibits 1 and 2.</w:t>
      </w:r>
    </w:p>
    <w:p>
      <w:pPr>
        <w:spacing w:after="0" w:line="117" w:lineRule="exact"/>
        <w:rPr>
          <w:rFonts w:ascii="Arial" w:cs="Arial" w:eastAsia="Arial" w:hAnsi="Arial"/>
          <w:sz w:val="18"/>
          <w:szCs w:val="18"/>
          <w:color w:val="auto"/>
        </w:rPr>
      </w:pPr>
    </w:p>
    <w:p>
      <w:pPr>
        <w:ind w:right="340" w:firstLine="233"/>
        <w:spacing w:after="0" w:line="277" w:lineRule="auto"/>
        <w:tabs>
          <w:tab w:leader="none" w:pos="3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copy of the existing By-Laws of the Trustee. (see Exhibit 4 to Form T-1 filed in connection with Registration Statement No. 333-106575 which is incorporated by reference).</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right="200" w:firstLine="233"/>
        <w:spacing w:after="0" w:line="277" w:lineRule="auto"/>
        <w:tabs>
          <w:tab w:leader="none" w:pos="4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 (see Exhibit 6 to Form T-1 filed in connection with Registration Statement No. 333-106575 which is incorporated by reference).</w:t>
      </w:r>
    </w:p>
    <w:p>
      <w:pPr>
        <w:spacing w:after="0" w:line="62" w:lineRule="exact"/>
        <w:rPr>
          <w:rFonts w:ascii="Arial" w:cs="Arial" w:eastAsia="Arial" w:hAnsi="Arial"/>
          <w:sz w:val="18"/>
          <w:szCs w:val="18"/>
          <w:color w:val="auto"/>
        </w:rPr>
      </w:pPr>
    </w:p>
    <w:p>
      <w:pPr>
        <w:ind w:left="400" w:hanging="167"/>
        <w:spacing w:after="0"/>
        <w:tabs>
          <w:tab w:leader="none" w:pos="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copy of the latest report of condition of the Trustee, published pursuant to law or the requirements of its supervising or examining authority.</w:t>
      </w:r>
    </w:p>
    <w:p>
      <w:pPr>
        <w:spacing w:after="0" w:line="128" w:lineRule="exact"/>
        <w:rPr>
          <w:rFonts w:ascii="Arial" w:cs="Arial" w:eastAsia="Arial" w:hAnsi="Arial"/>
          <w:sz w:val="17"/>
          <w:szCs w:val="17"/>
          <w:color w:val="auto"/>
        </w:rPr>
      </w:pPr>
    </w:p>
    <w:p>
      <w:pPr>
        <w:ind w:left="420" w:hanging="187"/>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Pursuant to the requirements of the Trust Indenture Act of 1939 the Trustee, JPMorgan Chase Bank, N.A., has duly caused this statement of eligibility to be signed on its behalf by the undersigned, thereunto duly authorized, all in the City of New York and State of New York, on the 21st day of September, 2006.</w:t>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Mauri J.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3152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6" w:name="page57"/>
    <w:bookmarkEnd w:id="56"/>
    <w:p>
      <w:pPr>
        <w:ind w:left="4920"/>
        <w:spacing w:after="0"/>
        <w:rPr>
          <w:sz w:val="20"/>
          <w:szCs w:val="20"/>
          <w:color w:val="auto"/>
        </w:rPr>
      </w:pPr>
      <w:r>
        <w:rPr>
          <w:rFonts w:ascii="Arial" w:cs="Arial" w:eastAsia="Arial" w:hAnsi="Arial"/>
          <w:sz w:val="18"/>
          <w:szCs w:val="18"/>
          <w:color w:val="auto"/>
        </w:rPr>
        <w:t>Exhibit 7 to Form T-1</w:t>
      </w:r>
    </w:p>
    <w:p>
      <w:pPr>
        <w:spacing w:after="0" w:line="1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Bank Call Notice</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RESERVE DISTRICT NO. 2</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CONSOLIDATED REPORT OF CONDITION OF</w:t>
      </w:r>
    </w:p>
    <w:p>
      <w:pPr>
        <w:spacing w:after="0" w:line="10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1111 Polaris Parkway, Columbus, Ohio 43240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member of the Federal Reserve System,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June 30, 2006, 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accordance with a call made by the Federal Reserve Bank of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District pursuant to the provisions of the Federal Reserve Act.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Dollar Amounts</w:t>
            </w:r>
          </w:p>
        </w:tc>
      </w:tr>
      <w:tr>
        <w:trPr>
          <w:trHeight w:val="171"/>
        </w:trPr>
        <w:tc>
          <w:tcPr>
            <w:tcW w:w="9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9640" w:type="dxa"/>
            <w:vAlign w:val="bottom"/>
            <w:shd w:val="clear" w:color="auto" w:fill="CCEEFF"/>
          </w:tcPr>
          <w:p>
            <w:pPr>
              <w:ind w:left="42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432"/>
        </w:trPr>
        <w:tc>
          <w:tcPr>
            <w:tcW w:w="964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9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Noninterest-bearing balances and currency and coin</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37,066</w:t>
            </w:r>
          </w:p>
        </w:tc>
      </w:tr>
      <w:tr>
        <w:trPr>
          <w:trHeight w:val="216"/>
        </w:trPr>
        <w:tc>
          <w:tcPr>
            <w:tcW w:w="9640" w:type="dxa"/>
            <w:vAlign w:val="bottom"/>
          </w:tcPr>
          <w:p>
            <w:pPr>
              <w:ind w:left="220"/>
              <w:spacing w:after="0"/>
              <w:rPr>
                <w:sz w:val="20"/>
                <w:szCs w:val="20"/>
                <w:color w:val="auto"/>
              </w:rPr>
            </w:pPr>
            <w:r>
              <w:rPr>
                <w:rFonts w:ascii="Arial" w:cs="Arial" w:eastAsia="Arial" w:hAnsi="Arial"/>
                <w:sz w:val="18"/>
                <w:szCs w:val="18"/>
                <w:color w:val="auto"/>
              </w:rPr>
              <w:t>Interest-bearing balances</w:t>
            </w:r>
          </w:p>
        </w:tc>
        <w:tc>
          <w:tcPr>
            <w:tcW w:w="1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14,740</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Held to maturity securities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66,616</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9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 funds sold in domestic offices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18,725</w:t>
            </w:r>
          </w:p>
        </w:tc>
      </w:tr>
      <w:tr>
        <w:trPr>
          <w:trHeight w:val="216"/>
        </w:trPr>
        <w:tc>
          <w:tcPr>
            <w:tcW w:w="9640" w:type="dxa"/>
            <w:vAlign w:val="bottom"/>
          </w:tcPr>
          <w:p>
            <w:pPr>
              <w:ind w:left="220"/>
              <w:spacing w:after="0"/>
              <w:rPr>
                <w:sz w:val="20"/>
                <w:szCs w:val="20"/>
                <w:color w:val="auto"/>
              </w:rPr>
            </w:pPr>
            <w:r>
              <w:rPr>
                <w:rFonts w:ascii="Arial" w:cs="Arial" w:eastAsia="Arial" w:hAnsi="Arial"/>
                <w:sz w:val="18"/>
                <w:szCs w:val="18"/>
                <w:color w:val="auto"/>
              </w:rPr>
              <w:t>Securities purchased under agreements to resell</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237,104</w:t>
            </w:r>
          </w:p>
        </w:tc>
        <w:tc>
          <w:tcPr>
            <w:tcW w:w="320" w:type="dxa"/>
            <w:vAlign w:val="bottom"/>
          </w:tcPr>
          <w:p>
            <w:pPr>
              <w:spacing w:after="0"/>
              <w:rPr>
                <w:sz w:val="18"/>
                <w:szCs w:val="18"/>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9640" w:type="dxa"/>
            <w:vAlign w:val="bottom"/>
          </w:tcPr>
          <w:p>
            <w:pPr>
              <w:ind w:left="220"/>
              <w:spacing w:after="0"/>
              <w:rPr>
                <w:sz w:val="20"/>
                <w:szCs w:val="20"/>
                <w:color w:val="auto"/>
              </w:rPr>
            </w:pPr>
            <w:r>
              <w:rPr>
                <w:rFonts w:ascii="Arial" w:cs="Arial" w:eastAsia="Arial" w:hAnsi="Arial"/>
                <w:sz w:val="18"/>
                <w:szCs w:val="18"/>
                <w:color w:val="auto"/>
              </w:rPr>
              <w:t>Loans and leases held for sale</w:t>
            </w:r>
          </w:p>
        </w:tc>
        <w:tc>
          <w:tcPr>
            <w:tcW w:w="1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35,958</w:t>
            </w:r>
          </w:p>
        </w:tc>
      </w:tr>
      <w:tr>
        <w:trPr>
          <w:trHeight w:val="216"/>
        </w:trPr>
        <w:tc>
          <w:tcPr>
            <w:tcW w:w="9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and leases, net of unearned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365,437</w:t>
            </w:r>
          </w:p>
        </w:tc>
        <w:tc>
          <w:tcPr>
            <w:tcW w:w="320" w:type="dxa"/>
            <w:vAlign w:val="bottom"/>
            <w:shd w:val="clear" w:color="auto" w:fill="CCEEFF"/>
          </w:tcPr>
          <w:p>
            <w:pPr>
              <w:spacing w:after="0"/>
              <w:rPr>
                <w:sz w:val="18"/>
                <w:szCs w:val="18"/>
                <w:color w:val="auto"/>
              </w:rPr>
            </w:pPr>
          </w:p>
        </w:tc>
      </w:tr>
      <w:tr>
        <w:trPr>
          <w:trHeight w:val="216"/>
        </w:trPr>
        <w:tc>
          <w:tcPr>
            <w:tcW w:w="9640" w:type="dxa"/>
            <w:vAlign w:val="bottom"/>
          </w:tcPr>
          <w:p>
            <w:pPr>
              <w:ind w:left="220"/>
              <w:spacing w:after="0"/>
              <w:rPr>
                <w:sz w:val="20"/>
                <w:szCs w:val="20"/>
                <w:color w:val="auto"/>
              </w:rPr>
            </w:pPr>
            <w:r>
              <w:rPr>
                <w:rFonts w:ascii="Arial" w:cs="Arial" w:eastAsia="Arial" w:hAnsi="Arial"/>
                <w:sz w:val="18"/>
                <w:szCs w:val="18"/>
                <w:color w:val="auto"/>
              </w:rPr>
              <w:t>Less: Allowance for loan and lease losses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4,964</w:t>
            </w:r>
          </w:p>
        </w:tc>
        <w:tc>
          <w:tcPr>
            <w:tcW w:w="320" w:type="dxa"/>
            <w:vAlign w:val="bottom"/>
          </w:tcPr>
          <w:p>
            <w:pPr>
              <w:spacing w:after="0"/>
              <w:rPr>
                <w:sz w:val="18"/>
                <w:szCs w:val="18"/>
                <w:color w:val="auto"/>
              </w:rPr>
            </w:pPr>
          </w:p>
        </w:tc>
      </w:tr>
      <w:tr>
        <w:trPr>
          <w:trHeight w:val="216"/>
        </w:trPr>
        <w:tc>
          <w:tcPr>
            <w:tcW w:w="9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and leases, net of unearned income and allowance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360,473</w:t>
            </w:r>
          </w:p>
        </w:tc>
        <w:tc>
          <w:tcPr>
            <w:tcW w:w="32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Trading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279,208</w:t>
            </w:r>
          </w:p>
        </w:tc>
        <w:tc>
          <w:tcPr>
            <w:tcW w:w="320" w:type="dxa"/>
            <w:vAlign w:val="bottom"/>
          </w:tcPr>
          <w:p>
            <w:pPr>
              <w:spacing w:after="0"/>
              <w:rPr>
                <w:sz w:val="18"/>
                <w:szCs w:val="18"/>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32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8"/>
                <w:szCs w:val="18"/>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32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9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23,781</w:t>
            </w:r>
          </w:p>
        </w:tc>
      </w:tr>
      <w:tr>
        <w:trPr>
          <w:trHeight w:val="216"/>
        </w:trPr>
        <w:tc>
          <w:tcPr>
            <w:tcW w:w="9640" w:type="dxa"/>
            <w:vAlign w:val="bottom"/>
          </w:tcPr>
          <w:p>
            <w:pPr>
              <w:ind w:left="22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12,270</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48,351</w:t>
            </w:r>
          </w:p>
        </w:tc>
      </w:tr>
      <w:tr>
        <w:trPr>
          <w:trHeight w:val="216"/>
        </w:trPr>
        <w:tc>
          <w:tcPr>
            <w:tcW w:w="96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1,144,680</w:t>
            </w:r>
          </w:p>
        </w:tc>
        <w:tc>
          <w:tcPr>
            <w:tcW w:w="320" w:type="dxa"/>
            <w:vAlign w:val="bottom"/>
          </w:tcPr>
          <w:p>
            <w:pPr>
              <w:spacing w:after="0"/>
              <w:rPr>
                <w:sz w:val="18"/>
                <w:szCs w:val="18"/>
                <w:color w:val="auto"/>
              </w:rPr>
            </w:pPr>
          </w:p>
        </w:tc>
      </w:tr>
      <w:tr>
        <w:trPr>
          <w:trHeight w:val="20"/>
        </w:trPr>
        <w:tc>
          <w:tcPr>
            <w:tcW w:w="9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626"/>
        </w:trPr>
        <w:tc>
          <w:tcPr>
            <w:tcW w:w="96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Dollar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40"/>
              <w:spacing w:after="0"/>
              <w:rPr>
                <w:sz w:val="20"/>
                <w:szCs w:val="20"/>
                <w:color w:val="auto"/>
              </w:rPr>
            </w:pPr>
            <w:r>
              <w:rPr>
                <w:rFonts w:ascii="Arial" w:cs="Arial" w:eastAsia="Arial" w:hAnsi="Arial"/>
                <w:sz w:val="18"/>
                <w:szCs w:val="18"/>
                <w:color w:val="auto"/>
              </w:rPr>
              <w:t>LIABILITIES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Deposits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domestic offices</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434,752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Noninterest-bearing</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139,460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295,292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In foreign offices, Edge and Agreement subsidiaries and IBF’s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193,840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Noninterest-bearing</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Interest-bearing</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186,323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 ments to repurchase:</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Federal funds purchased in domestic offices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sold under agreements to repurchase</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Trading liabilities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129,826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TOTAL LIABILITIES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1,052,608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consolidated subsidiaries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20" w:type="dxa"/>
            <w:vAlign w:val="bottom"/>
          </w:tcPr>
          <w:p>
            <w:pPr>
              <w:ind w:left="3820"/>
              <w:spacing w:after="0"/>
              <w:rPr>
                <w:sz w:val="20"/>
                <w:szCs w:val="20"/>
                <w:color w:val="auto"/>
              </w:rPr>
            </w:pPr>
            <w:r>
              <w:rPr>
                <w:rFonts w:ascii="Arial" w:cs="Arial" w:eastAsia="Arial" w:hAnsi="Arial"/>
                <w:sz w:val="18"/>
                <w:szCs w:val="18"/>
                <w:color w:val="auto"/>
              </w:rPr>
              <w:t>EQUITY CAPITAL</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Common stock</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Retained earnings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89,362</w:t>
            </w: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1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1,144,680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 Joseph L. Sclafani, E.V.P. &amp; Controller of the above-named bank, do hereby declare that this Report of Condition has been prepared in conformance with the instructions issued by the appropriate Federal regulatory authority and is true to the best of my knowledge and belief.</w:t>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L. SCLAFANI</w:t>
      </w:r>
    </w:p>
    <w:p>
      <w:pPr>
        <w:spacing w:after="0" w:line="11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 xml:space="preserve">We, the undersigned directors, attest to the correctness of this Report of Condition and declare that it has been examined by us, and to the best of our knowledge and belief has been prepared in conformance with the in- structions issued by the appropriate Federal regulatory </w:t>
      </w:r>
      <w:r>
        <w:rPr>
          <w:rFonts w:ascii="Arial" w:cs="Arial" w:eastAsia="Arial" w:hAnsi="Arial"/>
          <w:sz w:val="18"/>
          <w:szCs w:val="18"/>
          <w:b w:val="1"/>
          <w:bCs w:val="1"/>
          <w:color w:val="auto"/>
        </w:rPr>
        <w:t>authority and is true and</w:t>
      </w:r>
      <w:r>
        <w:rPr>
          <w:rFonts w:ascii="Arial" w:cs="Arial" w:eastAsia="Arial" w:hAnsi="Arial"/>
          <w:sz w:val="18"/>
          <w:szCs w:val="18"/>
          <w:color w:val="auto"/>
        </w:rPr>
        <w:t xml:space="preserve"> </w:t>
      </w:r>
      <w:r>
        <w:rPr>
          <w:rFonts w:ascii="Arial" w:cs="Arial" w:eastAsia="Arial" w:hAnsi="Arial"/>
          <w:sz w:val="18"/>
          <w:szCs w:val="18"/>
          <w:b w:val="1"/>
          <w:bCs w:val="1"/>
          <w:color w:val="auto"/>
        </w:rPr>
        <w:t>correct.</w:t>
      </w:r>
    </w:p>
    <w:p>
      <w:pPr>
        <w:sectPr>
          <w:pgSz w:w="11900" w:h="16838" w:orient="portrait"/>
          <w:cols w:equalWidth="0" w:num="1">
            <w:col w:w="11420"/>
          </w:cols>
          <w:pgMar w:left="240" w:top="1131" w:right="239" w:bottom="1440" w:gutter="0" w:footer="0" w:header="0"/>
        </w:sectPr>
      </w:pPr>
    </w:p>
    <w:p>
      <w:pPr>
        <w:spacing w:after="0" w:line="181"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WILLIAM B. HARRISON , JR.</w:t>
      </w:r>
    </w:p>
    <w:p>
      <w:pPr>
        <w:spacing w:after="0" w:line="3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JAMES DIMON</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MICHAEL J. CAVANAGH</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DIRECTORS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220" w:space="260"/>
            <w:col w:w="1940"/>
          </w:cols>
          <w:pgMar w:left="240" w:top="1131" w:right="23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w:t>
      </w:r>
    </w:p>
    <w:p>
      <w:pPr>
        <w:jc w:val="center"/>
        <w:spacing w:after="0"/>
        <w:rPr>
          <w:sz w:val="20"/>
          <w:szCs w:val="20"/>
          <w:color w:val="auto"/>
        </w:rPr>
      </w:pPr>
      <w:r>
        <w:rPr>
          <w:rFonts w:ascii="Arial" w:cs="Arial" w:eastAsia="Arial" w:hAnsi="Arial"/>
          <w:sz w:val="22"/>
          <w:szCs w:val="22"/>
          <w:b w:val="1"/>
          <w:bCs w:val="1"/>
          <w:color w:val="auto"/>
        </w:rPr>
        <w:t>A 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CHECK IF AN APPLICATION TO DETERMINE ELIGIBILITY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JPMORGAN CHASE BANK, NATIONAL ASSOCIATION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666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13-4994650</w:t>
            </w:r>
          </w:p>
        </w:tc>
      </w:tr>
      <w:tr>
        <w:trPr>
          <w:trHeight w:val="216"/>
        </w:trPr>
        <w:tc>
          <w:tcPr>
            <w:tcW w:w="6660" w:type="dxa"/>
            <w:vAlign w:val="bottom"/>
          </w:tcPr>
          <w:p>
            <w:pPr>
              <w:jc w:val="center"/>
              <w:ind w:right="3690"/>
              <w:spacing w:after="0"/>
              <w:rPr>
                <w:sz w:val="20"/>
                <w:szCs w:val="20"/>
                <w:color w:val="auto"/>
              </w:rPr>
            </w:pPr>
            <w:r>
              <w:rPr>
                <w:rFonts w:ascii="Arial" w:cs="Arial" w:eastAsia="Arial" w:hAnsi="Arial"/>
                <w:sz w:val="18"/>
                <w:szCs w:val="18"/>
                <w:color w:val="auto"/>
                <w:w w:val="92"/>
              </w:rPr>
              <w:t>(State of incorporation</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6660" w:type="dxa"/>
            <w:vAlign w:val="bottom"/>
          </w:tcPr>
          <w:p>
            <w:pPr>
              <w:jc w:val="center"/>
              <w:ind w:right="3690"/>
              <w:spacing w:after="0"/>
              <w:rPr>
                <w:sz w:val="20"/>
                <w:szCs w:val="20"/>
                <w:color w:val="auto"/>
              </w:rPr>
            </w:pPr>
            <w:r>
              <w:rPr>
                <w:rFonts w:ascii="Arial" w:cs="Arial" w:eastAsia="Arial" w:hAnsi="Arial"/>
                <w:sz w:val="18"/>
                <w:szCs w:val="18"/>
                <w:color w:val="auto"/>
                <w:w w:val="92"/>
              </w:rPr>
              <w:t>if not a national bank)</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6"/>
              </w:rPr>
              <w:t>identification No.)</w:t>
            </w:r>
          </w:p>
        </w:tc>
      </w:tr>
      <w:tr>
        <w:trPr>
          <w:trHeight w:val="414"/>
        </w:trPr>
        <w:tc>
          <w:tcPr>
            <w:tcW w:w="6660" w:type="dxa"/>
            <w:vAlign w:val="bottom"/>
          </w:tcPr>
          <w:p>
            <w:pPr>
              <w:jc w:val="center"/>
              <w:ind w:right="3690"/>
              <w:spacing w:after="0"/>
              <w:rPr>
                <w:sz w:val="20"/>
                <w:szCs w:val="20"/>
                <w:color w:val="auto"/>
              </w:rPr>
            </w:pPr>
            <w:r>
              <w:rPr>
                <w:rFonts w:ascii="Arial" w:cs="Arial" w:eastAsia="Arial" w:hAnsi="Arial"/>
                <w:sz w:val="18"/>
                <w:szCs w:val="18"/>
                <w:b w:val="1"/>
                <w:bCs w:val="1"/>
                <w:color w:val="auto"/>
                <w:w w:val="89"/>
              </w:rPr>
              <w:t>1111 Polaris Parkway</w:t>
            </w:r>
          </w:p>
        </w:tc>
        <w:tc>
          <w:tcPr>
            <w:tcW w:w="1440" w:type="dxa"/>
            <w:vAlign w:val="bottom"/>
          </w:tcPr>
          <w:p>
            <w:pPr>
              <w:spacing w:after="0"/>
              <w:rPr>
                <w:sz w:val="24"/>
                <w:szCs w:val="24"/>
                <w:color w:val="auto"/>
              </w:rPr>
            </w:pPr>
          </w:p>
        </w:tc>
      </w:tr>
      <w:tr>
        <w:trPr>
          <w:trHeight w:val="220"/>
        </w:trPr>
        <w:tc>
          <w:tcPr>
            <w:tcW w:w="6660" w:type="dxa"/>
            <w:vAlign w:val="bottom"/>
          </w:tcPr>
          <w:p>
            <w:pPr>
              <w:jc w:val="center"/>
              <w:ind w:right="3710"/>
              <w:spacing w:after="0"/>
              <w:rPr>
                <w:sz w:val="20"/>
                <w:szCs w:val="20"/>
                <w:color w:val="auto"/>
              </w:rPr>
            </w:pPr>
            <w:r>
              <w:rPr>
                <w:rFonts w:ascii="Arial" w:cs="Arial" w:eastAsia="Arial" w:hAnsi="Arial"/>
                <w:sz w:val="18"/>
                <w:szCs w:val="18"/>
                <w:b w:val="1"/>
                <w:bCs w:val="1"/>
                <w:color w:val="auto"/>
                <w:w w:val="90"/>
              </w:rPr>
              <w:t>Columbus, Ohio</w:t>
            </w: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43271</w:t>
            </w:r>
          </w:p>
        </w:tc>
      </w:tr>
      <w:tr>
        <w:trPr>
          <w:trHeight w:val="230"/>
        </w:trPr>
        <w:tc>
          <w:tcPr>
            <w:tcW w:w="6660" w:type="dxa"/>
            <w:vAlign w:val="bottom"/>
          </w:tcPr>
          <w:p>
            <w:pPr>
              <w:jc w:val="center"/>
              <w:ind w:right="3710"/>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6660" w:type="dxa"/>
            <w:vAlign w:val="bottom"/>
          </w:tcPr>
          <w:p>
            <w:pPr>
              <w:jc w:val="center"/>
              <w:ind w:left="2130"/>
              <w:spacing w:after="0"/>
              <w:rPr>
                <w:sz w:val="20"/>
                <w:szCs w:val="20"/>
                <w:color w:val="auto"/>
              </w:rPr>
            </w:pPr>
            <w:r>
              <w:rPr>
                <w:rFonts w:ascii="Arial" w:cs="Arial" w:eastAsia="Arial" w:hAnsi="Arial"/>
                <w:sz w:val="18"/>
                <w:szCs w:val="18"/>
                <w:color w:val="auto"/>
                <w:w w:val="94"/>
              </w:rPr>
              <w:t>Robert M. Macallister</w:t>
            </w:r>
          </w:p>
        </w:tc>
        <w:tc>
          <w:tcPr>
            <w:tcW w:w="1440" w:type="dxa"/>
            <w:vAlign w:val="bottom"/>
          </w:tcPr>
          <w:p>
            <w:pPr>
              <w:spacing w:after="0"/>
              <w:rPr>
                <w:sz w:val="24"/>
                <w:szCs w:val="24"/>
                <w:color w:val="auto"/>
              </w:rPr>
            </w:pPr>
          </w:p>
        </w:tc>
      </w:tr>
      <w:tr>
        <w:trPr>
          <w:trHeight w:val="216"/>
        </w:trPr>
        <w:tc>
          <w:tcPr>
            <w:tcW w:w="6660" w:type="dxa"/>
            <w:vAlign w:val="bottom"/>
          </w:tcPr>
          <w:p>
            <w:pPr>
              <w:jc w:val="center"/>
              <w:ind w:left="2110"/>
              <w:spacing w:after="0"/>
              <w:rPr>
                <w:sz w:val="20"/>
                <w:szCs w:val="20"/>
                <w:color w:val="auto"/>
              </w:rPr>
            </w:pPr>
            <w:r>
              <w:rPr>
                <w:rFonts w:ascii="Arial" w:cs="Arial" w:eastAsia="Arial" w:hAnsi="Arial"/>
                <w:sz w:val="18"/>
                <w:szCs w:val="18"/>
                <w:color w:val="auto"/>
                <w:w w:val="89"/>
              </w:rPr>
              <w:t>Senior Vice President and Associate General Counsel</w:t>
            </w:r>
          </w:p>
        </w:tc>
        <w:tc>
          <w:tcPr>
            <w:tcW w:w="1440" w:type="dxa"/>
            <w:vAlign w:val="bottom"/>
          </w:tcPr>
          <w:p>
            <w:pPr>
              <w:spacing w:after="0"/>
              <w:rPr>
                <w:sz w:val="18"/>
                <w:szCs w:val="18"/>
                <w:color w:val="auto"/>
              </w:rPr>
            </w:pPr>
          </w:p>
        </w:tc>
      </w:tr>
      <w:tr>
        <w:trPr>
          <w:trHeight w:val="216"/>
        </w:trPr>
        <w:tc>
          <w:tcPr>
            <w:tcW w:w="6660" w:type="dxa"/>
            <w:vAlign w:val="bottom"/>
          </w:tcPr>
          <w:p>
            <w:pPr>
              <w:jc w:val="center"/>
              <w:ind w:left="2110"/>
              <w:spacing w:after="0"/>
              <w:rPr>
                <w:sz w:val="20"/>
                <w:szCs w:val="20"/>
                <w:color w:val="auto"/>
              </w:rPr>
            </w:pPr>
            <w:r>
              <w:rPr>
                <w:rFonts w:ascii="Arial" w:cs="Arial" w:eastAsia="Arial" w:hAnsi="Arial"/>
                <w:sz w:val="18"/>
                <w:szCs w:val="18"/>
                <w:color w:val="auto"/>
                <w:w w:val="91"/>
              </w:rPr>
              <w:t>JPMorgan Chase Bank, National Association</w:t>
            </w:r>
          </w:p>
        </w:tc>
        <w:tc>
          <w:tcPr>
            <w:tcW w:w="1440" w:type="dxa"/>
            <w:vAlign w:val="bottom"/>
          </w:tcPr>
          <w:p>
            <w:pPr>
              <w:spacing w:after="0"/>
              <w:rPr>
                <w:sz w:val="18"/>
                <w:szCs w:val="18"/>
                <w:color w:val="auto"/>
              </w:rPr>
            </w:pPr>
          </w:p>
        </w:tc>
      </w:tr>
      <w:tr>
        <w:trPr>
          <w:trHeight w:val="216"/>
        </w:trPr>
        <w:tc>
          <w:tcPr>
            <w:tcW w:w="6660" w:type="dxa"/>
            <w:vAlign w:val="bottom"/>
          </w:tcPr>
          <w:p>
            <w:pPr>
              <w:jc w:val="center"/>
              <w:ind w:left="2110"/>
              <w:spacing w:after="0"/>
              <w:rPr>
                <w:sz w:val="20"/>
                <w:szCs w:val="20"/>
                <w:color w:val="auto"/>
              </w:rPr>
            </w:pPr>
            <w:r>
              <w:rPr>
                <w:rFonts w:ascii="Arial" w:cs="Arial" w:eastAsia="Arial" w:hAnsi="Arial"/>
                <w:sz w:val="18"/>
                <w:szCs w:val="18"/>
                <w:color w:val="auto"/>
                <w:w w:val="87"/>
              </w:rPr>
              <w:t>1 Chase Manhattan Plaza</w:t>
            </w:r>
          </w:p>
        </w:tc>
        <w:tc>
          <w:tcPr>
            <w:tcW w:w="1440" w:type="dxa"/>
            <w:vAlign w:val="bottom"/>
          </w:tcPr>
          <w:p>
            <w:pPr>
              <w:spacing w:after="0"/>
              <w:rPr>
                <w:sz w:val="18"/>
                <w:szCs w:val="18"/>
                <w:color w:val="auto"/>
              </w:rPr>
            </w:pPr>
          </w:p>
        </w:tc>
      </w:tr>
      <w:tr>
        <w:trPr>
          <w:trHeight w:val="216"/>
        </w:trPr>
        <w:tc>
          <w:tcPr>
            <w:tcW w:w="6660" w:type="dxa"/>
            <w:vAlign w:val="bottom"/>
          </w:tcPr>
          <w:p>
            <w:pPr>
              <w:jc w:val="center"/>
              <w:ind w:left="2130"/>
              <w:spacing w:after="0"/>
              <w:rPr>
                <w:sz w:val="20"/>
                <w:szCs w:val="20"/>
                <w:color w:val="auto"/>
              </w:rPr>
            </w:pPr>
            <w:r>
              <w:rPr>
                <w:rFonts w:ascii="Arial" w:cs="Arial" w:eastAsia="Arial" w:hAnsi="Arial"/>
                <w:sz w:val="18"/>
                <w:szCs w:val="18"/>
                <w:color w:val="auto"/>
                <w:w w:val="93"/>
              </w:rPr>
              <w:t>New York, NY 10005-1401</w:t>
            </w:r>
          </w:p>
        </w:tc>
        <w:tc>
          <w:tcPr>
            <w:tcW w:w="1440" w:type="dxa"/>
            <w:vAlign w:val="bottom"/>
          </w:tcPr>
          <w:p>
            <w:pPr>
              <w:spacing w:after="0"/>
              <w:rPr>
                <w:sz w:val="18"/>
                <w:szCs w:val="18"/>
                <w:color w:val="auto"/>
              </w:rPr>
            </w:pPr>
          </w:p>
        </w:tc>
      </w:tr>
      <w:tr>
        <w:trPr>
          <w:trHeight w:val="216"/>
        </w:trPr>
        <w:tc>
          <w:tcPr>
            <w:tcW w:w="6660" w:type="dxa"/>
            <w:vAlign w:val="bottom"/>
          </w:tcPr>
          <w:p>
            <w:pPr>
              <w:jc w:val="center"/>
              <w:ind w:left="2130"/>
              <w:spacing w:after="0"/>
              <w:rPr>
                <w:sz w:val="20"/>
                <w:szCs w:val="20"/>
                <w:color w:val="auto"/>
              </w:rPr>
            </w:pPr>
            <w:r>
              <w:rPr>
                <w:rFonts w:ascii="Arial" w:cs="Arial" w:eastAsia="Arial" w:hAnsi="Arial"/>
                <w:sz w:val="18"/>
                <w:szCs w:val="18"/>
                <w:color w:val="auto"/>
                <w:w w:val="91"/>
              </w:rPr>
              <w:t>Tel: (212) 552-1716</w:t>
            </w:r>
          </w:p>
        </w:tc>
        <w:tc>
          <w:tcPr>
            <w:tcW w:w="1440" w:type="dxa"/>
            <w:vAlign w:val="bottom"/>
          </w:tcPr>
          <w:p>
            <w:pPr>
              <w:spacing w:after="0"/>
              <w:rPr>
                <w:sz w:val="18"/>
                <w:szCs w:val="18"/>
                <w:color w:val="auto"/>
              </w:rPr>
            </w:pPr>
          </w:p>
        </w:tc>
      </w:tr>
      <w:tr>
        <w:trPr>
          <w:trHeight w:val="230"/>
        </w:trPr>
        <w:tc>
          <w:tcPr>
            <w:tcW w:w="6660" w:type="dxa"/>
            <w:vAlign w:val="bottom"/>
          </w:tcPr>
          <w:p>
            <w:pPr>
              <w:jc w:val="center"/>
              <w:ind w:left="2110"/>
              <w:spacing w:after="0"/>
              <w:rPr>
                <w:sz w:val="20"/>
                <w:szCs w:val="20"/>
                <w:color w:val="auto"/>
              </w:rPr>
            </w:pPr>
            <w:r>
              <w:rPr>
                <w:rFonts w:ascii="Arial" w:cs="Arial" w:eastAsia="Arial" w:hAnsi="Arial"/>
                <w:sz w:val="18"/>
                <w:szCs w:val="18"/>
                <w:color w:val="auto"/>
                <w:w w:val="89"/>
              </w:rPr>
              <w:t>(Name, address and telephone number of agent for service)</w:t>
            </w:r>
          </w:p>
        </w:tc>
        <w:tc>
          <w:tcPr>
            <w:tcW w:w="1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40" w:type="dxa"/>
            <w:vAlign w:val="bottom"/>
            <w:gridSpan w:val="3"/>
          </w:tcPr>
          <w:p>
            <w:pPr>
              <w:jc w:val="center"/>
              <w:ind w:right="250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right"/>
              <w:ind w:right="2190"/>
              <w:spacing w:after="0"/>
              <w:rPr>
                <w:sz w:val="20"/>
                <w:szCs w:val="20"/>
                <w:color w:val="auto"/>
              </w:rPr>
            </w:pPr>
            <w:r>
              <w:rPr>
                <w:rFonts w:ascii="Arial" w:cs="Arial" w:eastAsia="Arial" w:hAnsi="Arial"/>
                <w:sz w:val="18"/>
                <w:szCs w:val="18"/>
                <w:b w:val="1"/>
                <w:bCs w:val="1"/>
                <w:color w:val="auto"/>
              </w:rPr>
              <w:t>73-1309529</w:t>
            </w:r>
          </w:p>
        </w:tc>
      </w:tr>
      <w:tr>
        <w:trPr>
          <w:trHeight w:val="216"/>
        </w:trPr>
        <w:tc>
          <w:tcPr>
            <w:tcW w:w="7940" w:type="dxa"/>
            <w:vAlign w:val="bottom"/>
            <w:gridSpan w:val="3"/>
          </w:tcPr>
          <w:p>
            <w:pPr>
              <w:jc w:val="center"/>
              <w:ind w:right="2500"/>
              <w:spacing w:after="0"/>
              <w:rPr>
                <w:sz w:val="20"/>
                <w:szCs w:val="20"/>
                <w:color w:val="auto"/>
              </w:rPr>
            </w:pPr>
            <w:r>
              <w:rPr>
                <w:rFonts w:ascii="Arial" w:cs="Arial" w:eastAsia="Arial" w:hAnsi="Arial"/>
                <w:sz w:val="18"/>
                <w:szCs w:val="18"/>
                <w:color w:val="auto"/>
                <w:w w:val="92"/>
              </w:rPr>
              <w:t>(State or other jurisdiction of</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2"/>
              </w:rPr>
              <w:t>(I.R.S. employer</w:t>
            </w:r>
          </w:p>
        </w:tc>
      </w:tr>
      <w:tr>
        <w:trPr>
          <w:trHeight w:val="230"/>
        </w:trPr>
        <w:tc>
          <w:tcPr>
            <w:tcW w:w="7940" w:type="dxa"/>
            <w:vAlign w:val="bottom"/>
            <w:gridSpan w:val="3"/>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850"/>
              <w:spacing w:after="0"/>
              <w:rPr>
                <w:sz w:val="20"/>
                <w:szCs w:val="20"/>
                <w:color w:val="auto"/>
              </w:rPr>
            </w:pPr>
            <w:r>
              <w:rPr>
                <w:rFonts w:ascii="Arial" w:cs="Arial" w:eastAsia="Arial" w:hAnsi="Arial"/>
                <w:sz w:val="18"/>
                <w:szCs w:val="18"/>
                <w:color w:val="auto"/>
                <w:w w:val="96"/>
              </w:rPr>
              <w:t>identification No.)</w:t>
            </w:r>
          </w:p>
        </w:tc>
      </w:tr>
      <w:tr>
        <w:trPr>
          <w:trHeight w:val="414"/>
        </w:trPr>
        <w:tc>
          <w:tcPr>
            <w:tcW w:w="7940" w:type="dxa"/>
            <w:vAlign w:val="bottom"/>
            <w:gridSpan w:val="3"/>
          </w:tcPr>
          <w:p>
            <w:pPr>
              <w:jc w:val="center"/>
              <w:ind w:right="2500"/>
              <w:spacing w:after="0"/>
              <w:rPr>
                <w:sz w:val="20"/>
                <w:szCs w:val="20"/>
                <w:color w:val="auto"/>
              </w:rPr>
            </w:pPr>
            <w:r>
              <w:rPr>
                <w:rFonts w:ascii="Arial" w:cs="Arial" w:eastAsia="Arial" w:hAnsi="Arial"/>
                <w:sz w:val="18"/>
                <w:szCs w:val="18"/>
                <w:b w:val="1"/>
                <w:bCs w:val="1"/>
                <w:color w:val="auto"/>
                <w:w w:val="89"/>
              </w:rPr>
              <w:t>1011 Fannin Street, Suite 4000</w:t>
            </w:r>
          </w:p>
        </w:tc>
        <w:tc>
          <w:tcPr>
            <w:tcW w:w="3480" w:type="dxa"/>
            <w:vAlign w:val="bottom"/>
          </w:tcPr>
          <w:p>
            <w:pPr>
              <w:spacing w:after="0"/>
              <w:rPr>
                <w:sz w:val="24"/>
                <w:szCs w:val="24"/>
                <w:color w:val="auto"/>
              </w:rPr>
            </w:pPr>
          </w:p>
        </w:tc>
      </w:tr>
      <w:tr>
        <w:trPr>
          <w:trHeight w:val="220"/>
        </w:trPr>
        <w:tc>
          <w:tcPr>
            <w:tcW w:w="794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88"/>
              </w:rPr>
              <w:t>Houston, Texas</w:t>
            </w:r>
          </w:p>
        </w:tc>
        <w:tc>
          <w:tcPr>
            <w:tcW w:w="3480" w:type="dxa"/>
            <w:vAlign w:val="bottom"/>
          </w:tcPr>
          <w:p>
            <w:pPr>
              <w:jc w:val="right"/>
              <w:ind w:right="2390"/>
              <w:spacing w:after="0"/>
              <w:rPr>
                <w:sz w:val="20"/>
                <w:szCs w:val="20"/>
                <w:color w:val="auto"/>
              </w:rPr>
            </w:pPr>
            <w:r>
              <w:rPr>
                <w:rFonts w:ascii="Arial" w:cs="Arial" w:eastAsia="Arial" w:hAnsi="Arial"/>
                <w:sz w:val="18"/>
                <w:szCs w:val="18"/>
                <w:b w:val="1"/>
                <w:bCs w:val="1"/>
                <w:color w:val="auto"/>
              </w:rPr>
              <w:t>77002</w:t>
            </w:r>
          </w:p>
        </w:tc>
      </w:tr>
      <w:tr>
        <w:trPr>
          <w:trHeight w:val="230"/>
        </w:trPr>
        <w:tc>
          <w:tcPr>
            <w:tcW w:w="794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r>
        <w:trPr>
          <w:trHeight w:val="297"/>
        </w:trPr>
        <w:tc>
          <w:tcPr>
            <w:tcW w:w="424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93"/>
        </w:trPr>
        <w:tc>
          <w:tcPr>
            <w:tcW w:w="7940" w:type="dxa"/>
            <w:vAlign w:val="bottom"/>
            <w:gridSpan w:val="3"/>
          </w:tcPr>
          <w:p>
            <w:pPr>
              <w:ind w:left="3600"/>
              <w:spacing w:after="0"/>
              <w:rPr>
                <w:sz w:val="20"/>
                <w:szCs w:val="20"/>
                <w:color w:val="auto"/>
              </w:rPr>
            </w:pPr>
            <w:r>
              <w:rPr>
                <w:rFonts w:ascii="Arial" w:cs="Arial" w:eastAsia="Arial" w:hAnsi="Arial"/>
                <w:sz w:val="18"/>
                <w:szCs w:val="18"/>
                <w:b w:val="1"/>
                <w:bCs w:val="1"/>
                <w:color w:val="auto"/>
                <w:w w:val="92"/>
              </w:rPr>
              <w:t>Waste Management, Inc. Subordinated Debt Securities</w:t>
            </w:r>
          </w:p>
        </w:tc>
        <w:tc>
          <w:tcPr>
            <w:tcW w:w="3480" w:type="dxa"/>
            <w:vAlign w:val="bottom"/>
          </w:tcPr>
          <w:p>
            <w:pPr>
              <w:spacing w:after="0"/>
              <w:rPr>
                <w:sz w:val="24"/>
                <w:szCs w:val="24"/>
                <w:color w:val="auto"/>
              </w:rPr>
            </w:pPr>
          </w:p>
        </w:tc>
      </w:tr>
      <w:tr>
        <w:trPr>
          <w:trHeight w:val="284"/>
        </w:trPr>
        <w:tc>
          <w:tcPr>
            <w:tcW w:w="424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8"/>
        </w:trPr>
        <w:tc>
          <w:tcPr>
            <w:tcW w:w="4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r>
        <w:trPr>
          <w:trHeight w:val="631"/>
        </w:trPr>
        <w:tc>
          <w:tcPr>
            <w:tcW w:w="42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9" w:name="page60"/>
    <w:bookmarkEnd w:id="59"/>
    <w:p>
      <w:pPr>
        <w:ind w:left="52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General Information.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Furnish the following information as to the trustee:</w:t>
      </w:r>
    </w:p>
    <w:p>
      <w:pPr>
        <w:spacing w:after="0" w:line="117" w:lineRule="exact"/>
        <w:rPr>
          <w:sz w:val="20"/>
          <w:szCs w:val="20"/>
          <w:color w:val="auto"/>
        </w:rPr>
      </w:pPr>
    </w:p>
    <w:p>
      <w:pPr>
        <w:ind w:left="540" w:right="3639" w:hanging="316"/>
        <w:spacing w:after="0" w:line="391"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 Comptroller of the Currency, Washington, D.C.</w:t>
      </w:r>
    </w:p>
    <w:p>
      <w:pPr>
        <w:ind w:left="540" w:right="4079"/>
        <w:spacing w:after="0" w:line="406" w:lineRule="auto"/>
        <w:rPr>
          <w:rFonts w:ascii="Arial" w:cs="Arial" w:eastAsia="Arial" w:hAnsi="Arial"/>
          <w:sz w:val="18"/>
          <w:szCs w:val="18"/>
          <w:color w:val="auto"/>
        </w:rPr>
      </w:pPr>
      <w:r>
        <w:rPr>
          <w:rFonts w:ascii="Arial" w:cs="Arial" w:eastAsia="Arial" w:hAnsi="Arial"/>
          <w:sz w:val="17"/>
          <w:szCs w:val="17"/>
          <w:color w:val="auto"/>
        </w:rPr>
        <w:t>Board of Governors of the Federal Reserve System, Washington, D.C., 20551 Federal Deposit Insurance Corporation, Washington, D.C., 20429.</w:t>
      </w:r>
    </w:p>
    <w:p>
      <w:pPr>
        <w:ind w:left="540" w:right="5419" w:hanging="316"/>
        <w:spacing w:after="0" w:line="418"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it is authorized to exercise corporate trust powers. Yes.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Item 2. Affiliations with the Obligor and Guarantors.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the obligor or any guarantor is an affiliate of the trustee, describe each such affiliation.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Item 16. List of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List below all exhibits filed as a part of this Statement of Eligibility.</w:t>
      </w:r>
    </w:p>
    <w:p>
      <w:pPr>
        <w:spacing w:after="0" w:line="117" w:lineRule="exact"/>
        <w:rPr>
          <w:sz w:val="20"/>
          <w:szCs w:val="20"/>
          <w:color w:val="auto"/>
        </w:rPr>
      </w:pPr>
    </w:p>
    <w:p>
      <w:pPr>
        <w:ind w:right="580" w:firstLine="233"/>
        <w:spacing w:after="0" w:line="277" w:lineRule="auto"/>
        <w:tabs>
          <w:tab w:leader="none" w:pos="3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copy of the Articles of Association of JPMorgan Chase Bank, N.A. (see Exhibit 1 to Form T-1 filed in connection with Registration Statement No. 333-106575 which is incorporated by reference).</w:t>
      </w:r>
    </w:p>
    <w:p>
      <w:pPr>
        <w:spacing w:after="0" w:line="62" w:lineRule="exact"/>
        <w:rPr>
          <w:rFonts w:ascii="Arial" w:cs="Arial" w:eastAsia="Arial" w:hAnsi="Arial"/>
          <w:sz w:val="18"/>
          <w:szCs w:val="18"/>
          <w:color w:val="auto"/>
        </w:rPr>
      </w:pPr>
    </w:p>
    <w:p>
      <w:pPr>
        <w:ind w:right="440" w:firstLine="233"/>
        <w:spacing w:after="0" w:line="277" w:lineRule="auto"/>
        <w:tabs>
          <w:tab w:leader="none" w:pos="3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copy of the Certificate of Authority of the Comptroller of the Currency for the trustee to commence business. (see Exhibit 2 to Form T-1 filed in connection with Registration Statement No. 333-106575 which is incorporated by reference).</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None, the authority of the trustee to exercise corporate trust powers being contained in the documents described in Exhibits 1 and 2.</w:t>
      </w:r>
    </w:p>
    <w:p>
      <w:pPr>
        <w:spacing w:after="0" w:line="117" w:lineRule="exact"/>
        <w:rPr>
          <w:rFonts w:ascii="Arial" w:cs="Arial" w:eastAsia="Arial" w:hAnsi="Arial"/>
          <w:sz w:val="18"/>
          <w:szCs w:val="18"/>
          <w:color w:val="auto"/>
        </w:rPr>
      </w:pPr>
    </w:p>
    <w:p>
      <w:pPr>
        <w:ind w:right="340" w:firstLine="233"/>
        <w:spacing w:after="0" w:line="277" w:lineRule="auto"/>
        <w:tabs>
          <w:tab w:leader="none" w:pos="3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copy of the existing By-Laws of the Trustee. (see Exhibit 4 to Form T-1 filed in connection with Registration Statement No. 333-106575 which is incorporated by reference).</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right="200" w:firstLine="233"/>
        <w:spacing w:after="0" w:line="277" w:lineRule="auto"/>
        <w:tabs>
          <w:tab w:leader="none" w:pos="40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 (see Exhibit 6 to Form T-1 filed in connection with Registration Statement No. 333-106575 which is incorporated by reference).</w:t>
      </w:r>
    </w:p>
    <w:p>
      <w:pPr>
        <w:spacing w:after="0" w:line="62" w:lineRule="exact"/>
        <w:rPr>
          <w:rFonts w:ascii="Arial" w:cs="Arial" w:eastAsia="Arial" w:hAnsi="Arial"/>
          <w:sz w:val="18"/>
          <w:szCs w:val="18"/>
          <w:color w:val="auto"/>
        </w:rPr>
      </w:pPr>
    </w:p>
    <w:p>
      <w:pPr>
        <w:ind w:left="400" w:hanging="167"/>
        <w:spacing w:after="0"/>
        <w:tabs>
          <w:tab w:leader="none" w:pos="4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copy of the latest report of condition of the Trustee, published pursuant to law or the requirements of its supervising or examining authority.</w:t>
      </w:r>
    </w:p>
    <w:p>
      <w:pPr>
        <w:spacing w:after="0" w:line="128" w:lineRule="exact"/>
        <w:rPr>
          <w:rFonts w:ascii="Arial" w:cs="Arial" w:eastAsia="Arial" w:hAnsi="Arial"/>
          <w:sz w:val="17"/>
          <w:szCs w:val="17"/>
          <w:color w:val="auto"/>
        </w:rPr>
      </w:pPr>
    </w:p>
    <w:p>
      <w:pPr>
        <w:ind w:left="420" w:hanging="187"/>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Pursuant to the requirements of the Trust Indenture Act of 1939 the Trustee, JPMorgan Chase Bank, N.A., has duly caused this statement of eligibility to be signed on its behalf by the undersigned, thereunto duly authorized, all in the City of New York and State of New York, on the 21st day of September, 2006.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Mauri J.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5387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1" w:name="page62"/>
    <w:bookmarkEnd w:id="61"/>
    <w:p>
      <w:pPr>
        <w:ind w:left="4920"/>
        <w:spacing w:after="0"/>
        <w:rPr>
          <w:sz w:val="20"/>
          <w:szCs w:val="20"/>
          <w:color w:val="auto"/>
        </w:rPr>
      </w:pPr>
      <w:r>
        <w:rPr>
          <w:rFonts w:ascii="Arial" w:cs="Arial" w:eastAsia="Arial" w:hAnsi="Arial"/>
          <w:sz w:val="18"/>
          <w:szCs w:val="18"/>
          <w:color w:val="auto"/>
        </w:rPr>
        <w:t>Exhibit 7 to Form T-1</w:t>
      </w:r>
    </w:p>
    <w:p>
      <w:pPr>
        <w:spacing w:after="0" w:line="1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Bank Call Notice</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RESERVE DISTRICT NO. 2</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CONSOLIDATED REPORT OF CONDITION OF</w:t>
      </w:r>
    </w:p>
    <w:p>
      <w:pPr>
        <w:spacing w:after="0" w:line="10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1111 Polaris Parkway, Columbus, Ohio 43240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member of the Federal Reserve System,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June 30, 2006, 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accordance with a call made by the Federal Reserve Bank of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District pursuant to the provisions of the Federal Reserve Act.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Dollar Amounts</w:t>
            </w:r>
          </w:p>
        </w:tc>
      </w:tr>
      <w:tr>
        <w:trPr>
          <w:trHeight w:val="171"/>
        </w:trPr>
        <w:tc>
          <w:tcPr>
            <w:tcW w:w="10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r>
      <w:tr>
        <w:trPr>
          <w:trHeight w:val="210"/>
        </w:trPr>
        <w:tc>
          <w:tcPr>
            <w:tcW w:w="10320" w:type="dxa"/>
            <w:vAlign w:val="bottom"/>
            <w:shd w:val="clear" w:color="auto" w:fill="CCEEFF"/>
          </w:tcPr>
          <w:p>
            <w:pPr>
              <w:ind w:left="456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Noninterest-bearing balances and currency and coin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37,066</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tcPr>
          <w:p>
            <w:pPr>
              <w:ind w:left="220"/>
              <w:spacing w:after="0"/>
              <w:rPr>
                <w:sz w:val="20"/>
                <w:szCs w:val="20"/>
                <w:color w:val="auto"/>
              </w:rPr>
            </w:pPr>
            <w:r>
              <w:rPr>
                <w:rFonts w:ascii="Arial" w:cs="Arial" w:eastAsia="Arial" w:hAnsi="Arial"/>
                <w:sz w:val="18"/>
                <w:szCs w:val="18"/>
                <w:color w:val="auto"/>
              </w:rPr>
              <w:t>Interest-bearing balances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14,740</w:t>
            </w:r>
          </w:p>
        </w:tc>
        <w:tc>
          <w:tcPr>
            <w:tcW w:w="10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Held to maturity securities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66,616</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 funds sold in domestic offices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18,725</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tcPr>
          <w:p>
            <w:pPr>
              <w:ind w:left="220"/>
              <w:spacing w:after="0"/>
              <w:rPr>
                <w:sz w:val="20"/>
                <w:szCs w:val="20"/>
                <w:color w:val="auto"/>
              </w:rPr>
            </w:pPr>
            <w:r>
              <w:rPr>
                <w:rFonts w:ascii="Arial" w:cs="Arial" w:eastAsia="Arial" w:hAnsi="Arial"/>
                <w:sz w:val="18"/>
                <w:szCs w:val="18"/>
                <w:color w:val="auto"/>
              </w:rPr>
              <w:t>Securities purchased under agreements to resell</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237,104</w:t>
            </w:r>
          </w:p>
        </w:tc>
        <w:tc>
          <w:tcPr>
            <w:tcW w:w="10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320" w:type="dxa"/>
            <w:vAlign w:val="bottom"/>
          </w:tcPr>
          <w:p>
            <w:pPr>
              <w:ind w:left="220"/>
              <w:spacing w:after="0"/>
              <w:rPr>
                <w:sz w:val="20"/>
                <w:szCs w:val="20"/>
                <w:color w:val="auto"/>
              </w:rPr>
            </w:pPr>
            <w:r>
              <w:rPr>
                <w:rFonts w:ascii="Arial" w:cs="Arial" w:eastAsia="Arial" w:hAnsi="Arial"/>
                <w:sz w:val="18"/>
                <w:szCs w:val="18"/>
                <w:color w:val="auto"/>
              </w:rPr>
              <w:t>Loans and leases held for sale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35,958</w:t>
            </w:r>
          </w:p>
        </w:tc>
        <w:tc>
          <w:tcPr>
            <w:tcW w:w="100" w:type="dxa"/>
            <w:vAlign w:val="bottom"/>
          </w:tcPr>
          <w:p>
            <w:pPr>
              <w:spacing w:after="0"/>
              <w:rPr>
                <w:sz w:val="18"/>
                <w:szCs w:val="18"/>
                <w:color w:val="auto"/>
              </w:rPr>
            </w:pPr>
          </w:p>
        </w:tc>
      </w:tr>
      <w:tr>
        <w:trPr>
          <w:trHeight w:val="216"/>
        </w:trPr>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and leases, net of unearned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365,437</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tcPr>
          <w:p>
            <w:pPr>
              <w:ind w:left="220"/>
              <w:spacing w:after="0"/>
              <w:rPr>
                <w:sz w:val="20"/>
                <w:szCs w:val="20"/>
                <w:color w:val="auto"/>
              </w:rPr>
            </w:pPr>
            <w:r>
              <w:rPr>
                <w:rFonts w:ascii="Arial" w:cs="Arial" w:eastAsia="Arial" w:hAnsi="Arial"/>
                <w:sz w:val="18"/>
                <w:szCs w:val="18"/>
                <w:color w:val="auto"/>
              </w:rPr>
              <w:t>Less: Allowance for loan and lease losses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Pr>
          <w:p>
            <w:pPr>
              <w:spacing w:after="0"/>
              <w:rPr>
                <w:sz w:val="18"/>
                <w:szCs w:val="18"/>
                <w:color w:val="auto"/>
              </w:rPr>
            </w:pPr>
          </w:p>
        </w:tc>
      </w:tr>
      <w:tr>
        <w:trPr>
          <w:trHeight w:val="216"/>
        </w:trPr>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and leases, net of unearned income and allowance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360,473</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Trading Assets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279,208</w:t>
            </w:r>
          </w:p>
        </w:tc>
        <w:tc>
          <w:tcPr>
            <w:tcW w:w="10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23,781</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tcPr>
          <w:p>
            <w:pPr>
              <w:ind w:left="22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12,270</w:t>
            </w:r>
          </w:p>
        </w:tc>
        <w:tc>
          <w:tcPr>
            <w:tcW w:w="10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48,351</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1,144,680</w:t>
            </w:r>
          </w:p>
        </w:tc>
        <w:tc>
          <w:tcPr>
            <w:tcW w:w="100" w:type="dxa"/>
            <w:vAlign w:val="bottom"/>
          </w:tcPr>
          <w:p>
            <w:pPr>
              <w:spacing w:after="0"/>
              <w:rPr>
                <w:sz w:val="18"/>
                <w:szCs w:val="18"/>
                <w:color w:val="auto"/>
              </w:rPr>
            </w:pPr>
          </w:p>
        </w:tc>
      </w:tr>
      <w:tr>
        <w:trPr>
          <w:trHeight w:val="20"/>
        </w:trPr>
        <w:tc>
          <w:tcPr>
            <w:tcW w:w="10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6"/>
        </w:trPr>
        <w:tc>
          <w:tcPr>
            <w:tcW w:w="10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720" w:type="dxa"/>
            <w:vAlign w:val="bottom"/>
            <w:gridSpan w:val="4"/>
          </w:tcPr>
          <w:p>
            <w:pPr>
              <w:ind w:left="1620"/>
              <w:spacing w:after="0"/>
              <w:rPr>
                <w:sz w:val="20"/>
                <w:szCs w:val="20"/>
                <w:color w:val="auto"/>
              </w:rPr>
            </w:pPr>
            <w:r>
              <w:rPr>
                <w:rFonts w:ascii="Arial" w:cs="Arial" w:eastAsia="Arial" w:hAnsi="Arial"/>
                <w:sz w:val="14"/>
                <w:szCs w:val="14"/>
                <w:b w:val="1"/>
                <w:bCs w:val="1"/>
                <w:color w:val="auto"/>
              </w:rPr>
              <w:t>Dollar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ind w:left="4360"/>
              <w:spacing w:after="0"/>
              <w:rPr>
                <w:sz w:val="20"/>
                <w:szCs w:val="20"/>
                <w:color w:val="auto"/>
              </w:rPr>
            </w:pPr>
            <w:r>
              <w:rPr>
                <w:rFonts w:ascii="Arial" w:cs="Arial" w:eastAsia="Arial" w:hAnsi="Arial"/>
                <w:sz w:val="18"/>
                <w:szCs w:val="18"/>
                <w:color w:val="auto"/>
              </w:rPr>
              <w:t>LIABILITIES</w:t>
            </w:r>
          </w:p>
        </w:tc>
        <w:tc>
          <w:tcPr>
            <w:tcW w:w="1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Deposits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domestic offices</w:t>
            </w:r>
          </w:p>
        </w:tc>
        <w:tc>
          <w:tcPr>
            <w:tcW w:w="176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Noninterest-bearing</w:t>
            </w:r>
          </w:p>
        </w:tc>
        <w:tc>
          <w:tcPr>
            <w:tcW w:w="17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 foreign offices, Edge and Agreement subsidiaries and IBF’s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Noninterest-bearing</w:t>
            </w:r>
          </w:p>
        </w:tc>
        <w:tc>
          <w:tcPr>
            <w:tcW w:w="176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Interest-bearing</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 ments to repurchase: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Federal funds purchased in domestic offices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sold under agreements to repurchase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Trading liabilities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LIABILITIES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1,052,608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consolidated subsidiaries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80" w:type="dxa"/>
            <w:vAlign w:val="bottom"/>
          </w:tcPr>
          <w:p>
            <w:pPr>
              <w:ind w:left="4140"/>
              <w:spacing w:after="0"/>
              <w:rPr>
                <w:sz w:val="20"/>
                <w:szCs w:val="20"/>
                <w:color w:val="auto"/>
              </w:rPr>
            </w:pPr>
            <w:r>
              <w:rPr>
                <w:rFonts w:ascii="Arial" w:cs="Arial" w:eastAsia="Arial" w:hAnsi="Arial"/>
                <w:sz w:val="18"/>
                <w:szCs w:val="18"/>
                <w:color w:val="auto"/>
              </w:rPr>
              <w:t>EQUITY CAPITAL</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Common stock</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Retained earnings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1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 Joseph L. Sclafani, E.V.P. &amp; Controller of the above-named bank, do hereby declare that this Report of Condition has been prepared in conformance with the instructions issued by the appropriate Federal regulatory authority and is true to the best of my knowledge and belief.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JOSEPH L. SCLAFANI</w:t>
      </w:r>
    </w:p>
    <w:p>
      <w:pPr>
        <w:spacing w:after="0" w:line="11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 xml:space="preserve">We, the undersigned directors, attest to the correctness of this Report of Condition and declare that it has been examined by us, and to the best of our knowledge and belief has been prepared in conformance with the in- structions issued by the appropriate Federal regulatory </w:t>
      </w:r>
      <w:r>
        <w:rPr>
          <w:rFonts w:ascii="Arial" w:cs="Arial" w:eastAsia="Arial" w:hAnsi="Arial"/>
          <w:sz w:val="18"/>
          <w:szCs w:val="18"/>
          <w:b w:val="1"/>
          <w:bCs w:val="1"/>
          <w:color w:val="auto"/>
        </w:rPr>
        <w:t>authority and is true and</w:t>
      </w:r>
      <w:r>
        <w:rPr>
          <w:rFonts w:ascii="Arial" w:cs="Arial" w:eastAsia="Arial" w:hAnsi="Arial"/>
          <w:sz w:val="18"/>
          <w:szCs w:val="18"/>
          <w:color w:val="auto"/>
        </w:rPr>
        <w:t xml:space="preserve"> </w:t>
      </w:r>
      <w:r>
        <w:rPr>
          <w:rFonts w:ascii="Arial" w:cs="Arial" w:eastAsia="Arial" w:hAnsi="Arial"/>
          <w:sz w:val="18"/>
          <w:szCs w:val="18"/>
          <w:b w:val="1"/>
          <w:bCs w:val="1"/>
          <w:color w:val="auto"/>
        </w:rPr>
        <w:t>correct.</w:t>
      </w:r>
    </w:p>
    <w:p>
      <w:pPr>
        <w:spacing w:after="0" w:line="18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WILLIAM B. HARRISON , JR.)</w:t>
      </w:r>
    </w:p>
    <w:p>
      <w:pPr>
        <w:sectPr>
          <w:pgSz w:w="11900" w:h="16838" w:orient="portrait"/>
          <w:cols w:equalWidth="0" w:num="1">
            <w:col w:w="11420"/>
          </w:cols>
          <w:pgMar w:left="240" w:top="1131" w:right="239" w:bottom="1440" w:gutter="0" w:footer="0" w:header="0"/>
        </w:sectPr>
      </w:pPr>
    </w:p>
    <w:p>
      <w:pPr>
        <w:spacing w:after="0" w:line="23" w:lineRule="exact"/>
        <w:rPr>
          <w:sz w:val="20"/>
          <w:szCs w:val="20"/>
          <w:color w:val="auto"/>
        </w:rPr>
      </w:pPr>
    </w:p>
    <w:p>
      <w:pPr>
        <w:ind w:left="6720"/>
        <w:spacing w:after="0"/>
        <w:tabs>
          <w:tab w:leader="none" w:pos="9060" w:val="left"/>
        </w:tabs>
        <w:rPr>
          <w:sz w:val="20"/>
          <w:szCs w:val="20"/>
          <w:color w:val="auto"/>
        </w:rPr>
      </w:pPr>
      <w:r>
        <w:rPr>
          <w:rFonts w:ascii="Arial" w:cs="Arial" w:eastAsia="Arial" w:hAnsi="Arial"/>
          <w:sz w:val="18"/>
          <w:szCs w:val="18"/>
          <w:color w:val="auto"/>
        </w:rPr>
        <w:t>JAMES DIMON</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6720"/>
        <w:spacing w:after="0"/>
        <w:tabs>
          <w:tab w:leader="none" w:pos="8980" w:val="left"/>
        </w:tabs>
        <w:rPr>
          <w:sz w:val="20"/>
          <w:szCs w:val="20"/>
          <w:color w:val="auto"/>
        </w:rPr>
      </w:pPr>
      <w:r>
        <w:rPr>
          <w:rFonts w:ascii="Arial" w:cs="Arial" w:eastAsia="Arial" w:hAnsi="Arial"/>
          <w:sz w:val="18"/>
          <w:szCs w:val="18"/>
          <w:color w:val="auto"/>
        </w:rPr>
        <w:t>MICHAEL J. CAVANAGH</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sectPr>
      <w:pgSz w:w="11900" w:h="16838" w:orient="portrait"/>
      <w:cols w:equalWidth="0" w:num="2">
        <w:col w:w="9140" w:space="180"/>
        <w:col w:w="2100"/>
      </w:cols>
      <w:pgMar w:left="240" w:top="113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713"/>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2"/>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Letter"/>
      <w:start w:val="6"/>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2"/>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
    </w:lvl>
    <w:lvl w:ilvl="1">
      <w:lvlJc w:val="left"/>
      <w:lvlText w:val="(%2)"/>
      <w:numFmt w:val="lowerRoman"/>
      <w:start w:val="1"/>
    </w:lvl>
  </w:abstractNum>
  <w:abstractNum w:abstractNumId="29">
    <w:nsid w:val="7724C67E"/>
    <w:multiLevelType w:val="hybridMultilevel"/>
    <w:lvl w:ilvl="0">
      <w:lvlJc w:val="left"/>
      <w:lvlText w:val="(%1)"/>
      <w:numFmt w:val="decimal"/>
      <w:start w:val="2"/>
    </w:lvl>
  </w:abstractNum>
  <w:abstractNum w:abstractNumId="30">
    <w:nsid w:val="5C482A97"/>
    <w:multiLevelType w:val="hybridMultilevel"/>
    <w:lvl w:ilvl="0">
      <w:lvlJc w:val="left"/>
      <w:lvlText w:val="(%1)"/>
      <w:numFmt w:val="decimal"/>
      <w:start w:val="4"/>
    </w:lvl>
    <w:lvl w:ilvl="1">
      <w:lvlJc w:val="left"/>
      <w:lvlText w:val="(%2)"/>
      <w:numFmt w:val="upperLetter"/>
      <w:start w:val="1"/>
    </w:lvl>
  </w:abstractNum>
  <w:abstractNum w:abstractNumId="31">
    <w:nsid w:val="2463B9EA"/>
    <w:multiLevelType w:val="hybridMultilevel"/>
    <w:lvl w:ilvl="0">
      <w:lvlJc w:val="left"/>
      <w:lvlText w:val="%1"/>
      <w:numFmt w:val="decimal"/>
      <w:start w:val="1"/>
    </w:lvl>
    <w:lvl w:ilvl="1">
      <w:lvlJc w:val="left"/>
      <w:lvlText w:val="(%2)"/>
      <w:numFmt w:val="lowerRoman"/>
      <w:start w:val="1"/>
    </w:lvl>
  </w:abstractNum>
  <w:abstractNum w:abstractNumId="32">
    <w:nsid w:val="5E884ADC"/>
    <w:multiLevelType w:val="hybridMultilevel"/>
    <w:lvl w:ilvl="0">
      <w:lvlJc w:val="left"/>
      <w:lvlText w:val="(%1)"/>
      <w:numFmt w:val="decimal"/>
      <w:start w:val="6"/>
    </w:lvl>
    <w:lvl w:ilvl="1">
      <w:lvlJc w:val="left"/>
      <w:lvlText w:val="%2"/>
      <w:numFmt w:val="lowerRoman"/>
      <w:start w:val="1"/>
    </w:lvl>
  </w:abstractNum>
  <w:abstractNum w:abstractNumId="33">
    <w:nsid w:val="51EAD36B"/>
    <w:multiLevelType w:val="hybridMultilevel"/>
    <w:lvl w:ilvl="0">
      <w:lvlJc w:val="left"/>
      <w:lvlText w:val="*"/>
      <w:numFmt w:val="bullet"/>
      <w:start w:val="1"/>
    </w:lvl>
    <w:lvl w:ilvl="1">
      <w:lvlJc w:val="left"/>
      <w:lvlText w:val="%2"/>
      <w:numFmt w:val="decimal"/>
      <w:start w:val="24"/>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4"/>
    </w:lvl>
  </w:abstractNum>
  <w:abstractNum w:abstractNumId="37">
    <w:nsid w:val="3855585C"/>
    <w:multiLevelType w:val="hybridMultilevel"/>
    <w:lvl w:ilvl="0">
      <w:lvlJc w:val="left"/>
      <w:lvlText w:val="%1."/>
      <w:numFmt w:val="decimal"/>
      <w:start w:val="4"/>
    </w:lvl>
  </w:abstractNum>
  <w:abstractNum w:abstractNumId="38">
    <w:nsid w:val="70A64E2A"/>
    <w:multiLevelType w:val="hybridMultilevel"/>
    <w:lvl w:ilvl="0">
      <w:lvlJc w:val="left"/>
      <w:lvlText w:val="(%1)"/>
      <w:numFmt w:val="lowerRoman"/>
      <w:start w:val="1"/>
    </w:lvl>
    <w:lvl w:ilvl="1">
      <w:lvlJc w:val="left"/>
      <w:lvlText w:val="-"/>
      <w:numFmt w:val="bullet"/>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5"/>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2019-12-16T14:58:28Z</dcterms:created>
  <dcterms:modified xsi:type="dcterms:W3CDTF">2019-12-16T14:58:28Z</dcterms:modified>
</cp:coreProperties>
</file>