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SECURITIES AND EXCHANGE COMMISSION</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4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July 24, 2024</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Waste Management,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ectPr>
          <w:pgSz w:w="11900" w:h="16838" w:orient="portrait"/>
          <w:cols w:equalWidth="0" w:num="1">
            <w:col w:w="11308"/>
          </w:cols>
          <w:pgMar w:left="292" w:top="533"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38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1-12154</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73-1309529</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8" w:space="720"/>
            <w:col w:w="3320" w:space="720"/>
            <w:col w:w="2260"/>
          </w:cols>
          <w:pgMar w:left="292" w:top="533" w:right="299" w:bottom="1440" w:gutter="0" w:footer="0" w:header="0"/>
          <w:type w:val="continuous"/>
        </w:sectPr>
      </w:pPr>
    </w:p>
    <w:p>
      <w:pPr>
        <w:ind w:left="1588"/>
        <w:spacing w:after="0"/>
        <w:rPr>
          <w:sz w:val="20"/>
          <w:szCs w:val="20"/>
          <w:color w:val="auto"/>
        </w:rPr>
      </w:pPr>
      <w:r>
        <w:rPr>
          <w:rFonts w:ascii="Times New Roman" w:cs="Times New Roman" w:eastAsia="Times New Roman" w:hAnsi="Times New Roman"/>
          <w:sz w:val="11"/>
          <w:szCs w:val="11"/>
          <w:b w:val="1"/>
          <w:bCs w:val="1"/>
          <w:color w:val="auto"/>
        </w:rPr>
        <w:t>800 Capitol Street, Suite 3000, Houston, Texas</w:t>
      </w:r>
    </w:p>
    <w:p>
      <w:pPr>
        <w:spacing w:after="0" w:line="32"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77002</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533"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5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568" w:hanging="568"/>
        <w:spacing w:after="0"/>
        <w:tabs>
          <w:tab w:leader="none" w:pos="56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7" w:lineRule="exact"/>
        <w:rPr>
          <w:sz w:val="24"/>
          <w:szCs w:val="24"/>
          <w:color w:val="auto"/>
        </w:rPr>
      </w:pPr>
    </w:p>
    <w:tbl>
      <w:tblPr>
        <w:tblLayout w:type="fixed"/>
        <w:tblInd w:w="18" w:type="dxa"/>
        <w:tblCellMar>
          <w:top w:w="0" w:type="dxa"/>
          <w:left w:w="0" w:type="dxa"/>
          <w:bottom w:w="0" w:type="dxa"/>
          <w:right w:w="0" w:type="dxa"/>
        </w:tblCellMar>
      </w:tblPr>
      <w:tr>
        <w:trPr>
          <w:trHeight w:val="142"/>
        </w:trPr>
        <w:tc>
          <w:tcPr>
            <w:tcW w:w="38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Title of each class</w:t>
            </w:r>
          </w:p>
        </w:tc>
        <w:tc>
          <w:tcPr>
            <w:tcW w:w="3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Trading Symbol(s)</w:t>
            </w:r>
          </w:p>
        </w:tc>
        <w:tc>
          <w:tcPr>
            <w:tcW w:w="36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4"/>
        </w:trPr>
        <w:tc>
          <w:tcPr>
            <w:tcW w:w="38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Common Stock, $0.01 par value</w:t>
            </w:r>
          </w:p>
        </w:tc>
        <w:tc>
          <w:tcPr>
            <w:tcW w:w="38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WM</w:t>
            </w:r>
          </w:p>
        </w:tc>
        <w:tc>
          <w:tcPr>
            <w:tcW w:w="36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New York Stock Exchange</w:t>
            </w:r>
          </w:p>
        </w:tc>
      </w:tr>
      <w:tr>
        <w:trPr>
          <w:trHeight w:val="88"/>
        </w:trPr>
        <w:tc>
          <w:tcPr>
            <w:tcW w:w="3860" w:type="dxa"/>
            <w:vAlign w:val="bottom"/>
            <w:tcBorders>
              <w:left w:val="single" w:sz="8" w:color="auto"/>
              <w:bottom w:val="single" w:sz="8" w:color="auto"/>
              <w:right w:val="single" w:sz="8" w:color="auto"/>
            </w:tcBorders>
          </w:tcPr>
          <w:p>
            <w:pPr>
              <w:spacing w:after="0"/>
              <w:rPr>
                <w:sz w:val="7"/>
                <w:szCs w:val="7"/>
                <w:color w:val="auto"/>
              </w:rPr>
            </w:pPr>
          </w:p>
        </w:tc>
        <w:tc>
          <w:tcPr>
            <w:tcW w:w="3840" w:type="dxa"/>
            <w:vAlign w:val="bottom"/>
            <w:tcBorders>
              <w:bottom w:val="single" w:sz="8" w:color="auto"/>
              <w:right w:val="single" w:sz="8" w:color="auto"/>
            </w:tcBorders>
          </w:tcPr>
          <w:p>
            <w:pPr>
              <w:spacing w:after="0"/>
              <w:rPr>
                <w:sz w:val="7"/>
                <w:szCs w:val="7"/>
                <w:color w:val="auto"/>
              </w:rPr>
            </w:pPr>
          </w:p>
        </w:tc>
        <w:tc>
          <w:tcPr>
            <w:tcW w:w="3600" w:type="dxa"/>
            <w:vAlign w:val="bottom"/>
            <w:tcBorders>
              <w:bottom w:val="single" w:sz="8" w:color="auto"/>
              <w:right w:val="single" w:sz="8" w:color="auto"/>
            </w:tcBorders>
          </w:tcPr>
          <w:p>
            <w:pPr>
              <w:spacing w:after="0"/>
              <w:rPr>
                <w:sz w:val="7"/>
                <w:szCs w:val="7"/>
                <w:color w:val="auto"/>
              </w:rPr>
            </w:pP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jc w:val="both"/>
        <w:ind w:left="8"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33"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2.02.</w:t>
        <w:tab/>
        <w:t>Results of Operations and Financial Condition.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 xml:space="preserve">Waste Management, Inc. (the “Company”) issued a press release today announcing its financial results for the second quarter of 2024, a copy of which is furnished as Exhibit 99.1 to this Form 8-K. The Company is conducting an audio webcast to discuss these results beginning at 9:00 a.m. Central Time on July 25, 2024. </w:t>
      </w:r>
      <w:r>
        <w:rPr>
          <w:rFonts w:ascii="Times New Roman" w:cs="Times New Roman" w:eastAsia="Times New Roman" w:hAnsi="Times New Roman"/>
          <w:sz w:val="12"/>
          <w:szCs w:val="12"/>
          <w:color w:val="0A0A0A"/>
        </w:rPr>
        <w:t>Listeners can access the live audio webcast by visiting investors.wm.com and selecting “Events &amp; Presentations” from the website menu.</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A0A0A"/>
        </w:rPr>
        <w:t>A replay of the audio webcast will be available at the same location.</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to the financial results press release issued today, the Company also published a supplemental presentation on its website at investors.wm.com to provide additional information about the strategic rationale for its planned acquisition of Stericycle, Inc., a copy of which is furnished as Exhibit 99.2 to this Form 8-K.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1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300" w:type="dxa"/>
            <w:vAlign w:val="bottom"/>
          </w:tcPr>
          <w:p>
            <w:pPr>
              <w:spacing w:after="0"/>
              <w:rPr>
                <w:sz w:val="13"/>
                <w:szCs w:val="13"/>
                <w:color w:val="auto"/>
              </w:rPr>
            </w:pPr>
          </w:p>
        </w:tc>
      </w:tr>
      <w:tr>
        <w:trPr>
          <w:trHeight w:val="261"/>
        </w:trPr>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40" w:type="dxa"/>
            <w:vAlign w:val="bottom"/>
            <w:gridSpan w:val="3"/>
          </w:tcPr>
          <w:p>
            <w:pPr>
              <w:ind w:left="1240"/>
              <w:spacing w:after="0"/>
              <w:rPr>
                <w:sz w:val="20"/>
                <w:szCs w:val="20"/>
                <w:color w:val="auto"/>
              </w:rPr>
            </w:pPr>
            <w:r>
              <w:rPr>
                <w:rFonts w:ascii="Times New Roman" w:cs="Times New Roman" w:eastAsia="Times New Roman" w:hAnsi="Times New Roman"/>
                <w:sz w:val="12"/>
                <w:szCs w:val="12"/>
                <w:b w:val="1"/>
                <w:bCs w:val="1"/>
                <w:color w:val="auto"/>
              </w:rPr>
              <w:t>Exhibit Index</w:t>
            </w:r>
          </w:p>
        </w:tc>
      </w:tr>
      <w:tr>
        <w:trPr>
          <w:trHeight w:val="299"/>
        </w:trPr>
        <w:tc>
          <w:tcPr>
            <w:tcW w:w="18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35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700" w:type="dxa"/>
            <w:vAlign w:val="bottom"/>
            <w:tcBorders>
              <w:top w:val="single" w:sz="8" w:color="auto"/>
            </w:tcBorders>
          </w:tcPr>
          <w:p>
            <w:pPr>
              <w:spacing w:after="0"/>
              <w:rPr>
                <w:sz w:val="24"/>
                <w:szCs w:val="24"/>
                <w:color w:val="auto"/>
              </w:rPr>
            </w:pPr>
          </w:p>
        </w:tc>
        <w:tc>
          <w:tcPr>
            <w:tcW w:w="5300" w:type="dxa"/>
            <w:vAlign w:val="bottom"/>
          </w:tcPr>
          <w:p>
            <w:pPr>
              <w:spacing w:after="0"/>
              <w:rPr>
                <w:sz w:val="24"/>
                <w:szCs w:val="24"/>
                <w:color w:val="auto"/>
              </w:rPr>
            </w:pPr>
          </w:p>
        </w:tc>
      </w:tr>
      <w:tr>
        <w:trPr>
          <w:trHeight w:val="255"/>
        </w:trPr>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5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2"/>
                <w:szCs w:val="12"/>
                <w:color w:val="0000EE"/>
              </w:rPr>
              <w:t>Press Release dated July 24, 2024</w:t>
            </w:r>
          </w:p>
        </w:tc>
      </w:tr>
      <w:tr>
        <w:trPr>
          <w:trHeight w:val="20"/>
        </w:trPr>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r>
      <w:tr>
        <w:trPr>
          <w:trHeight w:val="268"/>
        </w:trPr>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Supplemental Presentation dated July 24, 2024</w:t>
            </w:r>
          </w:p>
        </w:tc>
        <w:tc>
          <w:tcPr>
            <w:tcW w:w="7240" w:type="dxa"/>
            <w:vAlign w:val="bottom"/>
            <w:gridSpan w:val="3"/>
          </w:tcPr>
          <w:p>
            <w:pPr>
              <w:spacing w:after="0"/>
              <w:rPr>
                <w:sz w:val="23"/>
                <w:szCs w:val="23"/>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r>
        <w:trPr>
          <w:trHeight w:val="432"/>
        </w:trPr>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4"/>
          </w:tcPr>
          <w:p>
            <w:pPr>
              <w:ind w:left="3820"/>
              <w:spacing w:after="0"/>
              <w:rPr>
                <w:sz w:val="20"/>
                <w:szCs w:val="20"/>
                <w:color w:val="auto"/>
              </w:rPr>
            </w:pPr>
            <w:r>
              <w:rPr>
                <w:rFonts w:ascii="Times New Roman" w:cs="Times New Roman" w:eastAsia="Times New Roman" w:hAnsi="Times New Roman"/>
                <w:sz w:val="12"/>
                <w:szCs w:val="12"/>
                <w:color w:val="auto"/>
              </w:rPr>
              <w:t>2</w:t>
            </w: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tcPr>
          <w:p>
            <w:pPr>
              <w:spacing w:after="0"/>
              <w:rPr>
                <w:sz w:val="13"/>
                <w:szCs w:val="13"/>
                <w:color w:val="auto"/>
              </w:rPr>
            </w:pP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2"/>
                <w:szCs w:val="12"/>
                <w:color w:val="auto"/>
              </w:rPr>
              <w:t>WASTE MANAGEMENT, INC.</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July 24, 2024</w:t>
            </w:r>
          </w:p>
        </w:tc>
        <w:tc>
          <w:tcPr>
            <w:tcW w:w="292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/s/ Charles C. Boettcher</w:t>
            </w:r>
          </w:p>
        </w:tc>
      </w:tr>
      <w:tr>
        <w:trPr>
          <w:trHeight w:val="122"/>
        </w:trPr>
        <w:tc>
          <w:tcPr>
            <w:tcW w:w="33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Charles C. Boettcher</w:t>
            </w:r>
          </w:p>
        </w:tc>
      </w:tr>
      <w:tr>
        <w:trPr>
          <w:trHeight w:val="155"/>
        </w:trPr>
        <w:tc>
          <w:tcPr>
            <w:tcW w:w="33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Executive Vice President, Corporate Development and Chief Legal Officer</w:t>
            </w:r>
          </w:p>
        </w:tc>
      </w:tr>
      <w:tr>
        <w:trPr>
          <w:trHeight w:val="450"/>
        </w:trPr>
        <w:tc>
          <w:tcPr>
            <w:tcW w:w="3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FOR IMMEDIATE RELEASE</w:t>
      </w:r>
    </w:p>
    <w:p>
      <w:pPr>
        <w:sectPr>
          <w:pgSz w:w="11900" w:h="16838" w:orient="portrait"/>
          <w:cols w:equalWidth="0" w:num="1">
            <w:col w:w="11300"/>
          </w:cols>
          <w:pgMar w:left="300" w:top="289" w:right="29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6"/>
          <w:szCs w:val="26"/>
          <w:color w:val="7AB800"/>
        </w:rPr>
        <w:t>WM Announces Second Quarter 2024 Earnings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Robust Growth in the Collection and Disposal Business Powers Strong Operating EBITDA and Margin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Company Closed More than $750 Million of Solid Waste Acquisitions Through July</w:t>
      </w:r>
    </w:p>
    <w:p>
      <w:pPr>
        <w:spacing w:after="0" w:line="1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HOUSTON — Jul. 24, 2024 </w:t>
      </w:r>
      <w:r>
        <w:rPr>
          <w:rFonts w:ascii="Arial" w:cs="Arial" w:eastAsia="Arial" w:hAnsi="Arial"/>
          <w:sz w:val="11"/>
          <w:szCs w:val="11"/>
          <w:color w:val="auto"/>
        </w:rPr>
        <w:t>— WM (NYSE: WM) today announced financial results for the quarter ended June 30, 2024.</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00" w:type="dxa"/>
            <w:vAlign w:val="bottom"/>
            <w:gridSpan w:val="4"/>
          </w:tcPr>
          <w:p>
            <w:pPr>
              <w:jc w:val="center"/>
              <w:ind w:right="1400"/>
              <w:spacing w:after="0"/>
              <w:rPr>
                <w:sz w:val="20"/>
                <w:szCs w:val="20"/>
                <w:color w:val="auto"/>
              </w:rPr>
            </w:pPr>
            <w:r>
              <w:rPr>
                <w:rFonts w:ascii="Arial" w:cs="Arial" w:eastAsia="Arial" w:hAnsi="Arial"/>
                <w:sz w:val="11"/>
                <w:szCs w:val="11"/>
                <w:b w:val="1"/>
                <w:bCs w:val="1"/>
                <w:color w:val="auto"/>
                <w:w w:val="97"/>
              </w:rPr>
              <w:t>Three Months Ended</w:t>
            </w: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gridSpan w:val="4"/>
          </w:tcPr>
          <w:p>
            <w:pPr>
              <w:jc w:val="center"/>
              <w:ind w:right="660"/>
              <w:spacing w:after="0"/>
              <w:rPr>
                <w:sz w:val="20"/>
                <w:szCs w:val="20"/>
                <w:color w:val="auto"/>
              </w:rPr>
            </w:pPr>
            <w:r>
              <w:rPr>
                <w:rFonts w:ascii="Arial" w:cs="Arial" w:eastAsia="Arial" w:hAnsi="Arial"/>
                <w:sz w:val="11"/>
                <w:szCs w:val="11"/>
                <w:b w:val="1"/>
                <w:bCs w:val="1"/>
                <w:color w:val="auto"/>
                <w:w w:val="97"/>
              </w:rPr>
              <w:t>Three Months Ended</w:t>
            </w:r>
          </w:p>
        </w:tc>
      </w:tr>
      <w:tr>
        <w:trPr>
          <w:trHeight w:val="117"/>
        </w:trPr>
        <w:tc>
          <w:tcPr>
            <w:tcW w:w="2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gridSpan w:val="3"/>
          </w:tcPr>
          <w:p>
            <w:pPr>
              <w:jc w:val="center"/>
              <w:ind w:right="1600"/>
              <w:spacing w:after="0" w:line="117" w:lineRule="exact"/>
              <w:rPr>
                <w:sz w:val="20"/>
                <w:szCs w:val="20"/>
                <w:color w:val="auto"/>
              </w:rPr>
            </w:pPr>
            <w:r>
              <w:rPr>
                <w:rFonts w:ascii="Arial" w:cs="Arial" w:eastAsia="Arial" w:hAnsi="Arial"/>
                <w:sz w:val="11"/>
                <w:szCs w:val="11"/>
                <w:b w:val="1"/>
                <w:bCs w:val="1"/>
                <w:color w:val="auto"/>
                <w:w w:val="97"/>
              </w:rPr>
              <w:t>June 30, 2024</w:t>
            </w: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60" w:type="dxa"/>
            <w:vAlign w:val="bottom"/>
            <w:gridSpan w:val="4"/>
          </w:tcPr>
          <w:p>
            <w:pPr>
              <w:jc w:val="center"/>
              <w:ind w:right="660"/>
              <w:spacing w:after="0" w:line="117" w:lineRule="exact"/>
              <w:rPr>
                <w:sz w:val="20"/>
                <w:szCs w:val="20"/>
                <w:color w:val="auto"/>
              </w:rPr>
            </w:pPr>
            <w:r>
              <w:rPr>
                <w:rFonts w:ascii="Arial" w:cs="Arial" w:eastAsia="Arial" w:hAnsi="Arial"/>
                <w:sz w:val="11"/>
                <w:szCs w:val="11"/>
                <w:b w:val="1"/>
                <w:bCs w:val="1"/>
                <w:color w:val="auto"/>
                <w:w w:val="97"/>
              </w:rPr>
              <w:t>June 30, 2023</w:t>
            </w:r>
          </w:p>
        </w:tc>
      </w:tr>
      <w:tr>
        <w:trPr>
          <w:trHeight w:val="20"/>
        </w:trPr>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97"/>
        </w:trPr>
        <w:tc>
          <w:tcPr>
            <w:tcW w:w="2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40" w:type="dxa"/>
            <w:vAlign w:val="bottom"/>
            <w:gridSpan w:val="5"/>
          </w:tcPr>
          <w:p>
            <w:pPr>
              <w:jc w:val="center"/>
              <w:ind w:right="1060"/>
              <w:spacing w:after="0" w:line="97" w:lineRule="exact"/>
              <w:rPr>
                <w:sz w:val="20"/>
                <w:szCs w:val="20"/>
                <w:color w:val="auto"/>
              </w:rPr>
            </w:pPr>
            <w:r>
              <w:rPr>
                <w:rFonts w:ascii="Arial" w:cs="Arial" w:eastAsia="Arial" w:hAnsi="Arial"/>
                <w:sz w:val="10"/>
                <w:szCs w:val="10"/>
                <w:b w:val="1"/>
                <w:bCs w:val="1"/>
                <w:color w:val="auto"/>
                <w:w w:val="95"/>
              </w:rPr>
              <w:t>(in millions, except per share amounts)</w:t>
            </w:r>
          </w:p>
        </w:tc>
        <w:tc>
          <w:tcPr>
            <w:tcW w:w="1000" w:type="dxa"/>
            <w:vAlign w:val="bottom"/>
          </w:tcPr>
          <w:p>
            <w:pPr>
              <w:spacing w:after="0"/>
              <w:rPr>
                <w:sz w:val="8"/>
                <w:szCs w:val="8"/>
                <w:color w:val="auto"/>
              </w:rPr>
            </w:pPr>
          </w:p>
        </w:tc>
        <w:tc>
          <w:tcPr>
            <w:tcW w:w="2100" w:type="dxa"/>
            <w:vAlign w:val="bottom"/>
            <w:gridSpan w:val="5"/>
          </w:tcPr>
          <w:p>
            <w:pPr>
              <w:jc w:val="center"/>
              <w:ind w:right="320"/>
              <w:spacing w:after="0" w:line="97" w:lineRule="exact"/>
              <w:rPr>
                <w:sz w:val="20"/>
                <w:szCs w:val="20"/>
                <w:color w:val="auto"/>
              </w:rPr>
            </w:pPr>
            <w:r>
              <w:rPr>
                <w:rFonts w:ascii="Arial" w:cs="Arial" w:eastAsia="Arial" w:hAnsi="Arial"/>
                <w:sz w:val="10"/>
                <w:szCs w:val="10"/>
                <w:b w:val="1"/>
                <w:bCs w:val="1"/>
                <w:color w:val="auto"/>
                <w:w w:val="95"/>
              </w:rPr>
              <w:t>(in millions, except per share amounts)</w:t>
            </w:r>
          </w:p>
        </w:tc>
      </w:tr>
      <w:tr>
        <w:trPr>
          <w:trHeight w:val="20"/>
        </w:trPr>
        <w:tc>
          <w:tcPr>
            <w:tcW w:w="2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6"/>
        </w:trPr>
        <w:tc>
          <w:tcPr>
            <w:tcW w:w="2040" w:type="dxa"/>
            <w:vAlign w:val="bottom"/>
          </w:tcPr>
          <w:p>
            <w:pPr>
              <w:spacing w:after="0"/>
              <w:rPr>
                <w:sz w:val="24"/>
                <w:szCs w:val="24"/>
                <w:color w:val="auto"/>
              </w:rPr>
            </w:pPr>
          </w:p>
        </w:tc>
        <w:tc>
          <w:tcPr>
            <w:tcW w:w="1380" w:type="dxa"/>
            <w:vAlign w:val="bottom"/>
            <w:gridSpan w:val="2"/>
          </w:tcPr>
          <w:p>
            <w:pPr>
              <w:ind w:left="760"/>
              <w:spacing w:after="0"/>
              <w:rPr>
                <w:sz w:val="20"/>
                <w:szCs w:val="20"/>
                <w:color w:val="auto"/>
              </w:rPr>
            </w:pPr>
            <w:r>
              <w:rPr>
                <w:rFonts w:ascii="Arial" w:cs="Arial" w:eastAsia="Arial" w:hAnsi="Arial"/>
                <w:sz w:val="11"/>
                <w:szCs w:val="11"/>
                <w:color w:val="auto"/>
                <w:w w:val="98"/>
              </w:rPr>
              <w:t>As Reported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1"/>
                <w:szCs w:val="11"/>
                <w:color w:val="auto"/>
              </w:rPr>
              <w:t>As Adjusted</w:t>
            </w:r>
            <w:r>
              <w:rPr>
                <w:rFonts w:ascii="Arial" w:cs="Arial" w:eastAsia="Arial" w:hAnsi="Arial"/>
                <w:sz w:val="17"/>
                <w:szCs w:val="17"/>
                <w:color w:val="auto"/>
                <w:vertAlign w:val="superscript"/>
              </w:rPr>
              <w:t>(a)</w:t>
            </w:r>
          </w:p>
        </w:tc>
        <w:tc>
          <w:tcPr>
            <w:tcW w:w="1340" w:type="dxa"/>
            <w:vAlign w:val="bottom"/>
            <w:gridSpan w:val="2"/>
          </w:tcPr>
          <w:p>
            <w:pPr>
              <w:jc w:val="right"/>
              <w:spacing w:after="0"/>
              <w:rPr>
                <w:sz w:val="20"/>
                <w:szCs w:val="20"/>
                <w:color w:val="auto"/>
              </w:rPr>
            </w:pPr>
            <w:r>
              <w:rPr>
                <w:rFonts w:ascii="Arial" w:cs="Arial" w:eastAsia="Arial" w:hAnsi="Arial"/>
                <w:sz w:val="11"/>
                <w:szCs w:val="11"/>
                <w:color w:val="auto"/>
              </w:rPr>
              <w:t>As Reported</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As Adjusted</w:t>
            </w:r>
            <w:r>
              <w:rPr>
                <w:rFonts w:ascii="Arial" w:cs="Arial" w:eastAsia="Arial" w:hAnsi="Arial"/>
                <w:sz w:val="17"/>
                <w:szCs w:val="17"/>
                <w:color w:val="auto"/>
                <w:vertAlign w:val="superscript"/>
              </w:rPr>
              <w:t>(a)</w:t>
            </w:r>
          </w:p>
        </w:tc>
      </w:tr>
      <w:tr>
        <w:trPr>
          <w:trHeight w:val="181"/>
        </w:trPr>
        <w:tc>
          <w:tcPr>
            <w:tcW w:w="2040" w:type="dxa"/>
            <w:vAlign w:val="bottom"/>
          </w:tcPr>
          <w:p>
            <w:pPr>
              <w:spacing w:after="0"/>
              <w:rPr>
                <w:sz w:val="20"/>
                <w:szCs w:val="20"/>
                <w:color w:val="auto"/>
              </w:rPr>
            </w:pPr>
            <w:r>
              <w:rPr>
                <w:rFonts w:ascii="Arial" w:cs="Arial" w:eastAsia="Arial" w:hAnsi="Arial"/>
                <w:sz w:val="11"/>
                <w:szCs w:val="11"/>
                <w:color w:val="auto"/>
              </w:rPr>
              <w:t>Revenue</w:t>
            </w:r>
          </w:p>
        </w:tc>
        <w:tc>
          <w:tcPr>
            <w:tcW w:w="1380" w:type="dxa"/>
            <w:vAlign w:val="bottom"/>
            <w:gridSpan w:val="2"/>
          </w:tcPr>
          <w:p>
            <w:pPr>
              <w:jc w:val="center"/>
              <w:ind w:left="706"/>
              <w:spacing w:after="0"/>
              <w:rPr>
                <w:sz w:val="20"/>
                <w:szCs w:val="20"/>
                <w:color w:val="auto"/>
              </w:rPr>
            </w:pPr>
            <w:r>
              <w:rPr>
                <w:rFonts w:ascii="Arial" w:cs="Arial" w:eastAsia="Arial" w:hAnsi="Arial"/>
                <w:sz w:val="11"/>
                <w:szCs w:val="11"/>
                <w:color w:val="auto"/>
              </w:rPr>
              <w:t>$5,402</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w w:val="94"/>
              </w:rPr>
              <w:t>$5,402</w:t>
            </w:r>
          </w:p>
        </w:tc>
        <w:tc>
          <w:tcPr>
            <w:tcW w:w="1340" w:type="dxa"/>
            <w:vAlign w:val="bottom"/>
            <w:gridSpan w:val="2"/>
          </w:tcPr>
          <w:p>
            <w:pPr>
              <w:jc w:val="center"/>
              <w:ind w:left="646"/>
              <w:spacing w:after="0"/>
              <w:rPr>
                <w:sz w:val="20"/>
                <w:szCs w:val="20"/>
                <w:color w:val="auto"/>
              </w:rPr>
            </w:pPr>
            <w:r>
              <w:rPr>
                <w:rFonts w:ascii="Arial" w:cs="Arial" w:eastAsia="Arial" w:hAnsi="Arial"/>
                <w:sz w:val="11"/>
                <w:szCs w:val="11"/>
                <w:color w:val="auto"/>
                <w:w w:val="94"/>
              </w:rPr>
              <w:t>$5,119</w:t>
            </w:r>
          </w:p>
        </w:tc>
        <w:tc>
          <w:tcPr>
            <w:tcW w:w="1760" w:type="dxa"/>
            <w:vAlign w:val="bottom"/>
            <w:gridSpan w:val="4"/>
          </w:tcPr>
          <w:p>
            <w:pPr>
              <w:jc w:val="center"/>
              <w:ind w:left="1006"/>
              <w:spacing w:after="0"/>
              <w:rPr>
                <w:sz w:val="20"/>
                <w:szCs w:val="20"/>
                <w:color w:val="auto"/>
              </w:rPr>
            </w:pPr>
            <w:r>
              <w:rPr>
                <w:rFonts w:ascii="Arial" w:cs="Arial" w:eastAsia="Arial" w:hAnsi="Arial"/>
                <w:sz w:val="11"/>
                <w:szCs w:val="11"/>
                <w:color w:val="auto"/>
              </w:rPr>
              <w:t>$5,119</w:t>
            </w:r>
          </w:p>
        </w:tc>
      </w:tr>
      <w:tr>
        <w:trPr>
          <w:trHeight w:val="252"/>
        </w:trPr>
        <w:tc>
          <w:tcPr>
            <w:tcW w:w="2040" w:type="dxa"/>
            <w:vAlign w:val="bottom"/>
          </w:tcPr>
          <w:p>
            <w:pPr>
              <w:spacing w:after="0"/>
              <w:rPr>
                <w:sz w:val="20"/>
                <w:szCs w:val="20"/>
                <w:color w:val="auto"/>
              </w:rPr>
            </w:pPr>
            <w:r>
              <w:rPr>
                <w:rFonts w:ascii="Arial" w:cs="Arial" w:eastAsia="Arial" w:hAnsi="Arial"/>
                <w:sz w:val="11"/>
                <w:szCs w:val="11"/>
                <w:color w:val="auto"/>
              </w:rPr>
              <w:t>Income from Operations</w:t>
            </w:r>
          </w:p>
        </w:tc>
        <w:tc>
          <w:tcPr>
            <w:tcW w:w="1380" w:type="dxa"/>
            <w:vAlign w:val="bottom"/>
            <w:gridSpan w:val="2"/>
          </w:tcPr>
          <w:p>
            <w:pPr>
              <w:jc w:val="center"/>
              <w:ind w:left="706"/>
              <w:spacing w:after="0"/>
              <w:rPr>
                <w:sz w:val="20"/>
                <w:szCs w:val="20"/>
                <w:color w:val="auto"/>
              </w:rPr>
            </w:pPr>
            <w:r>
              <w:rPr>
                <w:rFonts w:ascii="Arial" w:cs="Arial" w:eastAsia="Arial" w:hAnsi="Arial"/>
                <w:sz w:val="11"/>
                <w:szCs w:val="11"/>
                <w:color w:val="auto"/>
              </w:rPr>
              <w:t>$1,009</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w w:val="94"/>
              </w:rPr>
              <w:t>$1,075</w:t>
            </w:r>
          </w:p>
        </w:tc>
        <w:tc>
          <w:tcPr>
            <w:tcW w:w="1340" w:type="dxa"/>
            <w:vAlign w:val="bottom"/>
            <w:gridSpan w:val="2"/>
          </w:tcPr>
          <w:p>
            <w:pPr>
              <w:jc w:val="right"/>
              <w:ind w:right="112"/>
              <w:spacing w:after="0"/>
              <w:rPr>
                <w:sz w:val="20"/>
                <w:szCs w:val="20"/>
                <w:color w:val="auto"/>
              </w:rPr>
            </w:pPr>
            <w:r>
              <w:rPr>
                <w:rFonts w:ascii="Arial" w:cs="Arial" w:eastAsia="Arial" w:hAnsi="Arial"/>
                <w:sz w:val="11"/>
                <w:szCs w:val="11"/>
                <w:color w:val="auto"/>
              </w:rPr>
              <w:t>$944</w:t>
            </w:r>
          </w:p>
        </w:tc>
        <w:tc>
          <w:tcPr>
            <w:tcW w:w="1760" w:type="dxa"/>
            <w:vAlign w:val="bottom"/>
            <w:gridSpan w:val="4"/>
          </w:tcPr>
          <w:p>
            <w:pPr>
              <w:jc w:val="right"/>
              <w:ind w:right="180"/>
              <w:spacing w:after="0"/>
              <w:rPr>
                <w:sz w:val="20"/>
                <w:szCs w:val="20"/>
                <w:color w:val="auto"/>
              </w:rPr>
            </w:pPr>
            <w:r>
              <w:rPr>
                <w:rFonts w:ascii="Arial" w:cs="Arial" w:eastAsia="Arial" w:hAnsi="Arial"/>
                <w:sz w:val="11"/>
                <w:szCs w:val="11"/>
                <w:color w:val="auto"/>
              </w:rPr>
              <w:t>$946</w:t>
            </w:r>
          </w:p>
        </w:tc>
      </w:tr>
      <w:tr>
        <w:trPr>
          <w:trHeight w:val="350"/>
        </w:trPr>
        <w:tc>
          <w:tcPr>
            <w:tcW w:w="2040" w:type="dxa"/>
            <w:vAlign w:val="bottom"/>
          </w:tcPr>
          <w:p>
            <w:pPr>
              <w:spacing w:after="0"/>
              <w:rPr>
                <w:sz w:val="20"/>
                <w:szCs w:val="20"/>
                <w:color w:val="auto"/>
              </w:rPr>
            </w:pPr>
            <w:r>
              <w:rPr>
                <w:rFonts w:ascii="Arial" w:cs="Arial" w:eastAsia="Arial" w:hAnsi="Arial"/>
                <w:sz w:val="11"/>
                <w:szCs w:val="11"/>
                <w:color w:val="auto"/>
              </w:rPr>
              <w:t>Operating EBITDA</w:t>
            </w:r>
            <w:r>
              <w:rPr>
                <w:rFonts w:ascii="Arial" w:cs="Arial" w:eastAsia="Arial" w:hAnsi="Arial"/>
                <w:sz w:val="17"/>
                <w:szCs w:val="17"/>
                <w:color w:val="auto"/>
                <w:vertAlign w:val="superscript"/>
              </w:rPr>
              <w:t>(b)</w:t>
            </w:r>
          </w:p>
        </w:tc>
        <w:tc>
          <w:tcPr>
            <w:tcW w:w="1380" w:type="dxa"/>
            <w:vAlign w:val="bottom"/>
            <w:gridSpan w:val="2"/>
          </w:tcPr>
          <w:p>
            <w:pPr>
              <w:jc w:val="center"/>
              <w:ind w:left="706"/>
              <w:spacing w:after="0"/>
              <w:rPr>
                <w:sz w:val="20"/>
                <w:szCs w:val="20"/>
                <w:color w:val="auto"/>
              </w:rPr>
            </w:pPr>
            <w:r>
              <w:rPr>
                <w:rFonts w:ascii="Arial" w:cs="Arial" w:eastAsia="Arial" w:hAnsi="Arial"/>
                <w:sz w:val="11"/>
                <w:szCs w:val="11"/>
                <w:color w:val="auto"/>
              </w:rPr>
              <w:t>$1,552</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w w:val="94"/>
              </w:rPr>
              <w:t>$1,618</w:t>
            </w:r>
          </w:p>
        </w:tc>
        <w:tc>
          <w:tcPr>
            <w:tcW w:w="1340" w:type="dxa"/>
            <w:vAlign w:val="bottom"/>
            <w:gridSpan w:val="2"/>
          </w:tcPr>
          <w:p>
            <w:pPr>
              <w:jc w:val="center"/>
              <w:ind w:left="646"/>
              <w:spacing w:after="0"/>
              <w:rPr>
                <w:sz w:val="20"/>
                <w:szCs w:val="20"/>
                <w:color w:val="auto"/>
              </w:rPr>
            </w:pPr>
            <w:r>
              <w:rPr>
                <w:rFonts w:ascii="Arial" w:cs="Arial" w:eastAsia="Arial" w:hAnsi="Arial"/>
                <w:sz w:val="11"/>
                <w:szCs w:val="11"/>
                <w:color w:val="auto"/>
                <w:w w:val="94"/>
              </w:rPr>
              <w:t>$1,465</w:t>
            </w:r>
          </w:p>
        </w:tc>
        <w:tc>
          <w:tcPr>
            <w:tcW w:w="1760" w:type="dxa"/>
            <w:vAlign w:val="bottom"/>
            <w:gridSpan w:val="4"/>
          </w:tcPr>
          <w:p>
            <w:pPr>
              <w:jc w:val="center"/>
              <w:ind w:left="1006"/>
              <w:spacing w:after="0"/>
              <w:rPr>
                <w:sz w:val="20"/>
                <w:szCs w:val="20"/>
                <w:color w:val="auto"/>
              </w:rPr>
            </w:pPr>
            <w:r>
              <w:rPr>
                <w:rFonts w:ascii="Arial" w:cs="Arial" w:eastAsia="Arial" w:hAnsi="Arial"/>
                <w:sz w:val="11"/>
                <w:szCs w:val="11"/>
                <w:color w:val="auto"/>
              </w:rPr>
              <w:t>$1,467</w:t>
            </w:r>
          </w:p>
        </w:tc>
      </w:tr>
      <w:tr>
        <w:trPr>
          <w:trHeight w:val="181"/>
        </w:trPr>
        <w:tc>
          <w:tcPr>
            <w:tcW w:w="2040" w:type="dxa"/>
            <w:vAlign w:val="bottom"/>
          </w:tcPr>
          <w:p>
            <w:pPr>
              <w:spacing w:after="0"/>
              <w:rPr>
                <w:sz w:val="20"/>
                <w:szCs w:val="20"/>
                <w:color w:val="auto"/>
              </w:rPr>
            </w:pPr>
            <w:r>
              <w:rPr>
                <w:rFonts w:ascii="Arial" w:cs="Arial" w:eastAsia="Arial" w:hAnsi="Arial"/>
                <w:sz w:val="11"/>
                <w:szCs w:val="11"/>
                <w:color w:val="auto"/>
              </w:rPr>
              <w:t>Operating EBITDA Margin</w:t>
            </w:r>
          </w:p>
        </w:tc>
        <w:tc>
          <w:tcPr>
            <w:tcW w:w="1380" w:type="dxa"/>
            <w:vAlign w:val="bottom"/>
            <w:gridSpan w:val="2"/>
          </w:tcPr>
          <w:p>
            <w:pPr>
              <w:jc w:val="center"/>
              <w:ind w:left="706"/>
              <w:spacing w:after="0"/>
              <w:rPr>
                <w:sz w:val="20"/>
                <w:szCs w:val="20"/>
                <w:color w:val="auto"/>
              </w:rPr>
            </w:pPr>
            <w:r>
              <w:rPr>
                <w:rFonts w:ascii="Arial" w:cs="Arial" w:eastAsia="Arial" w:hAnsi="Arial"/>
                <w:sz w:val="11"/>
                <w:szCs w:val="11"/>
                <w:color w:val="auto"/>
                <w:w w:val="96"/>
              </w:rPr>
              <w:t>28.7%</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rPr>
              <w:t>30.0%</w:t>
            </w:r>
          </w:p>
        </w:tc>
        <w:tc>
          <w:tcPr>
            <w:tcW w:w="1340" w:type="dxa"/>
            <w:vAlign w:val="bottom"/>
            <w:gridSpan w:val="2"/>
          </w:tcPr>
          <w:p>
            <w:pPr>
              <w:jc w:val="center"/>
              <w:ind w:left="646"/>
              <w:spacing w:after="0"/>
              <w:rPr>
                <w:sz w:val="20"/>
                <w:szCs w:val="20"/>
                <w:color w:val="auto"/>
              </w:rPr>
            </w:pPr>
            <w:r>
              <w:rPr>
                <w:rFonts w:ascii="Arial" w:cs="Arial" w:eastAsia="Arial" w:hAnsi="Arial"/>
                <w:sz w:val="11"/>
                <w:szCs w:val="11"/>
                <w:color w:val="auto"/>
              </w:rPr>
              <w:t>28.6%</w:t>
            </w:r>
          </w:p>
        </w:tc>
        <w:tc>
          <w:tcPr>
            <w:tcW w:w="1760" w:type="dxa"/>
            <w:vAlign w:val="bottom"/>
            <w:gridSpan w:val="4"/>
          </w:tcPr>
          <w:p>
            <w:pPr>
              <w:jc w:val="center"/>
              <w:ind w:left="1006"/>
              <w:spacing w:after="0"/>
              <w:rPr>
                <w:sz w:val="20"/>
                <w:szCs w:val="20"/>
                <w:color w:val="auto"/>
              </w:rPr>
            </w:pPr>
            <w:r>
              <w:rPr>
                <w:rFonts w:ascii="Arial" w:cs="Arial" w:eastAsia="Arial" w:hAnsi="Arial"/>
                <w:sz w:val="11"/>
                <w:szCs w:val="11"/>
                <w:color w:val="auto"/>
                <w:w w:val="96"/>
              </w:rPr>
              <w:t>28.7%</w:t>
            </w:r>
          </w:p>
        </w:tc>
      </w:tr>
      <w:tr>
        <w:trPr>
          <w:trHeight w:val="350"/>
        </w:trPr>
        <w:tc>
          <w:tcPr>
            <w:tcW w:w="2040" w:type="dxa"/>
            <w:vAlign w:val="bottom"/>
          </w:tcPr>
          <w:p>
            <w:pPr>
              <w:spacing w:after="0"/>
              <w:rPr>
                <w:sz w:val="20"/>
                <w:szCs w:val="20"/>
                <w:color w:val="auto"/>
              </w:rPr>
            </w:pPr>
            <w:r>
              <w:rPr>
                <w:rFonts w:ascii="Arial" w:cs="Arial" w:eastAsia="Arial" w:hAnsi="Arial"/>
                <w:sz w:val="11"/>
                <w:szCs w:val="11"/>
                <w:color w:val="auto"/>
              </w:rPr>
              <w:t>Net Income</w:t>
            </w:r>
            <w:r>
              <w:rPr>
                <w:rFonts w:ascii="Arial" w:cs="Arial" w:eastAsia="Arial" w:hAnsi="Arial"/>
                <w:sz w:val="17"/>
                <w:szCs w:val="17"/>
                <w:color w:val="auto"/>
                <w:vertAlign w:val="superscript"/>
              </w:rPr>
              <w:t>(c)</w:t>
            </w:r>
          </w:p>
        </w:tc>
        <w:tc>
          <w:tcPr>
            <w:tcW w:w="1380" w:type="dxa"/>
            <w:vAlign w:val="bottom"/>
            <w:gridSpan w:val="2"/>
          </w:tcPr>
          <w:p>
            <w:pPr>
              <w:jc w:val="center"/>
              <w:ind w:left="686"/>
              <w:spacing w:after="0"/>
              <w:rPr>
                <w:sz w:val="20"/>
                <w:szCs w:val="20"/>
                <w:color w:val="auto"/>
              </w:rPr>
            </w:pPr>
            <w:r>
              <w:rPr>
                <w:rFonts w:ascii="Arial" w:cs="Arial" w:eastAsia="Arial" w:hAnsi="Arial"/>
                <w:sz w:val="11"/>
                <w:szCs w:val="11"/>
                <w:color w:val="auto"/>
                <w:w w:val="97"/>
              </w:rPr>
              <w:t>$680</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w w:val="97"/>
              </w:rPr>
              <w:t>$732</w:t>
            </w:r>
          </w:p>
        </w:tc>
        <w:tc>
          <w:tcPr>
            <w:tcW w:w="1340" w:type="dxa"/>
            <w:vAlign w:val="bottom"/>
            <w:gridSpan w:val="2"/>
          </w:tcPr>
          <w:p>
            <w:pPr>
              <w:jc w:val="center"/>
              <w:ind w:left="646"/>
              <w:spacing w:after="0"/>
              <w:rPr>
                <w:sz w:val="20"/>
                <w:szCs w:val="20"/>
                <w:color w:val="auto"/>
              </w:rPr>
            </w:pPr>
            <w:r>
              <w:rPr>
                <w:rFonts w:ascii="Arial" w:cs="Arial" w:eastAsia="Arial" w:hAnsi="Arial"/>
                <w:sz w:val="11"/>
                <w:szCs w:val="11"/>
                <w:color w:val="auto"/>
                <w:w w:val="97"/>
              </w:rPr>
              <w:t>$615</w:t>
            </w:r>
          </w:p>
        </w:tc>
        <w:tc>
          <w:tcPr>
            <w:tcW w:w="1760" w:type="dxa"/>
            <w:vAlign w:val="bottom"/>
            <w:gridSpan w:val="4"/>
          </w:tcPr>
          <w:p>
            <w:pPr>
              <w:jc w:val="center"/>
              <w:ind w:left="1026"/>
              <w:spacing w:after="0"/>
              <w:rPr>
                <w:sz w:val="20"/>
                <w:szCs w:val="20"/>
                <w:color w:val="auto"/>
              </w:rPr>
            </w:pPr>
            <w:r>
              <w:rPr>
                <w:rFonts w:ascii="Arial" w:cs="Arial" w:eastAsia="Arial" w:hAnsi="Arial"/>
                <w:sz w:val="11"/>
                <w:szCs w:val="11"/>
                <w:color w:val="auto"/>
                <w:w w:val="97"/>
              </w:rPr>
              <w:t>$617</w:t>
            </w:r>
          </w:p>
        </w:tc>
      </w:tr>
      <w:tr>
        <w:trPr>
          <w:trHeight w:val="181"/>
        </w:trPr>
        <w:tc>
          <w:tcPr>
            <w:tcW w:w="2040" w:type="dxa"/>
            <w:vAlign w:val="bottom"/>
          </w:tcPr>
          <w:p>
            <w:pPr>
              <w:spacing w:after="0"/>
              <w:rPr>
                <w:sz w:val="20"/>
                <w:szCs w:val="20"/>
                <w:color w:val="auto"/>
              </w:rPr>
            </w:pPr>
            <w:r>
              <w:rPr>
                <w:rFonts w:ascii="Arial" w:cs="Arial" w:eastAsia="Arial" w:hAnsi="Arial"/>
                <w:sz w:val="11"/>
                <w:szCs w:val="11"/>
                <w:color w:val="auto"/>
              </w:rPr>
              <w:t>Diluted EPS</w:t>
            </w:r>
          </w:p>
        </w:tc>
        <w:tc>
          <w:tcPr>
            <w:tcW w:w="1380" w:type="dxa"/>
            <w:vAlign w:val="bottom"/>
            <w:gridSpan w:val="2"/>
          </w:tcPr>
          <w:p>
            <w:pPr>
              <w:jc w:val="center"/>
              <w:ind w:left="706"/>
              <w:spacing w:after="0"/>
              <w:rPr>
                <w:sz w:val="20"/>
                <w:szCs w:val="20"/>
                <w:color w:val="auto"/>
              </w:rPr>
            </w:pPr>
            <w:r>
              <w:rPr>
                <w:rFonts w:ascii="Arial" w:cs="Arial" w:eastAsia="Arial" w:hAnsi="Arial"/>
                <w:sz w:val="11"/>
                <w:szCs w:val="11"/>
                <w:color w:val="auto"/>
                <w:w w:val="94"/>
              </w:rPr>
              <w:t>$1.69</w:t>
            </w:r>
          </w:p>
        </w:tc>
        <w:tc>
          <w:tcPr>
            <w:tcW w:w="2500" w:type="dxa"/>
            <w:vAlign w:val="bottom"/>
            <w:gridSpan w:val="4"/>
          </w:tcPr>
          <w:p>
            <w:pPr>
              <w:jc w:val="center"/>
              <w:ind w:left="286"/>
              <w:spacing w:after="0"/>
              <w:rPr>
                <w:sz w:val="20"/>
                <w:szCs w:val="20"/>
                <w:color w:val="auto"/>
              </w:rPr>
            </w:pPr>
            <w:r>
              <w:rPr>
                <w:rFonts w:ascii="Arial" w:cs="Arial" w:eastAsia="Arial" w:hAnsi="Arial"/>
                <w:sz w:val="11"/>
                <w:szCs w:val="11"/>
                <w:color w:val="auto"/>
              </w:rPr>
              <w:t>$1.82</w:t>
            </w:r>
          </w:p>
        </w:tc>
        <w:tc>
          <w:tcPr>
            <w:tcW w:w="1340" w:type="dxa"/>
            <w:vAlign w:val="bottom"/>
            <w:gridSpan w:val="2"/>
          </w:tcPr>
          <w:p>
            <w:pPr>
              <w:jc w:val="center"/>
              <w:ind w:left="646"/>
              <w:spacing w:after="0"/>
              <w:rPr>
                <w:sz w:val="20"/>
                <w:szCs w:val="20"/>
                <w:color w:val="auto"/>
              </w:rPr>
            </w:pPr>
            <w:r>
              <w:rPr>
                <w:rFonts w:ascii="Arial" w:cs="Arial" w:eastAsia="Arial" w:hAnsi="Arial"/>
                <w:sz w:val="11"/>
                <w:szCs w:val="11"/>
                <w:color w:val="auto"/>
              </w:rPr>
              <w:t>$1.51</w:t>
            </w:r>
          </w:p>
        </w:tc>
        <w:tc>
          <w:tcPr>
            <w:tcW w:w="1760" w:type="dxa"/>
            <w:vAlign w:val="bottom"/>
            <w:gridSpan w:val="4"/>
          </w:tcPr>
          <w:p>
            <w:pPr>
              <w:jc w:val="center"/>
              <w:ind w:left="1006"/>
              <w:spacing w:after="0"/>
              <w:rPr>
                <w:sz w:val="20"/>
                <w:szCs w:val="20"/>
                <w:color w:val="auto"/>
              </w:rPr>
            </w:pPr>
            <w:r>
              <w:rPr>
                <w:rFonts w:ascii="Arial" w:cs="Arial" w:eastAsia="Arial" w:hAnsi="Arial"/>
                <w:sz w:val="11"/>
                <w:szCs w:val="11"/>
                <w:color w:val="auto"/>
                <w:w w:val="94"/>
              </w:rPr>
              <w:t>$1.51</w:t>
            </w:r>
          </w:p>
        </w:tc>
      </w:tr>
    </w:tbl>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“Based on our great performance to start 2024 and our confidence in the strength of our business, after the first quarter we raised our full-year outlook for adjusted operating EBITDA and free cash flow by $ 100 million. Our second quarter results are tracking to this higher trajectory and reflect continued momentum on our pricing programs and cost optimization efforts in our collection and disposal business,” said Jim Fish, WM’s President and Chief Executive Officer. “Revenue grew by 5.5% this quarter, and our disciplined focus on leveraging our people, technology and processes to reduce our cost to serve continued to drive margin expansion. Our adjusted operating EBITDA increased by 10.3%, and margin expanded by 130 basis points resulting in quarterly margin of 30.0% for the first time ever.”</w:t>
      </w:r>
      <w:r>
        <w:rPr>
          <w:rFonts w:ascii="Arial" w:cs="Arial" w:eastAsia="Arial" w:hAnsi="Arial"/>
          <w:sz w:val="19"/>
          <w:szCs w:val="19"/>
          <w:color w:val="auto"/>
          <w:vertAlign w:val="superscript"/>
        </w:rPr>
        <w:t>(a)</w:t>
      </w:r>
    </w:p>
    <w:p>
      <w:pPr>
        <w:spacing w:after="0" w:line="1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Fish continued, “We continue to strategically expand our core collection and disposal operations in North America through targeted acquisitions in new geographies like Long Island, New York and through tuck-in acquisitions in growth markets in Florida, North Carolina, and Arizona. Looking forward, we are excited about our planned acquisition of Stericycle, and we are progressing through the customary regulatory reviews. At the same time, we are making significant strides on our sustainability investments, having opened two upgraded recycling facilities this quarter. In our renewable energy business, we are scheduled to complete a total of five projects in 2024, with an additional nine projects currently under construction. The momentum is strong, and we remain focused on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393065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b w:val="1"/>
          <w:bCs w:val="1"/>
          <w:color w:val="00693C"/>
        </w:rPr>
        <w:t>FOR MORE</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00693C"/>
        </w:rPr>
        <w:t>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Waste</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Management</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Web site</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b w:val="1"/>
          <w:bCs w:val="1"/>
          <w:color w:val="57584F"/>
        </w:rPr>
        <w:t>www.wm.com</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Analysts</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57584F"/>
        </w:rPr>
        <w:t>Ed Egl</w:t>
      </w:r>
    </w:p>
    <w:p>
      <w:pPr>
        <w:spacing w:after="0" w:line="234" w:lineRule="auto"/>
        <w:rPr>
          <w:sz w:val="20"/>
          <w:szCs w:val="20"/>
          <w:color w:val="auto"/>
        </w:rPr>
      </w:pPr>
      <w:r>
        <w:rPr>
          <w:rFonts w:ascii="Arial" w:cs="Arial" w:eastAsia="Arial" w:hAnsi="Arial"/>
          <w:sz w:val="12"/>
          <w:szCs w:val="12"/>
          <w:color w:val="57584F"/>
        </w:rPr>
        <w:t>713.265.1656</w:t>
      </w:r>
    </w:p>
    <w:p>
      <w:pPr>
        <w:spacing w:after="0"/>
        <w:rPr>
          <w:sz w:val="20"/>
          <w:szCs w:val="20"/>
          <w:color w:val="auto"/>
        </w:rPr>
      </w:pPr>
      <w:r>
        <w:rPr>
          <w:rFonts w:ascii="Arial" w:cs="Arial" w:eastAsia="Arial" w:hAnsi="Arial"/>
          <w:sz w:val="12"/>
          <w:szCs w:val="12"/>
          <w:color w:val="57584F"/>
        </w:rPr>
        <w:t>eegl@wm.com</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Media</w:t>
      </w:r>
    </w:p>
    <w:p>
      <w:pPr>
        <w:spacing w:after="0" w:line="8" w:lineRule="exact"/>
        <w:rPr>
          <w:sz w:val="20"/>
          <w:szCs w:val="20"/>
          <w:color w:val="auto"/>
        </w:rPr>
      </w:pPr>
    </w:p>
    <w:p>
      <w:pPr>
        <w:ind w:right="580"/>
        <w:spacing w:after="0" w:line="249" w:lineRule="auto"/>
        <w:rPr>
          <w:sz w:val="20"/>
          <w:szCs w:val="20"/>
          <w:color w:val="auto"/>
        </w:rPr>
      </w:pPr>
      <w:r>
        <w:rPr>
          <w:rFonts w:ascii="Arial" w:cs="Arial" w:eastAsia="Arial" w:hAnsi="Arial"/>
          <w:sz w:val="12"/>
          <w:szCs w:val="12"/>
          <w:color w:val="57584F"/>
        </w:rPr>
        <w:t>Toni Werner media@wm.com</w:t>
      </w:r>
    </w:p>
    <w:p>
      <w:pPr>
        <w:sectPr>
          <w:pgSz w:w="11900" w:h="16838" w:orient="portrait"/>
          <w:cols w:equalWidth="0" w:num="2">
            <w:col w:w="9600" w:space="220"/>
            <w:col w:w="1480"/>
          </w:cols>
          <w:pgMar w:left="300" w:top="289" w:right="2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1"/>
          <w:szCs w:val="11"/>
          <w:b w:val="1"/>
          <w:bCs w:val="1"/>
          <w:color w:val="auto"/>
        </w:rPr>
        <w:t>KEY HIGHLIGHTS FOR THE SECOND QUARTER OF 2024</w:t>
      </w:r>
    </w:p>
    <w:p>
      <w:pPr>
        <w:spacing w:after="0" w:line="6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24"/>
          <w:szCs w:val="24"/>
          <w:color w:val="auto"/>
          <w:vertAlign w:val="superscript"/>
        </w:rPr>
      </w:pPr>
      <w:r>
        <w:rPr>
          <w:rFonts w:ascii="Arial" w:cs="Arial" w:eastAsia="Arial" w:hAnsi="Arial"/>
          <w:sz w:val="12"/>
          <w:szCs w:val="12"/>
          <w:color w:val="auto"/>
        </w:rPr>
        <w:t>Total Company revenue grew 5.5%, driven primarily by core price of 6.8% and increases in the value of the recycled commodities the Company sells.</w:t>
      </w:r>
      <w:r>
        <w:rPr>
          <w:rFonts w:ascii="Arial" w:cs="Arial" w:eastAsia="Arial" w:hAnsi="Arial"/>
          <w:sz w:val="19"/>
          <w:szCs w:val="19"/>
          <w:color w:val="auto"/>
          <w:vertAlign w:val="superscript"/>
        </w:rPr>
        <w:t>(d)</w:t>
      </w:r>
    </w:p>
    <w:p>
      <w:pPr>
        <w:ind w:left="420" w:hanging="212"/>
        <w:spacing w:after="0" w:line="187" w:lineRule="auto"/>
        <w:tabs>
          <w:tab w:leader="none" w:pos="420" w:val="left"/>
        </w:tabs>
        <w:numPr>
          <w:ilvl w:val="0"/>
          <w:numId w:val="2"/>
        </w:numPr>
        <w:rPr>
          <w:rFonts w:ascii="Times New Roman" w:cs="Times New Roman" w:eastAsia="Times New Roman" w:hAnsi="Times New Roman"/>
          <w:sz w:val="15"/>
          <w:szCs w:val="15"/>
          <w:color w:val="auto"/>
          <w:vertAlign w:val="superscript"/>
        </w:rPr>
      </w:pPr>
      <w:r>
        <w:rPr>
          <w:rFonts w:ascii="Arial" w:cs="Arial" w:eastAsia="Arial" w:hAnsi="Arial"/>
          <w:sz w:val="9"/>
          <w:szCs w:val="9"/>
          <w:color w:val="auto"/>
        </w:rPr>
        <w:t>Collection and Disposal yield was 4.6%, and Collection and Disposal volume declined 0.3%.</w:t>
      </w:r>
      <w:r>
        <w:rPr>
          <w:rFonts w:ascii="Arial" w:cs="Arial" w:eastAsia="Arial" w:hAnsi="Arial"/>
          <w:sz w:val="12"/>
          <w:szCs w:val="12"/>
          <w:color w:val="auto"/>
          <w:vertAlign w:val="superscript"/>
        </w:rPr>
        <w:t>(e)</w:t>
      </w:r>
    </w:p>
    <w:p>
      <w:pPr>
        <w:ind w:left="420" w:hanging="212"/>
        <w:spacing w:after="0" w:line="244"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Operating expenses as a percentage of revenue improved 130 basis points to 60.9% compared to prior year. This improvement was driven by benefits from price and cost optimization efforts.</w:t>
      </w:r>
    </w:p>
    <w:p>
      <w:pPr>
        <w:ind w:left="420" w:hanging="212"/>
        <w:spacing w:after="0" w:line="185" w:lineRule="auto"/>
        <w:tabs>
          <w:tab w:leader="none" w:pos="420" w:val="left"/>
        </w:tabs>
        <w:numPr>
          <w:ilvl w:val="0"/>
          <w:numId w:val="2"/>
        </w:numPr>
        <w:rPr>
          <w:rFonts w:ascii="Times New Roman" w:cs="Times New Roman" w:eastAsia="Times New Roman" w:hAnsi="Times New Roman"/>
          <w:sz w:val="20"/>
          <w:szCs w:val="20"/>
          <w:color w:val="auto"/>
          <w:vertAlign w:val="superscript"/>
        </w:rPr>
      </w:pPr>
      <w:r>
        <w:rPr>
          <w:rFonts w:ascii="Arial" w:cs="Arial" w:eastAsia="Arial" w:hAnsi="Arial"/>
          <w:sz w:val="10"/>
          <w:szCs w:val="10"/>
          <w:color w:val="auto"/>
        </w:rPr>
        <w:t>SG&amp;A expenses were 9.3% of revenue, or 9.1% of revenue on an adjusted basis and flat with the prior year.</w:t>
      </w:r>
      <w:r>
        <w:rPr>
          <w:rFonts w:ascii="Arial" w:cs="Arial" w:eastAsia="Arial" w:hAnsi="Arial"/>
          <w:sz w:val="16"/>
          <w:szCs w:val="16"/>
          <w:color w:val="auto"/>
          <w:vertAlign w:val="superscript"/>
        </w:rPr>
        <w:t>(a)</w:t>
      </w:r>
    </w:p>
    <w:p>
      <w:pPr>
        <w:ind w:left="420" w:hanging="212"/>
        <w:spacing w:after="0" w:line="187" w:lineRule="auto"/>
        <w:tabs>
          <w:tab w:leader="none" w:pos="420" w:val="left"/>
        </w:tabs>
        <w:numPr>
          <w:ilvl w:val="0"/>
          <w:numId w:val="2"/>
        </w:numPr>
        <w:rPr>
          <w:rFonts w:ascii="Times New Roman" w:cs="Times New Roman" w:eastAsia="Times New Roman" w:hAnsi="Times New Roman"/>
          <w:sz w:val="15"/>
          <w:szCs w:val="15"/>
          <w:color w:val="auto"/>
          <w:vertAlign w:val="superscript"/>
        </w:rPr>
      </w:pPr>
      <w:r>
        <w:rPr>
          <w:rFonts w:ascii="Arial" w:cs="Arial" w:eastAsia="Arial" w:hAnsi="Arial"/>
          <w:sz w:val="9"/>
          <w:szCs w:val="9"/>
          <w:color w:val="auto"/>
        </w:rPr>
        <w:t>Total Company adjusted operating EBITDA grew 10.3% to $1.62 billion, and margin expanded 130 basis points to 30.0% on an adjusted basis.</w:t>
      </w:r>
      <w:r>
        <w:rPr>
          <w:rFonts w:ascii="Arial" w:cs="Arial" w:eastAsia="Arial" w:hAnsi="Arial"/>
          <w:sz w:val="12"/>
          <w:szCs w:val="12"/>
          <w:color w:val="auto"/>
          <w:vertAlign w:val="superscript"/>
        </w:rPr>
        <w:t>(a)</w:t>
      </w:r>
    </w:p>
    <w:p>
      <w:pPr>
        <w:ind w:left="420" w:hanging="212"/>
        <w:spacing w:after="0" w:line="199"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Operating EBITDA in the Company’s Collection and Disposal business grew $200 million to $1.83 billion, and margin expanded to 37.3%. Adjusted operating EBITDA in the Company’s Collection and Disposal business grew $203 million to $1.84 billion, and margin expanded to 37.3%.</w:t>
      </w:r>
      <w:r>
        <w:rPr>
          <w:rFonts w:ascii="Arial" w:cs="Arial" w:eastAsia="Arial" w:hAnsi="Arial"/>
          <w:sz w:val="19"/>
          <w:szCs w:val="19"/>
          <w:color w:val="auto"/>
          <w:vertAlign w:val="superscript"/>
        </w:rPr>
        <w:t>(a)</w:t>
      </w:r>
    </w:p>
    <w:p>
      <w:pPr>
        <w:ind w:left="420" w:hanging="212"/>
        <w:spacing w:after="0" w:line="199"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Operating EBITDA in the Recycling Processing &amp; Sales and WM Renewable Energy businesses grew 20.8%, in line with expectations, driven by higher market prices for recycled and renewable energy commodities, partially offset by temporary shutdown costs associated with recycling facility upgrades.</w:t>
      </w:r>
      <w:r>
        <w:rPr>
          <w:rFonts w:ascii="Arial" w:cs="Arial" w:eastAsia="Arial" w:hAnsi="Arial"/>
          <w:sz w:val="19"/>
          <w:szCs w:val="19"/>
          <w:color w:val="auto"/>
          <w:vertAlign w:val="superscript"/>
        </w:rPr>
        <w:t>(e)(f)</w:t>
      </w:r>
    </w:p>
    <w:p>
      <w:pPr>
        <w:ind w:left="420" w:hanging="212"/>
        <w:spacing w:after="0" w:line="234"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 the first half of the year, net cash provided by operating activities increased 21.6% to $2.52 billion compared to the same period in 2023 driven by the Company’s strong operating EBITDA growth combined with working capital benefits.</w:t>
      </w:r>
    </w:p>
    <w:p>
      <w:pPr>
        <w:jc w:val="both"/>
        <w:ind w:left="420" w:hanging="212"/>
        <w:spacing w:after="0" w:line="209"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 the first half of the year, free cash flow before investments in high-return sustainability projects grew 41.1% to $1.63 billion. The Company continues to progress its sustainability growth portfolio with investments in an industry-leading network of renewable natural gas projects and recycling assets. Total Company free cash flow in the first half of the year, including these investments, grew 32.3% to $1.24 billion.</w:t>
      </w:r>
      <w:r>
        <w:rPr>
          <w:rFonts w:ascii="Arial" w:cs="Arial" w:eastAsia="Arial" w:hAnsi="Arial"/>
          <w:sz w:val="19"/>
          <w:szCs w:val="19"/>
          <w:color w:val="auto"/>
          <w:vertAlign w:val="superscript"/>
        </w:rPr>
        <w:t>(a)</w:t>
      </w:r>
    </w:p>
    <w:p>
      <w:pPr>
        <w:ind w:left="420" w:hanging="212"/>
        <w:spacing w:after="0" w:line="199"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The Company’s strong first half performance is on track to achieve the increased full-year outlook provided in April for adjusted operating EBITDA of between $6.375 and $6.525 billion and for free cash flow including sustainability growth investments of between $2.0 and $2.15 billion.</w:t>
      </w:r>
      <w:r>
        <w:rPr>
          <w:rFonts w:ascii="Arial" w:cs="Arial" w:eastAsia="Arial" w:hAnsi="Arial"/>
          <w:sz w:val="19"/>
          <w:szCs w:val="19"/>
          <w:color w:val="auto"/>
          <w:vertAlign w:val="superscript"/>
        </w:rPr>
        <w:t>(a)(g)</w:t>
      </w:r>
    </w:p>
    <w:p>
      <w:pPr>
        <w:ind w:left="420" w:hanging="212"/>
        <w:spacing w:after="0" w:line="279" w:lineRule="auto"/>
        <w:tabs>
          <w:tab w:leader="none" w:pos="420" w:val="left"/>
        </w:tabs>
        <w:numPr>
          <w:ilvl w:val="0"/>
          <w:numId w:val="2"/>
        </w:numPr>
        <w:rPr>
          <w:rFonts w:ascii="Times New Roman" w:cs="Times New Roman" w:eastAsia="Times New Roman" w:hAnsi="Times New Roman"/>
          <w:sz w:val="12"/>
          <w:szCs w:val="12"/>
          <w:color w:val="auto"/>
        </w:rPr>
      </w:pPr>
      <w:r>
        <w:rPr>
          <w:rFonts w:ascii="Arial" w:cs="Arial" w:eastAsia="Arial" w:hAnsi="Arial"/>
          <w:sz w:val="12"/>
          <w:szCs w:val="12"/>
          <w:color w:val="auto"/>
        </w:rPr>
        <w:t>In conjunction with its second quarter earnings materials, the Company has published additional information elaborating on the strategic rationale and expected financial benefits from its planned acquisition of Stericycle in a supplemental presentation on our investor website.</w:t>
      </w:r>
      <w:r>
        <w:rPr>
          <w:rFonts w:ascii="Arial" w:cs="Arial" w:eastAsia="Arial" w:hAnsi="Arial"/>
          <w:sz w:val="19"/>
          <w:szCs w:val="19"/>
          <w:color w:val="auto"/>
          <w:vertAlign w:val="superscript"/>
        </w:rPr>
        <w:t>(h)</w:t>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Fish concluded, “We are pleased with the progress we've made on our strategic priorities so far in 2024. Our team continues to exceed the high expectations we have set. With our strong performance in the first half of the year, we are confident that we are on track to meet or exceed the midpoint of our full-year financial outlook that we provided in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64579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950" cy="5715"/>
                    </a:xfrm>
                    <a:prstGeom prst="rect">
                      <a:avLst/>
                    </a:prstGeom>
                    <a:noFill/>
                  </pic:spPr>
                </pic:pic>
              </a:graphicData>
            </a:graphic>
          </wp:anchor>
        </w:drawing>
      </w:r>
    </w:p>
    <w:p>
      <w:pPr>
        <w:spacing w:after="0" w:line="249" w:lineRule="exact"/>
        <w:rPr>
          <w:sz w:val="20"/>
          <w:szCs w:val="20"/>
          <w:color w:val="auto"/>
        </w:rPr>
      </w:pPr>
    </w:p>
    <w:p>
      <w:pPr>
        <w:ind w:left="420" w:hanging="212"/>
        <w:spacing w:after="0" w:line="268"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95" w:lineRule="exact"/>
        <w:rPr>
          <w:rFonts w:ascii="Arial" w:cs="Arial" w:eastAsia="Arial" w:hAnsi="Arial"/>
          <w:sz w:val="11"/>
          <w:szCs w:val="11"/>
          <w:color w:val="auto"/>
        </w:rPr>
      </w:pPr>
    </w:p>
    <w:p>
      <w:pPr>
        <w:ind w:left="420" w:hanging="212"/>
        <w:spacing w:after="0" w:line="268" w:lineRule="auto"/>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Management defines operating EBITDA as GAAP income from operations before depreciation and amortization; this measure may not be comparable to similarly titled measures reported by other companies.</w:t>
      </w:r>
    </w:p>
    <w:p>
      <w:pPr>
        <w:spacing w:after="0" w:line="95" w:lineRule="exact"/>
        <w:rPr>
          <w:rFonts w:ascii="Arial" w:cs="Arial" w:eastAsia="Arial" w:hAnsi="Arial"/>
          <w:sz w:val="11"/>
          <w:szCs w:val="11"/>
          <w:color w:val="auto"/>
        </w:rPr>
      </w:pPr>
    </w:p>
    <w:p>
      <w:pPr>
        <w:ind w:left="420" w:hanging="212"/>
        <w:spacing w:after="0"/>
        <w:tabs>
          <w:tab w:leader="none" w:pos="420"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purposes of this press release, all references to “Net income” refer to the financial statement line item “Net income attributable to 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300" w:top="671" w:right="1439" w:bottom="1440" w:gutter="0" w:footer="0" w:header="0"/>
        </w:sectPr>
      </w:pPr>
    </w:p>
    <w:bookmarkStart w:id="5" w:name="page6"/>
    <w:bookmarkEnd w:id="5"/>
    <w:p>
      <w:pPr>
        <w:jc w:val="both"/>
        <w:ind w:left="420" w:hanging="212"/>
        <w:spacing w:after="0" w:line="253" w:lineRule="auto"/>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03" w:lineRule="exact"/>
        <w:rPr>
          <w:rFonts w:ascii="Arial" w:cs="Arial" w:eastAsia="Arial" w:hAnsi="Arial"/>
          <w:sz w:val="11"/>
          <w:szCs w:val="11"/>
          <w:color w:val="auto"/>
        </w:rPr>
      </w:pPr>
    </w:p>
    <w:p>
      <w:pPr>
        <w:jc w:val="both"/>
        <w:ind w:left="420" w:hanging="212"/>
        <w:spacing w:after="0" w:line="248" w:lineRule="auto"/>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 the fourth quarter of 2023, the Company updated its reportable segments to enhance transparency regarding its financial performance and underscore its commitment to sustainability through substantial planned and ongoing investments in its Recycling Processing and Sales and WM Renewable Energy businesses. The Company reports through four segments, referred to as (i) Collection and Disposal – East Tier; (ii) Collection and Disposal – West Tier; (iii) Recycling Processing and Sales and (iv) WM Renewable Energy. The Company’s East and West Tiers along with certain ancillary services not managed through our Tier segments form its “Collection and Disposal” business.</w:t>
      </w:r>
    </w:p>
    <w:p>
      <w:pPr>
        <w:spacing w:after="0" w:line="107" w:lineRule="exact"/>
        <w:rPr>
          <w:rFonts w:ascii="Arial" w:cs="Arial" w:eastAsia="Arial" w:hAnsi="Arial"/>
          <w:sz w:val="11"/>
          <w:szCs w:val="11"/>
          <w:color w:val="auto"/>
        </w:rPr>
      </w:pPr>
    </w:p>
    <w:p>
      <w:pPr>
        <w:jc w:val="both"/>
        <w:ind w:left="420" w:hanging="212"/>
        <w:spacing w:after="0" w:line="241" w:lineRule="auto"/>
        <w:tabs>
          <w:tab w:leader="none" w:pos="420" w:val="left"/>
        </w:tabs>
        <w:numPr>
          <w:ilvl w:val="0"/>
          <w:numId w:val="4"/>
        </w:numPr>
        <w:rPr>
          <w:rFonts w:ascii="Arial" w:cs="Arial" w:eastAsia="Arial" w:hAnsi="Arial"/>
          <w:sz w:val="12"/>
          <w:szCs w:val="12"/>
          <w:color w:val="auto"/>
        </w:rPr>
      </w:pPr>
      <w:r>
        <w:rPr>
          <w:rFonts w:ascii="Arial" w:cs="Arial" w:eastAsia="Arial" w:hAnsi="Arial"/>
          <w:sz w:val="11"/>
          <w:szCs w:val="11"/>
          <w:color w:val="auto"/>
        </w:rPr>
        <w:t>The Company’s blended average single stream recycled commodity price was about $96 per ton compared to about $61 per ton in the prior year period, and the full-year expectation for pricing has increased to approximately $90 per ton from approximately $80 per ton. The average value of Renewable Fuel Standard credits was $3.11 compared to $2.03 in the prior year period, and the average natural gas price was $1.64 per MMBtu compared to $2.20 per MMBtu in the prior year period. The average electricity price was about $64 per megawatt hour compared to about $62 per megawatt hour in the prior year period.</w:t>
      </w:r>
    </w:p>
    <w:p>
      <w:pPr>
        <w:spacing w:after="0" w:line="119" w:lineRule="exact"/>
        <w:rPr>
          <w:rFonts w:ascii="Arial" w:cs="Arial" w:eastAsia="Arial" w:hAnsi="Arial"/>
          <w:sz w:val="12"/>
          <w:szCs w:val="12"/>
          <w:color w:val="auto"/>
        </w:rPr>
      </w:pPr>
    </w:p>
    <w:p>
      <w:pPr>
        <w:ind w:left="420" w:hanging="212"/>
        <w:spacing w:after="0"/>
        <w:tabs>
          <w:tab w:leader="none" w:pos="4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Company's financial outlook includes the impact of the $750 million of closed acquisitions but excludes any potential impact from its planned acquisition of Stericycle.</w:t>
      </w:r>
    </w:p>
    <w:p>
      <w:pPr>
        <w:spacing w:after="0" w:line="125" w:lineRule="exact"/>
        <w:rPr>
          <w:rFonts w:ascii="Arial" w:cs="Arial" w:eastAsia="Arial" w:hAnsi="Arial"/>
          <w:sz w:val="11"/>
          <w:szCs w:val="11"/>
          <w:color w:val="auto"/>
        </w:rPr>
      </w:pPr>
    </w:p>
    <w:p>
      <w:pPr>
        <w:jc w:val="both"/>
        <w:ind w:left="420" w:hanging="212"/>
        <w:spacing w:after="0" w:line="290" w:lineRule="auto"/>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The Company may announce information using SEC filings, press releases, public conference calls, webcasts, and the investors.wm.com page of its website. It is possible that information posted on such website (including the supplemental presentation referenced in this press release) could be deemed to be material information, and management encourages investors, other stakeholders and the media to review the information posted to its website. Except to the extent explicitly stated otherwise, documents and information on the Company’s website are not incorporated herein by reference.</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The Company will host a conference call at 10 a.m. ET on July 25, 2024 to discuss the second quarter 2024 results. Information contained within this press release will be referenced and should be considered in conjunction with the call.</w:t>
      </w:r>
    </w:p>
    <w:p>
      <w:pPr>
        <w:spacing w:after="0" w:line="95" w:lineRule="exact"/>
        <w:rPr>
          <w:sz w:val="20"/>
          <w:szCs w:val="20"/>
          <w:color w:val="auto"/>
        </w:rPr>
      </w:pPr>
    </w:p>
    <w:p>
      <w:pPr>
        <w:jc w:val="both"/>
        <w:spacing w:after="0" w:line="270" w:lineRule="auto"/>
        <w:rPr>
          <w:sz w:val="20"/>
          <w:szCs w:val="20"/>
          <w:color w:val="auto"/>
        </w:rPr>
      </w:pPr>
      <w:r>
        <w:rPr>
          <w:rFonts w:ascii="Arial" w:cs="Arial" w:eastAsia="Arial" w:hAnsi="Arial"/>
          <w:sz w:val="12"/>
          <w:szCs w:val="12"/>
          <w:color w:val="auto"/>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Conference call participants should register to obtain their dial in and passcode details. This streamlined process improves security and eliminates wait times when joining the call.</w:t>
      </w: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ABOUT WM</w:t>
      </w:r>
    </w:p>
    <w:p>
      <w:pPr>
        <w:spacing w:after="0" w:line="10"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WM (</w:t>
      </w:r>
      <w:r>
        <w:rPr>
          <w:rFonts w:ascii="Arial" w:cs="Arial" w:eastAsia="Arial" w:hAnsi="Arial"/>
          <w:sz w:val="11"/>
          <w:szCs w:val="11"/>
          <w:u w:val="single" w:color="auto"/>
          <w:color w:val="auto"/>
        </w:rPr>
        <w:t>WM.com</w:t>
      </w:r>
      <w:r>
        <w:rPr>
          <w:rFonts w:ascii="Arial" w:cs="Arial" w:eastAsia="Arial" w:hAnsi="Arial"/>
          <w:sz w:val="11"/>
          <w:szCs w:val="11"/>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w:t>
      </w:r>
      <w:r>
        <w:rPr>
          <w:rFonts w:ascii="Arial" w:cs="Arial" w:eastAsia="Arial" w:hAnsi="Arial"/>
          <w:sz w:val="11"/>
          <w:szCs w:val="11"/>
          <w:u w:val="single" w:color="auto"/>
          <w:color w:val="auto"/>
        </w:rPr>
        <w:t>Sustainability.WM.com</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300" w:top="671" w:right="143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FORWARD-LOOKING STATEMENTS</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1"/>
          <w:szCs w:val="11"/>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regarding future performance or financial results of our business; achievement of financial outlook; growth and margin expansion; drivers of performance, including pricing, cost optimization and cost reduction and other initiatives; results from acquisitions; consummation of the Stericycle acquisition and obtaining regulatory approvals; and timing of sustainability investments and project completions and related results.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including the planned Stericycle acquisition, or new lines of business; failure to identify acquisition targets, consummate and integrate acquisitions, including our planned integration of Stericycle; our ability to consummate and finance the Stericycle acquisition and achieve the anticipated benefits therefrom, including cost synergies; legal, regulatory and other matters that may affect the costs and timing of our ability to complete, integrate and deliver all of the expected benefits of the planned Stericycle acquisition;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 retain key team members and a high quality workforce; increases in labor costs due to union organizing activities or changes in wage and labor 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NON-GAAP FINANCIAL MEASURES</w:t>
      </w:r>
    </w:p>
    <w:p>
      <w:pPr>
        <w:spacing w:after="0" w:line="10" w:lineRule="exact"/>
        <w:rPr>
          <w:sz w:val="20"/>
          <w:szCs w:val="20"/>
          <w:color w:val="auto"/>
        </w:rPr>
      </w:pPr>
    </w:p>
    <w:p>
      <w:pPr>
        <w:jc w:val="both"/>
        <w:spacing w:after="0" w:line="241" w:lineRule="auto"/>
        <w:rPr>
          <w:sz w:val="20"/>
          <w:szCs w:val="20"/>
          <w:color w:val="auto"/>
        </w:rPr>
      </w:pPr>
      <w:r>
        <w:rPr>
          <w:rFonts w:ascii="Arial" w:cs="Arial" w:eastAsia="Arial" w:hAnsi="Arial"/>
          <w:sz w:val="11"/>
          <w:szCs w:val="11"/>
          <w:color w:val="auto"/>
        </w:rPr>
        <w:t>To supplement its financial information, the Company has presented, and/or may discuss on the conference call, adjusted earnings per diluted share, adjusted net income, adjusted income from operations, adjusted operating EBITDA and margin, adjusted SG&amp;A expenses and free cash flow.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1"/>
          <w:szCs w:val="11"/>
          <w:color w:val="auto"/>
        </w:rPr>
        <w:t>In addition, the Company’s projected future operating EBITDA and margin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0"/>
          </w:cols>
          <w:pgMar w:left="300" w:top="671" w:right="1079" w:bottom="1440" w:gutter="0" w:footer="0" w:header="0"/>
        </w:sectPr>
      </w:pPr>
    </w:p>
    <w:bookmarkStart w:id="7" w:name="page8"/>
    <w:bookmarkEnd w:id="7"/>
    <w:p>
      <w:pPr>
        <w:spacing w:after="0"/>
        <w:rPr>
          <w:sz w:val="20"/>
          <w:szCs w:val="20"/>
          <w:color w:val="auto"/>
        </w:rPr>
      </w:pPr>
      <w:r>
        <w:rPr>
          <w:rFonts w:ascii="Arial" w:cs="Arial" w:eastAsia="Arial" w:hAnsi="Arial"/>
          <w:sz w:val="11"/>
          <w:szCs w:val="11"/>
          <w:color w:val="auto"/>
        </w:rPr>
        <w:t>information available to provide a quantitative reconciliation of such projection to the comparable GAAP measure.</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0"/>
          <w:szCs w:val="10"/>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1"/>
          <w:szCs w:val="11"/>
          <w:color w:val="auto"/>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spacing w:after="0" w:line="122"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0"/>
          </w:cols>
          <w:pgMar w:left="300" w:top="635" w:right="107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Operating revenues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Costs and expenses:</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Operating</w:t>
      </w:r>
    </w:p>
    <w:p>
      <w:pPr>
        <w:spacing w:after="0" w:line="6" w:lineRule="exact"/>
        <w:rPr>
          <w:sz w:val="20"/>
          <w:szCs w:val="20"/>
          <w:color w:val="auto"/>
        </w:rPr>
      </w:pPr>
    </w:p>
    <w:p>
      <w:pPr>
        <w:ind w:left="60" w:right="1440"/>
        <w:spacing w:after="0" w:line="250" w:lineRule="auto"/>
        <w:rPr>
          <w:sz w:val="20"/>
          <w:szCs w:val="20"/>
          <w:color w:val="auto"/>
        </w:rPr>
      </w:pPr>
      <w:r>
        <w:rPr>
          <w:rFonts w:ascii="Times New Roman" w:cs="Times New Roman" w:eastAsia="Times New Roman" w:hAnsi="Times New Roman"/>
          <w:sz w:val="12"/>
          <w:szCs w:val="12"/>
          <w:color w:val="auto"/>
        </w:rPr>
        <w:t>Selling, general and administrative Depreciation, depletion and amortization Restructuring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auto"/>
        </w:rPr>
        <w:t>(Gain) loss from divestitures, asset impairments and unusual items, net</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OPERATIONS</w:t>
      </w:r>
    </w:p>
    <w:p>
      <w:pPr>
        <w:spacing w:after="0" w:line="32"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2"/>
          <w:szCs w:val="12"/>
          <w:b w:val="1"/>
          <w:bCs w:val="1"/>
          <w:color w:val="auto"/>
        </w:rPr>
        <w:t>(In Millions, Except per Share Amounts)</w:t>
      </w:r>
    </w:p>
    <w:p>
      <w:pPr>
        <w:spacing w:after="0" w:line="6"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tbl>
      <w:tblPr>
        <w:tblLayout w:type="fixed"/>
        <w:tblInd w:w="2600" w:type="dxa"/>
        <w:tblCellMar>
          <w:top w:w="0" w:type="dxa"/>
          <w:left w:w="0" w:type="dxa"/>
          <w:bottom w:w="0" w:type="dxa"/>
          <w:right w:w="0" w:type="dxa"/>
        </w:tblCellMar>
      </w:tblPr>
      <w:tr>
        <w:trPr>
          <w:trHeight w:val="153"/>
        </w:trPr>
        <w:tc>
          <w:tcPr>
            <w:tcW w:w="1960" w:type="dxa"/>
            <w:vAlign w:val="bottom"/>
            <w:gridSpan w:val="4"/>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303"/>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3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70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5,402</w:t>
            </w:r>
          </w:p>
        </w:tc>
        <w:tc>
          <w:tcPr>
            <w:tcW w:w="220" w:type="dxa"/>
            <w:vAlign w:val="bottom"/>
          </w:tcPr>
          <w:p>
            <w:pPr>
              <w:spacing w:after="0"/>
              <w:rPr>
                <w:sz w:val="11"/>
                <w:szCs w:val="11"/>
                <w:color w:val="auto"/>
              </w:rPr>
            </w:pPr>
          </w:p>
        </w:tc>
        <w:tc>
          <w:tcPr>
            <w:tcW w:w="7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5,119</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10,561</w:t>
            </w:r>
          </w:p>
        </w:tc>
        <w:tc>
          <w:tcPr>
            <w:tcW w:w="220" w:type="dxa"/>
            <w:vAlign w:val="bottom"/>
          </w:tcPr>
          <w:p>
            <w:pPr>
              <w:spacing w:after="0"/>
              <w:rPr>
                <w:sz w:val="11"/>
                <w:szCs w:val="11"/>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10,011</w:t>
            </w: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266"/>
        </w:trPr>
        <w:tc>
          <w:tcPr>
            <w:tcW w:w="7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3,291</w:t>
            </w:r>
          </w:p>
        </w:tc>
        <w:tc>
          <w:tcPr>
            <w:tcW w:w="700" w:type="dxa"/>
            <w:vAlign w:val="bottom"/>
          </w:tcPr>
          <w:p>
            <w:pPr>
              <w:spacing w:after="0"/>
              <w:rPr>
                <w:sz w:val="23"/>
                <w:szCs w:val="2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3,186</w:t>
            </w:r>
          </w:p>
        </w:tc>
        <w:tc>
          <w:tcPr>
            <w:tcW w:w="62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6,431</w:t>
            </w:r>
          </w:p>
        </w:tc>
        <w:tc>
          <w:tcPr>
            <w:tcW w:w="3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6,272</w:t>
            </w:r>
          </w:p>
        </w:tc>
        <w:tc>
          <w:tcPr>
            <w:tcW w:w="20" w:type="dxa"/>
            <w:vAlign w:val="bottom"/>
          </w:tcPr>
          <w:p>
            <w:pPr>
              <w:spacing w:after="0"/>
              <w:rPr>
                <w:sz w:val="23"/>
                <w:szCs w:val="23"/>
                <w:color w:val="auto"/>
              </w:rPr>
            </w:pPr>
          </w:p>
        </w:tc>
      </w:tr>
      <w:tr>
        <w:trPr>
          <w:trHeight w:val="144"/>
        </w:trPr>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501</w:t>
            </w:r>
          </w:p>
        </w:tc>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467</w:t>
            </w:r>
          </w:p>
        </w:tc>
        <w:tc>
          <w:tcPr>
            <w:tcW w:w="6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992</w:t>
            </w:r>
          </w:p>
        </w:tc>
        <w:tc>
          <w:tcPr>
            <w:tcW w:w="3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943</w:t>
            </w:r>
          </w:p>
        </w:tc>
        <w:tc>
          <w:tcPr>
            <w:tcW w:w="20" w:type="dxa"/>
            <w:vAlign w:val="bottom"/>
          </w:tcPr>
          <w:p>
            <w:pPr>
              <w:spacing w:after="0"/>
              <w:rPr>
                <w:sz w:val="12"/>
                <w:szCs w:val="12"/>
                <w:color w:val="auto"/>
              </w:rPr>
            </w:pPr>
          </w:p>
        </w:tc>
      </w:tr>
      <w:tr>
        <w:trPr>
          <w:trHeight w:val="144"/>
        </w:trPr>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543</w:t>
            </w:r>
          </w:p>
        </w:tc>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521</w:t>
            </w:r>
          </w:p>
        </w:tc>
        <w:tc>
          <w:tcPr>
            <w:tcW w:w="6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1,057</w:t>
            </w:r>
          </w:p>
        </w:tc>
        <w:tc>
          <w:tcPr>
            <w:tcW w:w="3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1,026</w:t>
            </w:r>
          </w:p>
        </w:tc>
        <w:tc>
          <w:tcPr>
            <w:tcW w:w="20" w:type="dxa"/>
            <w:vAlign w:val="bottom"/>
          </w:tcPr>
          <w:p>
            <w:pPr>
              <w:spacing w:after="0"/>
              <w:rPr>
                <w:sz w:val="12"/>
                <w:szCs w:val="12"/>
                <w:color w:val="auto"/>
              </w:rPr>
            </w:pPr>
          </w:p>
        </w:tc>
      </w:tr>
      <w:tr>
        <w:trPr>
          <w:trHeight w:val="144"/>
        </w:trPr>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6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2"/>
                <w:szCs w:val="12"/>
                <w:color w:val="auto"/>
              </w:rPr>
            </w:pPr>
          </w:p>
        </w:tc>
      </w:tr>
      <w:tr>
        <w:trPr>
          <w:trHeight w:val="164"/>
        </w:trPr>
        <w:tc>
          <w:tcPr>
            <w:tcW w:w="7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w:t>
            </w:r>
          </w:p>
        </w:tc>
        <w:tc>
          <w:tcPr>
            <w:tcW w:w="7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w:t>
            </w:r>
          </w:p>
        </w:tc>
        <w:tc>
          <w:tcPr>
            <w:tcW w:w="3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-656590</wp:posOffset>
            </wp:positionV>
            <wp:extent cx="717804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-462280</wp:posOffset>
            </wp:positionV>
            <wp:extent cx="7178040" cy="914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-279400</wp:posOffset>
            </wp:positionV>
            <wp:extent cx="717804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-2442845</wp:posOffset>
            </wp:positionH>
            <wp:positionV relativeFrom="paragraph">
              <wp:posOffset>-96520</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380"/>
            <w:col w:w="7460"/>
          </w:cols>
          <w:pgMar w:left="300" w:top="665" w:right="299" w:bottom="1440" w:gutter="0" w:footer="0" w:header="0"/>
        </w:sectPr>
      </w:pPr>
    </w:p>
    <w:tbl>
      <w:tblPr>
        <w:tblLayout w:type="fixed"/>
        <w:tblInd w:w="0" w:type="dxa"/>
        <w:tblCellMar>
          <w:top w:w="0" w:type="dxa"/>
          <w:left w:w="0" w:type="dxa"/>
          <w:bottom w:w="0" w:type="dxa"/>
          <w:right w:w="0" w:type="dxa"/>
        </w:tblCellMar>
      </w:tblPr>
      <w:tr>
        <w:trPr>
          <w:trHeight w:val="20"/>
        </w:trPr>
        <w:tc>
          <w:tcPr>
            <w:tcW w:w="6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3"/>
        </w:trPr>
        <w:tc>
          <w:tcPr>
            <w:tcW w:w="6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4,393</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4,175</w:t>
            </w: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2"/>
                <w:szCs w:val="12"/>
                <w:color w:val="auto"/>
              </w:rPr>
              <w:t>8,536</w:t>
            </w:r>
          </w:p>
        </w:tc>
        <w:tc>
          <w:tcPr>
            <w:tcW w:w="40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Times New Roman" w:cs="Times New Roman" w:eastAsia="Times New Roman" w:hAnsi="Times New Roman"/>
                <w:sz w:val="12"/>
                <w:szCs w:val="12"/>
                <w:color w:val="auto"/>
              </w:rPr>
              <w:t>8,242</w:t>
            </w:r>
          </w:p>
        </w:tc>
        <w:tc>
          <w:tcPr>
            <w:tcW w:w="100" w:type="dxa"/>
            <w:vAlign w:val="bottom"/>
          </w:tcPr>
          <w:p>
            <w:pPr>
              <w:spacing w:after="0"/>
              <w:rPr>
                <w:sz w:val="9"/>
                <w:szCs w:val="9"/>
                <w:color w:val="auto"/>
              </w:rPr>
            </w:pPr>
          </w:p>
        </w:tc>
      </w:tr>
      <w:tr>
        <w:trPr>
          <w:trHeight w:val="133"/>
        </w:trPr>
        <w:tc>
          <w:tcPr>
            <w:tcW w:w="6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from operations</w:t>
            </w: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1,009</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944</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2,025</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w:t>
            </w: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6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income (expense):</w:t>
            </w: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Interest expense, net</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(136)</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(125)</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(266)</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(245)</w:t>
            </w:r>
          </w:p>
        </w:tc>
      </w:tr>
      <w:tr>
        <w:trPr>
          <w:trHeight w:val="144"/>
        </w:trPr>
        <w:tc>
          <w:tcPr>
            <w:tcW w:w="6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Equity in net income (losses) of unconsolidated entities</w:t>
            </w:r>
          </w:p>
        </w:tc>
        <w:tc>
          <w:tcPr>
            <w:tcW w:w="42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w:t>
            </w:r>
          </w:p>
        </w:tc>
        <w:tc>
          <w:tcPr>
            <w:tcW w:w="4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w:t>
            </w:r>
          </w:p>
        </w:tc>
        <w:tc>
          <w:tcPr>
            <w:tcW w:w="4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4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(23)</w:t>
            </w:r>
          </w:p>
        </w:tc>
      </w:tr>
      <w:tr>
        <w:trPr>
          <w:trHeight w:val="153"/>
        </w:trPr>
        <w:tc>
          <w:tcPr>
            <w:tcW w:w="6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net</w:t>
            </w:r>
          </w:p>
        </w:tc>
        <w:tc>
          <w:tcPr>
            <w:tcW w:w="4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4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4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3"/>
                <w:szCs w:val="13"/>
                <w:color w:val="auto"/>
              </w:rPr>
            </w:pPr>
          </w:p>
        </w:tc>
      </w:tr>
      <w:tr>
        <w:trPr>
          <w:trHeight w:val="133"/>
        </w:trPr>
        <w:tc>
          <w:tcPr>
            <w:tcW w:w="64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w:t>
            </w:r>
          </w:p>
        </w:tc>
        <w:tc>
          <w:tcPr>
            <w:tcW w:w="2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(262)</w:t>
            </w:r>
          </w:p>
        </w:tc>
        <w:tc>
          <w:tcPr>
            <w:tcW w:w="2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(264)</w:t>
            </w:r>
          </w:p>
        </w:tc>
        <w:tc>
          <w:tcPr>
            <w:tcW w:w="100" w:type="dxa"/>
            <w:vAlign w:val="bottom"/>
            <w:tcBorders>
              <w:bottom w:val="single" w:sz="8" w:color="CCEEFF"/>
            </w:tcBorders>
          </w:tcPr>
          <w:p>
            <w:pPr>
              <w:spacing w:after="0"/>
              <w:rPr>
                <w:sz w:val="11"/>
                <w:szCs w:val="11"/>
                <w:color w:val="auto"/>
              </w:rPr>
            </w:pPr>
          </w:p>
        </w:tc>
      </w:tr>
      <w:tr>
        <w:trPr>
          <w:trHeight w:val="133"/>
        </w:trPr>
        <w:tc>
          <w:tcPr>
            <w:tcW w:w="6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income taxes</w:t>
            </w: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894</w:t>
            </w: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1,505</w:t>
            </w:r>
          </w:p>
        </w:tc>
        <w:tc>
          <w:tcPr>
            <w:tcW w:w="100" w:type="dxa"/>
            <w:vAlign w:val="bottom"/>
            <w:shd w:val="clear" w:color="auto" w:fill="CCEEFF"/>
          </w:tcPr>
          <w:p>
            <w:pPr>
              <w:spacing w:after="0"/>
              <w:rPr>
                <w:sz w:val="11"/>
                <w:szCs w:val="11"/>
                <w:color w:val="auto"/>
              </w:rPr>
            </w:pPr>
          </w:p>
        </w:tc>
      </w:tr>
      <w:tr>
        <w:trPr>
          <w:trHeight w:val="153"/>
        </w:trPr>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4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214</w:t>
            </w:r>
          </w:p>
        </w:tc>
        <w:tc>
          <w:tcPr>
            <w:tcW w:w="4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196</w:t>
            </w:r>
          </w:p>
        </w:tc>
        <w:tc>
          <w:tcPr>
            <w:tcW w:w="4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376</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360</w:t>
            </w:r>
          </w:p>
        </w:tc>
        <w:tc>
          <w:tcPr>
            <w:tcW w:w="100" w:type="dxa"/>
            <w:vAlign w:val="bottom"/>
          </w:tcPr>
          <w:p>
            <w:pPr>
              <w:spacing w:after="0"/>
              <w:rPr>
                <w:sz w:val="13"/>
                <w:szCs w:val="13"/>
                <w:color w:val="auto"/>
              </w:rPr>
            </w:pPr>
          </w:p>
        </w:tc>
      </w:tr>
      <w:tr>
        <w:trPr>
          <w:trHeight w:val="133"/>
        </w:trPr>
        <w:tc>
          <w:tcPr>
            <w:tcW w:w="64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Consolidated net income</w:t>
            </w:r>
          </w:p>
        </w:tc>
        <w:tc>
          <w:tcPr>
            <w:tcW w:w="4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680</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613</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1,387</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1,145</w:t>
            </w: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6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Net income (loss) attributable to noncontrolling interests</w:t>
            </w:r>
          </w:p>
        </w:tc>
        <w:tc>
          <w:tcPr>
            <w:tcW w:w="42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4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40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r>
      <w:tr>
        <w:trPr>
          <w:trHeight w:val="162"/>
        </w:trPr>
        <w:tc>
          <w:tcPr>
            <w:tcW w:w="644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income attributable to Waste Management, Inc.</w:t>
            </w: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8"/>
        </w:trPr>
        <w:tc>
          <w:tcPr>
            <w:tcW w:w="644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Basic earnings per common share</w:t>
            </w: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1.70</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1.52</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3.46</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2.82</w:t>
            </w:r>
          </w:p>
        </w:tc>
        <w:tc>
          <w:tcPr>
            <w:tcW w:w="100" w:type="dxa"/>
            <w:vAlign w:val="bottom"/>
            <w:tcBorders>
              <w:bottom w:val="single" w:sz="8" w:color="CCEEFF"/>
            </w:tcBorders>
          </w:tcPr>
          <w:p>
            <w:pPr>
              <w:spacing w:after="0"/>
              <w:rPr>
                <w:sz w:val="12"/>
                <w:szCs w:val="12"/>
                <w:color w:val="auto"/>
              </w:rPr>
            </w:pPr>
          </w:p>
        </w:tc>
      </w:tr>
      <w:tr>
        <w:trPr>
          <w:trHeight w:val="164"/>
        </w:trPr>
        <w:tc>
          <w:tcPr>
            <w:tcW w:w="644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Diluted earnings per common share</w:t>
            </w: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38"/>
        </w:trPr>
        <w:tc>
          <w:tcPr>
            <w:tcW w:w="644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Weighted average basic common shares outstanding</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401.3</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405.9</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401.5</w:t>
            </w:r>
          </w:p>
        </w:tc>
        <w:tc>
          <w:tcPr>
            <w:tcW w:w="2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407.4</w:t>
            </w:r>
          </w:p>
        </w:tc>
        <w:tc>
          <w:tcPr>
            <w:tcW w:w="100" w:type="dxa"/>
            <w:vAlign w:val="bottom"/>
            <w:tcBorders>
              <w:bottom w:val="single" w:sz="8" w:color="CCEEFF"/>
            </w:tcBorders>
          </w:tcPr>
          <w:p>
            <w:pPr>
              <w:spacing w:after="0"/>
              <w:rPr>
                <w:sz w:val="12"/>
                <w:szCs w:val="12"/>
                <w:color w:val="auto"/>
              </w:rPr>
            </w:pPr>
          </w:p>
        </w:tc>
      </w:tr>
      <w:tr>
        <w:trPr>
          <w:trHeight w:val="151"/>
        </w:trPr>
        <w:tc>
          <w:tcPr>
            <w:tcW w:w="6440" w:type="dxa"/>
            <w:vAlign w:val="bottom"/>
            <w:tcBorders>
              <w:bottom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Weighted average diluted common shares outstanding</w:t>
            </w: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403.2</w:t>
            </w:r>
          </w:p>
        </w:tc>
        <w:tc>
          <w:tcPr>
            <w:tcW w:w="2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407.7</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403.3</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409.1</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450"/>
        </w:trPr>
        <w:tc>
          <w:tcPr>
            <w:tcW w:w="6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65" w:right="299" w:bottom="1440" w:gutter="0" w:footer="0" w:header="0"/>
          <w:type w:val="continuous"/>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6200" w:type="dxa"/>
            <w:vAlign w:val="bottom"/>
            <w:gridSpan w:val="2"/>
          </w:tcPr>
          <w:p>
            <w:pPr>
              <w:jc w:val="center"/>
              <w:ind w:right="1164"/>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3160" w:type="dxa"/>
            <w:vAlign w:val="bottom"/>
          </w:tcPr>
          <w:p>
            <w:pPr>
              <w:spacing w:after="0"/>
              <w:rPr>
                <w:sz w:val="23"/>
                <w:szCs w:val="23"/>
                <w:color w:val="auto"/>
              </w:rPr>
            </w:pPr>
          </w:p>
        </w:tc>
        <w:tc>
          <w:tcPr>
            <w:tcW w:w="6200" w:type="dxa"/>
            <w:vAlign w:val="bottom"/>
            <w:gridSpan w:val="2"/>
          </w:tcPr>
          <w:p>
            <w:pPr>
              <w:jc w:val="center"/>
              <w:ind w:right="1164"/>
              <w:spacing w:after="0"/>
              <w:rPr>
                <w:sz w:val="20"/>
                <w:szCs w:val="20"/>
                <w:color w:val="auto"/>
              </w:rPr>
            </w:pPr>
            <w:r>
              <w:rPr>
                <w:rFonts w:ascii="Times New Roman" w:cs="Times New Roman" w:eastAsia="Times New Roman" w:hAnsi="Times New Roman"/>
                <w:sz w:val="12"/>
                <w:szCs w:val="12"/>
                <w:b w:val="1"/>
                <w:bCs w:val="1"/>
                <w:color w:val="auto"/>
                <w:w w:val="99"/>
              </w:rPr>
              <w:t>CONDENSED CONSOLIDATED BALANCE SHEETS</w:t>
            </w: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4"/>
        </w:trPr>
        <w:tc>
          <w:tcPr>
            <w:tcW w:w="3160" w:type="dxa"/>
            <w:vAlign w:val="bottom"/>
          </w:tcPr>
          <w:p>
            <w:pPr>
              <w:spacing w:after="0"/>
              <w:rPr>
                <w:sz w:val="12"/>
                <w:szCs w:val="12"/>
                <w:color w:val="auto"/>
              </w:rPr>
            </w:pPr>
          </w:p>
        </w:tc>
        <w:tc>
          <w:tcPr>
            <w:tcW w:w="6200" w:type="dxa"/>
            <w:vAlign w:val="bottom"/>
            <w:gridSpan w:val="2"/>
          </w:tcPr>
          <w:p>
            <w:pPr>
              <w:jc w:val="center"/>
              <w:ind w:right="1184"/>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160" w:type="dxa"/>
            <w:vAlign w:val="bottom"/>
          </w:tcPr>
          <w:p>
            <w:pPr>
              <w:spacing w:after="0"/>
              <w:rPr>
                <w:sz w:val="13"/>
                <w:szCs w:val="13"/>
                <w:color w:val="auto"/>
              </w:rPr>
            </w:pPr>
          </w:p>
        </w:tc>
        <w:tc>
          <w:tcPr>
            <w:tcW w:w="6200" w:type="dxa"/>
            <w:vAlign w:val="bottom"/>
            <w:gridSpan w:val="2"/>
          </w:tcPr>
          <w:p>
            <w:pPr>
              <w:jc w:val="center"/>
              <w:ind w:right="1164"/>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3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3160" w:type="dxa"/>
            <w:vAlign w:val="bottom"/>
          </w:tcPr>
          <w:p>
            <w:pPr>
              <w:spacing w:after="0"/>
              <w:rPr>
                <w:sz w:val="13"/>
                <w:szCs w:val="13"/>
                <w:color w:val="auto"/>
              </w:rPr>
            </w:pPr>
          </w:p>
        </w:tc>
        <w:tc>
          <w:tcPr>
            <w:tcW w:w="6200" w:type="dxa"/>
            <w:vAlign w:val="bottom"/>
            <w:gridSpan w:val="2"/>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3"/>
        </w:trPr>
        <w:tc>
          <w:tcPr>
            <w:tcW w:w="3160" w:type="dxa"/>
            <w:vAlign w:val="bottom"/>
            <w:tcBorders>
              <w:top w:val="single" w:sz="8" w:color="CCEEFF"/>
            </w:tcBorders>
            <w:shd w:val="clear" w:color="auto" w:fill="CCEEFF"/>
          </w:tcPr>
          <w:p>
            <w:pPr>
              <w:spacing w:after="0"/>
              <w:rPr>
                <w:sz w:val="11"/>
                <w:szCs w:val="11"/>
                <w:color w:val="auto"/>
              </w:rPr>
            </w:pPr>
          </w:p>
        </w:tc>
        <w:tc>
          <w:tcPr>
            <w:tcW w:w="5320" w:type="dxa"/>
            <w:vAlign w:val="bottom"/>
            <w:tcBorders>
              <w:top w:val="single" w:sz="8" w:color="CCEEFF"/>
            </w:tcBorders>
            <w:shd w:val="clear" w:color="auto" w:fill="CCEEFF"/>
          </w:tcPr>
          <w:p>
            <w:pPr>
              <w:jc w:val="center"/>
              <w:ind w:right="3220"/>
              <w:spacing w:after="0" w:line="133" w:lineRule="exact"/>
              <w:rPr>
                <w:sz w:val="20"/>
                <w:szCs w:val="20"/>
                <w:color w:val="auto"/>
              </w:rPr>
            </w:pPr>
            <w:r>
              <w:rPr>
                <w:rFonts w:ascii="Times New Roman" w:cs="Times New Roman" w:eastAsia="Times New Roman" w:hAnsi="Times New Roman"/>
                <w:sz w:val="12"/>
                <w:szCs w:val="12"/>
                <w:b w:val="1"/>
                <w:bCs w:val="1"/>
                <w:color w:val="auto"/>
                <w:w w:val="98"/>
              </w:rPr>
              <w:t>ASSETS</w:t>
            </w:r>
          </w:p>
        </w:tc>
        <w:tc>
          <w:tcPr>
            <w:tcW w:w="8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200" w:type="dxa"/>
            <w:vAlign w:val="bottom"/>
            <w:gridSpan w:val="2"/>
            <w:shd w:val="clear" w:color="auto" w:fill="CCEEFF"/>
          </w:tcPr>
          <w:p>
            <w:pPr>
              <w:jc w:val="right"/>
              <w:ind w:right="76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458</w:t>
            </w:r>
          </w:p>
        </w:tc>
        <w:tc>
          <w:tcPr>
            <w:tcW w:w="100" w:type="dxa"/>
            <w:vAlign w:val="bottom"/>
            <w:shd w:val="clear" w:color="auto" w:fill="CCEEFF"/>
          </w:tcPr>
          <w:p>
            <w:pPr>
              <w:spacing w:after="0"/>
              <w:rPr>
                <w:sz w:val="12"/>
                <w:szCs w:val="12"/>
                <w:color w:val="auto"/>
              </w:rPr>
            </w:pPr>
          </w:p>
        </w:tc>
      </w:tr>
      <w:tr>
        <w:trPr>
          <w:trHeight w:val="144"/>
        </w:trPr>
        <w:tc>
          <w:tcPr>
            <w:tcW w:w="3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Receivables, net</w:t>
            </w:r>
          </w:p>
        </w:tc>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2,980</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2,870</w:t>
            </w:r>
          </w:p>
        </w:tc>
        <w:tc>
          <w:tcPr>
            <w:tcW w:w="100" w:type="dxa"/>
            <w:vAlign w:val="bottom"/>
          </w:tcPr>
          <w:p>
            <w:pPr>
              <w:spacing w:after="0"/>
              <w:rPr>
                <w:sz w:val="12"/>
                <w:szCs w:val="12"/>
                <w:color w:val="auto"/>
              </w:rPr>
            </w:pPr>
          </w:p>
        </w:tc>
      </w:tr>
      <w:tr>
        <w:trPr>
          <w:trHeight w:val="153"/>
        </w:trPr>
        <w:tc>
          <w:tcPr>
            <w:tcW w:w="3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5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1,287</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476</w:t>
            </w:r>
          </w:p>
        </w:tc>
        <w:tc>
          <w:tcPr>
            <w:tcW w:w="100" w:type="dxa"/>
            <w:vAlign w:val="bottom"/>
            <w:shd w:val="clear" w:color="auto" w:fill="CCEEFF"/>
          </w:tcPr>
          <w:p>
            <w:pPr>
              <w:spacing w:after="0"/>
              <w:rPr>
                <w:sz w:val="13"/>
                <w:szCs w:val="13"/>
                <w:color w:val="auto"/>
              </w:rPr>
            </w:pPr>
          </w:p>
        </w:tc>
      </w:tr>
      <w:tr>
        <w:trPr>
          <w:trHeight w:val="133"/>
        </w:trPr>
        <w:tc>
          <w:tcPr>
            <w:tcW w:w="3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53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4,439</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3,804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5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17,420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16,968</w:t>
            </w:r>
          </w:p>
        </w:tc>
        <w:tc>
          <w:tcPr>
            <w:tcW w:w="100" w:type="dxa"/>
            <w:vAlign w:val="bottom"/>
            <w:shd w:val="clear" w:color="auto" w:fill="CCEEFF"/>
          </w:tcPr>
          <w:p>
            <w:pPr>
              <w:spacing w:after="0"/>
              <w:rPr>
                <w:sz w:val="12"/>
                <w:szCs w:val="12"/>
                <w:color w:val="auto"/>
              </w:rPr>
            </w:pPr>
          </w:p>
        </w:tc>
      </w:tr>
      <w:tr>
        <w:trPr>
          <w:trHeight w:val="144"/>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5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9,363</w:t>
            </w:r>
          </w:p>
        </w:tc>
        <w:tc>
          <w:tcPr>
            <w:tcW w:w="160" w:type="dxa"/>
            <w:vAlign w:val="bottom"/>
          </w:tcPr>
          <w:p>
            <w:pPr>
              <w:spacing w:after="0"/>
              <w:rPr>
                <w:sz w:val="12"/>
                <w:szCs w:val="12"/>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9,254</w:t>
            </w:r>
          </w:p>
        </w:tc>
        <w:tc>
          <w:tcPr>
            <w:tcW w:w="100" w:type="dxa"/>
            <w:vAlign w:val="bottom"/>
          </w:tcPr>
          <w:p>
            <w:pPr>
              <w:spacing w:after="0"/>
              <w:rPr>
                <w:sz w:val="12"/>
                <w:szCs w:val="12"/>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5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759</w:t>
            </w:r>
          </w:p>
        </w:tc>
        <w:tc>
          <w:tcPr>
            <w:tcW w:w="100" w:type="dxa"/>
            <w:vAlign w:val="bottom"/>
            <w:shd w:val="clear" w:color="auto" w:fill="CCEEFF"/>
          </w:tcPr>
          <w:p>
            <w:pPr>
              <w:spacing w:after="0"/>
              <w:rPr>
                <w:sz w:val="12"/>
                <w:szCs w:val="12"/>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5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2,024</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2,038</w:t>
            </w:r>
          </w:p>
        </w:tc>
        <w:tc>
          <w:tcPr>
            <w:tcW w:w="100" w:type="dxa"/>
            <w:vAlign w:val="bottom"/>
          </w:tcPr>
          <w:p>
            <w:pPr>
              <w:spacing w:after="0"/>
              <w:rPr>
                <w:sz w:val="13"/>
                <w:szCs w:val="13"/>
                <w:color w:val="auto"/>
              </w:rPr>
            </w:pPr>
          </w:p>
        </w:tc>
      </w:tr>
      <w:tr>
        <w:trPr>
          <w:trHeight w:val="162"/>
        </w:trPr>
        <w:tc>
          <w:tcPr>
            <w:tcW w:w="3160" w:type="dxa"/>
            <w:vAlign w:val="bottom"/>
            <w:tcBorders>
              <w:top w:val="single" w:sz="8" w:color="CCEEFF"/>
              <w:bottom w:val="single" w:sz="8" w:color="CCEEFF"/>
            </w:tcBorders>
            <w:shd w:val="clear" w:color="auto" w:fill="CCEEFF"/>
          </w:tcPr>
          <w:p>
            <w:pPr>
              <w:ind w:left="200"/>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532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33,999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32,823</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1"/>
        </w:trPr>
        <w:tc>
          <w:tcPr>
            <w:tcW w:w="3160" w:type="dxa"/>
            <w:vAlign w:val="bottom"/>
          </w:tcPr>
          <w:p>
            <w:pPr>
              <w:spacing w:after="0"/>
              <w:rPr>
                <w:sz w:val="11"/>
                <w:szCs w:val="11"/>
                <w:color w:val="auto"/>
              </w:rPr>
            </w:pPr>
          </w:p>
        </w:tc>
        <w:tc>
          <w:tcPr>
            <w:tcW w:w="5320" w:type="dxa"/>
            <w:vAlign w:val="bottom"/>
          </w:tcPr>
          <w:p>
            <w:pPr>
              <w:jc w:val="center"/>
              <w:ind w:right="3220"/>
              <w:spacing w:after="0" w:line="131" w:lineRule="exact"/>
              <w:rPr>
                <w:sz w:val="20"/>
                <w:szCs w:val="20"/>
                <w:color w:val="auto"/>
              </w:rPr>
            </w:pPr>
            <w:r>
              <w:rPr>
                <w:rFonts w:ascii="Times New Roman" w:cs="Times New Roman" w:eastAsia="Times New Roman" w:hAnsi="Times New Roman"/>
                <w:sz w:val="12"/>
                <w:szCs w:val="12"/>
                <w:b w:val="1"/>
                <w:bCs w:val="1"/>
                <w:color w:val="auto"/>
                <w:w w:val="99"/>
              </w:rPr>
              <w:t>LIABILITIES AND EQUITY</w:t>
            </w: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5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3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payable, accrued liabilities and deferred revenues</w:t>
            </w:r>
          </w:p>
        </w:tc>
        <w:tc>
          <w:tcPr>
            <w:tcW w:w="6200" w:type="dxa"/>
            <w:vAlign w:val="bottom"/>
            <w:gridSpan w:val="2"/>
          </w:tcPr>
          <w:p>
            <w:pPr>
              <w:jc w:val="right"/>
              <w:ind w:right="764"/>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3,894</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3,892</w:t>
            </w:r>
          </w:p>
        </w:tc>
        <w:tc>
          <w:tcPr>
            <w:tcW w:w="100" w:type="dxa"/>
            <w:vAlign w:val="bottom"/>
          </w:tcPr>
          <w:p>
            <w:pPr>
              <w:spacing w:after="0"/>
              <w:rPr>
                <w:sz w:val="12"/>
                <w:szCs w:val="12"/>
                <w:color w:val="auto"/>
              </w:rPr>
            </w:pPr>
          </w:p>
        </w:tc>
      </w:tr>
      <w:tr>
        <w:trPr>
          <w:trHeight w:val="153"/>
        </w:trPr>
        <w:tc>
          <w:tcPr>
            <w:tcW w:w="3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5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242</w:t>
            </w: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334</w:t>
            </w:r>
          </w:p>
        </w:tc>
        <w:tc>
          <w:tcPr>
            <w:tcW w:w="100" w:type="dxa"/>
            <w:vAlign w:val="bottom"/>
            <w:shd w:val="clear" w:color="auto" w:fill="CCEEFF"/>
          </w:tcPr>
          <w:p>
            <w:pPr>
              <w:spacing w:after="0"/>
              <w:rPr>
                <w:sz w:val="13"/>
                <w:szCs w:val="13"/>
                <w:color w:val="auto"/>
              </w:rPr>
            </w:pPr>
          </w:p>
        </w:tc>
      </w:tr>
      <w:tr>
        <w:trPr>
          <w:trHeight w:val="133"/>
        </w:trPr>
        <w:tc>
          <w:tcPr>
            <w:tcW w:w="3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53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4,136</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4,226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debt, less current portion</w:t>
            </w:r>
          </w:p>
        </w:tc>
        <w:tc>
          <w:tcPr>
            <w:tcW w:w="5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16,501</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15,895</w:t>
            </w:r>
          </w:p>
        </w:tc>
        <w:tc>
          <w:tcPr>
            <w:tcW w:w="100" w:type="dxa"/>
            <w:vAlign w:val="bottom"/>
            <w:shd w:val="clear" w:color="auto" w:fill="CCEEFF"/>
          </w:tcPr>
          <w:p>
            <w:pPr>
              <w:spacing w:after="0"/>
              <w:rPr>
                <w:sz w:val="12"/>
                <w:szCs w:val="12"/>
                <w:color w:val="auto"/>
              </w:rPr>
            </w:pP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5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5,911</w:t>
            </w:r>
          </w:p>
        </w:tc>
        <w:tc>
          <w:tcPr>
            <w:tcW w:w="16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5,806</w:t>
            </w:r>
          </w:p>
        </w:tc>
        <w:tc>
          <w:tcPr>
            <w:tcW w:w="100" w:type="dxa"/>
            <w:vAlign w:val="bottom"/>
          </w:tcPr>
          <w:p>
            <w:pPr>
              <w:spacing w:after="0"/>
              <w:rPr>
                <w:sz w:val="13"/>
                <w:szCs w:val="13"/>
                <w:color w:val="auto"/>
              </w:rPr>
            </w:pPr>
          </w:p>
        </w:tc>
      </w:tr>
      <w:tr>
        <w:trPr>
          <w:trHeight w:val="133"/>
        </w:trPr>
        <w:tc>
          <w:tcPr>
            <w:tcW w:w="3160" w:type="dxa"/>
            <w:vAlign w:val="bottom"/>
            <w:tcBorders>
              <w:top w:val="single" w:sz="8" w:color="CCEEFF"/>
            </w:tcBorders>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53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26,548</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25,927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3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Equity:</w:t>
            </w:r>
          </w:p>
        </w:tc>
        <w:tc>
          <w:tcPr>
            <w:tcW w:w="5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Waste Management, Inc. stockholders’ equity</w:t>
            </w:r>
          </w:p>
        </w:tc>
        <w:tc>
          <w:tcPr>
            <w:tcW w:w="5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7,457</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6,903</w:t>
            </w:r>
          </w:p>
        </w:tc>
        <w:tc>
          <w:tcPr>
            <w:tcW w:w="100" w:type="dxa"/>
            <w:vAlign w:val="bottom"/>
            <w:shd w:val="clear" w:color="auto" w:fill="CCEEFF"/>
          </w:tcPr>
          <w:p>
            <w:pPr>
              <w:spacing w:after="0"/>
              <w:rPr>
                <w:sz w:val="12"/>
                <w:szCs w:val="12"/>
                <w:color w:val="auto"/>
              </w:rPr>
            </w:pPr>
          </w:p>
        </w:tc>
      </w:tr>
      <w:tr>
        <w:trPr>
          <w:trHeight w:val="153"/>
        </w:trPr>
        <w:tc>
          <w:tcPr>
            <w:tcW w:w="3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Noncontrolling interests</w:t>
            </w:r>
          </w:p>
        </w:tc>
        <w:tc>
          <w:tcPr>
            <w:tcW w:w="5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tcPr>
          <w:p>
            <w:pPr>
              <w:spacing w:after="0"/>
              <w:rPr>
                <w:sz w:val="13"/>
                <w:szCs w:val="13"/>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(7)</w:t>
            </w:r>
          </w:p>
        </w:tc>
      </w:tr>
      <w:tr>
        <w:trPr>
          <w:trHeight w:val="133"/>
        </w:trPr>
        <w:tc>
          <w:tcPr>
            <w:tcW w:w="31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equity</w:t>
            </w:r>
          </w:p>
        </w:tc>
        <w:tc>
          <w:tcPr>
            <w:tcW w:w="53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7,451</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6,896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9"/>
        </w:trPr>
        <w:tc>
          <w:tcPr>
            <w:tcW w:w="3160" w:type="dxa"/>
            <w:vAlign w:val="bottom"/>
          </w:tcPr>
          <w:p>
            <w:pPr>
              <w:ind w:left="200"/>
              <w:spacing w:after="0" w:line="135" w:lineRule="exact"/>
              <w:rPr>
                <w:sz w:val="20"/>
                <w:szCs w:val="20"/>
                <w:color w:val="auto"/>
              </w:rPr>
            </w:pPr>
            <w:r>
              <w:rPr>
                <w:rFonts w:ascii="Times New Roman" w:cs="Times New Roman" w:eastAsia="Times New Roman" w:hAnsi="Times New Roman"/>
                <w:sz w:val="12"/>
                <w:szCs w:val="12"/>
                <w:color w:val="auto"/>
              </w:rPr>
              <w:t>Total liabilities and equity</w:t>
            </w:r>
          </w:p>
        </w:tc>
        <w:tc>
          <w:tcPr>
            <w:tcW w:w="5320" w:type="dxa"/>
            <w:vAlign w:val="bottom"/>
          </w:tcPr>
          <w:p>
            <w:pPr>
              <w:spacing w:after="0"/>
              <w:rPr>
                <w:sz w:val="12"/>
                <w:szCs w:val="12"/>
                <w:color w:val="auto"/>
              </w:rPr>
            </w:pPr>
          </w:p>
        </w:tc>
        <w:tc>
          <w:tcPr>
            <w:tcW w:w="88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33,999</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32,823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31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80" w:type="dxa"/>
            <w:vAlign w:val="bottom"/>
          </w:tcPr>
          <w:p>
            <w:pPr>
              <w:jc w:val="center"/>
              <w:ind w:left="276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8480" w:type="dxa"/>
            <w:vAlign w:val="bottom"/>
          </w:tcPr>
          <w:p>
            <w:pPr>
              <w:jc w:val="center"/>
              <w:ind w:left="2740"/>
              <w:spacing w:after="0"/>
              <w:rPr>
                <w:sz w:val="20"/>
                <w:szCs w:val="20"/>
                <w:color w:val="auto"/>
              </w:rPr>
            </w:pPr>
            <w:r>
              <w:rPr>
                <w:rFonts w:ascii="Times New Roman" w:cs="Times New Roman" w:eastAsia="Times New Roman" w:hAnsi="Times New Roman"/>
                <w:sz w:val="12"/>
                <w:szCs w:val="12"/>
                <w:b w:val="1"/>
                <w:bCs w:val="1"/>
                <w:color w:val="auto"/>
                <w:w w:val="99"/>
              </w:rPr>
              <w:t>CONDENSED CONSOLIDATED STATEMENTS OF CASH FLOWS</w:t>
            </w: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4"/>
        </w:trPr>
        <w:tc>
          <w:tcPr>
            <w:tcW w:w="8480" w:type="dxa"/>
            <w:vAlign w:val="bottom"/>
          </w:tcPr>
          <w:p>
            <w:pPr>
              <w:jc w:val="center"/>
              <w:ind w:left="2740"/>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8480" w:type="dxa"/>
            <w:vAlign w:val="bottom"/>
          </w:tcPr>
          <w:p>
            <w:pPr>
              <w:jc w:val="center"/>
              <w:ind w:left="27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8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gridSpan w:val="3"/>
          </w:tcPr>
          <w:p>
            <w:pPr>
              <w:jc w:val="right"/>
              <w:ind w:right="26"/>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84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8480" w:type="dxa"/>
            <w:vAlign w:val="bottom"/>
          </w:tcPr>
          <w:p>
            <w:pPr>
              <w:spacing w:after="0"/>
              <w:rPr>
                <w:sz w:val="20"/>
                <w:szCs w:val="20"/>
                <w:color w:val="auto"/>
              </w:rPr>
            </w:pPr>
            <w:r>
              <w:rPr>
                <w:rFonts w:ascii="Times New Roman" w:cs="Times New Roman" w:eastAsia="Times New Roman" w:hAnsi="Times New Roman"/>
                <w:sz w:val="12"/>
                <w:szCs w:val="12"/>
                <w:color w:val="auto"/>
              </w:rPr>
              <w:t>Consolidated net income</w:t>
            </w: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1,387</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1,145</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consolidated net income to net cash provided by operating activities:</w:t>
            </w:r>
          </w:p>
        </w:tc>
        <w:tc>
          <w:tcPr>
            <w:tcW w:w="8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820" w:type="dxa"/>
            <w:vAlign w:val="bottom"/>
          </w:tcPr>
          <w:p>
            <w:pPr>
              <w:spacing w:after="0"/>
              <w:rPr>
                <w:sz w:val="12"/>
                <w:szCs w:val="1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1,057</w:t>
            </w:r>
          </w:p>
        </w:tc>
        <w:tc>
          <w:tcPr>
            <w:tcW w:w="420" w:type="dxa"/>
            <w:vAlign w:val="bottom"/>
          </w:tcPr>
          <w:p>
            <w:pPr>
              <w:spacing w:after="0"/>
              <w:rPr>
                <w:sz w:val="12"/>
                <w:szCs w:val="12"/>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1,026</w:t>
            </w:r>
          </w:p>
        </w:tc>
        <w:tc>
          <w:tcPr>
            <w:tcW w:w="100" w:type="dxa"/>
            <w:vAlign w:val="bottom"/>
          </w:tcPr>
          <w:p>
            <w:pPr>
              <w:spacing w:after="0"/>
              <w:rPr>
                <w:sz w:val="12"/>
                <w:szCs w:val="12"/>
                <w:color w:val="auto"/>
              </w:rPr>
            </w:pP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163</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Change in operating assets and liabilities, net of effects of acquisitions and divestitures</w:t>
            </w:r>
          </w:p>
        </w:tc>
        <w:tc>
          <w:tcPr>
            <w:tcW w:w="8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(89)</w:t>
            </w:r>
          </w:p>
        </w:tc>
        <w:tc>
          <w:tcPr>
            <w:tcW w:w="42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(260)</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2,521</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Acquisitions of businesses, net of cash acquired</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(243)</w:t>
            </w:r>
          </w:p>
        </w:tc>
        <w:tc>
          <w:tcPr>
            <w:tcW w:w="4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(118)</w:t>
            </w:r>
          </w:p>
        </w:tc>
      </w:tr>
      <w:tr>
        <w:trPr>
          <w:trHeight w:val="144"/>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Capital expenditures</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(1,335)</w:t>
            </w:r>
          </w:p>
        </w:tc>
        <w:tc>
          <w:tcPr>
            <w:tcW w:w="42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(1,180)</w:t>
            </w: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divestitures of businesses and other assets, net of cash divested</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shd w:val="clear" w:color="auto" w:fill="CCEEFF"/>
          </w:tcPr>
          <w:p>
            <w:pPr>
              <w:spacing w:after="0"/>
              <w:rPr>
                <w:sz w:val="12"/>
                <w:szCs w:val="12"/>
                <w:color w:val="auto"/>
              </w:rPr>
            </w:pPr>
          </w:p>
        </w:tc>
      </w:tr>
      <w:tr>
        <w:trPr>
          <w:trHeight w:val="153"/>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net</w:t>
            </w:r>
          </w:p>
        </w:tc>
        <w:tc>
          <w:tcPr>
            <w:tcW w:w="8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(839)</w:t>
            </w:r>
          </w:p>
        </w:tc>
        <w:tc>
          <w:tcPr>
            <w:tcW w:w="420" w:type="dxa"/>
            <w:vAlign w:val="bottom"/>
          </w:tcPr>
          <w:p>
            <w:pPr>
              <w:spacing w:after="0"/>
              <w:rPr>
                <w:sz w:val="13"/>
                <w:szCs w:val="13"/>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(87)</w:t>
            </w:r>
          </w:p>
        </w:tc>
      </w:tr>
      <w:tr>
        <w:trPr>
          <w:trHeight w:val="133"/>
        </w:trPr>
        <w:tc>
          <w:tcPr>
            <w:tcW w:w="84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(2,359)</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(1,339)</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New borrowings</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9,180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11,356</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Debt repayments</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(8,752)</w:t>
            </w:r>
          </w:p>
        </w:tc>
        <w:tc>
          <w:tcPr>
            <w:tcW w:w="42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(11,074)</w:t>
            </w: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Common stock repurchase program</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(262)</w:t>
            </w:r>
          </w:p>
        </w:tc>
        <w:tc>
          <w:tcPr>
            <w:tcW w:w="4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(620)</w:t>
            </w:r>
          </w:p>
        </w:tc>
      </w:tr>
      <w:tr>
        <w:trPr>
          <w:trHeight w:val="144"/>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dividends</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(608)</w:t>
            </w:r>
          </w:p>
        </w:tc>
        <w:tc>
          <w:tcPr>
            <w:tcW w:w="42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(572)</w:t>
            </w:r>
          </w:p>
        </w:tc>
      </w:tr>
      <w:tr>
        <w:trPr>
          <w:trHeight w:val="144"/>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Exercise of common stock options</w:t>
            </w:r>
          </w:p>
        </w:tc>
        <w:tc>
          <w:tcPr>
            <w:tcW w:w="8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2"/>
                <w:szCs w:val="12"/>
                <w:color w:val="auto"/>
              </w:rPr>
            </w:pPr>
          </w:p>
        </w:tc>
      </w:tr>
      <w:tr>
        <w:trPr>
          <w:trHeight w:val="144"/>
        </w:trPr>
        <w:tc>
          <w:tcPr>
            <w:tcW w:w="84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Tax payments associated with equity-based compensation transactions</w:t>
            </w:r>
          </w:p>
        </w:tc>
        <w:tc>
          <w:tcPr>
            <w:tcW w:w="8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(48)</w:t>
            </w:r>
          </w:p>
        </w:tc>
        <w:tc>
          <w:tcPr>
            <w:tcW w:w="420" w:type="dxa"/>
            <w:vAlign w:val="bottom"/>
          </w:tcPr>
          <w:p>
            <w:pPr>
              <w:spacing w:after="0"/>
              <w:rPr>
                <w:sz w:val="12"/>
                <w:szCs w:val="12"/>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(28)</w:t>
            </w:r>
          </w:p>
        </w:tc>
      </w:tr>
      <w:tr>
        <w:trPr>
          <w:trHeight w:val="153"/>
        </w:trPr>
        <w:tc>
          <w:tcPr>
            <w:tcW w:w="8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net</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4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r>
      <w:tr>
        <w:trPr>
          <w:trHeight w:val="133"/>
        </w:trPr>
        <w:tc>
          <w:tcPr>
            <w:tcW w:w="84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8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(464)</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(919)</w:t>
            </w:r>
          </w:p>
        </w:tc>
        <w:tc>
          <w:tcPr>
            <w:tcW w:w="120" w:type="dxa"/>
            <w:vAlign w:val="bottom"/>
            <w:tcBorders>
              <w:bottom w:val="single" w:sz="8" w:color="CCEEFF"/>
            </w:tcBorders>
            <w:gridSpan w:val="2"/>
          </w:tcPr>
          <w:p>
            <w:pPr>
              <w:spacing w:after="0"/>
              <w:rPr>
                <w:sz w:val="11"/>
                <w:szCs w:val="11"/>
                <w:color w:val="auto"/>
              </w:rPr>
            </w:pPr>
          </w:p>
        </w:tc>
      </w:tr>
      <w:tr>
        <w:trPr>
          <w:trHeight w:val="133"/>
        </w:trPr>
        <w:tc>
          <w:tcPr>
            <w:tcW w:w="84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 and cash equivalents</w:t>
            </w:r>
          </w:p>
        </w:tc>
        <w:tc>
          <w:tcPr>
            <w:tcW w:w="8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(4)</w:t>
            </w:r>
          </w:p>
        </w:tc>
        <w:tc>
          <w:tcPr>
            <w:tcW w:w="4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84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(Decrease) increase in cash, cash equivalents and restricted cash and cash equivalents</w:t>
            </w:r>
          </w:p>
        </w:tc>
        <w:tc>
          <w:tcPr>
            <w:tcW w:w="8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(306)</w:t>
            </w: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120" w:type="dxa"/>
            <w:vAlign w:val="bottom"/>
            <w:gridSpan w:val="2"/>
          </w:tcPr>
          <w:p>
            <w:pPr>
              <w:spacing w:after="0"/>
              <w:rPr>
                <w:sz w:val="11"/>
                <w:szCs w:val="11"/>
                <w:color w:val="auto"/>
              </w:rPr>
            </w:pPr>
          </w:p>
        </w:tc>
      </w:tr>
      <w:tr>
        <w:trPr>
          <w:trHeight w:val="1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and cash equivalents at beginning of period</w:t>
            </w:r>
          </w:p>
        </w:tc>
        <w:tc>
          <w:tcPr>
            <w:tcW w:w="8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552</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445</w:t>
            </w:r>
          </w:p>
        </w:tc>
        <w:tc>
          <w:tcPr>
            <w:tcW w:w="100" w:type="dxa"/>
            <w:vAlign w:val="bottom"/>
            <w:shd w:val="clear" w:color="auto" w:fill="CCEEFF"/>
          </w:tcPr>
          <w:p>
            <w:pPr>
              <w:spacing w:after="0"/>
              <w:rPr>
                <w:sz w:val="13"/>
                <w:szCs w:val="13"/>
                <w:color w:val="auto"/>
              </w:rPr>
            </w:pPr>
          </w:p>
        </w:tc>
      </w:tr>
      <w:tr>
        <w:trPr>
          <w:trHeight w:val="149"/>
        </w:trPr>
        <w:tc>
          <w:tcPr>
            <w:tcW w:w="84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Cash, cash equivalents and restricted cash and cash equivalents at end of period</w:t>
            </w:r>
          </w:p>
        </w:tc>
        <w:tc>
          <w:tcPr>
            <w:tcW w:w="82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2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8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5"/>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3"/>
        </w:trPr>
        <w:tc>
          <w:tcPr>
            <w:tcW w:w="3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360" w:type="dxa"/>
            <w:vAlign w:val="bottom"/>
            <w:gridSpan w:val="5"/>
          </w:tcPr>
          <w:p>
            <w:pPr>
              <w:jc w:val="center"/>
              <w:ind w:left="640"/>
              <w:spacing w:after="0"/>
              <w:rPr>
                <w:sz w:val="20"/>
                <w:szCs w:val="20"/>
                <w:color w:val="auto"/>
              </w:rPr>
            </w:pPr>
            <w:r>
              <w:rPr>
                <w:rFonts w:ascii="Times New Roman" w:cs="Times New Roman" w:eastAsia="Times New Roman" w:hAnsi="Times New Roman"/>
                <w:sz w:val="12"/>
                <w:szCs w:val="12"/>
                <w:b w:val="1"/>
                <w:bCs w:val="1"/>
                <w:color w:val="auto"/>
                <w:w w:val="98"/>
              </w:rPr>
              <w:t>SUMMARY DATA SHEET</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4"/>
        </w:trPr>
        <w:tc>
          <w:tcPr>
            <w:tcW w:w="3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58"/>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438"/>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Revenues by Line of Business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2"/>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39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8"/>
        </w:trPr>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80" w:type="dxa"/>
            <w:vAlign w:val="bottom"/>
          </w:tcPr>
          <w:p>
            <w:pPr>
              <w:spacing w:after="0"/>
              <w:rPr>
                <w:sz w:val="10"/>
                <w:szCs w:val="10"/>
                <w:color w:val="auto"/>
              </w:rPr>
            </w:pPr>
          </w:p>
        </w:tc>
        <w:tc>
          <w:tcPr>
            <w:tcW w:w="1180" w:type="dxa"/>
            <w:vAlign w:val="bottom"/>
            <w:gridSpan w:val="2"/>
          </w:tcPr>
          <w:p>
            <w:pPr>
              <w:jc w:val="center"/>
              <w:ind w:right="258"/>
              <w:spacing w:after="0" w:line="118" w:lineRule="exact"/>
              <w:rPr>
                <w:sz w:val="20"/>
                <w:szCs w:val="20"/>
                <w:color w:val="auto"/>
              </w:rPr>
            </w:pPr>
            <w:r>
              <w:rPr>
                <w:rFonts w:ascii="Times New Roman" w:cs="Times New Roman" w:eastAsia="Times New Roman" w:hAnsi="Times New Roman"/>
                <w:sz w:val="12"/>
                <w:szCs w:val="12"/>
                <w:b w:val="1"/>
                <w:bCs w:val="1"/>
                <w:color w:val="auto"/>
                <w:w w:val="99"/>
              </w:rPr>
              <w:t>Intercompany</w:t>
            </w:r>
          </w:p>
        </w:tc>
        <w:tc>
          <w:tcPr>
            <w:tcW w:w="160" w:type="dxa"/>
            <w:vAlign w:val="bottom"/>
          </w:tcPr>
          <w:p>
            <w:pPr>
              <w:spacing w:after="0"/>
              <w:rPr>
                <w:sz w:val="10"/>
                <w:szCs w:val="10"/>
                <w:color w:val="auto"/>
              </w:rPr>
            </w:pPr>
          </w:p>
        </w:tc>
        <w:tc>
          <w:tcPr>
            <w:tcW w:w="86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0"/>
                <w:szCs w:val="10"/>
                <w:color w:val="auto"/>
              </w:rPr>
            </w:pPr>
          </w:p>
        </w:tc>
        <w:tc>
          <w:tcPr>
            <w:tcW w:w="1120" w:type="dxa"/>
            <w:vAlign w:val="bottom"/>
            <w:gridSpan w:val="2"/>
          </w:tcPr>
          <w:p>
            <w:pPr>
              <w:jc w:val="center"/>
              <w:ind w:right="278"/>
              <w:spacing w:after="0" w:line="118" w:lineRule="exact"/>
              <w:rPr>
                <w:sz w:val="20"/>
                <w:szCs w:val="20"/>
                <w:color w:val="auto"/>
              </w:rPr>
            </w:pPr>
            <w:r>
              <w:rPr>
                <w:rFonts w:ascii="Times New Roman" w:cs="Times New Roman" w:eastAsia="Times New Roman" w:hAnsi="Times New Roman"/>
                <w:sz w:val="12"/>
                <w:szCs w:val="12"/>
                <w:b w:val="1"/>
                <w:bCs w:val="1"/>
                <w:color w:val="auto"/>
                <w:w w:val="99"/>
              </w:rPr>
              <w:t>Intercompany</w:t>
            </w:r>
          </w:p>
        </w:tc>
        <w:tc>
          <w:tcPr>
            <w:tcW w:w="160" w:type="dxa"/>
            <w:vAlign w:val="bottom"/>
          </w:tcPr>
          <w:p>
            <w:pPr>
              <w:spacing w:after="0"/>
              <w:rPr>
                <w:sz w:val="10"/>
                <w:szCs w:val="10"/>
                <w:color w:val="auto"/>
              </w:rPr>
            </w:pPr>
          </w:p>
        </w:tc>
        <w:tc>
          <w:tcPr>
            <w:tcW w:w="8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8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0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60" w:type="dxa"/>
            <w:vAlign w:val="bottom"/>
          </w:tcPr>
          <w:p>
            <w:pPr>
              <w:spacing w:after="0"/>
              <w:rPr>
                <w:sz w:val="13"/>
                <w:szCs w:val="13"/>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8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0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60" w:type="dxa"/>
            <w:vAlign w:val="bottom"/>
          </w:tcPr>
          <w:p>
            <w:pPr>
              <w:spacing w:after="0"/>
              <w:rPr>
                <w:sz w:val="13"/>
                <w:szCs w:val="13"/>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Revenues</w:t>
            </w:r>
          </w:p>
        </w:tc>
      </w:tr>
      <w:tr>
        <w:trPr>
          <w:trHeight w:val="133"/>
        </w:trPr>
        <w:tc>
          <w:tcPr>
            <w:tcW w:w="3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Commercial</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1,526</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(196)</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1,330</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1,424</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Industrial</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978</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(199)</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779</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974</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(192)</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782</w:t>
            </w:r>
          </w:p>
        </w:tc>
        <w:tc>
          <w:tcPr>
            <w:tcW w:w="100" w:type="dxa"/>
            <w:vAlign w:val="bottom"/>
          </w:tcPr>
          <w:p>
            <w:pPr>
              <w:spacing w:after="0"/>
              <w:rPr>
                <w:sz w:val="12"/>
                <w:szCs w:val="12"/>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886</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(23)</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863</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866</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841</w:t>
            </w:r>
          </w:p>
        </w:tc>
        <w:tc>
          <w:tcPr>
            <w:tcW w:w="100" w:type="dxa"/>
            <w:vAlign w:val="bottom"/>
            <w:shd w:val="clear" w:color="auto" w:fill="CCEEFF"/>
          </w:tcPr>
          <w:p>
            <w:pPr>
              <w:spacing w:after="0"/>
              <w:rPr>
                <w:sz w:val="12"/>
                <w:szCs w:val="12"/>
                <w:color w:val="auto"/>
              </w:rPr>
            </w:pP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781</w:t>
            </w:r>
          </w:p>
        </w:tc>
        <w:tc>
          <w:tcPr>
            <w:tcW w:w="80" w:type="dxa"/>
            <w:vAlign w:val="bottom"/>
          </w:tcPr>
          <w:p>
            <w:pPr>
              <w:spacing w:after="0"/>
              <w:rPr>
                <w:sz w:val="13"/>
                <w:szCs w:val="13"/>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(52)</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729</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745</w:t>
            </w:r>
          </w:p>
        </w:tc>
        <w:tc>
          <w:tcPr>
            <w:tcW w:w="100" w:type="dxa"/>
            <w:vAlign w:val="bottom"/>
          </w:tcPr>
          <w:p>
            <w:pPr>
              <w:spacing w:after="0"/>
              <w:rPr>
                <w:sz w:val="13"/>
                <w:szCs w:val="13"/>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(56)</w:t>
            </w:r>
          </w:p>
        </w:tc>
        <w:tc>
          <w:tcPr>
            <w:tcW w:w="1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689</w:t>
            </w:r>
          </w:p>
        </w:tc>
        <w:tc>
          <w:tcPr>
            <w:tcW w:w="100" w:type="dxa"/>
            <w:vAlign w:val="bottom"/>
          </w:tcPr>
          <w:p>
            <w:pPr>
              <w:spacing w:after="0"/>
              <w:rPr>
                <w:sz w:val="13"/>
                <w:szCs w:val="13"/>
                <w:color w:val="auto"/>
              </w:rPr>
            </w:pPr>
          </w:p>
        </w:tc>
      </w:tr>
      <w:tr>
        <w:trPr>
          <w:trHeight w:val="133"/>
        </w:trPr>
        <w:tc>
          <w:tcPr>
            <w:tcW w:w="39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4,171</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(470)</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3,701</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4,009</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(441)</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3,568</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Landfill</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1,291</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(418)</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873</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1,263</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(417)</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846</w:t>
            </w:r>
          </w:p>
        </w:tc>
        <w:tc>
          <w:tcPr>
            <w:tcW w:w="100" w:type="dxa"/>
            <w:vAlign w:val="bottom"/>
          </w:tcPr>
          <w:p>
            <w:pPr>
              <w:spacing w:after="0"/>
              <w:rPr>
                <w:sz w:val="12"/>
                <w:szCs w:val="12"/>
                <w:color w:val="auto"/>
              </w:rPr>
            </w:pP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618</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(270)</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(265)</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shd w:val="clear" w:color="auto" w:fill="CCEEFF"/>
          </w:tcPr>
          <w:p>
            <w:pPr>
              <w:spacing w:after="0"/>
              <w:rPr>
                <w:sz w:val="13"/>
                <w:szCs w:val="13"/>
                <w:color w:val="auto"/>
              </w:rPr>
            </w:pPr>
          </w:p>
        </w:tc>
      </w:tr>
      <w:tr>
        <w:trPr>
          <w:trHeight w:val="133"/>
        </w:trPr>
        <w:tc>
          <w:tcPr>
            <w:tcW w:w="39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6,080</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(1,158)</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4,922</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5,857</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(1,123)</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4,734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405</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394</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(78)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316</w:t>
            </w:r>
          </w:p>
        </w:tc>
        <w:tc>
          <w:tcPr>
            <w:tcW w:w="100" w:type="dxa"/>
            <w:vAlign w:val="bottom"/>
            <w:shd w:val="clear" w:color="auto" w:fill="CCEEFF"/>
          </w:tcPr>
          <w:p>
            <w:pPr>
              <w:spacing w:after="0"/>
              <w:rPr>
                <w:sz w:val="12"/>
                <w:szCs w:val="12"/>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w:t>
            </w:r>
          </w:p>
        </w:tc>
        <w:tc>
          <w:tcPr>
            <w:tcW w:w="100" w:type="dxa"/>
            <w:vAlign w:val="bottom"/>
          </w:tcPr>
          <w:p>
            <w:pPr>
              <w:spacing w:after="0"/>
              <w:rPr>
                <w:sz w:val="12"/>
                <w:szCs w:val="12"/>
                <w:color w:val="auto"/>
              </w:rPr>
            </w:pP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(6)</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3"/>
                <w:szCs w:val="13"/>
                <w:color w:val="auto"/>
              </w:rPr>
            </w:pPr>
          </w:p>
        </w:tc>
      </w:tr>
      <w:tr>
        <w:trPr>
          <w:trHeight w:val="149"/>
        </w:trPr>
        <w:tc>
          <w:tcPr>
            <w:tcW w:w="396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6,637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(1,235</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5,402</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6,328</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(1,209</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00"/>
        </w:trPr>
        <w:tc>
          <w:tcPr>
            <w:tcW w:w="3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5"/>
          </w:tcPr>
          <w:p>
            <w:pPr>
              <w:jc w:val="right"/>
              <w:ind w:right="920"/>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39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8"/>
        </w:trPr>
        <w:tc>
          <w:tcPr>
            <w:tcW w:w="3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80" w:type="dxa"/>
            <w:vAlign w:val="bottom"/>
          </w:tcPr>
          <w:p>
            <w:pPr>
              <w:spacing w:after="0"/>
              <w:rPr>
                <w:sz w:val="10"/>
                <w:szCs w:val="10"/>
                <w:color w:val="auto"/>
              </w:rPr>
            </w:pPr>
          </w:p>
        </w:tc>
        <w:tc>
          <w:tcPr>
            <w:tcW w:w="1180" w:type="dxa"/>
            <w:vAlign w:val="bottom"/>
            <w:gridSpan w:val="2"/>
          </w:tcPr>
          <w:p>
            <w:pPr>
              <w:jc w:val="center"/>
              <w:ind w:right="258"/>
              <w:spacing w:after="0" w:line="118" w:lineRule="exact"/>
              <w:rPr>
                <w:sz w:val="20"/>
                <w:szCs w:val="20"/>
                <w:color w:val="auto"/>
              </w:rPr>
            </w:pPr>
            <w:r>
              <w:rPr>
                <w:rFonts w:ascii="Times New Roman" w:cs="Times New Roman" w:eastAsia="Times New Roman" w:hAnsi="Times New Roman"/>
                <w:sz w:val="12"/>
                <w:szCs w:val="12"/>
                <w:b w:val="1"/>
                <w:bCs w:val="1"/>
                <w:color w:val="auto"/>
                <w:w w:val="99"/>
              </w:rPr>
              <w:t>Intercompany</w:t>
            </w:r>
          </w:p>
        </w:tc>
        <w:tc>
          <w:tcPr>
            <w:tcW w:w="160" w:type="dxa"/>
            <w:vAlign w:val="bottom"/>
          </w:tcPr>
          <w:p>
            <w:pPr>
              <w:spacing w:after="0"/>
              <w:rPr>
                <w:sz w:val="10"/>
                <w:szCs w:val="10"/>
                <w:color w:val="auto"/>
              </w:rPr>
            </w:pPr>
          </w:p>
        </w:tc>
        <w:tc>
          <w:tcPr>
            <w:tcW w:w="860" w:type="dxa"/>
            <w:vAlign w:val="bottom"/>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10"/>
                <w:szCs w:val="10"/>
                <w:color w:val="auto"/>
              </w:rPr>
            </w:pPr>
          </w:p>
        </w:tc>
        <w:tc>
          <w:tcPr>
            <w:tcW w:w="1120" w:type="dxa"/>
            <w:vAlign w:val="bottom"/>
            <w:gridSpan w:val="2"/>
          </w:tcPr>
          <w:p>
            <w:pPr>
              <w:jc w:val="center"/>
              <w:ind w:right="278"/>
              <w:spacing w:after="0" w:line="118" w:lineRule="exact"/>
              <w:rPr>
                <w:sz w:val="20"/>
                <w:szCs w:val="20"/>
                <w:color w:val="auto"/>
              </w:rPr>
            </w:pPr>
            <w:r>
              <w:rPr>
                <w:rFonts w:ascii="Times New Roman" w:cs="Times New Roman" w:eastAsia="Times New Roman" w:hAnsi="Times New Roman"/>
                <w:sz w:val="12"/>
                <w:szCs w:val="12"/>
                <w:b w:val="1"/>
                <w:bCs w:val="1"/>
                <w:color w:val="auto"/>
                <w:w w:val="99"/>
              </w:rPr>
              <w:t>Intercompany</w:t>
            </w:r>
          </w:p>
        </w:tc>
        <w:tc>
          <w:tcPr>
            <w:tcW w:w="160" w:type="dxa"/>
            <w:vAlign w:val="bottom"/>
          </w:tcPr>
          <w:p>
            <w:pPr>
              <w:spacing w:after="0"/>
              <w:rPr>
                <w:sz w:val="10"/>
                <w:szCs w:val="10"/>
                <w:color w:val="auto"/>
              </w:rPr>
            </w:pPr>
          </w:p>
        </w:tc>
        <w:tc>
          <w:tcPr>
            <w:tcW w:w="84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120" w:type="dxa"/>
            <w:vAlign w:val="bottom"/>
            <w:gridSpan w:val="2"/>
          </w:tcPr>
          <w:p>
            <w:pPr>
              <w:spacing w:after="0"/>
              <w:rPr>
                <w:sz w:val="10"/>
                <w:szCs w:val="10"/>
                <w:color w:val="auto"/>
              </w:rPr>
            </w:pPr>
          </w:p>
        </w:tc>
      </w:tr>
      <w:tr>
        <w:trPr>
          <w:trHeight w:val="153"/>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8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0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60" w:type="dxa"/>
            <w:vAlign w:val="bottom"/>
          </w:tcPr>
          <w:p>
            <w:pPr>
              <w:spacing w:after="0"/>
              <w:rPr>
                <w:sz w:val="13"/>
                <w:szCs w:val="13"/>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Operating</w:t>
            </w:r>
          </w:p>
        </w:tc>
      </w:tr>
      <w:tr>
        <w:trPr>
          <w:trHeight w:val="159"/>
        </w:trPr>
        <w:tc>
          <w:tcPr>
            <w:tcW w:w="3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80" w:type="dxa"/>
            <w:vAlign w:val="bottom"/>
          </w:tcPr>
          <w:p>
            <w:pPr>
              <w:spacing w:after="0"/>
              <w:rPr>
                <w:sz w:val="13"/>
                <w:szCs w:val="13"/>
                <w:color w:val="auto"/>
              </w:rPr>
            </w:pPr>
          </w:p>
        </w:tc>
        <w:tc>
          <w:tcPr>
            <w:tcW w:w="1180" w:type="dxa"/>
            <w:vAlign w:val="bottom"/>
            <w:gridSpan w:val="2"/>
          </w:tcPr>
          <w:p>
            <w:pPr>
              <w:jc w:val="center"/>
              <w:ind w:right="258"/>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6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00" w:type="dxa"/>
            <w:vAlign w:val="bottom"/>
          </w:tcPr>
          <w:p>
            <w:pPr>
              <w:spacing w:after="0"/>
              <w:rPr>
                <w:sz w:val="13"/>
                <w:szCs w:val="13"/>
                <w:color w:val="auto"/>
              </w:rPr>
            </w:pPr>
          </w:p>
        </w:tc>
        <w:tc>
          <w:tcPr>
            <w:tcW w:w="1120" w:type="dxa"/>
            <w:vAlign w:val="bottom"/>
            <w:gridSpan w:val="2"/>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8"/>
              </w:rPr>
              <w:t>Revenues</w:t>
            </w:r>
          </w:p>
        </w:tc>
        <w:tc>
          <w:tcPr>
            <w:tcW w:w="160" w:type="dxa"/>
            <w:vAlign w:val="bottom"/>
          </w:tcPr>
          <w:p>
            <w:pPr>
              <w:spacing w:after="0"/>
              <w:rPr>
                <w:sz w:val="13"/>
                <w:szCs w:val="13"/>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Revenues</w:t>
            </w:r>
          </w:p>
        </w:tc>
      </w:tr>
      <w:tr>
        <w:trPr>
          <w:trHeight w:val="133"/>
        </w:trPr>
        <w:tc>
          <w:tcPr>
            <w:tcW w:w="3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Commercial</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3,027</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(381)</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2,646</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2,836</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(329)</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2,507</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Industrial</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1,912</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(386)</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1,526</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1,907</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(369)</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1,538</w:t>
            </w:r>
          </w:p>
        </w:tc>
        <w:tc>
          <w:tcPr>
            <w:tcW w:w="100" w:type="dxa"/>
            <w:vAlign w:val="bottom"/>
          </w:tcPr>
          <w:p>
            <w:pPr>
              <w:spacing w:after="0"/>
              <w:rPr>
                <w:sz w:val="12"/>
                <w:szCs w:val="12"/>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1,762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(45)</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1,717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1,720</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(50)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1,670</w:t>
            </w:r>
          </w:p>
        </w:tc>
        <w:tc>
          <w:tcPr>
            <w:tcW w:w="100" w:type="dxa"/>
            <w:vAlign w:val="bottom"/>
            <w:shd w:val="clear" w:color="auto" w:fill="CCEEFF"/>
          </w:tcPr>
          <w:p>
            <w:pPr>
              <w:spacing w:after="0"/>
              <w:rPr>
                <w:sz w:val="12"/>
                <w:szCs w:val="12"/>
                <w:color w:val="auto"/>
              </w:rPr>
            </w:pPr>
          </w:p>
        </w:tc>
      </w:tr>
      <w:tr>
        <w:trPr>
          <w:trHeight w:val="153"/>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Other collection</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1,532</w:t>
            </w:r>
          </w:p>
        </w:tc>
        <w:tc>
          <w:tcPr>
            <w:tcW w:w="80" w:type="dxa"/>
            <w:vAlign w:val="bottom"/>
          </w:tcPr>
          <w:p>
            <w:pPr>
              <w:spacing w:after="0"/>
              <w:rPr>
                <w:sz w:val="13"/>
                <w:szCs w:val="13"/>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(105)</w:t>
            </w:r>
          </w:p>
        </w:tc>
        <w:tc>
          <w:tcPr>
            <w:tcW w:w="16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1,427</w:t>
            </w: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1,434</w:t>
            </w:r>
          </w:p>
        </w:tc>
        <w:tc>
          <w:tcPr>
            <w:tcW w:w="100" w:type="dxa"/>
            <w:vAlign w:val="bottom"/>
          </w:tcPr>
          <w:p>
            <w:pPr>
              <w:spacing w:after="0"/>
              <w:rPr>
                <w:sz w:val="13"/>
                <w:szCs w:val="13"/>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(106)</w:t>
            </w:r>
          </w:p>
        </w:tc>
        <w:tc>
          <w:tcPr>
            <w:tcW w:w="16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1,328</w:t>
            </w:r>
          </w:p>
        </w:tc>
        <w:tc>
          <w:tcPr>
            <w:tcW w:w="100" w:type="dxa"/>
            <w:vAlign w:val="bottom"/>
          </w:tcPr>
          <w:p>
            <w:pPr>
              <w:spacing w:after="0"/>
              <w:rPr>
                <w:sz w:val="13"/>
                <w:szCs w:val="13"/>
                <w:color w:val="auto"/>
              </w:rPr>
            </w:pPr>
          </w:p>
        </w:tc>
      </w:tr>
      <w:tr>
        <w:trPr>
          <w:trHeight w:val="133"/>
        </w:trPr>
        <w:tc>
          <w:tcPr>
            <w:tcW w:w="39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w:t>
            </w: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8,233</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(917)</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7,316</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7,897</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(854)</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7,043</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Landfill</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2,468</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(803)</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1,665</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2,413</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(808)</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1,605</w:t>
            </w:r>
          </w:p>
        </w:tc>
        <w:tc>
          <w:tcPr>
            <w:tcW w:w="100" w:type="dxa"/>
            <w:vAlign w:val="bottom"/>
          </w:tcPr>
          <w:p>
            <w:pPr>
              <w:spacing w:after="0"/>
              <w:rPr>
                <w:sz w:val="12"/>
                <w:szCs w:val="12"/>
                <w:color w:val="auto"/>
              </w:rPr>
            </w:pP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1,178</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(521)</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657</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1,125</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(516)</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609</w:t>
            </w:r>
          </w:p>
        </w:tc>
        <w:tc>
          <w:tcPr>
            <w:tcW w:w="100" w:type="dxa"/>
            <w:vAlign w:val="bottom"/>
            <w:shd w:val="clear" w:color="auto" w:fill="CCEEFF"/>
          </w:tcPr>
          <w:p>
            <w:pPr>
              <w:spacing w:after="0"/>
              <w:rPr>
                <w:sz w:val="13"/>
                <w:szCs w:val="13"/>
                <w:color w:val="auto"/>
              </w:rPr>
            </w:pPr>
          </w:p>
        </w:tc>
      </w:tr>
      <w:tr>
        <w:trPr>
          <w:trHeight w:val="133"/>
        </w:trPr>
        <w:tc>
          <w:tcPr>
            <w:tcW w:w="39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Collection and Disposal</w:t>
            </w: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11,879</w:t>
            </w: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(2,241)</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9,638</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11,435</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(2,178)</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9,257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Recycling Processing and Sales</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911</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(138)</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773</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(158)</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610</w:t>
            </w:r>
          </w:p>
        </w:tc>
        <w:tc>
          <w:tcPr>
            <w:tcW w:w="100" w:type="dxa"/>
            <w:vAlign w:val="bottom"/>
            <w:shd w:val="clear" w:color="auto" w:fill="CCEEFF"/>
          </w:tcPr>
          <w:p>
            <w:pPr>
              <w:spacing w:after="0"/>
              <w:rPr>
                <w:sz w:val="12"/>
                <w:szCs w:val="12"/>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WM Renewable Energy</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2"/>
                <w:szCs w:val="12"/>
                <w:color w:val="auto"/>
              </w:rPr>
            </w:pPr>
          </w:p>
        </w:tc>
        <w:tc>
          <w:tcPr>
            <w:tcW w:w="118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138</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tcPr>
          <w:p>
            <w:pPr>
              <w:spacing w:after="0"/>
              <w:rPr>
                <w:sz w:val="12"/>
                <w:szCs w:val="12"/>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131</w:t>
            </w:r>
          </w:p>
        </w:tc>
        <w:tc>
          <w:tcPr>
            <w:tcW w:w="100" w:type="dxa"/>
            <w:vAlign w:val="bottom"/>
          </w:tcPr>
          <w:p>
            <w:pPr>
              <w:spacing w:after="0"/>
              <w:rPr>
                <w:sz w:val="12"/>
                <w:szCs w:val="12"/>
                <w:color w:val="auto"/>
              </w:rPr>
            </w:pPr>
          </w:p>
        </w:tc>
      </w:tr>
      <w:tr>
        <w:trPr>
          <w:trHeight w:val="153"/>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and Other</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w:t>
            </w:r>
          </w:p>
        </w:tc>
        <w:tc>
          <w:tcPr>
            <w:tcW w:w="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(12)</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(13)</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3"/>
                <w:szCs w:val="13"/>
                <w:color w:val="auto"/>
              </w:rPr>
            </w:pPr>
          </w:p>
        </w:tc>
      </w:tr>
      <w:tr>
        <w:trPr>
          <w:trHeight w:val="149"/>
        </w:trPr>
        <w:tc>
          <w:tcPr>
            <w:tcW w:w="396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Total</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12,954</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(2,393</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10,561</w:t>
            </w: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12,362</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(2,351</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10,011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450"/>
        </w:trPr>
        <w:tc>
          <w:tcPr>
            <w:tcW w:w="3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2" w:name="page13"/>
    <w:bookmarkEnd w:id="1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8"/>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8"/>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SUMMARY DATA SHEET</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4"/>
          </w:tcPr>
          <w:p>
            <w:pPr>
              <w:jc w:val="center"/>
              <w:ind w:right="86"/>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44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Internal Revenue Growth</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Period-to-Period Change for the</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8"/>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Period-to-Period Change for the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20" w:type="dxa"/>
            <w:vAlign w:val="bottom"/>
            <w:gridSpan w:val="7"/>
            <w:vMerge w:val="continue"/>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8"/>
            <w:vMerge w:val="continue"/>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6"/>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Three Months Ended</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7"/>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June 30, 2024 vs. 2023</w:t>
            </w:r>
          </w:p>
        </w:tc>
        <w:tc>
          <w:tcPr>
            <w:tcW w:w="6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June 30, 2024 vs. 2023</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4"/>
          </w:tcPr>
          <w:p>
            <w:pPr>
              <w:jc w:val="center"/>
              <w:ind w:right="226"/>
              <w:spacing w:after="0" w:line="118"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As a % of</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jc w:val="center"/>
              <w:ind w:right="4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As a % of</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As a % of</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ind w:right="226"/>
              <w:spacing w:after="0"/>
              <w:rPr>
                <w:sz w:val="20"/>
                <w:szCs w:val="20"/>
                <w:color w:val="auto"/>
              </w:rPr>
            </w:pPr>
            <w:r>
              <w:rPr>
                <w:rFonts w:ascii="Times New Roman" w:cs="Times New Roman" w:eastAsia="Times New Roman" w:hAnsi="Times New Roman"/>
                <w:sz w:val="12"/>
                <w:szCs w:val="12"/>
                <w:b w:val="1"/>
                <w:bCs w:val="1"/>
                <w:color w:val="auto"/>
              </w:rPr>
              <w:t>Related</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6"/>
              </w:rPr>
              <w:t>Related</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82"/>
        </w:trPr>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Pr>
          <w:p>
            <w:pPr>
              <w:spacing w:after="0"/>
              <w:rPr>
                <w:sz w:val="15"/>
                <w:szCs w:val="15"/>
                <w:color w:val="auto"/>
              </w:rPr>
            </w:pPr>
          </w:p>
        </w:tc>
        <w:tc>
          <w:tcPr>
            <w:tcW w:w="560" w:type="dxa"/>
            <w:vAlign w:val="bottom"/>
            <w:gridSpan w:val="2"/>
          </w:tcPr>
          <w:p>
            <w:pPr>
              <w:jc w:val="center"/>
              <w:spacing w:after="0" w:line="183" w:lineRule="exact"/>
              <w:rPr>
                <w:sz w:val="20"/>
                <w:szCs w:val="20"/>
                <w:color w:val="auto"/>
              </w:rPr>
            </w:pPr>
            <w:r>
              <w:rPr>
                <w:rFonts w:ascii="Times New Roman" w:cs="Times New Roman" w:eastAsia="Times New Roman" w:hAnsi="Times New Roman"/>
                <w:sz w:val="12"/>
                <w:szCs w:val="12"/>
                <w:b w:val="1"/>
                <w:bCs w:val="1"/>
                <w:color w:val="auto"/>
                <w:w w:val="95"/>
              </w:rPr>
              <w:t>Business</w:t>
            </w:r>
            <w:r>
              <w:rPr>
                <w:rFonts w:ascii="Times New Roman" w:cs="Times New Roman" w:eastAsia="Times New Roman" w:hAnsi="Times New Roman"/>
                <w:sz w:val="19"/>
                <w:szCs w:val="19"/>
                <w:b w:val="1"/>
                <w:bCs w:val="1"/>
                <w:color w:val="auto"/>
                <w:w w:val="95"/>
                <w:vertAlign w:val="superscript"/>
              </w:rPr>
              <w:t>(a)</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Pr>
          <w:p>
            <w:pPr>
              <w:spacing w:after="0"/>
              <w:rPr>
                <w:sz w:val="15"/>
                <w:szCs w:val="15"/>
                <w:color w:val="auto"/>
              </w:rPr>
            </w:pPr>
          </w:p>
        </w:tc>
        <w:tc>
          <w:tcPr>
            <w:tcW w:w="960" w:type="dxa"/>
            <w:vAlign w:val="bottom"/>
            <w:gridSpan w:val="2"/>
          </w:tcPr>
          <w:p>
            <w:pPr>
              <w:jc w:val="center"/>
              <w:ind w:right="340"/>
              <w:spacing w:after="0" w:line="183" w:lineRule="exact"/>
              <w:rPr>
                <w:sz w:val="20"/>
                <w:szCs w:val="20"/>
                <w:color w:val="auto"/>
              </w:rPr>
            </w:pPr>
            <w:r>
              <w:rPr>
                <w:rFonts w:ascii="Times New Roman" w:cs="Times New Roman" w:eastAsia="Times New Roman" w:hAnsi="Times New Roman"/>
                <w:sz w:val="12"/>
                <w:szCs w:val="12"/>
                <w:b w:val="1"/>
                <w:bCs w:val="1"/>
                <w:color w:val="auto"/>
                <w:w w:val="94"/>
              </w:rPr>
              <w:t>Company</w:t>
            </w:r>
            <w:r>
              <w:rPr>
                <w:rFonts w:ascii="Times New Roman" w:cs="Times New Roman" w:eastAsia="Times New Roman" w:hAnsi="Times New Roman"/>
                <w:sz w:val="19"/>
                <w:szCs w:val="19"/>
                <w:b w:val="1"/>
                <w:bCs w:val="1"/>
                <w:color w:val="auto"/>
                <w:w w:val="94"/>
                <w:vertAlign w:val="superscript"/>
              </w:rPr>
              <w:t>(b)</w:t>
            </w:r>
          </w:p>
        </w:tc>
        <w:tc>
          <w:tcPr>
            <w:tcW w:w="80" w:type="dxa"/>
            <w:vAlign w:val="bottom"/>
          </w:tcPr>
          <w:p>
            <w:pPr>
              <w:spacing w:after="0"/>
              <w:rPr>
                <w:sz w:val="15"/>
                <w:szCs w:val="15"/>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5"/>
                <w:szCs w:val="15"/>
                <w:color w:val="auto"/>
              </w:rPr>
            </w:pPr>
          </w:p>
        </w:tc>
        <w:tc>
          <w:tcPr>
            <w:tcW w:w="960" w:type="dxa"/>
            <w:vAlign w:val="bottom"/>
            <w:gridSpan w:val="4"/>
          </w:tcPr>
          <w:p>
            <w:pPr>
              <w:jc w:val="center"/>
              <w:ind w:right="400"/>
              <w:spacing w:after="0" w:line="183" w:lineRule="exact"/>
              <w:rPr>
                <w:sz w:val="20"/>
                <w:szCs w:val="20"/>
                <w:color w:val="auto"/>
              </w:rPr>
            </w:pPr>
            <w:r>
              <w:rPr>
                <w:rFonts w:ascii="Times New Roman" w:cs="Times New Roman" w:eastAsia="Times New Roman" w:hAnsi="Times New Roman"/>
                <w:sz w:val="12"/>
                <w:szCs w:val="12"/>
                <w:b w:val="1"/>
                <w:bCs w:val="1"/>
                <w:color w:val="auto"/>
                <w:w w:val="95"/>
              </w:rPr>
              <w:t>Business</w:t>
            </w:r>
            <w:r>
              <w:rPr>
                <w:rFonts w:ascii="Times New Roman" w:cs="Times New Roman" w:eastAsia="Times New Roman" w:hAnsi="Times New Roman"/>
                <w:sz w:val="19"/>
                <w:szCs w:val="19"/>
                <w:b w:val="1"/>
                <w:bCs w:val="1"/>
                <w:color w:val="auto"/>
                <w:w w:val="95"/>
                <w:vertAlign w:val="superscript"/>
              </w:rPr>
              <w:t>(a)</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40" w:type="dxa"/>
            <w:vAlign w:val="bottom"/>
            <w:gridSpan w:val="2"/>
          </w:tcPr>
          <w:p>
            <w:pPr>
              <w:jc w:val="center"/>
              <w:ind w:right="120"/>
              <w:spacing w:after="0" w:line="183" w:lineRule="exact"/>
              <w:rPr>
                <w:sz w:val="20"/>
                <w:szCs w:val="20"/>
                <w:color w:val="auto"/>
              </w:rPr>
            </w:pPr>
            <w:r>
              <w:rPr>
                <w:rFonts w:ascii="Times New Roman" w:cs="Times New Roman" w:eastAsia="Times New Roman" w:hAnsi="Times New Roman"/>
                <w:sz w:val="12"/>
                <w:szCs w:val="12"/>
                <w:b w:val="1"/>
                <w:bCs w:val="1"/>
                <w:color w:val="auto"/>
                <w:w w:val="94"/>
              </w:rPr>
              <w:t>Company</w:t>
            </w:r>
            <w:r>
              <w:rPr>
                <w:rFonts w:ascii="Times New Roman" w:cs="Times New Roman" w:eastAsia="Times New Roman" w:hAnsi="Times New Roman"/>
                <w:sz w:val="19"/>
                <w:szCs w:val="19"/>
                <w:b w:val="1"/>
                <w:bCs w:val="1"/>
                <w:color w:val="auto"/>
                <w:w w:val="94"/>
                <w:vertAlign w:val="superscript"/>
              </w:rPr>
              <w:t>(b)</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Collection and Disposal</w:t>
            </w: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205</w:t>
            </w:r>
          </w:p>
        </w:tc>
        <w:tc>
          <w:tcPr>
            <w:tcW w:w="160" w:type="dxa"/>
            <w:vAlign w:val="bottom"/>
            <w:vMerge w:val="continue"/>
            <w:shd w:val="clear" w:color="auto" w:fill="CCEEFF"/>
          </w:tcPr>
          <w:p>
            <w:pPr>
              <w:spacing w:after="0"/>
              <w:rPr>
                <w:sz w:val="11"/>
                <w:szCs w:val="11"/>
                <w:color w:val="auto"/>
              </w:rPr>
            </w:pPr>
          </w:p>
        </w:tc>
        <w:tc>
          <w:tcPr>
            <w:tcW w:w="780" w:type="dxa"/>
            <w:vAlign w:val="bottom"/>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left w:val="single" w:sz="8" w:color="CCEEFF"/>
            </w:tcBorders>
            <w:shd w:val="clear" w:color="auto" w:fill="CCEEFF"/>
          </w:tcPr>
          <w:p>
            <w:pPr>
              <w:spacing w:after="0"/>
              <w:rPr>
                <w:sz w:val="11"/>
                <w:szCs w:val="11"/>
                <w:color w:val="auto"/>
              </w:rPr>
            </w:pPr>
          </w:p>
        </w:tc>
        <w:tc>
          <w:tcPr>
            <w:tcW w:w="620" w:type="dxa"/>
            <w:vAlign w:val="bottom"/>
            <w:tcBorders>
              <w:lef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1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Recycling Processing and Sales and WM Renewable Energy(</w:t>
            </w:r>
            <w:r>
              <w:rPr>
                <w:rFonts w:ascii="Times New Roman" w:cs="Times New Roman" w:eastAsia="Times New Roman" w:hAnsi="Times New Roman"/>
                <w:sz w:val="19"/>
                <w:szCs w:val="19"/>
                <w:color w:val="auto"/>
                <w:vertAlign w:val="superscript"/>
              </w:rPr>
              <w:t>c</w:t>
            </w: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2"/>
                <w:szCs w:val="12"/>
                <w:color w:val="auto"/>
              </w:rPr>
              <w:t>17.3</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color w:val="auto"/>
              </w:rPr>
              <w:t>127</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Energy surcharge and mandated fees</w:t>
            </w:r>
            <w:r>
              <w:rPr>
                <w:rFonts w:ascii="Times New Roman" w:cs="Times New Roman" w:eastAsia="Times New Roman" w:hAnsi="Times New Roman"/>
                <w:sz w:val="19"/>
                <w:szCs w:val="19"/>
                <w:color w:val="auto"/>
                <w:vertAlign w:val="superscript"/>
              </w:rPr>
              <w:t>(d)</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tcBorders>
              <w:left w:val="single" w:sz="8" w:color="CCEEFF"/>
            </w:tcBorders>
            <w:shd w:val="clear" w:color="auto" w:fill="CCEEFF"/>
          </w:tcPr>
          <w:p>
            <w:pPr>
              <w:spacing w:after="0"/>
              <w:rPr>
                <w:sz w:val="14"/>
                <w:szCs w:val="14"/>
                <w:color w:val="auto"/>
              </w:rPr>
            </w:pPr>
          </w:p>
        </w:tc>
        <w:tc>
          <w:tcPr>
            <w:tcW w:w="620" w:type="dxa"/>
            <w:vAlign w:val="bottom"/>
            <w:tcBorders>
              <w:lef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20" w:type="dxa"/>
            <w:vAlign w:val="bottom"/>
          </w:tcPr>
          <w:p>
            <w:pPr>
              <w:ind w:left="100"/>
              <w:spacing w:after="0" w:line="151" w:lineRule="exact"/>
              <w:rPr>
                <w:sz w:val="20"/>
                <w:szCs w:val="20"/>
                <w:color w:val="auto"/>
              </w:rPr>
            </w:pPr>
            <w:r>
              <w:rPr>
                <w:rFonts w:ascii="Times New Roman" w:cs="Times New Roman" w:eastAsia="Times New Roman" w:hAnsi="Times New Roman"/>
                <w:sz w:val="11"/>
                <w:szCs w:val="11"/>
                <w:color w:val="auto"/>
              </w:rPr>
              <w:t>Total average yield</w:t>
            </w:r>
            <w:r>
              <w:rPr>
                <w:rFonts w:ascii="Times New Roman" w:cs="Times New Roman" w:eastAsia="Times New Roman" w:hAnsi="Times New Roman"/>
                <w:sz w:val="17"/>
                <w:szCs w:val="17"/>
                <w:color w:val="auto"/>
                <w:vertAlign w:val="superscript"/>
              </w:rPr>
              <w:t>(e)</w:t>
            </w: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2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515</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Volume</w:t>
            </w:r>
            <w:r>
              <w:rPr>
                <w:rFonts w:ascii="Times New Roman" w:cs="Times New Roman" w:eastAsia="Times New Roman" w:hAnsi="Times New Roman"/>
                <w:sz w:val="19"/>
                <w:szCs w:val="19"/>
                <w:color w:val="auto"/>
                <w:vertAlign w:val="superscript"/>
              </w:rPr>
              <w:t>(f)</w:t>
            </w:r>
          </w:p>
        </w:tc>
        <w:tc>
          <w:tcPr>
            <w:tcW w:w="8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left w:val="single" w:sz="8" w:color="CCEEFF"/>
            </w:tcBorders>
            <w:shd w:val="clear" w:color="auto" w:fill="CCEEFF"/>
          </w:tcPr>
          <w:p>
            <w:pPr>
              <w:spacing w:after="0"/>
              <w:rPr>
                <w:sz w:val="14"/>
                <w:szCs w:val="14"/>
                <w:color w:val="auto"/>
              </w:rPr>
            </w:pPr>
          </w:p>
        </w:tc>
        <w:tc>
          <w:tcPr>
            <w:tcW w:w="960" w:type="dxa"/>
            <w:vAlign w:val="bottom"/>
            <w:tcBorders>
              <w:lef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442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Internal revenue growth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269</w:t>
            </w:r>
          </w:p>
        </w:tc>
        <w:tc>
          <w:tcPr>
            <w:tcW w:w="220" w:type="dxa"/>
            <w:vAlign w:val="bottom"/>
          </w:tcPr>
          <w:p>
            <w:pPr>
              <w:spacing w:after="0"/>
              <w:rPr>
                <w:sz w:val="11"/>
                <w:szCs w:val="11"/>
                <w:color w:val="auto"/>
              </w:rPr>
            </w:pPr>
          </w:p>
        </w:tc>
        <w:tc>
          <w:tcPr>
            <w:tcW w:w="620" w:type="dxa"/>
            <w:vAlign w:val="bottom"/>
            <w:tcBorders>
              <w:top w:val="single" w:sz="8" w:color="auto"/>
            </w:tcBorders>
          </w:tcPr>
          <w:p>
            <w:pPr>
              <w:ind w:left="480"/>
              <w:spacing w:after="0" w:line="133" w:lineRule="exact"/>
              <w:rPr>
                <w:sz w:val="20"/>
                <w:szCs w:val="20"/>
                <w:color w:val="auto"/>
              </w:rPr>
            </w:pPr>
            <w:r>
              <w:rPr>
                <w:rFonts w:ascii="Times New Roman" w:cs="Times New Roman" w:eastAsia="Times New Roman" w:hAnsi="Times New Roman"/>
                <w:sz w:val="12"/>
                <w:szCs w:val="12"/>
                <w:color w:val="auto"/>
                <w:w w:val="79"/>
              </w:rPr>
              <w:t>5.3</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518</w:t>
            </w:r>
          </w:p>
        </w:tc>
        <w:tc>
          <w:tcPr>
            <w:tcW w:w="220" w:type="dxa"/>
            <w:vAlign w:val="bottom"/>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Acquisitions</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20" w:type="dxa"/>
            <w:vAlign w:val="bottom"/>
            <w:tcBorders>
              <w:left w:val="single" w:sz="8" w:color="CCEEFF"/>
            </w:tcBorders>
            <w:shd w:val="clear" w:color="auto" w:fill="CCEEFF"/>
          </w:tcPr>
          <w:p>
            <w:pPr>
              <w:spacing w:after="0"/>
              <w:rPr>
                <w:sz w:val="12"/>
                <w:szCs w:val="12"/>
                <w:color w:val="auto"/>
              </w:rPr>
            </w:pPr>
          </w:p>
        </w:tc>
        <w:tc>
          <w:tcPr>
            <w:tcW w:w="960" w:type="dxa"/>
            <w:vAlign w:val="bottom"/>
            <w:tcBorders>
              <w:lef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44"/>
        </w:trPr>
        <w:tc>
          <w:tcPr>
            <w:tcW w:w="44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Divestitures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8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7"/>
                <w:szCs w:val="7"/>
                <w:color w:val="auto"/>
                <w:w w:val="72"/>
              </w:rPr>
              <w:t>(4)</w:t>
            </w:r>
          </w:p>
        </w:tc>
        <w:tc>
          <w:tcPr>
            <w:tcW w:w="220" w:type="dxa"/>
            <w:vAlign w:val="bottom"/>
            <w:tcBorders>
              <w:left w:val="single" w:sz="8" w:color="CCEEFF"/>
            </w:tcBorders>
            <w:shd w:val="clear" w:color="auto" w:fill="CCEEFF"/>
          </w:tcPr>
          <w:p>
            <w:pPr>
              <w:spacing w:after="0"/>
              <w:rPr>
                <w:sz w:val="13"/>
                <w:szCs w:val="13"/>
                <w:color w:val="auto"/>
              </w:rPr>
            </w:pPr>
          </w:p>
        </w:tc>
        <w:tc>
          <w:tcPr>
            <w:tcW w:w="960" w:type="dxa"/>
            <w:vAlign w:val="bottom"/>
            <w:tcBorders>
              <w:lef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Total</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283</w:t>
            </w:r>
          </w:p>
        </w:tc>
        <w:tc>
          <w:tcPr>
            <w:tcW w:w="220" w:type="dxa"/>
            <w:vAlign w:val="bottom"/>
            <w:vMerge w:val="continue"/>
          </w:tcPr>
          <w:p>
            <w:pPr>
              <w:spacing w:after="0"/>
              <w:rPr>
                <w:sz w:val="11"/>
                <w:szCs w:val="11"/>
                <w:color w:val="auto"/>
              </w:rPr>
            </w:pPr>
          </w:p>
        </w:tc>
        <w:tc>
          <w:tcPr>
            <w:tcW w:w="96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Pr>
          <w:p>
            <w:pPr>
              <w:spacing w:after="0"/>
              <w:rPr>
                <w:sz w:val="11"/>
                <w:szCs w:val="11"/>
                <w:color w:val="auto"/>
              </w:rPr>
            </w:pPr>
          </w:p>
        </w:tc>
        <w:tc>
          <w:tcPr>
            <w:tcW w:w="5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550</w:t>
            </w:r>
          </w:p>
        </w:tc>
        <w:tc>
          <w:tcPr>
            <w:tcW w:w="220" w:type="dxa"/>
            <w:vAlign w:val="bottom"/>
            <w:vMerge w:val="continue"/>
          </w:tcPr>
          <w:p>
            <w:pPr>
              <w:spacing w:after="0"/>
              <w:rPr>
                <w:sz w:val="11"/>
                <w:szCs w:val="11"/>
                <w:color w:val="auto"/>
              </w:rPr>
            </w:pPr>
          </w:p>
        </w:tc>
        <w:tc>
          <w:tcPr>
            <w:tcW w:w="74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lef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gridSpan w:val="2"/>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4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6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Period-to-Period Change for the</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gridSpan w:val="9"/>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Period-to-Period Change for the</w:t>
            </w:r>
          </w:p>
        </w:tc>
        <w:tc>
          <w:tcPr>
            <w:tcW w:w="0" w:type="dxa"/>
            <w:vAlign w:val="bottom"/>
          </w:tcPr>
          <w:p>
            <w:pPr>
              <w:spacing w:after="0"/>
              <w:rPr>
                <w:sz w:val="1"/>
                <w:szCs w:val="1"/>
                <w:color w:val="auto"/>
              </w:rPr>
            </w:pPr>
          </w:p>
        </w:tc>
      </w:tr>
      <w:tr>
        <w:trPr>
          <w:trHeight w:val="153"/>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gridSpan w:val="6"/>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June 30, 2024 vs. 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tcPr>
          <w:p>
            <w:pPr>
              <w:jc w:val="center"/>
              <w:ind w:left="280"/>
              <w:spacing w:after="0"/>
              <w:rPr>
                <w:sz w:val="20"/>
                <w:szCs w:val="20"/>
                <w:color w:val="auto"/>
              </w:rPr>
            </w:pPr>
            <w:r>
              <w:rPr>
                <w:rFonts w:ascii="Times New Roman" w:cs="Times New Roman" w:eastAsia="Times New Roman" w:hAnsi="Times New Roman"/>
                <w:sz w:val="12"/>
                <w:szCs w:val="12"/>
                <w:b w:val="1"/>
                <w:bCs w:val="1"/>
                <w:color w:val="auto"/>
              </w:rPr>
              <w:t>June 30, 2024 vs. 2023</w:t>
            </w: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4"/>
          </w:tcPr>
          <w:p>
            <w:pPr>
              <w:jc w:val="center"/>
              <w:ind w:right="260"/>
              <w:spacing w:after="0" w:line="160" w:lineRule="exact"/>
              <w:rPr>
                <w:sz w:val="20"/>
                <w:szCs w:val="20"/>
                <w:color w:val="auto"/>
              </w:rPr>
            </w:pPr>
            <w:r>
              <w:rPr>
                <w:rFonts w:ascii="Times New Roman" w:cs="Times New Roman" w:eastAsia="Times New Roman" w:hAnsi="Times New Roman"/>
                <w:sz w:val="11"/>
                <w:szCs w:val="11"/>
                <w:b w:val="1"/>
                <w:bCs w:val="1"/>
                <w:color w:val="auto"/>
              </w:rPr>
              <w:t>As a % of Related Business</w:t>
            </w:r>
            <w:r>
              <w:rPr>
                <w:rFonts w:ascii="Times New Roman" w:cs="Times New Roman" w:eastAsia="Times New Roman" w:hAnsi="Times New Roman"/>
                <w:sz w:val="18"/>
                <w:szCs w:val="18"/>
                <w:b w:val="1"/>
                <w:bCs w:val="1"/>
                <w:color w:val="auto"/>
                <w:vertAlign w:val="superscript"/>
              </w:rPr>
              <w:t>(a)</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jc w:val="center"/>
              <w:ind w:right="220"/>
              <w:spacing w:after="0" w:line="160" w:lineRule="exact"/>
              <w:rPr>
                <w:sz w:val="20"/>
                <w:szCs w:val="20"/>
                <w:color w:val="auto"/>
              </w:rPr>
            </w:pPr>
            <w:r>
              <w:rPr>
                <w:rFonts w:ascii="Times New Roman" w:cs="Times New Roman" w:eastAsia="Times New Roman" w:hAnsi="Times New Roman"/>
                <w:sz w:val="11"/>
                <w:szCs w:val="11"/>
                <w:b w:val="1"/>
                <w:bCs w:val="1"/>
                <w:color w:val="auto"/>
              </w:rPr>
              <w:t>As a % of Related Business</w:t>
            </w:r>
            <w:r>
              <w:rPr>
                <w:rFonts w:ascii="Times New Roman" w:cs="Times New Roman" w:eastAsia="Times New Roman" w:hAnsi="Times New Roman"/>
                <w:sz w:val="18"/>
                <w:szCs w:val="18"/>
                <w:b w:val="1"/>
                <w:bCs w:val="1"/>
                <w:color w:val="auto"/>
                <w:vertAlign w:val="superscript"/>
              </w:rPr>
              <w:t>(a)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81"/>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Volume</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2"/>
                <w:szCs w:val="12"/>
                <w:b w:val="1"/>
                <w:bCs w:val="1"/>
                <w:color w:val="auto"/>
              </w:rPr>
              <w:t>Yield</w:t>
            </w: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gridSpan w:val="3"/>
          </w:tcPr>
          <w:p>
            <w:pPr>
              <w:jc w:val="right"/>
              <w:ind w:right="300"/>
              <w:spacing w:after="0" w:line="160" w:lineRule="exact"/>
              <w:rPr>
                <w:sz w:val="20"/>
                <w:szCs w:val="20"/>
                <w:color w:val="auto"/>
              </w:rPr>
            </w:pPr>
            <w:r>
              <w:rPr>
                <w:rFonts w:ascii="Times New Roman" w:cs="Times New Roman" w:eastAsia="Times New Roman" w:hAnsi="Times New Roman"/>
                <w:sz w:val="11"/>
                <w:szCs w:val="11"/>
                <w:b w:val="1"/>
                <w:bCs w:val="1"/>
                <w:color w:val="auto"/>
              </w:rPr>
              <w:t>Volume</w:t>
            </w:r>
            <w:r>
              <w:rPr>
                <w:rFonts w:ascii="Times New Roman" w:cs="Times New Roman" w:eastAsia="Times New Roman" w:hAnsi="Times New Roman"/>
                <w:sz w:val="18"/>
                <w:szCs w:val="18"/>
                <w:b w:val="1"/>
                <w:bCs w:val="1"/>
                <w:color w:val="auto"/>
                <w:vertAlign w:val="superscript"/>
              </w:rPr>
              <w:t>(g)</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Commercial</w:t>
            </w:r>
          </w:p>
        </w:tc>
        <w:tc>
          <w:tcPr>
            <w:tcW w:w="80" w:type="dxa"/>
            <w:vAlign w:val="bottom"/>
            <w:shd w:val="clear" w:color="auto" w:fill="CCEEFF"/>
          </w:tcPr>
          <w:p>
            <w:pPr>
              <w:spacing w:after="0"/>
              <w:rPr>
                <w:sz w:val="11"/>
                <w:szCs w:val="11"/>
                <w:color w:val="auto"/>
              </w:rPr>
            </w:pPr>
          </w:p>
        </w:tc>
        <w:tc>
          <w:tcPr>
            <w:tcW w:w="64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620" w:type="dxa"/>
            <w:vAlign w:val="bottom"/>
            <w:tcBorders>
              <w:lef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gridSpan w:val="6"/>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Industrial</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4.8</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Residential</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6.5</w:t>
            </w:r>
          </w:p>
        </w:tc>
        <w:tc>
          <w:tcPr>
            <w:tcW w:w="62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c>
          <w:tcPr>
            <w:tcW w:w="0" w:type="dxa"/>
            <w:vAlign w:val="bottom"/>
          </w:tcPr>
          <w:p>
            <w:pPr>
              <w:spacing w:after="0"/>
              <w:rPr>
                <w:sz w:val="1"/>
                <w:szCs w:val="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Total collection</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5.7</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5.9</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w:t>
            </w:r>
          </w:p>
        </w:tc>
        <w:tc>
          <w:tcPr>
            <w:tcW w:w="0" w:type="dxa"/>
            <w:vAlign w:val="bottom"/>
          </w:tcPr>
          <w:p>
            <w:pPr>
              <w:spacing w:after="0"/>
              <w:rPr>
                <w:sz w:val="1"/>
                <w:szCs w:val="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1.4</w:t>
            </w:r>
          </w:p>
        </w:tc>
        <w:tc>
          <w:tcPr>
            <w:tcW w:w="62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2"/>
                <w:szCs w:val="12"/>
                <w:color w:val="auto"/>
              </w:rPr>
              <w:t>Transfer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4.9</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jc w:val="right"/>
              <w:ind w:right="20"/>
              <w:spacing w:after="0"/>
              <w:rPr>
                <w:sz w:val="20"/>
                <w:szCs w:val="20"/>
                <w:color w:val="auto"/>
              </w:rPr>
            </w:pPr>
            <w:r>
              <w:rPr>
                <w:rFonts w:ascii="Times New Roman" w:cs="Times New Roman" w:eastAsia="Times New Roman" w:hAnsi="Times New Roman"/>
                <w:sz w:val="12"/>
                <w:szCs w:val="12"/>
                <w:color w:val="auto"/>
              </w:rPr>
              <w:t>5.2</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collection and disposal</w:t>
            </w:r>
          </w:p>
        </w:tc>
        <w:tc>
          <w:tcPr>
            <w:tcW w:w="80" w:type="dxa"/>
            <w:vAlign w:val="bottom"/>
            <w:shd w:val="clear" w:color="auto" w:fill="CCEEFF"/>
          </w:tcPr>
          <w:p>
            <w:pPr>
              <w:spacing w:after="0"/>
              <w:rPr>
                <w:sz w:val="12"/>
                <w:szCs w:val="12"/>
                <w:color w:val="auto"/>
              </w:rPr>
            </w:pPr>
          </w:p>
        </w:tc>
        <w:tc>
          <w:tcPr>
            <w:tcW w:w="6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4.6%</w:t>
            </w:r>
          </w:p>
        </w:tc>
        <w:tc>
          <w:tcPr>
            <w:tcW w:w="620" w:type="dxa"/>
            <w:vAlign w:val="bottom"/>
            <w:tcBorders>
              <w:left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3" w:lineRule="exact"/>
        <w:rPr>
          <w:sz w:val="20"/>
          <w:szCs w:val="20"/>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by dividing the increase or decrease for the current year period by the prior year period’s related business revenue adjusted to exclude the impacts of divestitures for the current year period.</w:t>
      </w:r>
    </w:p>
    <w:p>
      <w:pPr>
        <w:spacing w:after="0" w:line="1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by dividing the increase or decrease for the current year period by the prior year period’s total Company revenue adjusted to exclude the impacts of divestitures for the current year period.</w:t>
      </w:r>
    </w:p>
    <w:p>
      <w:pPr>
        <w:spacing w:after="0" w:line="6" w:lineRule="exact"/>
        <w:rPr>
          <w:rFonts w:ascii="Times New Roman" w:cs="Times New Roman" w:eastAsia="Times New Roman" w:hAnsi="Times New Roman"/>
          <w:sz w:val="12"/>
          <w:szCs w:val="12"/>
          <w:color w:val="auto"/>
        </w:rPr>
      </w:pPr>
    </w:p>
    <w:p>
      <w:pPr>
        <w:ind w:left="208" w:hanging="208"/>
        <w:spacing w:after="0" w:line="250" w:lineRule="auto"/>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combined impact of commodity price variability in both our Recycling Processing and Sales and WM Renewable Energy segments, as well as changes in certain recycling fees charged by our collection and disposal operations.</w:t>
      </w: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energy surcharge was revised in the second quarter of 2023 to incorporate market prices for both diesel and compressed natural gas (“CNG”).</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herein represent the changes in our revenue attributable to average yield for the total Company.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activities from our Corporate and Other businesses.</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 w:name="page14"/>
    <w:bookmarkEnd w:id="13"/>
    <w:tbl>
      <w:tblPr>
        <w:tblLayout w:type="fixed"/>
        <w:tblInd w:w="8" w:type="dxa"/>
        <w:tblCellMar>
          <w:top w:w="0" w:type="dxa"/>
          <w:left w:w="0" w:type="dxa"/>
          <w:bottom w:w="0" w:type="dxa"/>
          <w:right w:w="0" w:type="dxa"/>
        </w:tblCellMar>
      </w:tblPr>
      <w:tr>
        <w:trPr>
          <w:trHeight w:val="159"/>
        </w:trPr>
        <w:tc>
          <w:tcPr>
            <w:tcW w:w="4320" w:type="dxa"/>
            <w:vAlign w:val="bottom"/>
          </w:tcPr>
          <w:p>
            <w:pPr>
              <w:spacing w:after="0"/>
              <w:rPr>
                <w:sz w:val="13"/>
                <w:szCs w:val="13"/>
                <w:color w:val="auto"/>
              </w:rPr>
            </w:pPr>
          </w:p>
        </w:tc>
        <w:tc>
          <w:tcPr>
            <w:tcW w:w="2820" w:type="dxa"/>
            <w:vAlign w:val="bottom"/>
            <w:gridSpan w:val="2"/>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4320" w:type="dxa"/>
            <w:vAlign w:val="bottom"/>
          </w:tcPr>
          <w:p>
            <w:pPr>
              <w:spacing w:after="0"/>
              <w:rPr>
                <w:sz w:val="23"/>
                <w:szCs w:val="23"/>
                <w:color w:val="auto"/>
              </w:rPr>
            </w:pPr>
          </w:p>
        </w:tc>
        <w:tc>
          <w:tcPr>
            <w:tcW w:w="2820" w:type="dxa"/>
            <w:vAlign w:val="bottom"/>
            <w:gridSpan w:val="2"/>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8"/>
              </w:rPr>
              <w:t>SUMMARY DATA SHEET</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820" w:type="dxa"/>
            <w:vAlign w:val="bottom"/>
            <w:gridSpan w:val="2"/>
          </w:tcPr>
          <w:p>
            <w:pPr>
              <w:jc w:val="center"/>
              <w:ind w:right="122"/>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820" w:type="dxa"/>
            <w:vAlign w:val="bottom"/>
            <w:gridSpan w:val="2"/>
          </w:tcPr>
          <w:p>
            <w:pPr>
              <w:jc w:val="center"/>
              <w:ind w:right="102"/>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Free Cash Flow</w:t>
            </w:r>
            <w:r>
              <w:rPr>
                <w:rFonts w:ascii="Times New Roman" w:cs="Times New Roman" w:eastAsia="Times New Roman" w:hAnsi="Times New Roman"/>
                <w:sz w:val="19"/>
                <w:szCs w:val="19"/>
                <w:b w:val="1"/>
                <w:bCs w:val="1"/>
                <w:color w:val="auto"/>
                <w:vertAlign w:val="superscript"/>
              </w:rPr>
              <w:t>(a)</w:t>
            </w: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960" w:type="dxa"/>
            <w:vAlign w:val="bottom"/>
            <w:gridSpan w:val="4"/>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304"/>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2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1,154</w:t>
            </w: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1,030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2,521</w:t>
            </w: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 excluding sustainability growth investments</w:t>
            </w: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(445)</w:t>
            </w:r>
          </w:p>
        </w:tc>
        <w:tc>
          <w:tcPr>
            <w:tcW w:w="7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(459)</w:t>
            </w:r>
          </w:p>
        </w:tc>
        <w:tc>
          <w:tcPr>
            <w:tcW w:w="22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(947)</w:t>
            </w:r>
          </w:p>
        </w:tc>
        <w:tc>
          <w:tcPr>
            <w:tcW w:w="380" w:type="dxa"/>
            <w:vAlign w:val="bottom"/>
          </w:tcPr>
          <w:p>
            <w:pPr>
              <w:spacing w:after="0"/>
              <w:rPr>
                <w:sz w:val="12"/>
                <w:szCs w:val="12"/>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(963)</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divestitures of businesses and other assets, net of cash divested</w:t>
            </w:r>
          </w:p>
        </w:tc>
        <w:tc>
          <w:tcPr>
            <w:tcW w:w="2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w:t>
            </w: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w:t>
            </w: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32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Free cash flow without sustainability growth investments</w:t>
            </w:r>
          </w:p>
        </w:tc>
        <w:tc>
          <w:tcPr>
            <w:tcW w:w="2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752</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606</w:t>
            </w: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1,632</w:t>
            </w:r>
          </w:p>
        </w:tc>
        <w:tc>
          <w:tcPr>
            <w:tcW w:w="2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1,157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 - sustainability growth investments</w:t>
            </w:r>
          </w:p>
        </w:tc>
        <w:tc>
          <w:tcPr>
            <w:tcW w:w="2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(222)</w:t>
            </w: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(388)</w:t>
            </w:r>
          </w:p>
        </w:tc>
        <w:tc>
          <w:tcPr>
            <w:tcW w:w="3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(217)</w:t>
            </w:r>
          </w:p>
        </w:tc>
        <w:tc>
          <w:tcPr>
            <w:tcW w:w="0" w:type="dxa"/>
            <w:vAlign w:val="bottom"/>
          </w:tcPr>
          <w:p>
            <w:pPr>
              <w:spacing w:after="0"/>
              <w:rPr>
                <w:sz w:val="1"/>
                <w:szCs w:val="1"/>
                <w:color w:val="auto"/>
              </w:rPr>
            </w:pPr>
          </w:p>
        </w:tc>
      </w:tr>
      <w:tr>
        <w:trPr>
          <w:trHeight w:val="149"/>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Free cash flow</w:t>
            </w:r>
          </w:p>
        </w:tc>
        <w:tc>
          <w:tcPr>
            <w:tcW w:w="2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530</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1,244</w:t>
            </w:r>
          </w:p>
        </w:tc>
        <w:tc>
          <w:tcPr>
            <w:tcW w:w="2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4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gridSpan w:val="4"/>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304"/>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Supplemental Data</w:t>
            </w:r>
          </w:p>
        </w:tc>
        <w:tc>
          <w:tcPr>
            <w:tcW w:w="2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Internalization of waste, based on disposal costs</w:t>
            </w:r>
          </w:p>
        </w:tc>
        <w:tc>
          <w:tcPr>
            <w:tcW w:w="2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69.5%</w:t>
            </w: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68.9%</w:t>
            </w:r>
          </w:p>
        </w:tc>
        <w:tc>
          <w:tcPr>
            <w:tcW w:w="3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68.6%</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Landfill depletable tons (in millions)</w:t>
            </w:r>
          </w:p>
        </w:tc>
        <w:tc>
          <w:tcPr>
            <w:tcW w:w="2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32.0</w:t>
            </w: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31.8</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61.0</w:t>
            </w:r>
          </w:p>
        </w:tc>
        <w:tc>
          <w:tcPr>
            <w:tcW w:w="3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61.1</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Acquisition Summary</w:t>
            </w:r>
            <w:r>
              <w:rPr>
                <w:rFonts w:ascii="Times New Roman" w:cs="Times New Roman" w:eastAsia="Times New Roman" w:hAnsi="Times New Roman"/>
                <w:sz w:val="19"/>
                <w:szCs w:val="19"/>
                <w:b w:val="1"/>
                <w:bCs w:val="1"/>
                <w:color w:val="auto"/>
                <w:vertAlign w:val="superscript"/>
              </w:rPr>
              <w:t>(b)</w:t>
            </w:r>
          </w:p>
        </w:tc>
        <w:tc>
          <w:tcPr>
            <w:tcW w:w="2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820" w:type="dxa"/>
            <w:vAlign w:val="bottom"/>
            <w:gridSpan w:val="2"/>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annualized revenue acquired</w:t>
            </w:r>
          </w:p>
        </w:tc>
        <w:tc>
          <w:tcPr>
            <w:tcW w:w="2820" w:type="dxa"/>
            <w:vAlign w:val="bottom"/>
            <w:gridSpan w:val="2"/>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77</w:t>
            </w:r>
          </w:p>
        </w:tc>
        <w:tc>
          <w:tcPr>
            <w:tcW w:w="700" w:type="dxa"/>
            <w:vAlign w:val="bottom"/>
            <w:shd w:val="clear" w:color="auto" w:fill="CCEEFF"/>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93</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consideration, net of cash acquired</w:t>
            </w:r>
          </w:p>
        </w:tc>
        <w:tc>
          <w:tcPr>
            <w:tcW w:w="2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w:t>
            </w: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240</w:t>
            </w:r>
          </w:p>
        </w:tc>
        <w:tc>
          <w:tcPr>
            <w:tcW w:w="3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118</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acquisitions consummated during the period, net of cash acquired</w:t>
            </w:r>
          </w:p>
        </w:tc>
        <w:tc>
          <w:tcPr>
            <w:tcW w:w="2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231</w:t>
            </w: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80</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233</w:t>
            </w:r>
          </w:p>
        </w:tc>
        <w:tc>
          <w:tcPr>
            <w:tcW w:w="3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3"/>
          </w:tcPr>
          <w:p>
            <w:pPr>
              <w:spacing w:after="0"/>
              <w:rPr>
                <w:sz w:val="12"/>
                <w:szCs w:val="12"/>
                <w:color w:val="auto"/>
              </w:rPr>
            </w:pPr>
          </w:p>
        </w:tc>
        <w:tc>
          <w:tcPr>
            <w:tcW w:w="56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acquisitions including contingent consideration and other items from prior periods, net of cash acquired</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232</w:t>
            </w:r>
          </w:p>
        </w:tc>
        <w:tc>
          <w:tcPr>
            <w:tcW w:w="7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84</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250</w:t>
            </w:r>
          </w:p>
        </w:tc>
        <w:tc>
          <w:tcPr>
            <w:tcW w:w="3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118</w:t>
            </w:r>
          </w:p>
        </w:tc>
        <w:tc>
          <w:tcPr>
            <w:tcW w:w="0" w:type="dxa"/>
            <w:vAlign w:val="bottom"/>
          </w:tcPr>
          <w:p>
            <w:pPr>
              <w:spacing w:after="0"/>
              <w:rPr>
                <w:sz w:val="1"/>
                <w:szCs w:val="1"/>
                <w:color w:val="auto"/>
              </w:rPr>
            </w:pPr>
          </w:p>
        </w:tc>
      </w:tr>
      <w:tr>
        <w:trPr>
          <w:trHeight w:val="306"/>
        </w:trPr>
        <w:tc>
          <w:tcPr>
            <w:tcW w:w="4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Landfill Depletion and Accretion Expenses:</w:t>
            </w:r>
          </w:p>
        </w:tc>
        <w:tc>
          <w:tcPr>
            <w:tcW w:w="2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gridSpan w:val="4"/>
          </w:tcPr>
          <w:p>
            <w:pPr>
              <w:jc w:val="center"/>
              <w:ind w:left="282"/>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Six Months Ended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3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center"/>
              <w:ind w:right="304"/>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8"/>
              </w:rPr>
              <w:t>June 30,</w:t>
            </w: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2023</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Landfill depletion expense:</w:t>
            </w:r>
          </w:p>
        </w:tc>
        <w:tc>
          <w:tcPr>
            <w:tcW w:w="2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Cost basis of landfill assets</w:t>
            </w:r>
          </w:p>
        </w:tc>
        <w:tc>
          <w:tcPr>
            <w:tcW w:w="2820" w:type="dxa"/>
            <w:vAlign w:val="bottom"/>
            <w:gridSpan w:val="2"/>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162</w:t>
            </w:r>
          </w:p>
        </w:tc>
        <w:tc>
          <w:tcPr>
            <w:tcW w:w="700" w:type="dxa"/>
            <w:vAlign w:val="bottom"/>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156</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w:t>
            </w: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Asset retirement costs</w:t>
            </w:r>
          </w:p>
        </w:tc>
        <w:tc>
          <w:tcPr>
            <w:tcW w:w="2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w:t>
            </w: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140"/>
              <w:spacing w:after="0" w:line="171" w:lineRule="exact"/>
              <w:rPr>
                <w:sz w:val="20"/>
                <w:szCs w:val="20"/>
                <w:color w:val="auto"/>
              </w:rPr>
            </w:pPr>
            <w:r>
              <w:rPr>
                <w:rFonts w:ascii="Times New Roman" w:cs="Times New Roman" w:eastAsia="Times New Roman" w:hAnsi="Times New Roman"/>
                <w:sz w:val="12"/>
                <w:szCs w:val="12"/>
                <w:color w:val="auto"/>
              </w:rPr>
              <w:t>Total landfill depletion expense</w:t>
            </w:r>
            <w:r>
              <w:rPr>
                <w:rFonts w:ascii="Times New Roman" w:cs="Times New Roman" w:eastAsia="Times New Roman" w:hAnsi="Times New Roman"/>
                <w:sz w:val="19"/>
                <w:szCs w:val="19"/>
                <w:color w:val="auto"/>
                <w:vertAlign w:val="superscript"/>
              </w:rPr>
              <w:t>(c)</w:t>
            </w:r>
          </w:p>
        </w:tc>
        <w:tc>
          <w:tcPr>
            <w:tcW w:w="2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320" w:type="dxa"/>
            <w:vAlign w:val="bottom"/>
            <w:vMerge w:val="continue"/>
          </w:tcPr>
          <w:p>
            <w:pPr>
              <w:spacing w:after="0"/>
              <w:rPr>
                <w:sz w:val="13"/>
                <w:szCs w:val="13"/>
                <w:color w:val="auto"/>
              </w:rPr>
            </w:pPr>
          </w:p>
        </w:tc>
        <w:tc>
          <w:tcPr>
            <w:tcW w:w="2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377</w:t>
            </w:r>
          </w:p>
        </w:tc>
        <w:tc>
          <w:tcPr>
            <w:tcW w:w="38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expense</w:t>
            </w:r>
          </w:p>
        </w:tc>
        <w:tc>
          <w:tcPr>
            <w:tcW w:w="2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w:t>
            </w:r>
          </w:p>
        </w:tc>
        <w:tc>
          <w:tcPr>
            <w:tcW w:w="7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66</w:t>
            </w:r>
          </w:p>
        </w:tc>
        <w:tc>
          <w:tcPr>
            <w:tcW w:w="3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auto"/>
              </w:rPr>
              <w:t>Landfill depletion and accretion expense</w:t>
            </w:r>
          </w:p>
        </w:tc>
        <w:tc>
          <w:tcPr>
            <w:tcW w:w="21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w:t>
            </w: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443</w:t>
            </w:r>
          </w:p>
        </w:tc>
        <w:tc>
          <w:tcPr>
            <w:tcW w:w="2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3" w:lineRule="exact"/>
        <w:rPr>
          <w:sz w:val="20"/>
          <w:szCs w:val="20"/>
          <w:color w:val="auto"/>
        </w:rPr>
      </w:pPr>
    </w:p>
    <w:p>
      <w:pPr>
        <w:ind w:left="208" w:right="20" w:hanging="208"/>
        <w:spacing w:after="0" w:line="259" w:lineRule="auto"/>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amounts associated with business acquisitions consummated during the applicable period except where noted.</w:t>
      </w:r>
    </w:p>
    <w:p>
      <w:pPr>
        <w:spacing w:after="0" w:line="6" w:lineRule="exact"/>
        <w:rPr>
          <w:rFonts w:ascii="Times New Roman" w:cs="Times New Roman" w:eastAsia="Times New Roman" w:hAnsi="Times New Roman"/>
          <w:sz w:val="12"/>
          <w:szCs w:val="12"/>
          <w:color w:val="auto"/>
        </w:rPr>
      </w:pPr>
    </w:p>
    <w:p>
      <w:pPr>
        <w:ind w:left="208" w:right="20" w:hanging="208"/>
        <w:spacing w:after="0" w:line="260" w:lineRule="auto"/>
        <w:tabs>
          <w:tab w:leader="none" w:pos="20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both the second quarter of 2024 and the six months ended June 30, 2024, the increase in landfill depletion expense was primarily driven by changes in landfill cost estimates at our landfills, partially offset by the permanent closing of a previously reopened landfill in our East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284480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4" w:name="page15"/>
    <w:bookmarkEnd w:id="14"/>
    <w:tbl>
      <w:tblPr>
        <w:tblLayout w:type="fixed"/>
        <w:tblInd w:w="8"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2820" w:type="dxa"/>
            <w:vAlign w:val="bottom"/>
            <w:gridSpan w:val="4"/>
          </w:tcPr>
          <w:p>
            <w:pPr>
              <w:jc w:val="center"/>
              <w:ind w:left="110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660" w:type="dxa"/>
            <w:vAlign w:val="bottom"/>
          </w:tcPr>
          <w:p>
            <w:pPr>
              <w:spacing w:after="0"/>
              <w:rPr>
                <w:sz w:val="23"/>
                <w:szCs w:val="23"/>
                <w:color w:val="auto"/>
              </w:rPr>
            </w:pPr>
          </w:p>
        </w:tc>
        <w:tc>
          <w:tcPr>
            <w:tcW w:w="3600" w:type="dxa"/>
            <w:vAlign w:val="bottom"/>
            <w:gridSpan w:val="5"/>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RECONCILIATION OF CERTAIN NON-GAAP MEASURES</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3600" w:type="dxa"/>
            <w:vAlign w:val="bottom"/>
            <w:gridSpan w:val="5"/>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(In Millions, Except Per Share Amounts)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6"/>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Income from</w:t>
            </w:r>
          </w:p>
        </w:tc>
        <w:tc>
          <w:tcPr>
            <w:tcW w:w="780" w:type="dxa"/>
            <w:vAlign w:val="bottom"/>
          </w:tcPr>
          <w:p>
            <w:pPr>
              <w:jc w:val="right"/>
              <w:ind w:right="23"/>
              <w:spacing w:after="0" w:line="122" w:lineRule="exact"/>
              <w:rPr>
                <w:sz w:val="20"/>
                <w:szCs w:val="20"/>
                <w:color w:val="auto"/>
              </w:rPr>
            </w:pPr>
            <w:r>
              <w:rPr>
                <w:rFonts w:ascii="Times New Roman" w:cs="Times New Roman" w:eastAsia="Times New Roman" w:hAnsi="Times New Roman"/>
                <w:sz w:val="12"/>
                <w:szCs w:val="12"/>
                <w:b w:val="1"/>
                <w:bCs w:val="1"/>
                <w:color w:val="auto"/>
              </w:rPr>
              <w:t>Pre-tax</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56"/>
              <w:spacing w:after="0" w:line="122" w:lineRule="exact"/>
              <w:rPr>
                <w:sz w:val="20"/>
                <w:szCs w:val="20"/>
                <w:color w:val="auto"/>
              </w:rPr>
            </w:pPr>
            <w:r>
              <w:rPr>
                <w:rFonts w:ascii="Times New Roman" w:cs="Times New Roman" w:eastAsia="Times New Roman" w:hAnsi="Times New Roman"/>
                <w:sz w:val="12"/>
                <w:szCs w:val="12"/>
                <w:b w:val="1"/>
                <w:bCs w:val="1"/>
                <w:color w:val="auto"/>
                <w:w w:val="89"/>
              </w:rPr>
              <w:t>Tax</w:t>
            </w:r>
          </w:p>
        </w:tc>
        <w:tc>
          <w:tcPr>
            <w:tcW w:w="200" w:type="dxa"/>
            <w:vAlign w:val="bottom"/>
          </w:tcPr>
          <w:p>
            <w:pPr>
              <w:spacing w:after="0"/>
              <w:rPr>
                <w:sz w:val="10"/>
                <w:szCs w:val="10"/>
                <w:color w:val="auto"/>
              </w:rPr>
            </w:pPr>
          </w:p>
        </w:tc>
        <w:tc>
          <w:tcPr>
            <w:tcW w:w="102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100" w:type="dxa"/>
            <w:vAlign w:val="bottom"/>
          </w:tcPr>
          <w:p>
            <w:pPr>
              <w:spacing w:after="0"/>
              <w:rPr>
                <w:sz w:val="10"/>
                <w:szCs w:val="10"/>
                <w:color w:val="auto"/>
              </w:rPr>
            </w:pPr>
          </w:p>
        </w:tc>
        <w:tc>
          <w:tcPr>
            <w:tcW w:w="900" w:type="dxa"/>
            <w:vAlign w:val="bottom"/>
          </w:tcPr>
          <w:p>
            <w:pPr>
              <w:jc w:val="center"/>
              <w:ind w:right="40"/>
              <w:spacing w:after="0" w:line="122" w:lineRule="exact"/>
              <w:rPr>
                <w:sz w:val="20"/>
                <w:szCs w:val="20"/>
                <w:color w:val="auto"/>
              </w:rPr>
            </w:pPr>
            <w:r>
              <w:rPr>
                <w:rFonts w:ascii="Times New Roman" w:cs="Times New Roman" w:eastAsia="Times New Roman" w:hAnsi="Times New Roman"/>
                <w:sz w:val="12"/>
                <w:szCs w:val="12"/>
                <w:b w:val="1"/>
                <w:bCs w:val="1"/>
                <w:color w:val="auto"/>
              </w:rPr>
              <w:t>Diluted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56"/>
              <w:spacing w:after="0"/>
              <w:rPr>
                <w:sz w:val="20"/>
                <w:szCs w:val="20"/>
                <w:color w:val="auto"/>
              </w:rPr>
            </w:pPr>
            <w:r>
              <w:rPr>
                <w:rFonts w:ascii="Times New Roman" w:cs="Times New Roman" w:eastAsia="Times New Roman" w:hAnsi="Times New Roman"/>
                <w:sz w:val="12"/>
                <w:szCs w:val="12"/>
                <w:b w:val="1"/>
                <w:bCs w:val="1"/>
                <w:color w:val="auto"/>
                <w:w w:val="98"/>
              </w:rPr>
              <w:t>Expense</w:t>
            </w:r>
          </w:p>
        </w:tc>
        <w:tc>
          <w:tcPr>
            <w:tcW w:w="200" w:type="dxa"/>
            <w:vAlign w:val="bottom"/>
          </w:tcPr>
          <w:p>
            <w:pPr>
              <w:spacing w:after="0"/>
              <w:rPr>
                <w:sz w:val="15"/>
                <w:szCs w:val="15"/>
                <w:color w:val="auto"/>
              </w:rPr>
            </w:pPr>
          </w:p>
        </w:tc>
        <w:tc>
          <w:tcPr>
            <w:tcW w:w="1020" w:type="dxa"/>
            <w:vAlign w:val="bottom"/>
            <w:gridSpan w:val="2"/>
          </w:tcPr>
          <w:p>
            <w:pPr>
              <w:jc w:val="center"/>
              <w:ind w:right="420"/>
              <w:spacing w:after="0" w:line="183" w:lineRule="exact"/>
              <w:rPr>
                <w:sz w:val="20"/>
                <w:szCs w:val="20"/>
                <w:color w:val="auto"/>
              </w:rPr>
            </w:pPr>
            <w:r>
              <w:rPr>
                <w:rFonts w:ascii="Times New Roman" w:cs="Times New Roman" w:eastAsia="Times New Roman" w:hAnsi="Times New Roman"/>
                <w:sz w:val="12"/>
                <w:szCs w:val="12"/>
                <w:b w:val="1"/>
                <w:bCs w:val="1"/>
                <w:color w:val="auto"/>
                <w:w w:val="90"/>
              </w:rPr>
              <w:t>Income</w:t>
            </w:r>
            <w:r>
              <w:rPr>
                <w:rFonts w:ascii="Times New Roman" w:cs="Times New Roman" w:eastAsia="Times New Roman" w:hAnsi="Times New Roman"/>
                <w:sz w:val="19"/>
                <w:szCs w:val="19"/>
                <w:b w:val="1"/>
                <w:bCs w:val="1"/>
                <w:color w:val="auto"/>
                <w:w w:val="90"/>
                <w:vertAlign w:val="superscript"/>
              </w:rPr>
              <w:t>(a)</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Share Amount</w:t>
            </w:r>
          </w:p>
        </w:tc>
        <w:tc>
          <w:tcPr>
            <w:tcW w:w="0" w:type="dxa"/>
            <w:vAlign w:val="bottom"/>
          </w:tcPr>
          <w:p>
            <w:pPr>
              <w:spacing w:after="0"/>
              <w:rPr>
                <w:sz w:val="1"/>
                <w:szCs w:val="1"/>
                <w:color w:val="auto"/>
              </w:rPr>
            </w:pP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 reported amounts</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1,009</w:t>
            </w: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894</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214</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680</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1.69</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Stericycle transaction costs</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7</w:t>
            </w:r>
          </w:p>
        </w:tc>
        <w:tc>
          <w:tcPr>
            <w:tcW w:w="7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0" w:type="dxa"/>
            <w:vAlign w:val="bottom"/>
          </w:tcPr>
          <w:p>
            <w:pPr>
              <w:spacing w:after="0"/>
              <w:rPr>
                <w:sz w:val="1"/>
                <w:szCs w:val="1"/>
                <w:color w:val="auto"/>
              </w:rPr>
            </w:pPr>
          </w:p>
        </w:tc>
      </w:tr>
      <w:tr>
        <w:trPr>
          <w:trHeight w:val="144"/>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Collective bargaining agreement costs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w:t>
            </w:r>
          </w:p>
        </w:tc>
        <w:tc>
          <w:tcPr>
            <w:tcW w:w="780" w:type="dxa"/>
            <w:vAlign w:val="bottom"/>
          </w:tcPr>
          <w:p>
            <w:pPr>
              <w:spacing w:after="0"/>
              <w:rPr>
                <w:sz w:val="12"/>
                <w:szCs w:val="12"/>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76"/>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60"/>
              <w:spacing w:after="0" w:line="180" w:lineRule="exact"/>
              <w:rPr>
                <w:sz w:val="20"/>
                <w:szCs w:val="20"/>
                <w:color w:val="auto"/>
              </w:rPr>
            </w:pPr>
            <w:r>
              <w:rPr>
                <w:rFonts w:ascii="Times New Roman" w:cs="Times New Roman" w:eastAsia="Times New Roman" w:hAnsi="Times New Roman"/>
                <w:sz w:val="12"/>
                <w:szCs w:val="12"/>
                <w:color w:val="auto"/>
              </w:rPr>
              <w:t>Loss from divestitures, asset impairments and unusual items, net</w:t>
            </w:r>
            <w:r>
              <w:rPr>
                <w:rFonts w:ascii="Times New Roman" w:cs="Times New Roman" w:eastAsia="Times New Roman" w:hAnsi="Times New Roman"/>
                <w:sz w:val="19"/>
                <w:szCs w:val="19"/>
                <w:color w:val="auto"/>
                <w:vertAlign w:val="superscript"/>
              </w:rPr>
              <w:t>(c)</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58</w:t>
            </w:r>
          </w:p>
        </w:tc>
        <w:tc>
          <w:tcPr>
            <w:tcW w:w="7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adjusted amounts</w:t>
            </w:r>
          </w:p>
        </w:tc>
        <w:tc>
          <w:tcPr>
            <w:tcW w:w="1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vMerge w:val="restart"/>
          </w:tcPr>
          <w:p>
            <w:pPr>
              <w:jc w:val="right"/>
              <w:ind w:right="76"/>
              <w:spacing w:after="0"/>
              <w:rPr>
                <w:sz w:val="20"/>
                <w:szCs w:val="20"/>
                <w:color w:val="auto"/>
              </w:rPr>
            </w:pPr>
            <w:r>
              <w:rPr>
                <w:rFonts w:ascii="Times New Roman" w:cs="Times New Roman" w:eastAsia="Times New Roman" w:hAnsi="Times New Roman"/>
                <w:sz w:val="9"/>
                <w:szCs w:val="9"/>
                <w:color w:val="auto"/>
                <w:w w:val="75"/>
              </w:rPr>
              <w:t>(b)</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1,075</w:t>
            </w:r>
          </w:p>
        </w:tc>
        <w:tc>
          <w:tcPr>
            <w:tcW w:w="260" w:type="dxa"/>
            <w:vAlign w:val="bottom"/>
            <w:vMerge w:val="continue"/>
          </w:tcPr>
          <w:p>
            <w:pPr>
              <w:spacing w:after="0"/>
              <w:rPr>
                <w:sz w:val="13"/>
                <w:szCs w:val="13"/>
                <w:color w:val="auto"/>
              </w:rPr>
            </w:pP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960</w:t>
            </w:r>
          </w:p>
        </w:tc>
        <w:tc>
          <w:tcPr>
            <w:tcW w:w="20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228</w:t>
            </w:r>
          </w:p>
        </w:tc>
        <w:tc>
          <w:tcPr>
            <w:tcW w:w="220" w:type="dxa"/>
            <w:vAlign w:val="bottom"/>
            <w:vMerge w:val="continue"/>
          </w:tcPr>
          <w:p>
            <w:pPr>
              <w:spacing w:after="0"/>
              <w:rPr>
                <w:sz w:val="13"/>
                <w:szCs w:val="13"/>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732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1.82</w:t>
            </w:r>
          </w:p>
        </w:tc>
        <w:tc>
          <w:tcPr>
            <w:tcW w:w="0" w:type="dxa"/>
            <w:vAlign w:val="bottom"/>
          </w:tcPr>
          <w:p>
            <w:pPr>
              <w:spacing w:after="0"/>
              <w:rPr>
                <w:sz w:val="1"/>
                <w:szCs w:val="1"/>
                <w:color w:val="auto"/>
              </w:rPr>
            </w:pPr>
          </w:p>
        </w:tc>
      </w:tr>
      <w:tr>
        <w:trPr>
          <w:trHeight w:val="153"/>
        </w:trPr>
        <w:tc>
          <w:tcPr>
            <w:tcW w:w="3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15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543</w:t>
            </w:r>
          </w:p>
        </w:tc>
        <w:tc>
          <w:tcPr>
            <w:tcW w:w="78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right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right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w:t>
            </w:r>
          </w:p>
        </w:tc>
        <w:tc>
          <w:tcPr>
            <w:tcW w:w="1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1,618</w:t>
            </w:r>
          </w:p>
        </w:tc>
        <w:tc>
          <w:tcPr>
            <w:tcW w:w="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 margin</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30.0%</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7"/>
          </w:tcPr>
          <w:p>
            <w:pPr>
              <w:jc w:val="right"/>
              <w:ind w:right="6"/>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2"/>
                <w:szCs w:val="12"/>
                <w:b w:val="1"/>
                <w:bCs w:val="1"/>
                <w:color w:val="auto"/>
                <w:w w:val="99"/>
              </w:rPr>
              <w:t>Income from</w:t>
            </w:r>
          </w:p>
        </w:tc>
        <w:tc>
          <w:tcPr>
            <w:tcW w:w="780" w:type="dxa"/>
            <w:vAlign w:val="bottom"/>
          </w:tcPr>
          <w:p>
            <w:pPr>
              <w:jc w:val="right"/>
              <w:ind w:right="23"/>
              <w:spacing w:after="0" w:line="122" w:lineRule="exact"/>
              <w:rPr>
                <w:sz w:val="20"/>
                <w:szCs w:val="20"/>
                <w:color w:val="auto"/>
              </w:rPr>
            </w:pPr>
            <w:r>
              <w:rPr>
                <w:rFonts w:ascii="Times New Roman" w:cs="Times New Roman" w:eastAsia="Times New Roman" w:hAnsi="Times New Roman"/>
                <w:sz w:val="12"/>
                <w:szCs w:val="12"/>
                <w:b w:val="1"/>
                <w:bCs w:val="1"/>
                <w:color w:val="auto"/>
              </w:rPr>
              <w:t>Pre-tax</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376"/>
              <w:spacing w:after="0" w:line="122" w:lineRule="exact"/>
              <w:rPr>
                <w:sz w:val="20"/>
                <w:szCs w:val="20"/>
                <w:color w:val="auto"/>
              </w:rPr>
            </w:pPr>
            <w:r>
              <w:rPr>
                <w:rFonts w:ascii="Times New Roman" w:cs="Times New Roman" w:eastAsia="Times New Roman" w:hAnsi="Times New Roman"/>
                <w:sz w:val="12"/>
                <w:szCs w:val="12"/>
                <w:b w:val="1"/>
                <w:bCs w:val="1"/>
                <w:color w:val="auto"/>
                <w:w w:val="99"/>
              </w:rPr>
              <w:t>Tax</w:t>
            </w:r>
          </w:p>
        </w:tc>
        <w:tc>
          <w:tcPr>
            <w:tcW w:w="200" w:type="dxa"/>
            <w:vAlign w:val="bottom"/>
          </w:tcPr>
          <w:p>
            <w:pPr>
              <w:spacing w:after="0"/>
              <w:rPr>
                <w:sz w:val="10"/>
                <w:szCs w:val="10"/>
                <w:color w:val="auto"/>
              </w:rPr>
            </w:pPr>
          </w:p>
        </w:tc>
        <w:tc>
          <w:tcPr>
            <w:tcW w:w="1020" w:type="dxa"/>
            <w:vAlign w:val="bottom"/>
            <w:gridSpan w:val="2"/>
          </w:tcPr>
          <w:p>
            <w:pPr>
              <w:jc w:val="center"/>
              <w:ind w:right="400"/>
              <w:spacing w:after="0" w:line="122" w:lineRule="exact"/>
              <w:rPr>
                <w:sz w:val="20"/>
                <w:szCs w:val="20"/>
                <w:color w:val="auto"/>
              </w:rPr>
            </w:pPr>
            <w:r>
              <w:rPr>
                <w:rFonts w:ascii="Times New Roman" w:cs="Times New Roman" w:eastAsia="Times New Roman" w:hAnsi="Times New Roman"/>
                <w:sz w:val="12"/>
                <w:szCs w:val="12"/>
                <w:b w:val="1"/>
                <w:bCs w:val="1"/>
                <w:color w:val="auto"/>
                <w:w w:val="99"/>
              </w:rPr>
              <w:t>Net</w:t>
            </w:r>
          </w:p>
        </w:tc>
        <w:tc>
          <w:tcPr>
            <w:tcW w:w="100" w:type="dxa"/>
            <w:vAlign w:val="bottom"/>
          </w:tcPr>
          <w:p>
            <w:pPr>
              <w:spacing w:after="0"/>
              <w:rPr>
                <w:sz w:val="10"/>
                <w:szCs w:val="10"/>
                <w:color w:val="auto"/>
              </w:rPr>
            </w:pPr>
          </w:p>
        </w:tc>
        <w:tc>
          <w:tcPr>
            <w:tcW w:w="900" w:type="dxa"/>
            <w:vAlign w:val="bottom"/>
          </w:tcPr>
          <w:p>
            <w:pPr>
              <w:jc w:val="center"/>
              <w:ind w:right="40"/>
              <w:spacing w:after="0" w:line="122" w:lineRule="exact"/>
              <w:rPr>
                <w:sz w:val="20"/>
                <w:szCs w:val="20"/>
                <w:color w:val="auto"/>
              </w:rPr>
            </w:pPr>
            <w:r>
              <w:rPr>
                <w:rFonts w:ascii="Times New Roman" w:cs="Times New Roman" w:eastAsia="Times New Roman" w:hAnsi="Times New Roman"/>
                <w:sz w:val="12"/>
                <w:szCs w:val="12"/>
                <w:b w:val="1"/>
                <w:bCs w:val="1"/>
                <w:color w:val="auto"/>
              </w:rPr>
              <w:t>Diluted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Operations</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76"/>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200" w:type="dxa"/>
            <w:vAlign w:val="bottom"/>
          </w:tcPr>
          <w:p>
            <w:pPr>
              <w:spacing w:after="0"/>
              <w:rPr>
                <w:sz w:val="15"/>
                <w:szCs w:val="15"/>
                <w:color w:val="auto"/>
              </w:rPr>
            </w:pPr>
          </w:p>
        </w:tc>
        <w:tc>
          <w:tcPr>
            <w:tcW w:w="1020" w:type="dxa"/>
            <w:vAlign w:val="bottom"/>
            <w:gridSpan w:val="2"/>
          </w:tcPr>
          <w:p>
            <w:pPr>
              <w:jc w:val="center"/>
              <w:ind w:right="440"/>
              <w:spacing w:after="0" w:line="183" w:lineRule="exact"/>
              <w:rPr>
                <w:sz w:val="20"/>
                <w:szCs w:val="20"/>
                <w:color w:val="auto"/>
              </w:rPr>
            </w:pPr>
            <w:r>
              <w:rPr>
                <w:rFonts w:ascii="Times New Roman" w:cs="Times New Roman" w:eastAsia="Times New Roman" w:hAnsi="Times New Roman"/>
                <w:sz w:val="12"/>
                <w:szCs w:val="12"/>
                <w:b w:val="1"/>
                <w:bCs w:val="1"/>
                <w:color w:val="auto"/>
                <w:w w:val="94"/>
              </w:rPr>
              <w:t>Income</w:t>
            </w:r>
            <w:r>
              <w:rPr>
                <w:rFonts w:ascii="Times New Roman" w:cs="Times New Roman" w:eastAsia="Times New Roman" w:hAnsi="Times New Roman"/>
                <w:sz w:val="19"/>
                <w:szCs w:val="19"/>
                <w:b w:val="1"/>
                <w:bCs w:val="1"/>
                <w:color w:val="auto"/>
                <w:w w:val="94"/>
                <w:vertAlign w:val="superscript"/>
              </w:rPr>
              <w:t>(a)</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Share Amount</w:t>
            </w:r>
          </w:p>
        </w:tc>
        <w:tc>
          <w:tcPr>
            <w:tcW w:w="0" w:type="dxa"/>
            <w:vAlign w:val="bottom"/>
          </w:tcPr>
          <w:p>
            <w:pPr>
              <w:spacing w:after="0"/>
              <w:rPr>
                <w:sz w:val="1"/>
                <w:szCs w:val="1"/>
                <w:color w:val="auto"/>
              </w:rPr>
            </w:pP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 reported amounts</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944</w:t>
            </w: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809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196</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615</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1.51</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Collective bargaining agreement costs</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1</w:t>
            </w:r>
          </w:p>
        </w:tc>
        <w:tc>
          <w:tcPr>
            <w:tcW w:w="7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Restructuring</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w:t>
            </w:r>
          </w:p>
        </w:tc>
        <w:tc>
          <w:tcPr>
            <w:tcW w:w="7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196"/>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adjusted amounts</w:t>
            </w:r>
          </w:p>
        </w:tc>
        <w:tc>
          <w:tcPr>
            <w:tcW w:w="1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9"/>
                <w:szCs w:val="9"/>
                <w:b w:val="1"/>
                <w:bCs w:val="1"/>
                <w:color w:val="auto"/>
                <w:w w:val="72"/>
              </w:rPr>
              <w:t>(b)</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60" w:type="dxa"/>
            <w:vAlign w:val="bottom"/>
            <w:vMerge w:val="continue"/>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946</w:t>
            </w:r>
          </w:p>
        </w:tc>
        <w:tc>
          <w:tcPr>
            <w:tcW w:w="260" w:type="dxa"/>
            <w:vAlign w:val="bottom"/>
            <w:vMerge w:val="continue"/>
            <w:shd w:val="clear" w:color="auto" w:fill="CCEEFF"/>
          </w:tcPr>
          <w:p>
            <w:pPr>
              <w:spacing w:after="0"/>
              <w:rPr>
                <w:sz w:val="14"/>
                <w:szCs w:val="14"/>
                <w:color w:val="auto"/>
              </w:rPr>
            </w:pPr>
          </w:p>
        </w:tc>
        <w:tc>
          <w:tcPr>
            <w:tcW w:w="78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811</w:t>
            </w:r>
          </w:p>
        </w:tc>
        <w:tc>
          <w:tcPr>
            <w:tcW w:w="2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w:t>
            </w:r>
          </w:p>
        </w:tc>
        <w:tc>
          <w:tcPr>
            <w:tcW w:w="2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1.51</w:t>
            </w:r>
          </w:p>
        </w:tc>
        <w:tc>
          <w:tcPr>
            <w:tcW w:w="0" w:type="dxa"/>
            <w:vAlign w:val="bottom"/>
          </w:tcPr>
          <w:p>
            <w:pPr>
              <w:spacing w:after="0"/>
              <w:rPr>
                <w:sz w:val="1"/>
                <w:szCs w:val="1"/>
                <w:color w:val="auto"/>
              </w:rPr>
            </w:pPr>
          </w:p>
        </w:tc>
      </w:tr>
      <w:tr>
        <w:trPr>
          <w:trHeight w:val="140"/>
        </w:trPr>
        <w:tc>
          <w:tcPr>
            <w:tcW w:w="3660" w:type="dxa"/>
            <w:vAlign w:val="bottom"/>
            <w:tcBorders>
              <w:top w:val="single" w:sz="8" w:color="CCEEFF"/>
            </w:tcBorders>
          </w:tcPr>
          <w:p>
            <w:pPr>
              <w:ind w:left="60"/>
              <w:spacing w:after="0" w:line="135" w:lineRule="exact"/>
              <w:rPr>
                <w:sz w:val="20"/>
                <w:szCs w:val="20"/>
                <w:color w:val="auto"/>
              </w:rPr>
            </w:pPr>
            <w:r>
              <w:rPr>
                <w:rFonts w:ascii="Times New Roman" w:cs="Times New Roman" w:eastAsia="Times New Roman" w:hAnsi="Times New Roman"/>
                <w:sz w:val="12"/>
                <w:szCs w:val="12"/>
                <w:color w:val="auto"/>
              </w:rPr>
              <w:t>Depreciation, depletion and amortization</w:t>
            </w:r>
          </w:p>
        </w:tc>
        <w:tc>
          <w:tcPr>
            <w:tcW w:w="15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18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521</w:t>
            </w:r>
          </w:p>
        </w:tc>
        <w:tc>
          <w:tcPr>
            <w:tcW w:w="7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w:t>
            </w:r>
          </w:p>
        </w:tc>
        <w:tc>
          <w:tcPr>
            <w:tcW w:w="15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1,467</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 margin</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28.7%</w:t>
            </w:r>
          </w:p>
        </w:tc>
        <w:tc>
          <w:tcPr>
            <w:tcW w:w="7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3" w:lineRule="exact"/>
        <w:rPr>
          <w:sz w:val="20"/>
          <w:szCs w:val="20"/>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press release table, all references to “Net income” refer to the financial statement line item “Net income attributable to Waste Management, Inc.”</w:t>
      </w:r>
    </w:p>
    <w:p>
      <w:pPr>
        <w:spacing w:after="0" w:line="16" w:lineRule="exact"/>
        <w:rPr>
          <w:rFonts w:ascii="Times New Roman" w:cs="Times New Roman" w:eastAsia="Times New Roman" w:hAnsi="Times New Roman"/>
          <w:sz w:val="12"/>
          <w:szCs w:val="12"/>
          <w:color w:val="auto"/>
        </w:rPr>
      </w:pPr>
    </w:p>
    <w:p>
      <w:pPr>
        <w:ind w:left="208" w:hanging="208"/>
        <w:spacing w:after="0" w:line="250" w:lineRule="auto"/>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second quarter 2024 and 2023 adjusted effective tax rates were 23.9% and 24.2%, respectively.</w:t>
      </w: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net charges primarily relating to an investment in a waste diversion technology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295275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3600" w:type="dxa"/>
            <w:vAlign w:val="bottom"/>
            <w:gridSpan w:val="5"/>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3"/>
        </w:trPr>
        <w:tc>
          <w:tcPr>
            <w:tcW w:w="3660" w:type="dxa"/>
            <w:vAlign w:val="bottom"/>
          </w:tcPr>
          <w:p>
            <w:pPr>
              <w:spacing w:after="0"/>
              <w:rPr>
                <w:sz w:val="23"/>
                <w:szCs w:val="23"/>
                <w:color w:val="auto"/>
              </w:rPr>
            </w:pPr>
          </w:p>
        </w:tc>
        <w:tc>
          <w:tcPr>
            <w:tcW w:w="3600" w:type="dxa"/>
            <w:vAlign w:val="bottom"/>
            <w:gridSpan w:val="5"/>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RECONCILIATION OF CERTAIN NON-GAAP MEASURES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97"/>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2024</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8"/>
        </w:trPr>
        <w:tc>
          <w:tcPr>
            <w:tcW w:w="3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ind w:left="123"/>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Recycling</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rPr>
              <w:t>WM</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3"/>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Collection</w:t>
            </w:r>
          </w:p>
        </w:tc>
        <w:tc>
          <w:tcPr>
            <w:tcW w:w="800" w:type="dxa"/>
            <w:vAlign w:val="bottom"/>
          </w:tcPr>
          <w:p>
            <w:pPr>
              <w:jc w:val="center"/>
              <w:ind w:left="143"/>
              <w:spacing w:after="0"/>
              <w:rPr>
                <w:sz w:val="20"/>
                <w:szCs w:val="20"/>
                <w:color w:val="auto"/>
              </w:rPr>
            </w:pPr>
            <w:r>
              <w:rPr>
                <w:rFonts w:ascii="Times New Roman" w:cs="Times New Roman" w:eastAsia="Times New Roman" w:hAnsi="Times New Roman"/>
                <w:sz w:val="12"/>
                <w:szCs w:val="12"/>
                <w:b w:val="1"/>
                <w:bCs w:val="1"/>
                <w:color w:val="auto"/>
              </w:rPr>
              <w:t>Processing</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200" w:type="dxa"/>
            <w:vAlign w:val="bottom"/>
          </w:tcPr>
          <w:p>
            <w:pPr>
              <w:spacing w:after="0"/>
              <w:rPr>
                <w:sz w:val="13"/>
                <w:szCs w:val="13"/>
                <w:color w:val="auto"/>
              </w:rPr>
            </w:pPr>
          </w:p>
        </w:tc>
        <w:tc>
          <w:tcPr>
            <w:tcW w:w="102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and Disposal</w:t>
            </w:r>
          </w:p>
        </w:tc>
        <w:tc>
          <w:tcPr>
            <w:tcW w:w="800" w:type="dxa"/>
            <w:vAlign w:val="bottom"/>
          </w:tcPr>
          <w:p>
            <w:pPr>
              <w:jc w:val="center"/>
              <w:ind w:left="143"/>
              <w:spacing w:after="0"/>
              <w:rPr>
                <w:sz w:val="20"/>
                <w:szCs w:val="20"/>
                <w:color w:val="auto"/>
              </w:rPr>
            </w:pPr>
            <w:r>
              <w:rPr>
                <w:rFonts w:ascii="Times New Roman" w:cs="Times New Roman" w:eastAsia="Times New Roman" w:hAnsi="Times New Roman"/>
                <w:sz w:val="12"/>
                <w:szCs w:val="12"/>
                <w:b w:val="1"/>
                <w:bCs w:val="1"/>
                <w:color w:val="auto"/>
                <w:w w:val="99"/>
              </w:rPr>
              <w:t>and Sales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6"/>
              </w:rPr>
              <w:t>Energy</w:t>
            </w:r>
          </w:p>
        </w:tc>
        <w:tc>
          <w:tcPr>
            <w:tcW w:w="200" w:type="dxa"/>
            <w:vAlign w:val="bottom"/>
          </w:tcPr>
          <w:p>
            <w:pPr>
              <w:spacing w:after="0"/>
              <w:rPr>
                <w:sz w:val="13"/>
                <w:szCs w:val="13"/>
                <w:color w:val="auto"/>
              </w:rPr>
            </w:pPr>
          </w:p>
        </w:tc>
        <w:tc>
          <w:tcPr>
            <w:tcW w:w="102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revenues, as reported</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4,922</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405</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69</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5,402</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from operations, as reported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1,359</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18</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(397)</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1,009</w:t>
            </w:r>
          </w:p>
        </w:tc>
      </w:tr>
      <w:tr>
        <w:trPr>
          <w:trHeight w:val="153"/>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475</w:t>
            </w:r>
          </w:p>
        </w:tc>
        <w:tc>
          <w:tcPr>
            <w:tcW w:w="80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w:t>
            </w:r>
          </w:p>
        </w:tc>
        <w:tc>
          <w:tcPr>
            <w:tcW w:w="200" w:type="dxa"/>
            <w:vAlign w:val="bottom"/>
          </w:tcPr>
          <w:p>
            <w:pPr>
              <w:spacing w:after="0"/>
              <w:rPr>
                <w:sz w:val="13"/>
                <w:szCs w:val="13"/>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28</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543</w:t>
            </w: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EBITDA, as reported</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1,834</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(369)</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1,552</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Stericycle transaction costs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Collective bargaining agreement costs</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80"/>
        </w:trPr>
        <w:tc>
          <w:tcPr>
            <w:tcW w:w="3660" w:type="dxa"/>
            <w:vAlign w:val="bottom"/>
          </w:tcPr>
          <w:p>
            <w:pPr>
              <w:ind w:left="60"/>
              <w:spacing w:after="0" w:line="180" w:lineRule="exact"/>
              <w:rPr>
                <w:sz w:val="20"/>
                <w:szCs w:val="20"/>
                <w:color w:val="auto"/>
              </w:rPr>
            </w:pPr>
            <w:r>
              <w:rPr>
                <w:rFonts w:ascii="Times New Roman" w:cs="Times New Roman" w:eastAsia="Times New Roman" w:hAnsi="Times New Roman"/>
                <w:sz w:val="12"/>
                <w:szCs w:val="12"/>
                <w:color w:val="auto"/>
              </w:rPr>
              <w:t>Loss from divestitures, asset impairments and unusual items, net</w:t>
            </w:r>
            <w:r>
              <w:rPr>
                <w:rFonts w:ascii="Times New Roman" w:cs="Times New Roman" w:eastAsia="Times New Roman" w:hAnsi="Times New Roman"/>
                <w:sz w:val="19"/>
                <w:szCs w:val="19"/>
                <w:color w:val="auto"/>
                <w:vertAlign w:val="superscript"/>
              </w:rPr>
              <w: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800" w:type="dxa"/>
            <w:vAlign w:val="bottom"/>
          </w:tcPr>
          <w:p>
            <w:pPr>
              <w:spacing w:after="0"/>
              <w:rPr>
                <w:sz w:val="15"/>
                <w:szCs w:val="15"/>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55</w:t>
            </w: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w:t>
            </w:r>
          </w:p>
        </w:tc>
      </w:tr>
      <w:tr>
        <w:trPr>
          <w:trHeight w:val="133"/>
        </w:trPr>
        <w:tc>
          <w:tcPr>
            <w:tcW w:w="366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62</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w:t>
            </w:r>
          </w:p>
        </w:tc>
        <w:tc>
          <w:tcPr>
            <w:tcW w:w="140" w:type="dxa"/>
            <w:vAlign w:val="bottom"/>
            <w:tcBorders>
              <w:top w:val="single" w:sz="8" w:color="CCEEFF"/>
            </w:tcBorders>
            <w:shd w:val="clear" w:color="auto" w:fill="CCEEFF"/>
          </w:tcPr>
          <w:p>
            <w:pPr>
              <w:spacing w:after="0"/>
              <w:rPr>
                <w:sz w:val="11"/>
                <w:szCs w:val="11"/>
                <w:color w:val="auto"/>
              </w:rPr>
            </w:pPr>
          </w:p>
        </w:tc>
      </w:tr>
      <w:tr>
        <w:trPr>
          <w:trHeight w:val="149"/>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w:t>
            </w: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1,838</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27</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(307</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1,618</w:t>
            </w:r>
          </w:p>
        </w:tc>
        <w:tc>
          <w:tcPr>
            <w:tcW w:w="140" w:type="dxa"/>
            <w:vAlign w:val="bottom"/>
            <w:tcBorders>
              <w:bottom w:val="single" w:sz="8" w:color="CCEEFF"/>
            </w:tcBorders>
          </w:tcPr>
          <w:p>
            <w:pPr>
              <w:spacing w:after="0"/>
              <w:rPr>
                <w:sz w:val="12"/>
                <w:szCs w:val="12"/>
                <w:color w:val="auto"/>
              </w:rPr>
            </w:pPr>
          </w:p>
        </w:tc>
      </w:tr>
      <w:tr>
        <w:trPr>
          <w:trHeight w:val="144"/>
        </w:trPr>
        <w:tc>
          <w:tcPr>
            <w:tcW w:w="36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EBITDA margin, as reported</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37.3%</w:t>
            </w:r>
          </w:p>
        </w:tc>
        <w:tc>
          <w:tcPr>
            <w:tcW w:w="80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0"/>
              </w:rPr>
              <w:t>14.8%</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39.1%</w:t>
            </w:r>
          </w:p>
        </w:tc>
        <w:tc>
          <w:tcPr>
            <w:tcW w:w="20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N/A</w:t>
            </w:r>
          </w:p>
        </w:tc>
        <w:tc>
          <w:tcPr>
            <w:tcW w:w="22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28.7%</w:t>
            </w: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 margin</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37.3%</w:t>
            </w:r>
          </w:p>
        </w:tc>
        <w:tc>
          <w:tcPr>
            <w:tcW w:w="8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0"/>
              </w:rPr>
              <w:t>14.8%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39.1%</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N/A</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30.0%</w:t>
            </w:r>
          </w:p>
        </w:tc>
      </w:tr>
      <w:tr>
        <w:trPr>
          <w:trHeight w:val="315"/>
        </w:trPr>
        <w:tc>
          <w:tcPr>
            <w:tcW w:w="3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Three Months Ended June 30, 2023</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18"/>
        </w:trPr>
        <w:tc>
          <w:tcPr>
            <w:tcW w:w="36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ind w:left="123"/>
              <w:spacing w:after="0" w:line="118" w:lineRule="exact"/>
              <w:rPr>
                <w:sz w:val="20"/>
                <w:szCs w:val="20"/>
                <w:color w:val="auto"/>
              </w:rPr>
            </w:pPr>
            <w:r>
              <w:rPr>
                <w:rFonts w:ascii="Times New Roman" w:cs="Times New Roman" w:eastAsia="Times New Roman" w:hAnsi="Times New Roman"/>
                <w:sz w:val="12"/>
                <w:szCs w:val="12"/>
                <w:b w:val="1"/>
                <w:bCs w:val="1"/>
                <w:color w:val="auto"/>
                <w:w w:val="99"/>
              </w:rPr>
              <w:t>Recycling</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rPr>
              <w:t>WM</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3"/>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Collection</w:t>
            </w:r>
          </w:p>
        </w:tc>
        <w:tc>
          <w:tcPr>
            <w:tcW w:w="800" w:type="dxa"/>
            <w:vAlign w:val="bottom"/>
          </w:tcPr>
          <w:p>
            <w:pPr>
              <w:jc w:val="center"/>
              <w:ind w:left="143"/>
              <w:spacing w:after="0"/>
              <w:rPr>
                <w:sz w:val="20"/>
                <w:szCs w:val="20"/>
                <w:color w:val="auto"/>
              </w:rPr>
            </w:pPr>
            <w:r>
              <w:rPr>
                <w:rFonts w:ascii="Times New Roman" w:cs="Times New Roman" w:eastAsia="Times New Roman" w:hAnsi="Times New Roman"/>
                <w:sz w:val="12"/>
                <w:szCs w:val="12"/>
                <w:b w:val="1"/>
                <w:bCs w:val="1"/>
                <w:color w:val="auto"/>
              </w:rPr>
              <w:t>Processing</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Renewable</w:t>
            </w:r>
          </w:p>
        </w:tc>
        <w:tc>
          <w:tcPr>
            <w:tcW w:w="200" w:type="dxa"/>
            <w:vAlign w:val="bottom"/>
          </w:tcPr>
          <w:p>
            <w:pPr>
              <w:spacing w:after="0"/>
              <w:rPr>
                <w:sz w:val="13"/>
                <w:szCs w:val="13"/>
                <w:color w:val="auto"/>
              </w:rPr>
            </w:pPr>
          </w:p>
        </w:tc>
        <w:tc>
          <w:tcPr>
            <w:tcW w:w="102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Corporate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9"/>
        </w:trPr>
        <w:tc>
          <w:tcPr>
            <w:tcW w:w="3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and Disposal</w:t>
            </w:r>
          </w:p>
        </w:tc>
        <w:tc>
          <w:tcPr>
            <w:tcW w:w="800" w:type="dxa"/>
            <w:vAlign w:val="bottom"/>
          </w:tcPr>
          <w:p>
            <w:pPr>
              <w:jc w:val="center"/>
              <w:ind w:left="143"/>
              <w:spacing w:after="0"/>
              <w:rPr>
                <w:sz w:val="20"/>
                <w:szCs w:val="20"/>
                <w:color w:val="auto"/>
              </w:rPr>
            </w:pPr>
            <w:r>
              <w:rPr>
                <w:rFonts w:ascii="Times New Roman" w:cs="Times New Roman" w:eastAsia="Times New Roman" w:hAnsi="Times New Roman"/>
                <w:sz w:val="12"/>
                <w:szCs w:val="12"/>
                <w:b w:val="1"/>
                <w:bCs w:val="1"/>
                <w:color w:val="auto"/>
                <w:w w:val="99"/>
              </w:rPr>
              <w:t>and Sales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6"/>
              </w:rPr>
              <w:t>Energy</w:t>
            </w:r>
          </w:p>
        </w:tc>
        <w:tc>
          <w:tcPr>
            <w:tcW w:w="200" w:type="dxa"/>
            <w:vAlign w:val="bottom"/>
          </w:tcPr>
          <w:p>
            <w:pPr>
              <w:spacing w:after="0"/>
              <w:rPr>
                <w:sz w:val="13"/>
                <w:szCs w:val="13"/>
                <w:color w:val="auto"/>
              </w:rPr>
            </w:pPr>
          </w:p>
        </w:tc>
        <w:tc>
          <w:tcPr>
            <w:tcW w:w="1020" w:type="dxa"/>
            <w:vAlign w:val="bottom"/>
            <w:gridSpan w:val="2"/>
          </w:tcPr>
          <w:p>
            <w:pPr>
              <w:jc w:val="right"/>
              <w:ind w:right="418"/>
              <w:spacing w:after="0"/>
              <w:rPr>
                <w:sz w:val="20"/>
                <w:szCs w:val="20"/>
                <w:color w:val="auto"/>
              </w:rPr>
            </w:pPr>
            <w:r>
              <w:rPr>
                <w:rFonts w:ascii="Times New Roman" w:cs="Times New Roman" w:eastAsia="Times New Roman" w:hAnsi="Times New Roman"/>
                <w:sz w:val="12"/>
                <w:szCs w:val="12"/>
                <w:b w:val="1"/>
                <w:bCs w:val="1"/>
                <w:color w:val="auto"/>
              </w:rPr>
              <w:t>and Other</w:t>
            </w:r>
          </w:p>
        </w:tc>
        <w:tc>
          <w:tcPr>
            <w:tcW w:w="220" w:type="dxa"/>
            <w:vAlign w:val="bottom"/>
          </w:tcPr>
          <w:p>
            <w:pPr>
              <w:spacing w:after="0"/>
              <w:rPr>
                <w:sz w:val="13"/>
                <w:szCs w:val="13"/>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revenues, as reported</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4,734</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w w:val="99"/>
              </w:rPr>
              <w:t>316</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5,119</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660" w:type="dxa"/>
            <w:vAlign w:val="bottom"/>
          </w:tcPr>
          <w:p>
            <w:pPr>
              <w:spacing w:after="0"/>
              <w:rPr>
                <w:sz w:val="12"/>
                <w:szCs w:val="12"/>
                <w:color w:val="auto"/>
              </w:rPr>
            </w:pPr>
          </w:p>
        </w:tc>
        <w:tc>
          <w:tcPr>
            <w:tcW w:w="1640" w:type="dxa"/>
            <w:vAlign w:val="bottom"/>
            <w:gridSpan w:val="2"/>
          </w:tcPr>
          <w:p>
            <w:pPr>
              <w:spacing w:after="0"/>
              <w:rPr>
                <w:sz w:val="12"/>
                <w:szCs w:val="12"/>
                <w:color w:val="auto"/>
              </w:rPr>
            </w:pPr>
          </w:p>
        </w:tc>
        <w:tc>
          <w:tcPr>
            <w:tcW w:w="116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from operations, as reported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1,173</w:t>
            </w: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24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14</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b w:val="1"/>
                <w:bCs w:val="1"/>
                <w:color w:val="auto"/>
              </w:rPr>
              <w:t>(267)</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944</w:t>
            </w:r>
          </w:p>
        </w:tc>
      </w:tr>
      <w:tr>
        <w:trPr>
          <w:trHeight w:val="153"/>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461</w:t>
            </w:r>
          </w:p>
        </w:tc>
        <w:tc>
          <w:tcPr>
            <w:tcW w:w="80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w:t>
            </w:r>
          </w:p>
        </w:tc>
        <w:tc>
          <w:tcPr>
            <w:tcW w:w="200" w:type="dxa"/>
            <w:vAlign w:val="bottom"/>
          </w:tcPr>
          <w:p>
            <w:pPr>
              <w:spacing w:after="0"/>
              <w:rPr>
                <w:sz w:val="13"/>
                <w:szCs w:val="13"/>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26</w:t>
            </w:r>
          </w:p>
        </w:tc>
        <w:tc>
          <w:tcPr>
            <w:tcW w:w="22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521</w:t>
            </w:r>
          </w:p>
        </w:tc>
      </w:tr>
      <w:tr>
        <w:trPr>
          <w:trHeight w:val="133"/>
        </w:trPr>
        <w:tc>
          <w:tcPr>
            <w:tcW w:w="3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EBITDA, as reported</w:t>
            </w:r>
          </w:p>
        </w:tc>
        <w:tc>
          <w:tcPr>
            <w:tcW w:w="1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1,634</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49</w:t>
            </w: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(241)</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1,465</w:t>
            </w: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3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Collective bargaining agreement costs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tcPr>
          <w:p>
            <w:pPr>
              <w:spacing w:after="0"/>
              <w:rPr>
                <w:sz w:val="12"/>
                <w:szCs w:val="12"/>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53"/>
        </w:trPr>
        <w:tc>
          <w:tcPr>
            <w:tcW w:w="3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Restructuring</w:t>
            </w:r>
          </w:p>
        </w:tc>
        <w:tc>
          <w:tcPr>
            <w:tcW w:w="1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r>
      <w:tr>
        <w:trPr>
          <w:trHeight w:val="133"/>
        </w:trPr>
        <w:tc>
          <w:tcPr>
            <w:tcW w:w="3660" w:type="dxa"/>
            <w:vAlign w:val="bottom"/>
            <w:tcBorders>
              <w:bottom w:val="single" w:sz="8" w:color="CCEEFF"/>
            </w:tcBorders>
          </w:tcPr>
          <w:p>
            <w:pPr>
              <w:spacing w:after="0"/>
              <w:rPr>
                <w:sz w:val="11"/>
                <w:szCs w:val="11"/>
                <w:color w:val="auto"/>
              </w:rPr>
            </w:pPr>
          </w:p>
        </w:tc>
        <w:tc>
          <w:tcPr>
            <w:tcW w:w="15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w:t>
            </w:r>
          </w:p>
        </w:tc>
        <w:tc>
          <w:tcPr>
            <w:tcW w:w="140" w:type="dxa"/>
            <w:vAlign w:val="bottom"/>
            <w:tcBorders>
              <w:bottom w:val="single" w:sz="8" w:color="CCEEFF"/>
            </w:tcBorders>
          </w:tcPr>
          <w:p>
            <w:pPr>
              <w:spacing w:after="0"/>
              <w:rPr>
                <w:sz w:val="11"/>
                <w:szCs w:val="11"/>
                <w:color w:val="auto"/>
              </w:rPr>
            </w:pPr>
          </w:p>
        </w:tc>
      </w:tr>
      <w:tr>
        <w:trPr>
          <w:trHeight w:val="149"/>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w:t>
            </w:r>
          </w:p>
        </w:tc>
        <w:tc>
          <w:tcPr>
            <w:tcW w:w="1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1,635</w:t>
            </w: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(240</w:t>
            </w:r>
          </w:p>
        </w:tc>
        <w:tc>
          <w:tcPr>
            <w:tcW w:w="22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1,467</w:t>
            </w:r>
          </w:p>
        </w:tc>
        <w:tc>
          <w:tcPr>
            <w:tcW w:w="140" w:type="dxa"/>
            <w:vAlign w:val="bottom"/>
            <w:tcBorders>
              <w:bottom w:val="single" w:sz="8" w:color="CCEEFF"/>
            </w:tcBorders>
            <w:shd w:val="clear" w:color="auto" w:fill="CCEEFF"/>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EBITDA margin, as reported</w:t>
            </w:r>
          </w:p>
        </w:tc>
        <w:tc>
          <w:tcPr>
            <w:tcW w:w="1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34.5%</w:t>
            </w:r>
          </w:p>
        </w:tc>
        <w:tc>
          <w:tcPr>
            <w:tcW w:w="8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0"/>
              </w:rPr>
              <w:t>15.5%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37.1%</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N/A</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28.6%</w:t>
            </w:r>
          </w:p>
        </w:tc>
      </w:tr>
      <w:tr>
        <w:trPr>
          <w:trHeight w:val="159"/>
        </w:trPr>
        <w:tc>
          <w:tcPr>
            <w:tcW w:w="3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Adjusted operating EBITDA margin</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34.5%</w:t>
            </w:r>
          </w:p>
        </w:tc>
        <w:tc>
          <w:tcPr>
            <w:tcW w:w="80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0"/>
              </w:rPr>
              <w:t>15.5%</w:t>
            </w: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37.1%</w:t>
            </w:r>
          </w:p>
        </w:tc>
        <w:tc>
          <w:tcPr>
            <w:tcW w:w="200" w:type="dxa"/>
            <w:vAlign w:val="bottom"/>
          </w:tcPr>
          <w:p>
            <w:pPr>
              <w:spacing w:after="0"/>
              <w:rPr>
                <w:sz w:val="13"/>
                <w:szCs w:val="13"/>
                <w:color w:val="auto"/>
              </w:rPr>
            </w:pPr>
          </w:p>
        </w:tc>
        <w:tc>
          <w:tcPr>
            <w:tcW w:w="10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b w:val="1"/>
                <w:bCs w:val="1"/>
                <w:color w:val="auto"/>
              </w:rPr>
              <w:t>N/A</w:t>
            </w:r>
          </w:p>
        </w:tc>
        <w:tc>
          <w:tcPr>
            <w:tcW w:w="220" w:type="dxa"/>
            <w:vAlign w:val="bottom"/>
          </w:tcPr>
          <w:p>
            <w:pPr>
              <w:spacing w:after="0"/>
              <w:rPr>
                <w:sz w:val="13"/>
                <w:szCs w:val="1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79451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Includes net charges primarily relating to an investment in a waste diversion technology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6" w:name="page17"/>
    <w:bookmarkEnd w:id="16"/>
    <w:tbl>
      <w:tblPr>
        <w:tblLayout w:type="fixed"/>
        <w:tblInd w:w="8"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3300" w:type="dxa"/>
            <w:vAlign w:val="bottom"/>
            <w:gridSpan w:val="6"/>
          </w:tcPr>
          <w:p>
            <w:pPr>
              <w:jc w:val="center"/>
              <w:ind w:left="180"/>
              <w:spacing w:after="0"/>
              <w:rPr>
                <w:sz w:val="20"/>
                <w:szCs w:val="20"/>
                <w:color w:val="auto"/>
              </w:rPr>
            </w:pPr>
            <w:r>
              <w:rPr>
                <w:rFonts w:ascii="Times New Roman" w:cs="Times New Roman" w:eastAsia="Times New Roman" w:hAnsi="Times New Roman"/>
                <w:sz w:val="12"/>
                <w:szCs w:val="12"/>
                <w:b w:val="1"/>
                <w:bCs w:val="1"/>
                <w:color w:val="auto"/>
                <w:w w:val="98"/>
              </w:rPr>
              <w:t>WASTE MANAGEMENT, INC.</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73"/>
        </w:trPr>
        <w:tc>
          <w:tcPr>
            <w:tcW w:w="3880" w:type="dxa"/>
            <w:vAlign w:val="bottom"/>
          </w:tcPr>
          <w:p>
            <w:pPr>
              <w:spacing w:after="0"/>
              <w:rPr>
                <w:sz w:val="23"/>
                <w:szCs w:val="23"/>
                <w:color w:val="auto"/>
              </w:rPr>
            </w:pPr>
          </w:p>
        </w:tc>
        <w:tc>
          <w:tcPr>
            <w:tcW w:w="4060" w:type="dxa"/>
            <w:vAlign w:val="bottom"/>
            <w:gridSpan w:val="10"/>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RECONCILIATION OF CERTAIN NON-GAAP MEASURES</w:t>
            </w: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44"/>
        </w:trPr>
        <w:tc>
          <w:tcPr>
            <w:tcW w:w="3880" w:type="dxa"/>
            <w:vAlign w:val="bottom"/>
          </w:tcPr>
          <w:p>
            <w:pPr>
              <w:spacing w:after="0"/>
              <w:rPr>
                <w:sz w:val="12"/>
                <w:szCs w:val="12"/>
                <w:color w:val="auto"/>
              </w:rPr>
            </w:pPr>
          </w:p>
        </w:tc>
        <w:tc>
          <w:tcPr>
            <w:tcW w:w="2320" w:type="dxa"/>
            <w:vAlign w:val="bottom"/>
            <w:gridSpan w:val="3"/>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w w:val="99"/>
              </w:rPr>
              <w:t>(In Millions)</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9"/>
        </w:trPr>
        <w:tc>
          <w:tcPr>
            <w:tcW w:w="3880" w:type="dxa"/>
            <w:vAlign w:val="bottom"/>
          </w:tcPr>
          <w:p>
            <w:pPr>
              <w:spacing w:after="0"/>
              <w:rPr>
                <w:sz w:val="13"/>
                <w:szCs w:val="13"/>
                <w:color w:val="auto"/>
              </w:rPr>
            </w:pPr>
          </w:p>
        </w:tc>
        <w:tc>
          <w:tcPr>
            <w:tcW w:w="2320" w:type="dxa"/>
            <w:vAlign w:val="bottom"/>
            <w:gridSpan w:val="3"/>
          </w:tcPr>
          <w:p>
            <w:pPr>
              <w:jc w:val="center"/>
              <w:ind w:left="1160"/>
              <w:spacing w:after="0"/>
              <w:rPr>
                <w:sz w:val="20"/>
                <w:szCs w:val="20"/>
                <w:color w:val="auto"/>
              </w:rPr>
            </w:pPr>
            <w:r>
              <w:rPr>
                <w:rFonts w:ascii="Times New Roman" w:cs="Times New Roman" w:eastAsia="Times New Roman" w:hAnsi="Times New Roman"/>
                <w:sz w:val="12"/>
                <w:szCs w:val="12"/>
                <w:b w:val="1"/>
                <w:bCs w:val="1"/>
                <w:color w:val="auto"/>
                <w:w w:val="99"/>
              </w:rPr>
              <w:t>(Unaudited)</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97"/>
        </w:trPr>
        <w:tc>
          <w:tcPr>
            <w:tcW w:w="3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June 30, 2023</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7"/>
        </w:trPr>
        <w:tc>
          <w:tcPr>
            <w:tcW w:w="38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140" w:type="dxa"/>
            <w:vAlign w:val="bottom"/>
          </w:tcPr>
          <w:p>
            <w:pPr>
              <w:spacing w:after="0"/>
              <w:rPr>
                <w:sz w:val="11"/>
                <w:szCs w:val="11"/>
                <w:color w:val="auto"/>
              </w:rPr>
            </w:pPr>
          </w:p>
        </w:tc>
      </w:tr>
      <w:tr>
        <w:trPr>
          <w:trHeight w:val="159"/>
        </w:trPr>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Adjusted Operating Expenses and Adjusted Operating Expenses Margin</w:t>
            </w:r>
          </w:p>
        </w:tc>
        <w:tc>
          <w:tcPr>
            <w:tcW w:w="2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revenues, as reported</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5,402</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6"/>
              </w:rPr>
              <w:t>5,119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 as reported</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3,291</w:t>
            </w: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60.9%</w:t>
            </w:r>
          </w:p>
        </w:tc>
        <w:tc>
          <w:tcPr>
            <w:tcW w:w="72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6"/>
              </w:rPr>
              <w:t>3,186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62.2%</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Collective bargaining agreement costs</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49"/>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 as adjusted</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3,290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60.9%</w:t>
            </w:r>
          </w:p>
        </w:tc>
        <w:tc>
          <w:tcPr>
            <w:tcW w:w="72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3,185</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62.2</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315"/>
        </w:trPr>
        <w:tc>
          <w:tcPr>
            <w:tcW w:w="3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4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June 30, 2023</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27"/>
        </w:trPr>
        <w:tc>
          <w:tcPr>
            <w:tcW w:w="38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3"/>
          </w:tcPr>
          <w:p>
            <w:pPr>
              <w:spacing w:after="0" w:line="128"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28" w:lineRule="exact"/>
              <w:rPr>
                <w:sz w:val="20"/>
                <w:szCs w:val="20"/>
                <w:color w:val="auto"/>
              </w:rPr>
            </w:pPr>
            <w:r>
              <w:rPr>
                <w:rFonts w:ascii="Times New Roman" w:cs="Times New Roman" w:eastAsia="Times New Roman" w:hAnsi="Times New Roman"/>
                <w:sz w:val="12"/>
                <w:szCs w:val="12"/>
                <w:b w:val="1"/>
                <w:bCs w:val="1"/>
                <w:color w:val="auto"/>
              </w:rPr>
              <w:t>As a % of</w:t>
            </w:r>
          </w:p>
        </w:tc>
        <w:tc>
          <w:tcPr>
            <w:tcW w:w="140" w:type="dxa"/>
            <w:vAlign w:val="bottom"/>
          </w:tcPr>
          <w:p>
            <w:pPr>
              <w:spacing w:after="0"/>
              <w:rPr>
                <w:sz w:val="11"/>
                <w:szCs w:val="11"/>
                <w:color w:val="auto"/>
              </w:rPr>
            </w:pPr>
          </w:p>
        </w:tc>
      </w:tr>
      <w:tr>
        <w:trPr>
          <w:trHeight w:val="159"/>
        </w:trPr>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Revenues</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Adjusted SG&amp;A Expenses and Adjusted SG&amp;A Expenses Margin</w:t>
            </w:r>
          </w:p>
        </w:tc>
        <w:tc>
          <w:tcPr>
            <w:tcW w:w="20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4"/>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revenues, as reported</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5,402</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6"/>
              </w:rPr>
              <w:t>5,119</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4"/>
        </w:trPr>
        <w:tc>
          <w:tcPr>
            <w:tcW w:w="38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r>
      <w:tr>
        <w:trPr>
          <w:trHeight w:val="144"/>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SG&amp;A expenses, as reported</w:t>
            </w:r>
          </w:p>
        </w:tc>
        <w:tc>
          <w:tcPr>
            <w:tcW w:w="2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563"/>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501</w:t>
            </w:r>
          </w:p>
        </w:tc>
        <w:tc>
          <w:tcPr>
            <w:tcW w:w="24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9.3%</w:t>
            </w:r>
          </w:p>
        </w:tc>
        <w:tc>
          <w:tcPr>
            <w:tcW w:w="720" w:type="dxa"/>
            <w:vAlign w:val="bottom"/>
            <w:shd w:val="clear" w:color="auto" w:fill="CCEEFF"/>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467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9.1%</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Adjustment:</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Stericycle transaction costs</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49"/>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SG&amp;A expenses, as adjusted</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494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9.1%</w:t>
            </w:r>
          </w:p>
        </w:tc>
        <w:tc>
          <w:tcPr>
            <w:tcW w:w="720" w:type="dxa"/>
            <w:vAlign w:val="bottom"/>
            <w:tcBorders>
              <w:top w:val="single" w:sz="8" w:color="auto"/>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467</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9.1</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r>
      <w:tr>
        <w:trPr>
          <w:trHeight w:val="333"/>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2024 Projected Free Cash Flow Reconciliation</w:t>
            </w:r>
            <w:r>
              <w:rPr>
                <w:rFonts w:ascii="Times New Roman" w:cs="Times New Roman" w:eastAsia="Times New Roman" w:hAnsi="Times New Roman"/>
                <w:sz w:val="19"/>
                <w:szCs w:val="19"/>
                <w:i w:val="1"/>
                <w:iCs w:val="1"/>
                <w:color w:val="auto"/>
                <w:vertAlign w:val="superscript"/>
              </w:rPr>
              <w:t>(a)</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Scenario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6"/>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Scenario 2</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33"/>
        </w:trPr>
        <w:tc>
          <w:tcPr>
            <w:tcW w:w="38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20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5,250</w:t>
            </w: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Capital expenditures to support the business</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(2,200)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(2,300)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divestitures of businesses and other assets, net of cash divested</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3"/>
        </w:trPr>
        <w:tc>
          <w:tcPr>
            <w:tcW w:w="38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Free cash flow without sustainability growth investments</w:t>
            </w:r>
          </w:p>
        </w:tc>
        <w:tc>
          <w:tcPr>
            <w:tcW w:w="2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2,850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3,050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53"/>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Capital expenditures - sustainability growth investments</w:t>
            </w: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(850)</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(900)</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9"/>
        </w:trPr>
        <w:tc>
          <w:tcPr>
            <w:tcW w:w="38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Free cash flow</w:t>
            </w: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2,150</w:t>
            </w: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451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3" w:lineRule="exact"/>
        <w:rPr>
          <w:sz w:val="20"/>
          <w:szCs w:val="20"/>
          <w:color w:val="auto"/>
        </w:rPr>
      </w:pPr>
    </w:p>
    <w:p>
      <w:pPr>
        <w:ind w:left="208" w:hanging="208"/>
        <w:spacing w:after="0" w:line="279" w:lineRule="auto"/>
        <w:tabs>
          <w:tab w:leader="none" w:pos="20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reconciliation includes two scenarios that illustrate our projected free cash flow range for 2024.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7" w:name="page18"/>
    <w:bookmarkEnd w:id="17"/>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WASTE MANAGEMENT, INC.</w:t>
      </w:r>
    </w:p>
    <w:p>
      <w:pPr>
        <w:spacing w:after="0" w:line="1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SUPPLEMENTAL INFORMATION PROVIDED FOR ILLUSTRATIVE PURPOSES ONLY</w:t>
      </w:r>
    </w:p>
    <w:p>
      <w:pPr>
        <w:spacing w:after="0" w:line="2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9"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464"/>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5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8"/>
        </w:trPr>
        <w:tc>
          <w:tcPr>
            <w:tcW w:w="5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lef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Change in</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5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8"/>
              </w:rPr>
              <w:t>Adjusted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55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EBITDA Margin</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Recycling commodity rebates</w:t>
            </w: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5"/>
              </w:rPr>
              <w:t>0.8%</w:t>
            </w:r>
          </w:p>
        </w:tc>
      </w:tr>
      <w:tr>
        <w:trPr>
          <w:trHeight w:val="155"/>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Accretion expense</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w:t>
            </w:r>
          </w:p>
        </w:tc>
        <w:tc>
          <w:tcPr>
            <w:tcW w:w="108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w:t>
            </w:r>
          </w:p>
        </w:tc>
        <w:tc>
          <w:tcPr>
            <w:tcW w:w="106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0.7%</w:t>
            </w:r>
          </w:p>
        </w:tc>
      </w:tr>
      <w:tr>
        <w:trPr>
          <w:trHeight w:val="304"/>
        </w:trPr>
        <w:tc>
          <w:tcPr>
            <w:tcW w:w="5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Six Months Ended</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54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June 30, 2024</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8"/>
        </w:trPr>
        <w:tc>
          <w:tcPr>
            <w:tcW w:w="5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center"/>
              <w:ind w:lef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Change in</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cente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Change in</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5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8"/>
              </w:rPr>
              <w:t>Adjusted</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Adjusted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Operating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Operating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55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rPr>
              <w:t>EBITDA Margin</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8"/>
              </w:rPr>
              <w:t>EBITDA Margin</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33"/>
        </w:trPr>
        <w:tc>
          <w:tcPr>
            <w:tcW w:w="5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Recycling commodity rebates</w:t>
            </w: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w:t>
            </w: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920" w:type="dxa"/>
            <w:vAlign w:val="bottom"/>
            <w:shd w:val="clear" w:color="auto" w:fill="CCEEFF"/>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w:t>
            </w: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5"/>
              </w:rPr>
              <w:t>0.8%</w:t>
            </w:r>
          </w:p>
        </w:tc>
      </w:tr>
      <w:tr>
        <w:trPr>
          <w:trHeight w:val="155"/>
        </w:trPr>
        <w:tc>
          <w:tcPr>
            <w:tcW w:w="5540" w:type="dxa"/>
            <w:vAlign w:val="bottom"/>
          </w:tcPr>
          <w:p>
            <w:pPr>
              <w:spacing w:after="0"/>
              <w:rPr>
                <w:sz w:val="20"/>
                <w:szCs w:val="20"/>
                <w:color w:val="auto"/>
              </w:rPr>
            </w:pPr>
            <w:r>
              <w:rPr>
                <w:rFonts w:ascii="Times New Roman" w:cs="Times New Roman" w:eastAsia="Times New Roman" w:hAnsi="Times New Roman"/>
                <w:sz w:val="12"/>
                <w:szCs w:val="12"/>
                <w:color w:val="auto"/>
              </w:rPr>
              <w:t>Accretion expense</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66</w:t>
            </w:r>
          </w:p>
        </w:tc>
        <w:tc>
          <w:tcPr>
            <w:tcW w:w="108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w:t>
            </w:r>
          </w:p>
        </w:tc>
        <w:tc>
          <w:tcPr>
            <w:tcW w:w="920" w:type="dxa"/>
            <w:vAlign w:val="bottom"/>
          </w:tcPr>
          <w:p>
            <w:pPr>
              <w:jc w:val="right"/>
              <w:ind w:right="80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w:t>
            </w:r>
          </w:p>
        </w:tc>
        <w:tc>
          <w:tcPr>
            <w:tcW w:w="1060" w:type="dxa"/>
            <w:vAlign w:val="bottom"/>
          </w:tcPr>
          <w:p>
            <w:pPr>
              <w:spacing w:after="0"/>
              <w:rPr>
                <w:sz w:val="13"/>
                <w:szCs w:val="13"/>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5"/>
              </w:rPr>
              <w:t>0.7%</w:t>
            </w:r>
          </w:p>
        </w:tc>
      </w:tr>
      <w:tr>
        <w:trPr>
          <w:trHeight w:val="439"/>
        </w:trPr>
        <w:tc>
          <w:tcPr>
            <w:tcW w:w="5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8" w:name="page19"/>
    <w:bookmarkEnd w:id="18"/>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2024-07-24T16:01:17Z</dcterms:created>
  <dcterms:modified xsi:type="dcterms:W3CDTF">2024-07-24T16:01:17Z</dcterms:modified>
</cp:coreProperties>
</file>