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11-K</w:t>
      </w:r>
    </w:p>
    <w:p>
      <w:pPr>
        <w:spacing w:after="0" w:line="19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1320" w:right="459" w:hanging="622"/>
        <w:spacing w:after="0" w:line="256" w:lineRule="auto"/>
        <w:tabs>
          <w:tab w:leader="none" w:pos="131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1"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1320" w:right="1359" w:hanging="622"/>
        <w:spacing w:after="0" w:line="256" w:lineRule="auto"/>
        <w:tabs>
          <w:tab w:leader="none" w:pos="131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71" w:lineRule="exact"/>
        <w:rPr>
          <w:sz w:val="24"/>
          <w:szCs w:val="24"/>
          <w:color w:val="auto"/>
        </w:rPr>
      </w:pPr>
    </w:p>
    <w:p>
      <w:pPr>
        <w:ind w:left="1340"/>
        <w:spacing w:after="0"/>
        <w:tabs>
          <w:tab w:leader="none" w:pos="4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-7620</wp:posOffset>
            </wp:positionV>
            <wp:extent cx="1237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WASTE MANAGEMENT RETIREMENT SAVINGS PLAN</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 Capitol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811530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760" w:type="dxa"/>
            <w:vAlign w:val="bottom"/>
            <w:gridSpan w:val="7"/>
          </w:tcPr>
          <w:p>
            <w:pPr>
              <w:jc w:val="center"/>
              <w:ind w:right="1380"/>
              <w:spacing w:after="0"/>
              <w:rPr>
                <w:sz w:val="20"/>
                <w:szCs w:val="20"/>
                <w:color w:val="auto"/>
              </w:rPr>
            </w:pPr>
            <w:r>
              <w:rPr>
                <w:rFonts w:ascii="Arial" w:cs="Arial" w:eastAsia="Arial" w:hAnsi="Arial"/>
                <w:sz w:val="18"/>
                <w:szCs w:val="18"/>
                <w:color w:val="auto"/>
                <w:w w:val="95"/>
              </w:rPr>
              <w:t>WASTE MANAGEMENT RETIREMENT SAVINGS PLAN</w:t>
            </w:r>
          </w:p>
        </w:tc>
        <w:tc>
          <w:tcPr>
            <w:tcW w:w="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540" w:type="dxa"/>
            <w:vAlign w:val="bottom"/>
            <w:gridSpan w:val="8"/>
          </w:tcPr>
          <w:p>
            <w:pPr>
              <w:jc w:val="center"/>
              <w:ind w:right="660"/>
              <w:spacing w:after="0"/>
              <w:rPr>
                <w:sz w:val="20"/>
                <w:szCs w:val="20"/>
                <w:color w:val="auto"/>
              </w:rPr>
            </w:pPr>
            <w:r>
              <w:rPr>
                <w:rFonts w:ascii="Arial" w:cs="Arial" w:eastAsia="Arial" w:hAnsi="Arial"/>
                <w:sz w:val="18"/>
                <w:szCs w:val="18"/>
                <w:color w:val="auto"/>
                <w:w w:val="97"/>
              </w:rPr>
              <w:t>INDEX TO FINANCIAL STATEMENTS AND SUPPLEMENTAL SCHEDULE</w:t>
            </w:r>
          </w:p>
        </w:tc>
        <w:tc>
          <w:tcPr>
            <w:tcW w:w="8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04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20" w:type="dxa"/>
            <w:vAlign w:val="bottom"/>
          </w:tcPr>
          <w:p>
            <w:pPr>
              <w:spacing w:after="0"/>
              <w:rPr>
                <w:sz w:val="24"/>
                <w:szCs w:val="24"/>
                <w:color w:val="auto"/>
              </w:rPr>
            </w:pPr>
          </w:p>
        </w:tc>
        <w:tc>
          <w:tcPr>
            <w:tcW w:w="42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384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Net Assets Available for Benefits as of December 31, 2020 and 2019</w:t>
              </w:r>
            </w:hyperlink>
          </w:p>
        </w:tc>
        <w:tc>
          <w:tcPr>
            <w:tcW w:w="192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2020</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Financial Statements</w:t>
              </w:r>
            </w:hyperlink>
          </w:p>
        </w:tc>
        <w:tc>
          <w:tcPr>
            <w:tcW w:w="4900" w:type="dxa"/>
            <w:vAlign w:val="bottom"/>
            <w:tcBorders>
              <w:top w:val="single" w:sz="8" w:color="0000EE"/>
            </w:tcBorders>
            <w:gridSpan w:val="5"/>
          </w:tcPr>
          <w:p>
            <w:pPr>
              <w:spacing w:after="0"/>
              <w:rPr>
                <w:sz w:val="17"/>
                <w:szCs w:val="17"/>
                <w:color w:val="auto"/>
              </w:rPr>
            </w:pPr>
          </w:p>
        </w:tc>
        <w:tc>
          <w:tcPr>
            <w:tcW w:w="86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53"/>
        </w:trPr>
        <w:tc>
          <w:tcPr>
            <w:tcW w:w="20" w:type="dxa"/>
            <w:vAlign w:val="bottom"/>
          </w:tcPr>
          <w:p>
            <w:pPr>
              <w:spacing w:after="0"/>
              <w:rPr>
                <w:sz w:val="24"/>
                <w:szCs w:val="24"/>
                <w:color w:val="auto"/>
              </w:rPr>
            </w:pPr>
          </w:p>
        </w:tc>
        <w:tc>
          <w:tcPr>
            <w:tcW w:w="8040" w:type="dxa"/>
            <w:vAlign w:val="bottom"/>
            <w:gridSpan w:val="10"/>
          </w:tcPr>
          <w:p>
            <w:pPr>
              <w:spacing w:after="0"/>
              <w:rPr>
                <w:sz w:val="20"/>
                <w:szCs w:val="20"/>
                <w:color w:val="auto"/>
              </w:rPr>
            </w:pPr>
            <w:r>
              <w:rPr>
                <w:rFonts w:ascii="Arial" w:cs="Arial" w:eastAsia="Arial" w:hAnsi="Arial"/>
                <w:sz w:val="18"/>
                <w:szCs w:val="18"/>
                <w:color w:val="auto"/>
              </w:rPr>
              <w:t>Supplemental Schedule</w:t>
            </w:r>
          </w:p>
        </w:tc>
        <w:tc>
          <w:tcPr>
            <w:tcW w:w="8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661"/>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Administrative Committee of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Waste Management Retirement Savings Plan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2020 and 2019, and the related statement of changes in net assets available for benefits for the year ended December 31, 2020, and the related notes and schedule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 ended December 31, 2020, in conformity with accounting principles generally accepted in the United States of America.</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Supplementary Information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2020 has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Plan’s auditor since 2014.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Investments at fair value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$ 2,657,960,140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2,413,130,238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Investments at contract value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381,332,845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348,709,075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investments</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3,039,292,985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2,761,839,313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Employee contributions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1,478,189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Employer contributions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951,787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w w:val="95"/>
              </w:rPr>
              <w:t>Amount due from Advanced Disposal Services Union 401(k) Retirement Plan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170,331,463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Amount due from Advanced Disposal Services, Inc. 401(k) Retirement Plan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10,404,636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Notes receivable from participants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72,815,954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81,936,892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Settlements pending</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Other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6,926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receivables</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256,008,802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87,279,410</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$ 3,295,301,787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2,849,118,723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jc w:val="center"/>
              <w:ind w:left="1210"/>
              <w:spacing w:after="0"/>
              <w:rPr>
                <w:sz w:val="20"/>
                <w:szCs w:val="20"/>
                <w:color w:val="auto"/>
              </w:rPr>
            </w:pPr>
            <w:r>
              <w:rPr>
                <w:rFonts w:ascii="Arial" w:cs="Arial" w:eastAsia="Arial" w:hAnsi="Arial"/>
                <w:sz w:val="18"/>
                <w:szCs w:val="18"/>
                <w:color w:val="auto"/>
                <w:w w:val="88"/>
              </w:rPr>
              <w:t>Waste Management Retirement Savings Plan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color w:val="auto"/>
                <w:w w:val="89"/>
              </w:rPr>
              <w:t>Year Ended December 31, 2020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Contributions: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Employer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85,013,981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Rollover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237,559,866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Net appreciation in Plan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306,093,775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Interest income on notes receivable from participants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additions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608,175,783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DEDUCTIONS FROM NET ASSETS AVAILABLE FOR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paid to participants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Administrative expenses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deductions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342,728,818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BEFORE TRANSFERS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265,446,965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 in from Advanced Disposal Services Union 401(k) Retirement Plan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Transfer in from Advanced Disposal Services, Inc. 401(k) Retirement Plan</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10,404,636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INCREASE IN NET ASSETS AVAILABLE FOR BENEFITS AFTER TRANSFERS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446,183,064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Beginning of year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2,849,118,723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End of year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3,295,301,787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Plan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Plan is a defined contribution plan sponsored by Waste Management, Inc. (the “Company” or “WM”),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October 30, 2020, the Company acquired Advanced Disposal Services, Inc. On December 31, 2020, the Advanced Disposal Union 401(k) Retirement Plan and the Advanced Disposal Services, Inc. 401(k) Retirement Plan (collectively, the “Advanced Disposal Plans”) were merged into the Plan. The investment assets of the Advanced Disposal Plans were liquidated on December 31, 2020 and received by the Plan on January 4, 2021. As a result, receivables from the Advanced Disposal Plans totaling $180,736,099 are included in the Statement of Net Assets Available for Benefits as of December 31, 2020. In January 2021, former participants of the Advanced Disposal Plans became participants of the Plan.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and also serves as the Plan’s third-party recordkeeper.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left="60" w:right="59" w:hanging="10"/>
        <w:spacing w:after="0" w:line="271" w:lineRule="auto"/>
        <w:tabs>
          <w:tab w:leader="none" w:pos="3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is automatically enrolled in the Plan at a contribution rate of 3% of eligible compensation, unless changed by the employee.</w:t>
      </w:r>
    </w:p>
    <w:p>
      <w:pPr>
        <w:spacing w:after="0" w:line="18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Options</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6"/>
          <w:szCs w:val="16"/>
          <w:color w:val="auto"/>
        </w:rPr>
        <w:t>The Plan offers participants diversified investment options. During 2020, the Plan offered (a) 12 common collective trust funds (including eight target retirement-date funds); (b) four mutual funds; (c) a WM common stock fund (which is an Employee Stock Ownership Plan); (d) a stable value fund, which includes direct investments in fully benefit-responsive contracts and investments in common collective trust funds, managed by Galliard Capital Management (“Galliard”) and</w:t>
      </w:r>
    </w:p>
    <w:p>
      <w:pPr>
        <w:spacing w:after="0" w:line="1" w:lineRule="exact"/>
        <w:rPr>
          <w:sz w:val="20"/>
          <w:szCs w:val="20"/>
          <w:color w:val="auto"/>
        </w:rPr>
      </w:pPr>
    </w:p>
    <w:p>
      <w:pPr>
        <w:jc w:val="both"/>
        <w:ind w:left="60" w:right="59" w:hanging="10"/>
        <w:spacing w:after="0" w:line="273"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self-directed brokerage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 common stock may be taken in whole shares of common stock or cash.</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Pursuant to the Coronavirus Aid, Relief, and Economic Security Act (the “CARES Act”) that was signed into law on March 27, 2020, participants who were currently receiving required minimum distributions were offered the option to</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waive their 2020 distribution and participants who were due to receive the first required distribution in 2020 had their distribution automatically waived. The ability to request special waivers with respect to required minimum distributions under the CARES Act ceased as of December 31, 2020.</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Additionally, the CARES Act permitted Plan participants to request up to $100,000 in coronavirus-related distributions, with repayment terms of up to three years. The ability to request coronavirus-related distributions under the CARES Act ceased as of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2020 and 2019.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w:t>
      </w:r>
    </w:p>
    <w:p>
      <w:pPr>
        <w:spacing w:after="0" w:line="2" w:lineRule="exact"/>
        <w:rPr>
          <w:sz w:val="20"/>
          <w:szCs w:val="20"/>
          <w:color w:val="auto"/>
        </w:rPr>
      </w:pPr>
    </w:p>
    <w:p>
      <w:pPr>
        <w:jc w:val="both"/>
        <w:ind w:left="60" w:right="59" w:hanging="10"/>
        <w:spacing w:after="0" w:line="281"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w:t>
      </w:r>
    </w:p>
    <w:p>
      <w:pPr>
        <w:spacing w:after="0" w:line="1" w:lineRule="exact"/>
        <w:rPr>
          <w:rFonts w:ascii="Arial" w:cs="Arial" w:eastAsia="Arial" w:hAnsi="Arial"/>
          <w:sz w:val="16"/>
          <w:szCs w:val="16"/>
          <w:color w:val="auto"/>
        </w:rPr>
      </w:pPr>
    </w:p>
    <w:p>
      <w:pPr>
        <w:jc w:val="both"/>
        <w:ind w:left="60" w:right="59" w:hanging="10"/>
        <w:spacing w:after="0" w:line="281"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w:t>
      </w:r>
    </w:p>
    <w:p>
      <w:pPr>
        <w:spacing w:after="0" w:line="1" w:lineRule="exact"/>
        <w:rPr>
          <w:rFonts w:ascii="Arial" w:cs="Arial" w:eastAsia="Arial" w:hAnsi="Arial"/>
          <w:sz w:val="16"/>
          <w:szCs w:val="16"/>
          <w:color w:val="auto"/>
        </w:rPr>
      </w:pPr>
    </w:p>
    <w:p>
      <w:pPr>
        <w:ind w:left="320" w:hanging="270"/>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repayments be made no less frequently than quarterly; (c) loans be repaid over a period not to exceed 54 months and</w:t>
      </w:r>
    </w:p>
    <w:p>
      <w:pPr>
        <w:spacing w:after="0" w:line="32" w:lineRule="exact"/>
        <w:rPr>
          <w:rFonts w:ascii="Arial" w:cs="Arial" w:eastAsia="Arial" w:hAnsi="Arial"/>
          <w:sz w:val="16"/>
          <w:szCs w:val="16"/>
          <w:color w:val="auto"/>
        </w:rPr>
      </w:pPr>
    </w:p>
    <w:p>
      <w:pPr>
        <w:jc w:val="both"/>
        <w:ind w:left="60" w:right="59" w:hanging="10"/>
        <w:spacing w:after="0" w:line="255" w:lineRule="auto"/>
        <w:tabs>
          <w:tab w:leader="none" w:pos="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9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Pursuant to the CARES Act, Plan participants could request a delay of note repayments for repayments that occurred between March 27, 2020 and December 31, 2020 for one year. The participant’s note was re-amortized and included any interest accrued during the period of delay. The ability to request a delay in note repayments under the CARES Act ceased as of December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Administrative expenses of the Plan are generally allocated among participants. Loan administration fees and certain other expenses are charged directly to the account balance of the applicable participant. In 2020, Waste Management elected to pay certain audit and legal fees of the Plan.</w:t>
      </w:r>
    </w:p>
    <w:p>
      <w:pPr>
        <w:spacing w:after="0" w:line="180" w:lineRule="exact"/>
        <w:rPr>
          <w:sz w:val="20"/>
          <w:szCs w:val="20"/>
          <w:color w:val="auto"/>
        </w:rPr>
      </w:pPr>
    </w:p>
    <w:p>
      <w:pPr>
        <w:ind w:left="60" w:right="6279" w:hanging="10"/>
        <w:spacing w:after="0" w:line="503" w:lineRule="auto"/>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The investment options available within the Plan include a stable value fund that invests in fully benefit-responsive synthetic guaranteed investment contracts (“Synthetic GICs”). These investments held by the stable value fund are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Plan records purchases and sales of securities on a trade-date basis and dividends on the ex-dividend date. Interest income is recorded on the accrual basis.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 See additional discussion of investments in the stable value fund in Note 3.</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January 2020, a novel strain of coronavirus (“COVID-19”) was declared a Public Health Emergency of International Concern and was subsequently declared a global pandemic in March 2020. The challenges posed by the COVID-19 pandemic on the global economy increased rapidly at the end of the first quarter of 2020. The financial condition and operations of Waste Management have been adversely impacted by the public health risk, social and commercial disruption, increased costs and other effects of the COVID-19 pandemic. Waste Management has seen improvements in its business and signs of an improving economy since the height of the pandemic in 2020; however, the ultimate impacts of COVID-19 on Waste Management, the Plan, and financial markets in general will depend on future developments, including the duration of the pandemic and pace of economic recovery.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In August 2018, the Financial Accounting Standards Board (FASB) issued Accounting Standards Update (ASU) No. 2018-13, </w:t>
      </w:r>
      <w:r>
        <w:rPr>
          <w:rFonts w:ascii="Arial" w:cs="Arial" w:eastAsia="Arial" w:hAnsi="Arial"/>
          <w:sz w:val="16"/>
          <w:szCs w:val="16"/>
          <w:i w:val="1"/>
          <w:iCs w:val="1"/>
          <w:color w:val="auto"/>
        </w:rPr>
        <w:t>Fair Value Measurement (Topic 820): Disclosure Framework – 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The ASU modifies the disclosure requirements of fair value measurements in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Codification (ASC) Topic 820. The ASU is effective for all reporting periods beginning after December 15, 2019, with early adoption permitted. An entity may elect to early adopt any removed or modified disclosures upon issuance of this update and delay the adoption of the additional disclosures until the effective date. The Company adopted this ASU effective January 1, 2020; however, it did not have a material impact on the Plan’s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When necessary, reclassifications are made to the prior year financial information to conform to the current year presentation.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 in Stable Value Fund</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Plan includes a stable value fund that invests in fully benefit-responsive Synthetic GICs. Synthetic GICs are comprised of (a) individual assets or investments placed in a trust and (b) wrapper contracts that guarantee that participant transactions will be executed at contract value. The investment portfolio of a Synthetic GIC, when coupled with a wrapper contract, provides a specified rate of return for a specific period of time. Through the use of Synthetic GICs, the stable value fund aims to protect principal while providing a higher rate of return than shorter maturity investments, such as money market funds or certificates of deposit. Contract value represents principal, plus accrued interest less withdrawals and is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relevant measure as this is the amount received by participants when they initiate permitted transactions under the terms of the Plan.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interest crediting rates for Synthetic GICs are calculated on a quarterly basis using the contract value, market value, yield and duration of the underlying securities, but cannot be less than zero.</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Additionally, the fund also invests in a common collective trust fund, Wells Fargo/BlackRock Short Term Investment Fund S, which invests in highly liquid assets and is used for daily liquidity needs.</w:t>
      </w:r>
    </w:p>
    <w:p>
      <w:pPr>
        <w:spacing w:after="0" w:line="170" w:lineRule="exact"/>
        <w:rPr>
          <w:sz w:val="20"/>
          <w:szCs w:val="20"/>
          <w:color w:val="auto"/>
        </w:rPr>
      </w:pPr>
    </w:p>
    <w:p>
      <w:pPr>
        <w:jc w:val="both"/>
        <w:ind w:left="60" w:right="59"/>
        <w:spacing w:after="0" w:line="218" w:lineRule="exact"/>
        <w:rPr>
          <w:sz w:val="20"/>
          <w:szCs w:val="20"/>
          <w:color w:val="auto"/>
        </w:rPr>
      </w:pPr>
      <w:r>
        <w:rPr>
          <w:rFonts w:ascii="Arial" w:cs="Arial" w:eastAsia="Arial" w:hAnsi="Arial"/>
          <w:sz w:val="18"/>
          <w:szCs w:val="18"/>
          <w:color w:val="auto"/>
        </w:rPr>
        <w:t>Risks arise when entering into any investment contract due to the potential inability of the issuer to meet the terms of the contract. In addition, security</w:t>
      </w:r>
      <w:r>
        <w:rPr>
          <w:rFonts w:ascii="MS PGothic" w:cs="MS PGothic" w:eastAsia="MS PGothic" w:hAnsi="MS PGothic"/>
          <w:sz w:val="18"/>
          <w:szCs w:val="18"/>
          <w:color w:val="auto"/>
        </w:rPr>
        <w:t>‐</w:t>
      </w:r>
      <w:r>
        <w:rPr>
          <w:rFonts w:ascii="Arial" w:cs="Arial" w:eastAsia="Arial" w:hAnsi="Arial"/>
          <w:sz w:val="18"/>
          <w:szCs w:val="18"/>
          <w:color w:val="auto"/>
        </w:rPr>
        <w:t>backed investment contracts and separate account guaranteed investment contracts have the risk of default or the lack of liquidity of the underlying portfolio assets. The credit risk of each issuer is evaluated and monitored through the portfolio manager’s credit analysis. The credit analysis includes, but is not limited to, asset quality and liquidity, management quality, surplus adequacy, and profitability. The Plan requires that the issuers of each contract have a minimum quality rating as of the contract effective date and that all underlying portfolio assets be rated investment grade at the time of purchase.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300" w:right="59"/>
        <w:spacing w:after="0" w:line="286" w:lineRule="auto"/>
        <w:rPr>
          <w:sz w:val="20"/>
          <w:szCs w:val="20"/>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Observable inputs other than quoted prices in active markets for identical assets and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inactive markets, or other inputs that are observable or can be corroborated by observable market data for substantially the full term of the assets or liabilities.</w:t>
      </w:r>
    </w:p>
    <w:p>
      <w:pPr>
        <w:spacing w:after="0" w:line="165" w:lineRule="exact"/>
        <w:rPr>
          <w:sz w:val="20"/>
          <w:szCs w:val="20"/>
          <w:color w:val="auto"/>
        </w:rPr>
      </w:pPr>
    </w:p>
    <w:p>
      <w:pPr>
        <w:jc w:val="both"/>
        <w:ind w:left="300" w:right="59"/>
        <w:spacing w:after="0" w:line="342"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Inputs that are generally unobservable and typically reflect the Plan’s estimate of assumptions that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would use in pricing the asset or liability. The Plan had no Level 3 assets as of December 31, 2020 or 2019.</w:t>
      </w:r>
    </w:p>
    <w:p>
      <w:pPr>
        <w:spacing w:after="0" w:line="1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by level, within the fair value hierarchy, a summary of investments of the Plan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measured at fair value on a recurring basis: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Quoted Prices in Active Markets (Level 1):</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Mutual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901,284,450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818,896,358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WM 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240,047,548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Self-directed brokerage accounts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81,071,131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52,975,947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Level 1</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1,222,403,129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1,122,904,103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Self-directed brokerage accounts — FedFund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8,555,254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7,408,381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Stable Value fund — short-term investment fund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11,387,012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FedFund</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485,013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Level 2</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20,427,279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14,916,269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Measured at Net Asset Value (a):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Common collective trust funds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1,415,129,732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1,275,309,866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Investments Measured at Net Asset Value</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1,415,129,732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1,275,309,866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tcPr>
          <w:p>
            <w:pPr>
              <w:ind w:left="640"/>
              <w:spacing w:after="0"/>
              <w:rPr>
                <w:sz w:val="20"/>
                <w:szCs w:val="20"/>
                <w:color w:val="auto"/>
              </w:rPr>
            </w:pPr>
            <w:r>
              <w:rPr>
                <w:rFonts w:ascii="Arial" w:cs="Arial" w:eastAsia="Arial" w:hAnsi="Arial"/>
                <w:sz w:val="18"/>
                <w:szCs w:val="18"/>
                <w:color w:val="auto"/>
              </w:rPr>
              <w:t>Total Investments at Fair Value</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2,657,960,140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2,413,130,238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7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 As of December 31, 2020 and 2019, there were no redemption restrictions on the investments held at net asset value other than possible advance notice requirements.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Federal Income Taxes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2020,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2017.</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$ 3,295,301,787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2,849,118,723</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Amounts pending distribution to participants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(430,267)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(1,803,611)</w:t>
            </w:r>
          </w:p>
        </w:tc>
      </w:tr>
      <w:tr>
        <w:trPr>
          <w:trHeight w:val="20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$ 3,294,871,520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2,847,315,112</w:t>
            </w:r>
          </w:p>
        </w:tc>
      </w:tr>
      <w:tr>
        <w:trPr>
          <w:trHeight w:val="20"/>
        </w:trPr>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reconciliation of the net increase in net assets available for benefits per the financial statements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5500 for the year ended December 31, 2020:</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446,183,064</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as of December 31, 2019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1,803,611</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as of December 31, 2020</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(430,267)</w:t>
            </w: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447,556,408</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Plan Termination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Related-Party Transactions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Bank of America serves as the trustee and third-party recordkeeper of the Plan. Merrill Lynch, Pierce, Fenner &amp; Smith Incorporated, a Bank of America Company, provides securities brokerage services for the self-directed brokerage account. State Street Bank and Trust Company serves as the independent fiduciary for the WM common stock fund.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As WM is the Plan sponsor, transactions involving WM common stock also qualify as party-in-interest transactions. The Plan sponsor believes that all of these transactions are exempt from the prohibited transactions rules.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Effective April 1, 2021 the Plan’s investment options were restructured to provide for the transfer of certain funds and the addition of certain new investment funds.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investment funds were transferred effective April 1, 2021:</w:t>
      </w:r>
    </w:p>
    <w:p>
      <w:pPr>
        <w:spacing w:after="0" w:line="23"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American Funds EuroPacific Growth Fund Class R6 was transferred to BlackRock EAFE Equity Index Fund R</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BlackRock Russell 1000 Value Fund R was transferred to BlackRock Equity Index Fund J</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 Rowe Price Blue Chip Growth Trust T2 was transferred to BlackRock Equity Index Fund J</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Vanguard Institutional Total Stock Market Index Fund was transferred to BlackRock Equity Index Fund J</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Vanguard S&amp;P Small-Cap 600 Index Fund was transferred to Fidelity Small-Cap Index Fund</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JPMCB SmartRetirement DRE Income Fund was transferred to PIMCO REALPATH Blend Income Collective Trust</w:t>
      </w:r>
    </w:p>
    <w:p>
      <w:pPr>
        <w:spacing w:after="0" w:line="32" w:lineRule="exact"/>
        <w:rPr>
          <w:rFonts w:ascii="Arial" w:cs="Arial" w:eastAsia="Arial" w:hAnsi="Arial"/>
          <w:sz w:val="16"/>
          <w:szCs w:val="16"/>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2020 Fund was transferred to PIMCO REALPATH Blend Income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2025 Fund was transferred to PIMCO REALPATH Blend 2025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2030 Fund was transferred to PIMCO REALPATH Blend 2030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2035 Fund was transferred to PIMCO REALPATH Blend 2035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2040 Fund was transferred to PIMCO REALPATH Blend 2040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2045 Fund was transferred to PIMCO REALPATH Blend 2045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2050 Fund was transferred to PIMCO REALPATH Blend 2050 Collective Trust</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JPMCB SmartRetirement DRE 2055 Fund was transferred to PIMCO REALPATH Blend 2055 Collective Trust</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investment funds were added effective April 1, 2021:</w:t>
      </w:r>
    </w:p>
    <w:p>
      <w:pPr>
        <w:spacing w:after="0" w:line="23"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PIMCO International Bond Fund (U.S. Dollar-Hedged) (Institutional Class)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PIMCO REALPATH Blend 2060 Collective Trust</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Principal Diversified Real Asset Fund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0" w:type="dxa"/>
            <w:vAlign w:val="bottom"/>
            <w:gridSpan w:val="4"/>
          </w:tcPr>
          <w:p>
            <w:pPr>
              <w:jc w:val="center"/>
              <w:ind w:right="1239"/>
              <w:spacing w:after="0"/>
              <w:rPr>
                <w:sz w:val="20"/>
                <w:szCs w:val="20"/>
                <w:color w:val="auto"/>
              </w:rPr>
            </w:pPr>
            <w:r>
              <w:rPr>
                <w:rFonts w:ascii="Arial" w:cs="Arial" w:eastAsia="Arial" w:hAnsi="Arial"/>
                <w:sz w:val="18"/>
                <w:szCs w:val="18"/>
                <w:color w:val="auto"/>
                <w:w w:val="88"/>
              </w:rPr>
              <w:t>Waste Management Retirement Savings Plan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500" w:type="dxa"/>
            <w:vAlign w:val="bottom"/>
            <w:gridSpan w:val="6"/>
          </w:tcPr>
          <w:p>
            <w:pPr>
              <w:jc w:val="center"/>
              <w:ind w:left="1311"/>
              <w:spacing w:after="0"/>
              <w:rPr>
                <w:sz w:val="20"/>
                <w:szCs w:val="20"/>
                <w:color w:val="auto"/>
              </w:rPr>
            </w:pPr>
            <w:r>
              <w:rPr>
                <w:rFonts w:ascii="Arial" w:cs="Arial" w:eastAsia="Arial" w:hAnsi="Arial"/>
                <w:sz w:val="18"/>
                <w:szCs w:val="18"/>
                <w:color w:val="auto"/>
                <w:w w:val="90"/>
              </w:rPr>
              <w:t>Schedule H, Line 4(i) - Schedule of Assets (Held at End of Year)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w w:val="92"/>
              </w:rPr>
              <w:t>EIN: 73-1309529</w:t>
            </w:r>
          </w:p>
        </w:tc>
        <w:tc>
          <w:tcPr>
            <w:tcW w:w="2900" w:type="dxa"/>
            <w:vAlign w:val="bottom"/>
          </w:tcPr>
          <w:p>
            <w:pPr>
              <w:ind w:left="300"/>
              <w:spacing w:after="0"/>
              <w:rPr>
                <w:sz w:val="20"/>
                <w:szCs w:val="20"/>
                <w:color w:val="auto"/>
              </w:rPr>
            </w:pPr>
            <w:r>
              <w:rPr>
                <w:rFonts w:ascii="Arial" w:cs="Arial" w:eastAsia="Arial" w:hAnsi="Arial"/>
                <w:sz w:val="18"/>
                <w:szCs w:val="18"/>
                <w:color w:val="auto"/>
              </w:rPr>
              <w:t>Plan: 001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2"/>
          </w:tcPr>
          <w:p>
            <w:pPr>
              <w:jc w:val="center"/>
              <w:ind w:right="1819"/>
              <w:spacing w:after="0"/>
              <w:rPr>
                <w:sz w:val="20"/>
                <w:szCs w:val="20"/>
                <w:color w:val="auto"/>
              </w:rPr>
            </w:pPr>
            <w:r>
              <w:rPr>
                <w:rFonts w:ascii="Arial" w:cs="Arial" w:eastAsia="Arial" w:hAnsi="Arial"/>
                <w:sz w:val="18"/>
                <w:szCs w:val="18"/>
                <w:color w:val="auto"/>
                <w:w w:val="89"/>
              </w:rPr>
              <w:t>December 31, 2020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7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Identity of Issue</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Investment</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Current Value</w:t>
            </w:r>
          </w:p>
        </w:tc>
      </w:tr>
      <w:tr>
        <w:trPr>
          <w:trHeight w:val="210"/>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BlackRock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Liquidity Fund - FedFund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485,013</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*Waste Management, Inc.</w:t>
            </w:r>
          </w:p>
        </w:tc>
        <w:tc>
          <w:tcPr>
            <w:tcW w:w="4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240,047,548</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Wilmington Trust,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BlackRock Russell 1000 Value Index Fund 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95,089,626</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T. Rowe Price Trust Company</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T. Rowe Price Blue Chip Growth Trust 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218,192,096</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Wilmington Trust,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Lord Abbett Total Return Fund II BP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151,207,379</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Income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38,626,652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2020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146,043,689</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2025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64,458,486</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2030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318,732,292</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2035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63,295,048</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2040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170,791,391</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2045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51,441,594</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2050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55,650,648</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2055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41,600,831</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 Vanguard Group, Inc.</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Vanguard Institutional Total Stock Market Index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479,915,425</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The Vanguard Group, Inc.</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Vanguard S&amp;P Small-Cap 600 Index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179,720,476</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American Funds</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American Funds EuroPacific Growth Fund Class R6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193,404,967</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Dimensional Fund Advisors</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DFA Emerging Markets Core Equity Portfolio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48,243,582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*Galliard Capital Management, Inc.</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Stable Value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392,719,857</w:t>
            </w:r>
          </w:p>
        </w:tc>
      </w:tr>
      <w:tr>
        <w:trPr>
          <w:trHeight w:val="202"/>
        </w:trPr>
        <w:tc>
          <w:tcPr>
            <w:tcW w:w="20" w:type="dxa"/>
            <w:vAlign w:val="bottom"/>
          </w:tcPr>
          <w:p>
            <w:pPr>
              <w:spacing w:after="0"/>
              <w:rPr>
                <w:sz w:val="17"/>
                <w:szCs w:val="17"/>
                <w:color w:val="auto"/>
              </w:rPr>
            </w:pPr>
          </w:p>
        </w:tc>
        <w:tc>
          <w:tcPr>
            <w:tcW w:w="4600" w:type="dxa"/>
            <w:vAlign w:val="bottom"/>
            <w:gridSpan w:val="5"/>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Incorporated</w:t>
            </w:r>
          </w:p>
        </w:tc>
        <w:tc>
          <w:tcPr>
            <w:tcW w:w="460" w:type="dxa"/>
            <w:vAlign w:val="bottom"/>
            <w:tcBorders>
              <w:bottom w:val="single" w:sz="8" w:color="CCEEFF"/>
            </w:tcBorders>
          </w:tcPr>
          <w:p>
            <w:pPr>
              <w:spacing w:after="0"/>
              <w:rPr>
                <w:sz w:val="20"/>
                <w:szCs w:val="20"/>
                <w:color w:val="auto"/>
              </w:rPr>
            </w:pPr>
          </w:p>
        </w:tc>
        <w:tc>
          <w:tcPr>
            <w:tcW w:w="4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Self-Directed Brokerage Accounts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89,626,385</w:t>
            </w: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3,039,292,985</w:t>
            </w: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4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6"/>
              </w:rPr>
              <w:t>Various maturity dates with interest rates ranging from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720" w:type="dxa"/>
            <w:vAlign w:val="bottom"/>
            <w:gridSpan w:val="3"/>
          </w:tcPr>
          <w:p>
            <w:pPr>
              <w:ind w:left="20"/>
              <w:spacing w:after="0"/>
              <w:rPr>
                <w:sz w:val="20"/>
                <w:szCs w:val="20"/>
                <w:color w:val="auto"/>
              </w:rPr>
            </w:pPr>
            <w:r>
              <w:rPr>
                <w:rFonts w:ascii="Arial" w:cs="Arial" w:eastAsia="Arial" w:hAnsi="Arial"/>
                <w:sz w:val="18"/>
                <w:szCs w:val="18"/>
                <w:color w:val="auto"/>
                <w:w w:val="96"/>
              </w:rPr>
              <w:t>*Notes receivable from participants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140"/>
              <w:spacing w:after="0"/>
              <w:rPr>
                <w:sz w:val="20"/>
                <w:szCs w:val="20"/>
                <w:color w:val="auto"/>
              </w:rPr>
            </w:pPr>
            <w:r>
              <w:rPr>
                <w:rFonts w:ascii="Arial" w:cs="Arial" w:eastAsia="Arial" w:hAnsi="Arial"/>
                <w:sz w:val="18"/>
                <w:szCs w:val="18"/>
                <w:color w:val="auto"/>
                <w:w w:val="89"/>
              </w:rPr>
              <w:t>4.25% to 6.50%</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72,815,954</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3,112,108,939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00" w:type="dxa"/>
            <w:vAlign w:val="bottom"/>
            <w:gridSpan w:val="2"/>
          </w:tcPr>
          <w:p>
            <w:pPr>
              <w:ind w:left="27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5"/>
        </w:trPr>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8100" w:type="dxa"/>
            <w:vAlign w:val="bottom"/>
            <w:gridSpan w:val="2"/>
            <w:vMerge w:val="restart"/>
          </w:tcPr>
          <w:p>
            <w:pPr>
              <w:ind w:left="3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8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14"/>
                <w:szCs w:val="14"/>
                <w:color w:val="auto"/>
              </w:rPr>
            </w:pPr>
          </w:p>
        </w:tc>
        <w:tc>
          <w:tcPr>
            <w:tcW w:w="81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17">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6040" w:type="dxa"/>
            <w:vAlign w:val="bottom"/>
            <w:gridSpan w:val="2"/>
          </w:tcPr>
          <w:p>
            <w:pPr>
              <w:ind w:left="1440"/>
              <w:spacing w:after="0"/>
              <w:rPr>
                <w:sz w:val="20"/>
                <w:szCs w:val="20"/>
                <w:color w:val="auto"/>
              </w:rPr>
            </w:pPr>
            <w:r>
              <w:rPr>
                <w:rFonts w:ascii="Arial" w:cs="Arial" w:eastAsia="Arial" w:hAnsi="Arial"/>
                <w:sz w:val="18"/>
                <w:szCs w:val="18"/>
                <w:color w:val="auto"/>
              </w:rPr>
              <w:t>WASTE MANAGEMENT RETIREMENT SAVINGS PLAN</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Date: May 27, 2021</w:t>
            </w:r>
          </w:p>
        </w:tc>
        <w:tc>
          <w:tcPr>
            <w:tcW w:w="6040" w:type="dxa"/>
            <w:vAlign w:val="bottom"/>
            <w:gridSpan w:val="2"/>
          </w:tcPr>
          <w:p>
            <w:pPr>
              <w:ind w:left="1440"/>
              <w:spacing w:after="0"/>
              <w:rPr>
                <w:sz w:val="20"/>
                <w:szCs w:val="20"/>
                <w:color w:val="auto"/>
              </w:rPr>
            </w:pPr>
            <w:r>
              <w:rPr>
                <w:rFonts w:ascii="Arial" w:cs="Arial" w:eastAsia="Arial" w:hAnsi="Arial"/>
                <w:sz w:val="18"/>
                <w:szCs w:val="18"/>
                <w:color w:val="auto"/>
              </w:rPr>
              <w:t>By:  /s/ Gordon Blasius</w:t>
            </w:r>
          </w:p>
        </w:tc>
      </w:tr>
      <w:tr>
        <w:trPr>
          <w:trHeight w:val="195"/>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Gordon Blasius</w:t>
            </w: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333-253683) pertaining to the Waste Management Retirement Savings Plan of our report dated May 27, 2021, with respect to the financial statements and supplemental schedule of the Waste Management Retirement Savings Plan included in this Annual Report (Form 11-K)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lowerLetter"/>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2021-05-27T11:53:05Z</dcterms:created>
  <dcterms:modified xsi:type="dcterms:W3CDTF">2021-05-27T11:53:05Z</dcterms:modified>
</cp:coreProperties>
</file>