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11,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ind w:left="106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Annual Meeting of Stockholders of Waste Management, Inc. (the “Company”) held on May 11, 2021, a total of 361,800,683 shares of the Company’s common stock, out of a total of 422,040,583 shares of common stock outstanding and entitled to vote, were present in person or represented by proxies. The proposals set forth below were voted on by the Company’s stockholders. Each of the director nominees was elected, and the Company’s stockholders approved proposals 2 and 3.</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to the Company’s Board of Directors of the following nine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374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w:t>
            </w: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Affirmative Votes</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Negative Votes</w:t>
            </w:r>
          </w:p>
        </w:tc>
        <w:tc>
          <w:tcPr>
            <w:tcW w:w="19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Abstentions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Non-Votes</w:t>
            </w: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314,060,206</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712,781</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366,211</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46,661,485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Andrés R. Gluski</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312,409,736</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2,354,999</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374,463</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46,661,485</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313,031,924</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1,764,533</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342,741</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46,661,485</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Kathleen M. Mazzarella</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312,032,643</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2,671,157</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435,398</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46,661,485</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E. Menke</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313,727,720</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1,027,234</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384,244</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46,661,485</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William B. Plummer</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289,323,558</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25,435,774</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379,866</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46,661,485</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265,312,283</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49,425,973</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400,942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46,661,485</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Maryrose T. Sylvester</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313,511,716</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1,277,094</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350,388</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46,661,485</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301,298,373</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13,445,433</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395,392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46,661,485</w:t>
            </w:r>
          </w:p>
        </w:tc>
      </w:tr>
    </w:tbl>
    <w:p>
      <w:pPr>
        <w:spacing w:after="0" w:line="202" w:lineRule="exact"/>
        <w:rPr>
          <w:sz w:val="20"/>
          <w:szCs w:val="20"/>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the Company’s independent registered public accounting firm for the fiscal year ending December 31, 2021:</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0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r>
      <w:tr>
        <w:trPr>
          <w:trHeight w:val="209"/>
        </w:trPr>
        <w:tc>
          <w:tcPr>
            <w:tcW w:w="338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356,846,416</w:t>
            </w:r>
          </w:p>
        </w:tc>
        <w:tc>
          <w:tcPr>
            <w:tcW w:w="3600" w:type="dxa"/>
            <w:vAlign w:val="bottom"/>
            <w:gridSpan w:val="2"/>
            <w:shd w:val="clear" w:color="auto" w:fill="CCEEFF"/>
          </w:tcPr>
          <w:p>
            <w:pPr>
              <w:jc w:val="right"/>
              <w:ind w:right="1250"/>
              <w:spacing w:after="0"/>
              <w:rPr>
                <w:sz w:val="20"/>
                <w:szCs w:val="20"/>
                <w:color w:val="auto"/>
              </w:rPr>
            </w:pPr>
            <w:r>
              <w:rPr>
                <w:rFonts w:ascii="Arial" w:cs="Arial" w:eastAsia="Arial" w:hAnsi="Arial"/>
                <w:sz w:val="18"/>
                <w:szCs w:val="18"/>
                <w:color w:val="auto"/>
              </w:rPr>
              <w:t>4,336,527</w:t>
            </w:r>
          </w:p>
        </w:tc>
        <w:tc>
          <w:tcPr>
            <w:tcW w:w="3580" w:type="dxa"/>
            <w:vAlign w:val="bottom"/>
            <w:gridSpan w:val="2"/>
            <w:shd w:val="clear" w:color="auto" w:fill="CCEEFF"/>
          </w:tcPr>
          <w:p>
            <w:pPr>
              <w:jc w:val="right"/>
              <w:ind w:right="1310"/>
              <w:spacing w:after="0"/>
              <w:rPr>
                <w:sz w:val="20"/>
                <w:szCs w:val="20"/>
                <w:color w:val="auto"/>
              </w:rPr>
            </w:pPr>
            <w:r>
              <w:rPr>
                <w:rFonts w:ascii="Arial" w:cs="Arial" w:eastAsia="Arial" w:hAnsi="Arial"/>
                <w:sz w:val="18"/>
                <w:szCs w:val="18"/>
                <w:color w:val="auto"/>
              </w:rPr>
              <w:t>617,740</w:t>
            </w:r>
          </w:p>
        </w:tc>
      </w:tr>
    </w:tbl>
    <w:p>
      <w:pPr>
        <w:spacing w:after="0" w:line="2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non-binding vote, of the Company’s executive compensation as described in the Company’s 2021 proxy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0"/>
              </w:rPr>
              <w:t>Against</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20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291,837,786</w:t>
            </w:r>
          </w:p>
        </w:tc>
        <w:tc>
          <w:tcPr>
            <w:tcW w:w="2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22,380,087</w:t>
            </w:r>
          </w:p>
        </w:tc>
        <w:tc>
          <w:tcPr>
            <w:tcW w:w="3220" w:type="dxa"/>
            <w:vAlign w:val="bottom"/>
            <w:gridSpan w:val="3"/>
            <w:shd w:val="clear" w:color="auto" w:fill="CCEEFF"/>
          </w:tcPr>
          <w:p>
            <w:pPr>
              <w:jc w:val="right"/>
              <w:ind w:right="890"/>
              <w:spacing w:after="0"/>
              <w:rPr>
                <w:sz w:val="20"/>
                <w:szCs w:val="20"/>
                <w:color w:val="auto"/>
              </w:rPr>
            </w:pPr>
            <w:r>
              <w:rPr>
                <w:rFonts w:ascii="Arial" w:cs="Arial" w:eastAsia="Arial" w:hAnsi="Arial"/>
                <w:sz w:val="18"/>
                <w:szCs w:val="18"/>
                <w:color w:val="auto"/>
              </w:rPr>
              <w:t>921,325</w:t>
            </w:r>
          </w:p>
        </w:tc>
        <w:tc>
          <w:tcPr>
            <w:tcW w:w="27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46,661,485</w:t>
            </w:r>
          </w:p>
        </w:tc>
        <w:tc>
          <w:tcPr>
            <w:tcW w:w="20" w:type="dxa"/>
            <w:vAlign w:val="bottom"/>
          </w:tcPr>
          <w:p>
            <w:pPr>
              <w:spacing w:after="0"/>
              <w:rPr>
                <w:sz w:val="18"/>
                <w:szCs w:val="18"/>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WASTE MANAGEMENT, INC.</w:t>
            </w:r>
          </w:p>
        </w:tc>
      </w:tr>
      <w:tr>
        <w:trPr>
          <w:trHeight w:val="648"/>
        </w:trPr>
        <w:tc>
          <w:tcPr>
            <w:tcW w:w="3480" w:type="dxa"/>
            <w:vAlign w:val="bottom"/>
          </w:tcPr>
          <w:p>
            <w:pPr>
              <w:spacing w:after="0"/>
              <w:rPr>
                <w:sz w:val="20"/>
                <w:szCs w:val="20"/>
                <w:color w:val="auto"/>
              </w:rPr>
            </w:pPr>
            <w:r>
              <w:rPr>
                <w:rFonts w:ascii="Arial" w:cs="Arial" w:eastAsia="Arial" w:hAnsi="Arial"/>
                <w:sz w:val="18"/>
                <w:szCs w:val="18"/>
                <w:color w:val="auto"/>
              </w:rPr>
              <w:t>Date: May 13, 2021</w:t>
            </w: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Executive Vice President, Corporate Development and Chief Legal</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Officer</w:t>
            </w:r>
          </w:p>
        </w:tc>
      </w:tr>
      <w:tr>
        <w:trPr>
          <w:trHeight w:val="648"/>
        </w:trPr>
        <w:tc>
          <w:tcPr>
            <w:tcW w:w="34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2021-05-13T15:58:26Z</dcterms:created>
  <dcterms:modified xsi:type="dcterms:W3CDTF">2021-05-13T15:58:26Z</dcterms:modified>
</cp:coreProperties>
</file>