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November 15,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3280" w:space="420"/>
            <w:col w:w="2520" w:space="320"/>
            <w:col w:w="3679"/>
          </w:cols>
          <w:pgMar w:left="240" w:top="4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1001 Fannin Street, Suite 4000</w:t>
      </w:r>
    </w:p>
    <w:p>
      <w:pPr>
        <w:ind w:left="106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452"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452"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On November 15, 2001, Waste Management, Inc. (the "Company") entered into an underwriting agreement for the public offering of $400 million of its 6 1/2% Senior Notes due 2008 (the "Notes"). The Notes are to be issued under an Indenture dated as of September 10, 1997 between the Company and JPMorgan Chase Bank, as successor to The Chase Manhattan Bank, as Trustee. Closing of the issuance and sale of the Notes is scheduled for November 20, 2001. Further information is included in Exhibits 1, 4.1 and 4.2.</w:t>
      </w:r>
    </w:p>
    <w:p>
      <w:pPr>
        <w:spacing w:after="0" w:line="38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900" w:right="1879" w:hanging="944"/>
        <w:spacing w:after="0" w:line="271"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Agreement dated November 15, 2001, among Waste Management, Inc., Banc of America Securities LLC, J.P. Morgan Securities Inc., Salomon Smith Barney Inc., ABN AMRO Incorporated, Credit Suisse First Boston Corporation, Fleet Securities, Inc., Goldman, Sachs &amp; Co., Lehman Brothers Inc., Merrill Lynch, Pierce, Fenner &amp; Smith Incorporated, Morgan Stanley &amp; Co. Incorporated, and PNC Capital Markets, Inc.</w:t>
      </w:r>
    </w:p>
    <w:p>
      <w:pPr>
        <w:spacing w:after="0" w:line="18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Form of Book-Entry Note representing 6 1/2% Senior Notes due</w:t>
      </w:r>
    </w:p>
    <w:p>
      <w:pPr>
        <w:ind w:left="1900"/>
        <w:spacing w:after="0" w:line="238" w:lineRule="auto"/>
        <w:rPr>
          <w:sz w:val="20"/>
          <w:szCs w:val="20"/>
          <w:color w:val="auto"/>
        </w:rPr>
      </w:pPr>
      <w:r>
        <w:rPr>
          <w:rFonts w:ascii="Courier New" w:cs="Courier New" w:eastAsia="Courier New" w:hAnsi="Courier New"/>
          <w:sz w:val="18"/>
          <w:szCs w:val="18"/>
          <w:color w:val="auto"/>
        </w:rPr>
        <w:t>2008.</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Officers' Certificate</w:t>
      </w:r>
    </w:p>
    <w:p>
      <w:pPr>
        <w:spacing w:after="0" w:line="201"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Baker Botts L.L.P.</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w:t>
      </w:r>
      <w:r>
        <w:rPr>
          <w:rFonts w:ascii="Courier New" w:cs="Courier New" w:eastAsia="Courier New" w:hAnsi="Courier New"/>
          <w:sz w:val="16"/>
          <w:szCs w:val="16"/>
          <w:color w:val="auto"/>
        </w:rPr>
        <w:t>Consent of Arthur Andersen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David P. Steiner</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and Corporate Secretary</w:t>
      </w:r>
    </w:p>
    <w:p>
      <w:pPr>
        <w:spacing w:after="0" w:line="200" w:lineRule="exact"/>
        <w:rPr>
          <w:sz w:val="20"/>
          <w:szCs w:val="20"/>
          <w:color w:val="auto"/>
        </w:rPr>
      </w:pPr>
    </w:p>
    <w:p>
      <w:pPr>
        <w:sectPr>
          <w:pgSz w:w="11900" w:h="16838" w:orient="portrait"/>
          <w:cols w:equalWidth="0" w:num="3">
            <w:col w:w="540" w:space="320"/>
            <w:col w:w="1780" w:space="640"/>
            <w:col w:w="693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w:t>
      </w:r>
    </w:p>
    <w:p>
      <w:pPr>
        <w:jc w:val="center"/>
        <w:ind w:right="8839"/>
        <w:spacing w:after="0"/>
        <w:rPr>
          <w:sz w:val="20"/>
          <w:szCs w:val="20"/>
          <w:color w:val="auto"/>
        </w:rPr>
      </w:pPr>
      <w:r>
        <w:rPr>
          <w:rFonts w:ascii="Courier New" w:cs="Courier New" w:eastAsia="Courier New" w:hAnsi="Courier New"/>
          <w:sz w:val="18"/>
          <w:szCs w:val="18"/>
          <w:color w:val="auto"/>
        </w:rPr>
        <w:t>Underwriting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November 20,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Banc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America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LLC, J.P.</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Salomon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 Barney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ABN</w:t>
      </w:r>
    </w:p>
    <w:p>
      <w:pPr>
        <w:jc w:val="center"/>
        <w:ind w:right="8839"/>
        <w:spacing w:after="0"/>
        <w:rPr>
          <w:sz w:val="20"/>
          <w:szCs w:val="20"/>
          <w:color w:val="auto"/>
        </w:rPr>
      </w:pPr>
      <w:r>
        <w:rPr>
          <w:rFonts w:ascii="Courier New" w:cs="Courier New" w:eastAsia="Courier New" w:hAnsi="Courier New"/>
          <w:sz w:val="18"/>
          <w:szCs w:val="18"/>
          <w:color w:val="auto"/>
        </w:rPr>
        <w:t>AMRO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Credit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Suisse First</w:t>
      </w:r>
    </w:p>
    <w:p>
      <w:pPr>
        <w:jc w:val="center"/>
        <w:ind w:right="8839"/>
        <w:spacing w:after="0"/>
        <w:rPr>
          <w:sz w:val="20"/>
          <w:szCs w:val="20"/>
          <w:color w:val="auto"/>
        </w:rPr>
      </w:pPr>
      <w:r>
        <w:rPr>
          <w:rFonts w:ascii="Courier New" w:cs="Courier New" w:eastAsia="Courier New" w:hAnsi="Courier New"/>
          <w:sz w:val="18"/>
          <w:szCs w:val="18"/>
          <w:color w:val="auto"/>
        </w:rPr>
        <w:t>Boston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Fleet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Lehman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Brothers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rPr>
          <w:sz w:val="20"/>
          <w:szCs w:val="20"/>
          <w:color w:val="auto"/>
        </w:rPr>
      </w:pPr>
      <w:r>
        <w:rPr>
          <w:rFonts w:ascii="Courier New" w:cs="Courier New" w:eastAsia="Courier New" w:hAnsi="Courier New"/>
          <w:sz w:val="18"/>
          <w:szCs w:val="18"/>
          <w:color w:val="auto"/>
        </w:rPr>
        <w:t>Pierce,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839"/>
        <w:spacing w:after="0"/>
        <w:rPr>
          <w:sz w:val="20"/>
          <w:szCs w:val="20"/>
          <w:color w:val="auto"/>
        </w:rPr>
      </w:pPr>
      <w:r>
        <w:rPr>
          <w:rFonts w:ascii="Courier New" w:cs="Courier New" w:eastAsia="Courier New" w:hAnsi="Courier New"/>
          <w:sz w:val="18"/>
          <w:szCs w:val="18"/>
          <w:color w:val="auto"/>
        </w:rPr>
        <w:t>Smith</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Morgan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Stanley &amp;</w:t>
      </w:r>
    </w:p>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and PNC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Markets,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Book-Entry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w:t>
      </w:r>
    </w:p>
    <w:p>
      <w:pPr>
        <w:jc w:val="center"/>
        <w:ind w:right="8839"/>
        <w:spacing w:after="0"/>
        <w:rPr>
          <w:sz w:val="20"/>
          <w:szCs w:val="20"/>
          <w:color w:val="auto"/>
        </w:rPr>
      </w:pPr>
      <w:r>
        <w:rPr>
          <w:rFonts w:ascii="Courier New" w:cs="Courier New" w:eastAsia="Courier New" w:hAnsi="Courier New"/>
          <w:sz w:val="18"/>
          <w:szCs w:val="18"/>
          <w:color w:val="auto"/>
        </w:rPr>
        <w:t>representing</w:t>
      </w:r>
    </w:p>
    <w:p>
      <w:pPr>
        <w:ind w:left="580" w:hanging="206"/>
        <w:spacing w:after="0" w:line="237"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Notes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due 2008.</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4" w:lineRule="exact"/>
        <w:rPr>
          <w:rFonts w:ascii="Courier New" w:cs="Courier New" w:eastAsia="Courier New" w:hAnsi="Courier New"/>
          <w:sz w:val="18"/>
          <w:szCs w:val="18"/>
          <w:color w:val="auto"/>
        </w:rPr>
      </w:pPr>
    </w:p>
    <w:p>
      <w:pPr>
        <w:jc w:val="center"/>
        <w:ind w:left="60" w:right="8899" w:firstLine="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5 Opinion of Baker Botts L.L.P. 23 Consent of Arthur Andersen LLP.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564"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$400,000,000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 1/2% SENIOR NOTES DUE 2008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New York, New York</w:t>
      </w:r>
    </w:p>
    <w:p>
      <w:pPr>
        <w:jc w:val="right"/>
        <w:ind w:right="1779"/>
        <w:spacing w:after="0" w:line="238" w:lineRule="auto"/>
        <w:rPr>
          <w:sz w:val="20"/>
          <w:szCs w:val="20"/>
          <w:color w:val="auto"/>
        </w:rPr>
      </w:pPr>
      <w:r>
        <w:rPr>
          <w:rFonts w:ascii="Courier New" w:cs="Courier New" w:eastAsia="Courier New" w:hAnsi="Courier New"/>
          <w:sz w:val="18"/>
          <w:szCs w:val="18"/>
          <w:color w:val="auto"/>
        </w:rPr>
        <w:t>November 15,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Representatives named</w:t>
      </w:r>
    </w:p>
    <w:p>
      <w:pPr>
        <w:ind w:left="320"/>
        <w:spacing w:after="0" w:line="238" w:lineRule="auto"/>
        <w:rPr>
          <w:sz w:val="20"/>
          <w:szCs w:val="20"/>
          <w:color w:val="auto"/>
        </w:rPr>
      </w:pPr>
      <w:r>
        <w:rPr>
          <w:rFonts w:ascii="Courier New" w:cs="Courier New" w:eastAsia="Courier New" w:hAnsi="Courier New"/>
          <w:sz w:val="18"/>
          <w:szCs w:val="18"/>
          <w:color w:val="auto"/>
        </w:rPr>
        <w:t>in Schedule I hereto of the</w:t>
      </w:r>
    </w:p>
    <w:p>
      <w:pPr>
        <w:ind w:left="320"/>
        <w:spacing w:after="0"/>
        <w:rPr>
          <w:sz w:val="20"/>
          <w:szCs w:val="20"/>
          <w:color w:val="auto"/>
        </w:rPr>
      </w:pPr>
      <w:r>
        <w:rPr>
          <w:rFonts w:ascii="Courier New" w:cs="Courier New" w:eastAsia="Courier New" w:hAnsi="Courier New"/>
          <w:sz w:val="18"/>
          <w:szCs w:val="18"/>
          <w:color w:val="auto"/>
        </w:rPr>
        <w:t>Underwriters named in</w:t>
      </w:r>
    </w:p>
    <w:p>
      <w:pPr>
        <w:ind w:left="320"/>
        <w:spacing w:after="0" w:line="237" w:lineRule="auto"/>
        <w:rPr>
          <w:sz w:val="20"/>
          <w:szCs w:val="20"/>
          <w:color w:val="auto"/>
        </w:rPr>
      </w:pPr>
      <w:r>
        <w:rPr>
          <w:rFonts w:ascii="Courier New" w:cs="Courier New" w:eastAsia="Courier New" w:hAnsi="Courier New"/>
          <w:sz w:val="18"/>
          <w:szCs w:val="18"/>
          <w:color w:val="auto"/>
        </w:rPr>
        <w:t>Schedule II 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Waste Management, Inc., a corporation organized under the laws of Delaware (the "Company"), proposes to sell to the several underwriters named in Schedule II hereto (the "Underwriters"), for whom you (the "Representatives") are acting as representatives, the principal amount of its securities identified in Schedule I hereto (the "Securities"), to be issued under an indenture (the "Indenture") dated as of September 30, 1997, between the Company and JPMorgan Chase Bank, a New York banking corporation (as successor to The Chase Manhattan Bank, as trustee (the "Trustee"). To the extent there are no additional Underwriters listed on Schedule I other than you, the term Representatives as used herein shall mean you, as Underwriters, and the terms Representatives and Underwriters shall mean either the singular or plural as the context requires. Any reference herein to the Registration Statement, the Basic Prospectus, any Preliminary Final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Basic Prospectus, any Preliminary Final Prospectus or the Final Prospectus, as the case may be; and any reference herein to the terms "amend," "amendment" or "supplement" with respect to the Registration Statement, the Basic Prospectus, any Preliminary Final Prospectus or the Final Prospectus shall be deemed to refer to and include the filing of any document under the Exchange Act after the Effective Date of the Registration Statement or the issue date of the Basic Prospectus, any Preliminary Final Prospectus or the Final Prospectus, as the case may be, deemed to be incorporated therein by reference. Certain terms used herein are defined in Section 17 hereof.</w:t>
      </w:r>
    </w:p>
    <w:p>
      <w:pPr>
        <w:spacing w:after="0" w:line="212" w:lineRule="exact"/>
        <w:rPr>
          <w:sz w:val="20"/>
          <w:szCs w:val="20"/>
          <w:color w:val="auto"/>
        </w:rPr>
      </w:pPr>
    </w:p>
    <w:p>
      <w:pPr>
        <w:ind w:right="1879" w:firstLine="956"/>
        <w:spacing w:after="0" w:line="290"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and agrees with, each Underwriter as set forth below in this Section 1.</w:t>
      </w:r>
    </w:p>
    <w:p>
      <w:pPr>
        <w:sectPr>
          <w:pgSz w:w="11900" w:h="16838" w:orient="portrait"/>
          <w:cols w:equalWidth="0" w:num="1">
            <w:col w:w="10219"/>
          </w:cols>
          <w:pgMar w:left="240" w:top="339" w:right="1440" w:bottom="1440" w:gutter="0" w:footer="0" w:header="0"/>
        </w:sectPr>
      </w:pPr>
    </w:p>
    <w:bookmarkStart w:id="5" w:name="page6"/>
    <w:bookmarkEnd w:id="5"/>
    <w:p>
      <w:pPr>
        <w:ind w:left="4" w:right="1779" w:firstLine="944"/>
        <w:spacing w:after="0" w:line="269" w:lineRule="auto"/>
        <w:tabs>
          <w:tab w:leader="none" w:pos="137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use of Form S-3 under the Act and has prepared and filed with the Commission a registration statement (the file number of which is set forth in Schedule I hereto) on Form S-3, including a related basic prospectus, for registration under the Act of the offering and sale of the Securities. The Company may have filed one or more amendments thereto, including a Preliminary Final Prospectus, each of which has previously been furnished to you. The Company will next file with the Commission one of the following: (1) after the Effective Date of such registration statement, a final prospectus supplement relating to the Securities in accordance with Rules 430A and 424(b), (2) prior to the Effective Date of such registration statement, an amendment to such registration statement (including the form of final prospectus supplement) or (3) a final prospectus in accordance with Rules 415 and 424(b). In the case of clause (1), the Company has included in such registration statement, as amended at the Effective Date, all information (other than Rule 430A Information) required by the Act and the rules thereunder to be included in such registration statement and the Final Prospectus. As filed, such final prospectus supplement or such amendment and form of final prospectus supplement shall contain all Rule 430A Information, together with all other such required information,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Basic Prospectus and any Preliminary Final Prospectus) as the Company has advised you, prior to the Execution Time, will be included or made therein. The Registration Statement, at the Execution Time, meets the requirements set forth in Rule 415(a)(1)(x).</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4" w:right="1779" w:firstLine="944"/>
        <w:spacing w:after="0" w:line="269" w:lineRule="auto"/>
        <w:tabs>
          <w:tab w:leader="none" w:pos="137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Effective Date, the Registration Statement did or will, and when the Final Prospectus is first filed (if required)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and at the Execution Time, the Registration Statement did not or will not contain any untrue statement of a material fact or omit to state any material fact required to be stated therein or necessary in order to make the statements therein not misleading; on the Effective Date and on the Closing Date, the Indenture did or will comply in all material respects with the applicable requirements of the Trust Indenture Act and the rules thereunder; and, on the Effective Date, the Final Prospectus, if not filed pursuant to Rule 424(b), will not,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w:t>
      </w:r>
    </w:p>
    <w:p>
      <w:pPr>
        <w:spacing w:after="0" w:line="394" w:lineRule="exact"/>
        <w:rPr>
          <w:rFonts w:ascii="Courier New" w:cs="Courier New" w:eastAsia="Courier New" w:hAnsi="Courier New"/>
          <w:sz w:val="16"/>
          <w:szCs w:val="16"/>
          <w:color w:val="auto"/>
        </w:rPr>
      </w:pPr>
    </w:p>
    <w:p>
      <w:pPr>
        <w:ind w:left="4" w:right="1779" w:hanging="4"/>
        <w:spacing w:after="0" w:line="272" w:lineRule="auto"/>
        <w:tabs>
          <w:tab w:leader="none" w:pos="42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w:t>
      </w:r>
    </w:p>
    <w:p>
      <w:pPr>
        <w:spacing w:after="0" w:line="38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925" w:right="1440" w:bottom="1440" w:gutter="0" w:footer="0" w:header="0"/>
        </w:sectPr>
      </w:pPr>
    </w:p>
    <w:bookmarkStart w:id="6" w:name="page7"/>
    <w:bookmarkEnd w:id="6"/>
    <w:p>
      <w:pPr>
        <w:jc w:val="both"/>
        <w:ind w:right="1999"/>
        <w:spacing w:after="0" w:line="236" w:lineRule="auto"/>
        <w:rPr>
          <w:sz w:val="20"/>
          <w:szCs w:val="20"/>
          <w:color w:val="auto"/>
        </w:rPr>
      </w:pPr>
      <w:r>
        <w:rPr>
          <w:rFonts w:ascii="Courier New" w:cs="Courier New" w:eastAsia="Courier New" w:hAnsi="Courier New"/>
          <w:sz w:val="18"/>
          <w:szCs w:val="18"/>
          <w:color w:val="auto"/>
        </w:rPr>
        <w:t>Underwriter through the Representatives specifically for inclusion in the Registration Statement or the Final Prospectus (or any supplement thereto).</w:t>
      </w:r>
    </w:p>
    <w:p>
      <w:pPr>
        <w:spacing w:after="0" w:line="209" w:lineRule="exact"/>
        <w:rPr>
          <w:sz w:val="20"/>
          <w:szCs w:val="20"/>
          <w:color w:val="auto"/>
        </w:rPr>
      </w:pPr>
    </w:p>
    <w:p>
      <w:pPr>
        <w:ind w:right="1779" w:firstLine="944"/>
        <w:spacing w:after="0" w:line="270"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to the discretion of the court before which any proceeding therefor may be brought, and the Indenture has been duly qualified under the 1939 Act and conforms to the description thereof in the Registration Statement and the Final Prospectus.</w:t>
      </w:r>
    </w:p>
    <w:p>
      <w:pPr>
        <w:spacing w:after="0" w:line="389" w:lineRule="exact"/>
        <w:rPr>
          <w:rFonts w:ascii="Courier New" w:cs="Courier New" w:eastAsia="Courier New" w:hAnsi="Courier New"/>
          <w:sz w:val="16"/>
          <w:szCs w:val="16"/>
          <w:color w:val="auto"/>
        </w:rPr>
      </w:pPr>
    </w:p>
    <w:p>
      <w:pPr>
        <w:ind w:right="1779" w:firstLine="944"/>
        <w:spacing w:after="0" w:line="238"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to the discretion of the court before which any proceeding therefor may be brought, and the Securities will conform to the description thereof in the Registration Statement and the Final Prospectus.</w:t>
      </w:r>
    </w:p>
    <w:p>
      <w:pPr>
        <w:spacing w:after="0" w:line="208" w:lineRule="exact"/>
        <w:rPr>
          <w:rFonts w:ascii="Courier New" w:cs="Courier New" w:eastAsia="Courier New" w:hAnsi="Courier New"/>
          <w:sz w:val="18"/>
          <w:szCs w:val="18"/>
          <w:color w:val="auto"/>
        </w:rPr>
      </w:pPr>
    </w:p>
    <w:p>
      <w:pPr>
        <w:ind w:right="1779" w:firstLine="944"/>
        <w:spacing w:after="0" w:line="270"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"Material Adverse Effect").</w:t>
      </w:r>
    </w:p>
    <w:p>
      <w:pPr>
        <w:spacing w:after="0" w:line="389" w:lineRule="exact"/>
        <w:rPr>
          <w:rFonts w:ascii="Courier New" w:cs="Courier New" w:eastAsia="Courier New" w:hAnsi="Courier New"/>
          <w:sz w:val="16"/>
          <w:szCs w:val="16"/>
          <w:color w:val="auto"/>
        </w:rPr>
      </w:pPr>
    </w:p>
    <w:p>
      <w:pPr>
        <w:ind w:right="1879" w:firstLine="944"/>
        <w:spacing w:after="0" w:line="238"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"significant subsidiary" (as such term is defined in Regulation S-X under the Exchange Act) of the Company is listed on Exhibit 21.1 to the Annual Report on Form 10-K of the Company for the year ended December 31, 2000 or is described in the Registration Statement as having been acquired after December 31, 2000 (the "Subsidiaries").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59"/>
          </w:cols>
          <w:pgMar w:left="1200" w:top="925" w:right="1440" w:bottom="1440" w:gutter="0" w:footer="0" w:header="0"/>
        </w:sectPr>
      </w:pPr>
    </w:p>
    <w:bookmarkStart w:id="7" w:name="page8"/>
    <w:bookmarkEnd w:id="7"/>
    <w:p>
      <w:pPr>
        <w:ind w:right="1999"/>
        <w:spacing w:after="0" w:line="279" w:lineRule="auto"/>
        <w:rPr>
          <w:sz w:val="20"/>
          <w:szCs w:val="20"/>
          <w:color w:val="auto"/>
        </w:rPr>
      </w:pPr>
      <w:r>
        <w:rPr>
          <w:rFonts w:ascii="Courier New" w:cs="Courier New" w:eastAsia="Courier New" w:hAnsi="Courier New"/>
          <w:sz w:val="16"/>
          <w:szCs w:val="16"/>
          <w:color w:val="auto"/>
        </w:rPr>
        <w:t>where the nature of its properties or the conduct of its business requires such registration or qualification, except where the failure so to register or qualify does not have a Material Adverse Effect.</w:t>
      </w:r>
    </w:p>
    <w:p>
      <w:pPr>
        <w:spacing w:after="0" w:line="178" w:lineRule="exact"/>
        <w:rPr>
          <w:sz w:val="20"/>
          <w:szCs w:val="20"/>
          <w:color w:val="auto"/>
        </w:rPr>
      </w:pPr>
    </w:p>
    <w:p>
      <w:pPr>
        <w:ind w:right="1779" w:firstLine="944"/>
        <w:spacing w:after="0" w:line="270" w:lineRule="auto"/>
        <w:tabs>
          <w:tab w:leader="none" w:pos="1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Final Prospectus, are owned by the Company free and clear of any security interest, mortgage, pledge, claim, lien, encumbrance or adverse interest of any nature (each, a "Lien"). Except as disclosed in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390" w:lineRule="exact"/>
        <w:rPr>
          <w:rFonts w:ascii="Courier New" w:cs="Courier New" w:eastAsia="Courier New" w:hAnsi="Courier New"/>
          <w:sz w:val="16"/>
          <w:szCs w:val="16"/>
          <w:color w:val="auto"/>
        </w:rPr>
      </w:pPr>
    </w:p>
    <w:p>
      <w:pPr>
        <w:ind w:right="2419" w:firstLine="944"/>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and validly authorized, executed and delivered by the Company.</w:t>
      </w:r>
    </w:p>
    <w:p>
      <w:pPr>
        <w:spacing w:after="0" w:line="208" w:lineRule="exact"/>
        <w:rPr>
          <w:rFonts w:ascii="Courier New" w:cs="Courier New" w:eastAsia="Courier New" w:hAnsi="Courier New"/>
          <w:sz w:val="18"/>
          <w:szCs w:val="18"/>
          <w:color w:val="auto"/>
        </w:rPr>
      </w:pPr>
    </w:p>
    <w:p>
      <w:pPr>
        <w:ind w:right="1779" w:firstLine="944"/>
        <w:spacing w:after="0" w:line="269" w:lineRule="auto"/>
        <w:tabs>
          <w:tab w:leader="none" w:pos="1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Final Prospectus, there is no action, suit or proceeding before or by any court or governmental agency or body or any arbitrator pending against the Company or any of its subsidiaries that is required to be disclosed in the Registration Statement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any Preliminary Prospectus or the Final Prospectus or prevents or suspends the sale of the Securities in any of the jurisdictions that you may have specified pursuant to Section 5(e)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393" w:lineRule="exact"/>
        <w:rPr>
          <w:rFonts w:ascii="Courier New" w:cs="Courier New" w:eastAsia="Courier New" w:hAnsi="Courier New"/>
          <w:sz w:val="16"/>
          <w:szCs w:val="16"/>
          <w:color w:val="auto"/>
        </w:rPr>
      </w:pPr>
    </w:p>
    <w:p>
      <w:pPr>
        <w:ind w:right="1779" w:firstLine="944"/>
        <w:spacing w:after="0" w:line="238"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Registration Statement or the Final Prospectus (or any amendment or supplement thereto), subsequent to the respective dates as of which such information is given in the Registration Statement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925" w:right="1440" w:bottom="1440" w:gutter="0" w:footer="0" w:header="0"/>
        </w:sectPr>
      </w:pPr>
    </w:p>
    <w:bookmarkStart w:id="8" w:name="page9"/>
    <w:bookmarkEnd w:id="8"/>
    <w:p>
      <w:pPr>
        <w:ind w:left="4" w:right="1999"/>
        <w:spacing w:after="0" w:line="235" w:lineRule="auto"/>
        <w:rPr>
          <w:sz w:val="20"/>
          <w:szCs w:val="20"/>
          <w:color w:val="auto"/>
        </w:rPr>
      </w:pPr>
      <w:r>
        <w:rPr>
          <w:rFonts w:ascii="Courier New" w:cs="Courier New" w:eastAsia="Courier New" w:hAnsi="Courier New"/>
          <w:sz w:val="18"/>
          <w:szCs w:val="18"/>
          <w:color w:val="auto"/>
        </w:rPr>
        <w:t>Company and its subsidiaries taken as a whole, whether or not arising from transactions in the ordinary course of business.</w:t>
      </w:r>
    </w:p>
    <w:p>
      <w:pPr>
        <w:spacing w:after="0" w:line="208" w:lineRule="exact"/>
        <w:rPr>
          <w:sz w:val="20"/>
          <w:szCs w:val="20"/>
          <w:color w:val="auto"/>
        </w:rPr>
      </w:pPr>
    </w:p>
    <w:p>
      <w:pPr>
        <w:ind w:left="4" w:right="1779" w:firstLine="944"/>
        <w:spacing w:after="0" w:line="237" w:lineRule="auto"/>
        <w:tabs>
          <w:tab w:leader="none" w:pos="137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Final Prospectus or such as would not have a Material Adverse Effect, each of the Company and the Subsidiaries has good and marketable title to all property (real and personal) described in the Final Prospectus as being owned by it, free and clear of all Liens, except Liens for taxes not yet due and payable and Liens described in the Registration Statement or the Final Prospectus or in a document filed as an exhibit to the Registration Statement. All the property described in the Final Prospectus as being held under lease by each of the Company and the Subsidiaries is held by it under valid, subsisting and enforceable leases, except as would not have a Material Adverse Effect.</w:t>
      </w:r>
    </w:p>
    <w:p>
      <w:pPr>
        <w:spacing w:after="0" w:line="215" w:lineRule="exact"/>
        <w:rPr>
          <w:rFonts w:ascii="Courier New" w:cs="Courier New" w:eastAsia="Courier New" w:hAnsi="Courier New"/>
          <w:sz w:val="18"/>
          <w:szCs w:val="18"/>
          <w:color w:val="auto"/>
        </w:rPr>
      </w:pPr>
    </w:p>
    <w:p>
      <w:pPr>
        <w:ind w:left="4" w:right="2099" w:firstLine="944"/>
        <w:spacing w:after="0" w:line="268" w:lineRule="auto"/>
        <w:tabs>
          <w:tab w:leader="none" w:pos="137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neither the Company nor any Subsidiary is in violation or default of</w:t>
      </w:r>
    </w:p>
    <w:p>
      <w:pPr>
        <w:ind w:left="4" w:right="1879" w:hanging="4"/>
        <w:spacing w:after="0" w:line="237" w:lineRule="auto"/>
        <w:tabs>
          <w:tab w:leader="none" w:pos="4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w:t>
      </w:r>
    </w:p>
    <w:p>
      <w:pPr>
        <w:spacing w:after="0" w:line="213" w:lineRule="exact"/>
        <w:rPr>
          <w:rFonts w:ascii="Courier New" w:cs="Courier New" w:eastAsia="Courier New" w:hAnsi="Courier New"/>
          <w:sz w:val="18"/>
          <w:szCs w:val="18"/>
          <w:color w:val="auto"/>
        </w:rPr>
      </w:pPr>
    </w:p>
    <w:p>
      <w:pPr>
        <w:ind w:left="4" w:right="1779" w:firstLine="944"/>
        <w:spacing w:after="0" w:line="272" w:lineRule="auto"/>
        <w:tabs>
          <w:tab w:leader="none" w:pos="137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distributed and, prior to the later to occur of (i) the Closing Date and (ii) completion of the distribution of the Securities, will not distribute any offering material in connection with the offering and sale of the Securities other than the Registration Statement, any Preliminary Final Prospectus, the Final Prospectus or other materials, if any, permitted by the Act.</w:t>
      </w:r>
    </w:p>
    <w:p>
      <w:pPr>
        <w:spacing w:after="0" w:line="185" w:lineRule="exact"/>
        <w:rPr>
          <w:rFonts w:ascii="Courier New" w:cs="Courier New" w:eastAsia="Courier New" w:hAnsi="Courier New"/>
          <w:sz w:val="16"/>
          <w:szCs w:val="16"/>
          <w:color w:val="auto"/>
        </w:rPr>
      </w:pPr>
    </w:p>
    <w:p>
      <w:pPr>
        <w:ind w:left="4" w:right="1779" w:firstLine="944"/>
        <w:spacing w:after="0" w:line="237" w:lineRule="auto"/>
        <w:tabs>
          <w:tab w:leader="none" w:pos="137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have a Material Adverse Effect, the Company and the Subsidiaries own or possess the right to use all patents, trademarks, trademark registrations, service marks, service mark registrations, trade names, copyrights, licenses, inventions, trade secrets and rights described in the Final Prospectus as being owned by them or any of them or necessary for the conduct of their respective businesses, and the Company is not aware of any claim to the contrary or any challenge by any other person to the rights of the Company and the Subsidiaries with respect to the foregoing.</w:t>
      </w:r>
    </w:p>
    <w:p>
      <w:pPr>
        <w:spacing w:after="0" w:line="213" w:lineRule="exact"/>
        <w:rPr>
          <w:rFonts w:ascii="Courier New" w:cs="Courier New" w:eastAsia="Courier New" w:hAnsi="Courier New"/>
          <w:sz w:val="18"/>
          <w:szCs w:val="18"/>
          <w:color w:val="auto"/>
        </w:rPr>
      </w:pPr>
    </w:p>
    <w:p>
      <w:pPr>
        <w:ind w:left="4" w:right="1999" w:firstLine="944"/>
        <w:spacing w:after="0" w:line="236" w:lineRule="auto"/>
        <w:tabs>
          <w:tab w:leader="none" w:pos="137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"holding company" or a "public utility," as such terms are defined in the 1935 Act.</w:t>
      </w:r>
    </w:p>
    <w:p>
      <w:pPr>
        <w:spacing w:after="0" w:line="208" w:lineRule="exact"/>
        <w:rPr>
          <w:rFonts w:ascii="Courier New" w:cs="Courier New" w:eastAsia="Courier New" w:hAnsi="Courier New"/>
          <w:sz w:val="18"/>
          <w:szCs w:val="18"/>
          <w:color w:val="auto"/>
        </w:rPr>
      </w:pPr>
    </w:p>
    <w:p>
      <w:pPr>
        <w:ind w:left="4" w:right="1779" w:firstLine="944"/>
        <w:spacing w:after="0" w:line="275" w:lineRule="auto"/>
        <w:tabs>
          <w:tab w:leader="none" w:pos="137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and the application of the proceeds thereof as described in the Prospectus, will not be an "investment company" as defined in the Investment Company Act of 1940, as amended.</w:t>
      </w:r>
    </w:p>
    <w:p>
      <w:pPr>
        <w:spacing w:after="0" w:line="182" w:lineRule="exact"/>
        <w:rPr>
          <w:rFonts w:ascii="Courier New" w:cs="Courier New" w:eastAsia="Courier New" w:hAnsi="Courier New"/>
          <w:sz w:val="16"/>
          <w:szCs w:val="16"/>
          <w:color w:val="auto"/>
        </w:rPr>
      </w:pPr>
    </w:p>
    <w:p>
      <w:pPr>
        <w:ind w:left="4" w:right="1879" w:firstLine="944"/>
        <w:spacing w:after="0" w:line="237" w:lineRule="auto"/>
        <w:tabs>
          <w:tab w:leader="none" w:pos="137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filing with or order of any court or governmental agency or body is required in connection with the transactions contemplated herein, except such as have been obtained under the Act and the Trust</w:t>
      </w:r>
    </w:p>
    <w:p>
      <w:pPr>
        <w:spacing w:after="0" w:line="200" w:lineRule="exact"/>
        <w:rPr>
          <w:sz w:val="20"/>
          <w:szCs w:val="20"/>
          <w:color w:val="auto"/>
        </w:rPr>
      </w:pPr>
    </w:p>
    <w:p>
      <w:pPr>
        <w:spacing w:after="0" w:line="204"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925" w:right="1440" w:bottom="1440" w:gutter="0" w:footer="0" w:header="0"/>
        </w:sectPr>
      </w:pPr>
    </w:p>
    <w:bookmarkStart w:id="9" w:name="page10"/>
    <w:bookmarkEnd w:id="9"/>
    <w:p>
      <w:pPr>
        <w:jc w:val="both"/>
        <w:ind w:right="2099"/>
        <w:spacing w:after="0" w:line="237" w:lineRule="auto"/>
        <w:rPr>
          <w:sz w:val="20"/>
          <w:szCs w:val="20"/>
          <w:color w:val="auto"/>
        </w:rPr>
      </w:pPr>
      <w:r>
        <w:rPr>
          <w:rFonts w:ascii="Courier New" w:cs="Courier New" w:eastAsia="Courier New" w:hAnsi="Courier New"/>
          <w:sz w:val="18"/>
          <w:szCs w:val="18"/>
          <w:color w:val="auto"/>
        </w:rPr>
        <w:t>Indenture Act and such as may be required under the blue sky laws of any jurisdiction in connection with the purchase and distribution of the Securities by the Underwriters in the manner contemplated herein and in the Final Prospectus.</w:t>
      </w:r>
    </w:p>
    <w:p>
      <w:pPr>
        <w:spacing w:after="0" w:line="207" w:lineRule="exact"/>
        <w:rPr>
          <w:sz w:val="20"/>
          <w:szCs w:val="20"/>
          <w:color w:val="auto"/>
        </w:rPr>
      </w:pPr>
    </w:p>
    <w:p>
      <w:pPr>
        <w:ind w:right="1779" w:firstLine="944"/>
        <w:spacing w:after="0" w:line="269"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issue and sale of the Securities nor the consummation of any other of the transactions herein contemplated nor the fulfillment of the terms hereof will conflict with, result in a breach or violation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96" w:lineRule="exact"/>
        <w:rPr>
          <w:rFonts w:ascii="Courier New" w:cs="Courier New" w:eastAsia="Courier New" w:hAnsi="Courier New"/>
          <w:sz w:val="16"/>
          <w:szCs w:val="16"/>
          <w:color w:val="auto"/>
        </w:rPr>
      </w:pPr>
    </w:p>
    <w:p>
      <w:pPr>
        <w:ind w:right="1879" w:firstLine="944"/>
        <w:spacing w:after="0" w:line="271"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historical financial statements and schedules of the Company and its consolidated subsidiaries included in the Final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w:t>
      </w:r>
    </w:p>
    <w:p>
      <w:pPr>
        <w:spacing w:after="0" w:line="183" w:lineRule="exact"/>
        <w:rPr>
          <w:rFonts w:ascii="Courier New" w:cs="Courier New" w:eastAsia="Courier New" w:hAnsi="Courier New"/>
          <w:sz w:val="16"/>
          <w:szCs w:val="16"/>
          <w:color w:val="auto"/>
        </w:rPr>
      </w:pPr>
    </w:p>
    <w:p>
      <w:pPr>
        <w:ind w:right="1999" w:firstLine="944"/>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 who has certified certain financial statements of the Company and its consolidated subsidiaries and delivered their report with respect to the audited consolidated financial statements and schedules included in the Final Prospectus, are independent public accountants with respect to the Company within the meaning of the Act and the applicable published rules and regulations thereunder.</w:t>
      </w:r>
    </w:p>
    <w:p>
      <w:pPr>
        <w:spacing w:after="0" w:line="211" w:lineRule="exact"/>
        <w:rPr>
          <w:rFonts w:ascii="Courier New" w:cs="Courier New" w:eastAsia="Courier New" w:hAnsi="Courier New"/>
          <w:sz w:val="18"/>
          <w:szCs w:val="18"/>
          <w:color w:val="auto"/>
        </w:rPr>
      </w:pPr>
    </w:p>
    <w:p>
      <w:pPr>
        <w:ind w:right="1879" w:firstLine="944"/>
        <w:spacing w:after="0" w:line="270"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filed all foreign, federal, state and local tax returns that are required to be filed or has requested extensions thereof (except in any case in which the failure so to file would not have a Material Adverse Effect, and except as set forth or incorporated by reference in the Final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Final Prospectus (exclusive of any supplement thereto).</w:t>
      </w:r>
    </w:p>
    <w:p>
      <w:pPr>
        <w:spacing w:after="0" w:line="390"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could have a Material Adverse Effect,</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59"/>
          </w:cols>
          <w:pgMar w:left="1200" w:top="925" w:right="1440" w:bottom="1440" w:gutter="0" w:footer="0" w:header="0"/>
        </w:sectPr>
      </w:pPr>
    </w:p>
    <w:bookmarkStart w:id="10" w:name="page11"/>
    <w:bookmarkEnd w:id="10"/>
    <w:p>
      <w:pPr>
        <w:ind w:left="4" w:right="2839"/>
        <w:spacing w:after="0" w:line="235" w:lineRule="auto"/>
        <w:rPr>
          <w:sz w:val="20"/>
          <w:szCs w:val="20"/>
          <w:color w:val="auto"/>
        </w:rPr>
      </w:pPr>
      <w:r>
        <w:rPr>
          <w:rFonts w:ascii="Courier New" w:cs="Courier New" w:eastAsia="Courier New" w:hAnsi="Courier New"/>
          <w:sz w:val="18"/>
          <w:szCs w:val="18"/>
          <w:color w:val="auto"/>
        </w:rPr>
        <w:t>except as set forth or incorporated by reference in the Final Prospectus (exclusive of any supplement thereto).</w:t>
      </w:r>
    </w:p>
    <w:p>
      <w:pPr>
        <w:spacing w:after="0" w:line="208" w:lineRule="exact"/>
        <w:rPr>
          <w:sz w:val="20"/>
          <w:szCs w:val="20"/>
          <w:color w:val="auto"/>
        </w:rPr>
      </w:pPr>
    </w:p>
    <w:p>
      <w:pPr>
        <w:ind w:left="4" w:right="1779" w:firstLine="944"/>
        <w:spacing w:after="0" w:line="238"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Final Prospectus (exclusive of any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Final Prospectus (exclusive of any supplement thereto).</w:t>
      </w:r>
    </w:p>
    <w:p>
      <w:pPr>
        <w:spacing w:after="0" w:line="210"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Final Prospectus (exclusive of any supplement thereto).</w:t>
      </w:r>
    </w:p>
    <w:p>
      <w:pPr>
        <w:spacing w:after="0" w:line="212" w:lineRule="exact"/>
        <w:rPr>
          <w:rFonts w:ascii="Courier New" w:cs="Courier New" w:eastAsia="Courier New" w:hAnsi="Courier New"/>
          <w:sz w:val="18"/>
          <w:szCs w:val="18"/>
          <w:color w:val="auto"/>
        </w:rPr>
      </w:pPr>
    </w:p>
    <w:p>
      <w:pPr>
        <w:ind w:left="4" w:right="1879" w:firstLine="944"/>
        <w:spacing w:after="0" w:line="237"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have a Material Adverse Effect, the Company and its Subsidiaries possess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or incorporated by reference in the Final Prospectus (exclusive of any supplement thereto).</w:t>
      </w:r>
    </w:p>
    <w:p>
      <w:pPr>
        <w:spacing w:after="0" w:line="215" w:lineRule="exact"/>
        <w:rPr>
          <w:rFonts w:ascii="Courier New" w:cs="Courier New" w:eastAsia="Courier New" w:hAnsi="Courier New"/>
          <w:sz w:val="18"/>
          <w:szCs w:val="18"/>
          <w:color w:val="auto"/>
        </w:rPr>
      </w:pPr>
    </w:p>
    <w:p>
      <w:pPr>
        <w:ind w:left="4" w:right="1779" w:firstLine="944"/>
        <w:spacing w:after="0" w:line="268" w:lineRule="auto"/>
        <w:tabs>
          <w:tab w:leader="none" w:pos="137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w:t>
      </w:r>
    </w:p>
    <w:p>
      <w:pPr>
        <w:spacing w:after="0" w:line="1" w:lineRule="exact"/>
        <w:rPr>
          <w:rFonts w:ascii="Courier New" w:cs="Courier New" w:eastAsia="Courier New" w:hAnsi="Courier New"/>
          <w:sz w:val="16"/>
          <w:szCs w:val="16"/>
          <w:color w:val="auto"/>
        </w:rPr>
      </w:pPr>
    </w:p>
    <w:p>
      <w:pPr>
        <w:ind w:left="4" w:right="1779" w:hanging="4"/>
        <w:spacing w:after="0" w:line="236" w:lineRule="auto"/>
        <w:tabs>
          <w:tab w:leader="none" w:pos="53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recorded accountability for assets is compared with the existing assets at reasonable intervals and appropriate action is taken with respect to any differences.</w:t>
      </w:r>
    </w:p>
    <w:p>
      <w:pPr>
        <w:spacing w:after="0" w:line="200" w:lineRule="exact"/>
        <w:rPr>
          <w:sz w:val="20"/>
          <w:szCs w:val="20"/>
          <w:color w:val="auto"/>
        </w:rPr>
      </w:pPr>
    </w:p>
    <w:p>
      <w:pPr>
        <w:spacing w:after="0" w:line="20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925" w:right="1440" w:bottom="1440" w:gutter="0" w:footer="0" w:header="0"/>
        </w:sectPr>
      </w:pPr>
    </w:p>
    <w:bookmarkStart w:id="11" w:name="page12"/>
    <w:bookmarkEnd w:id="11"/>
    <w:p>
      <w:pPr>
        <w:ind w:left="-240" w:right="1779" w:firstLine="944"/>
        <w:spacing w:after="0" w:line="237" w:lineRule="auto"/>
        <w:tabs>
          <w:tab w:leader="none" w:pos="123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taken, directly or indirectly, any action designed to or that would constitute or that might reasonably be expected to cause or result in stabilization or manipulation of the price of any security of the Company to facilitate the sale or resale of the Securities.</w:t>
      </w:r>
    </w:p>
    <w:p>
      <w:pPr>
        <w:spacing w:after="0" w:line="208" w:lineRule="exact"/>
        <w:rPr>
          <w:rFonts w:ascii="Courier New" w:cs="Courier New" w:eastAsia="Courier New" w:hAnsi="Courier New"/>
          <w:sz w:val="18"/>
          <w:szCs w:val="18"/>
          <w:color w:val="auto"/>
        </w:rPr>
      </w:pPr>
    </w:p>
    <w:p>
      <w:pPr>
        <w:ind w:left="-240" w:right="1779" w:firstLine="944"/>
        <w:spacing w:after="0" w:line="238" w:lineRule="auto"/>
        <w:tabs>
          <w:tab w:leader="none" w:pos="123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except where such non-compliance with Environmental Laws, failure to receive required permits, licenses or other approvals, or liability would not, individually or in the aggregate, have a Material Adverse Effect, except as set forth or incorporated by reference in the Final Prospectus (exclusive of any supplement thereto). The environmental reserves described or incorporated by reference in the Final Prospectus reflect in accordance with generally accepted accounting principles the known liabilities and obligations of the Company and its subsidiaries under Environmental Laws.</w:t>
      </w:r>
    </w:p>
    <w:p>
      <w:pPr>
        <w:spacing w:after="0" w:line="209" w:lineRule="exact"/>
        <w:rPr>
          <w:rFonts w:ascii="Courier New" w:cs="Courier New" w:eastAsia="Courier New" w:hAnsi="Courier New"/>
          <w:sz w:val="18"/>
          <w:szCs w:val="18"/>
          <w:color w:val="auto"/>
        </w:rPr>
      </w:pPr>
    </w:p>
    <w:p>
      <w:pPr>
        <w:ind w:left="-240" w:right="1779" w:firstLine="944"/>
        <w:spacing w:after="0" w:line="270" w:lineRule="auto"/>
        <w:tabs>
          <w:tab w:leader="none" w:pos="123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Final Prospectus (exclusive of any supplement thereto).</w:t>
      </w:r>
    </w:p>
    <w:p>
      <w:pPr>
        <w:spacing w:after="0" w:line="389" w:lineRule="exact"/>
        <w:rPr>
          <w:rFonts w:ascii="Courier New" w:cs="Courier New" w:eastAsia="Courier New" w:hAnsi="Courier New"/>
          <w:sz w:val="16"/>
          <w:szCs w:val="16"/>
          <w:color w:val="auto"/>
        </w:rPr>
      </w:pPr>
    </w:p>
    <w:p>
      <w:pPr>
        <w:ind w:left="-240" w:right="1779" w:firstLine="944"/>
        <w:spacing w:after="0" w:line="270" w:lineRule="auto"/>
        <w:tabs>
          <w:tab w:leader="none" w:pos="123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("ERISA") and the regulations and published interpretations thereunder with respect to each "plan" (as defined in Section 3(3) of ERISA and such regulations and published interpretations) in which employees of the Company and its Subsidiaries are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387" w:lineRule="exact"/>
        <w:rPr>
          <w:rFonts w:ascii="Courier New" w:cs="Courier New" w:eastAsia="Courier New" w:hAnsi="Courier New"/>
          <w:sz w:val="16"/>
          <w:szCs w:val="16"/>
          <w:color w:val="auto"/>
        </w:rPr>
      </w:pPr>
    </w:p>
    <w:p>
      <w:pPr>
        <w:ind w:left="-240" w:right="1999" w:firstLine="944"/>
        <w:spacing w:after="0" w:line="290" w:lineRule="auto"/>
        <w:tabs>
          <w:tab w:leader="none" w:pos="123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holders of securities of the Company have rights to the registration of such securities under the Registration Statement.</w:t>
      </w:r>
    </w:p>
    <w:p>
      <w:pPr>
        <w:spacing w:after="0" w:line="36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925" w:right="1440" w:bottom="1440" w:gutter="0" w:footer="0" w:header="0"/>
        </w:sectPr>
      </w:pPr>
    </w:p>
    <w:bookmarkStart w:id="12" w:name="page13"/>
    <w:bookmarkEnd w:id="12"/>
    <w:p>
      <w:pPr>
        <w:ind w:right="1879" w:firstLine="948"/>
        <w:spacing w:after="0" w:line="237" w:lineRule="auto"/>
        <w:rPr>
          <w:sz w:val="20"/>
          <w:szCs w:val="20"/>
          <w:color w:val="auto"/>
        </w:rPr>
      </w:pPr>
      <w:r>
        <w:rPr>
          <w:rFonts w:ascii="Courier New" w:cs="Courier New" w:eastAsia="Courier New" w:hAnsi="Courier New"/>
          <w:sz w:val="18"/>
          <w:szCs w:val="18"/>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207" w:lineRule="exact"/>
        <w:rPr>
          <w:sz w:val="20"/>
          <w:szCs w:val="20"/>
          <w:color w:val="auto"/>
        </w:rPr>
      </w:pPr>
    </w:p>
    <w:p>
      <w:pPr>
        <w:ind w:right="1779" w:firstLine="956"/>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the Securities set forth opposite such Underwriter's name in Schedule II hereto.</w:t>
      </w:r>
    </w:p>
    <w:p>
      <w:pPr>
        <w:spacing w:after="0" w:line="209" w:lineRule="exact"/>
        <w:rPr>
          <w:rFonts w:ascii="Courier New" w:cs="Courier New" w:eastAsia="Courier New" w:hAnsi="Courier New"/>
          <w:sz w:val="18"/>
          <w:szCs w:val="18"/>
          <w:color w:val="auto"/>
        </w:rPr>
      </w:pPr>
    </w:p>
    <w:p>
      <w:pPr>
        <w:ind w:right="1779" w:firstLine="956"/>
        <w:spacing w:after="0" w:line="238"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207"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by Underwriters. It is understood that the several Underwriters propose to offer the Securities for sale to the public as set forth in the Final Prospectus.</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The Company agrees with the several Underwriters that:</w:t>
      </w:r>
    </w:p>
    <w:p>
      <w:pPr>
        <w:spacing w:after="0" w:line="206" w:lineRule="exact"/>
        <w:rPr>
          <w:rFonts w:ascii="Courier New" w:cs="Courier New" w:eastAsia="Courier New" w:hAnsi="Courier New"/>
          <w:sz w:val="18"/>
          <w:szCs w:val="18"/>
          <w:color w:val="auto"/>
        </w:rPr>
      </w:pPr>
    </w:p>
    <w:p>
      <w:pPr>
        <w:ind w:left="960" w:right="1779" w:firstLine="944"/>
        <w:spacing w:after="0" w:line="269" w:lineRule="auto"/>
        <w:tabs>
          <w:tab w:leader="none" w:pos="232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cause the Registration Statement, if not effective at the Execution Time, and any amendment thereof, to become effective. Prior to the termination of the offering of the Securities, the Company will not file any amendment of the Registration Statement or supplement (including the Final Prospectus or any Preliminary Final Prospectus) to the Basic Prospectus or any Rule 462(b) Registration Statement unless the Company has furnished you a copy for your review prior to filing and will not file any such proposed amendment or supplement to which you reasonably object. Subject to the foregoing sentence, if the Registration Statement has become or becomes effective pursuant to Rule 430A, or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 The Company will promptly advise the Representatives (1) when the Registration Statement, if not effective at the Execution Time, shall have become effective, (2) when the Final Prospectus, and any supplement thereto, shall have been filed (if required) with the Commission pursuant to Rule 424(b) or when any Rule 462(b) Registration Statement shall have been filed with the Commission, (3) when, prior to termination of the offering of the Securities, any amendment to the Registration Statement shall have been filed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3" w:name="page14"/>
    <w:bookmarkEnd w:id="13"/>
    <w:p>
      <w:pPr>
        <w:ind w:right="1779"/>
        <w:spacing w:after="0" w:line="238" w:lineRule="auto"/>
        <w:rPr>
          <w:sz w:val="20"/>
          <w:szCs w:val="20"/>
          <w:color w:val="auto"/>
        </w:rPr>
      </w:pPr>
      <w:r>
        <w:rPr>
          <w:rFonts w:ascii="Courier New" w:cs="Courier New" w:eastAsia="Courier New" w:hAnsi="Courier New"/>
          <w:sz w:val="18"/>
          <w:szCs w:val="18"/>
          <w:color w:val="auto"/>
        </w:rPr>
        <w:t>become effective, (4) of any request by the Commission or its staff for any amendment of the Registration Statement, or any Rule 462(b) Registration Statement, or for any supplement to the Final Prospectus or for any additional information, (5) of the issuance by the Commission of any stop order suspending the effectiveness of the Registration Statement or the institution or threatening of any proceeding for that purpose and (6)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suspension of any such qualification and, if issued, to obtain as soon as possible the withdrawal thereof.</w:t>
      </w:r>
    </w:p>
    <w:p>
      <w:pPr>
        <w:spacing w:after="0" w:line="207" w:lineRule="exact"/>
        <w:rPr>
          <w:sz w:val="20"/>
          <w:szCs w:val="20"/>
          <w:color w:val="auto"/>
        </w:rPr>
      </w:pPr>
    </w:p>
    <w:p>
      <w:pPr>
        <w:ind w:right="1779" w:firstLine="944"/>
        <w:spacing w:after="0" w:line="238"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when a prospectus relating to the Securities is required to be delivered under the Act,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(a) of this Section 5, an amendment or supplement which will correct such statement or omission or effect such compliance and (3) supply any supplemented Final Prospectus to you in such quantities as you may reasonably request.</w:t>
      </w:r>
    </w:p>
    <w:p>
      <w:pPr>
        <w:spacing w:after="0" w:line="208"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the Representatives and counsel for the Underwriters, without charge, signed or conformed copies of the Registration Statement (including exhibits thereto) and to each other Underwriter a copy of the Registration Statement (without exhibits thereto) and, so long as delivery of a prospectus by an Underwriter or dealer may be required by the Act, as many copies of each Preliminary Final Prospectus and the Final Prospectus and any supplement thereto as the Representatives may reasonably request. The Company will pay the expenses of printing or other production of all documents relating to the offering.</w:t>
      </w:r>
    </w:p>
    <w:p>
      <w:pPr>
        <w:spacing w:after="0" w:line="214" w:lineRule="exact"/>
        <w:rPr>
          <w:rFonts w:ascii="Courier New" w:cs="Courier New" w:eastAsia="Courier New" w:hAnsi="Courier New"/>
          <w:sz w:val="18"/>
          <w:szCs w:val="18"/>
          <w:color w:val="auto"/>
        </w:rPr>
      </w:pPr>
    </w:p>
    <w:p>
      <w:pPr>
        <w:ind w:right="1779" w:firstLine="944"/>
        <w:spacing w:after="0" w:line="238"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National Association of Securities Dealers, Inc., in connection with its review of the offering; provided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259"/>
          </w:cols>
          <w:pgMar w:left="1200" w:top="925" w:right="1440" w:bottom="1440" w:gutter="0" w:footer="0" w:header="0"/>
        </w:sectPr>
      </w:pPr>
    </w:p>
    <w:bookmarkStart w:id="14" w:name="page15"/>
    <w:bookmarkEnd w:id="14"/>
    <w:p>
      <w:pPr>
        <w:ind w:left="4" w:right="1779" w:firstLine="944"/>
        <w:spacing w:after="0" w:line="238" w:lineRule="auto"/>
        <w:tabs>
          <w:tab w:leader="none" w:pos="137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without the prior written consent of Banc of America Securities LLC, J.P. Morgan Securities Inc. and Salomon Smith Barney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Business Day set forth on Schedule I hereto.</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30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Obligations of the Underwriters. The obligations of the Underwriters to purchase the Securities shall be subject to the accuracy of the representations and warranties on the part of the Company contained herein as of the Execution Time and the Closing Date, to the accuracy of the statements of the Company made in any certificates pursuant to the provisions hereof, to the performance by the Company of its obligations hereunder and to the following additional conditions:</w:t>
      </w:r>
    </w:p>
    <w:p>
      <w:pPr>
        <w:spacing w:after="0" w:line="211" w:lineRule="exact"/>
        <w:rPr>
          <w:rFonts w:ascii="Courier New" w:cs="Courier New" w:eastAsia="Courier New" w:hAnsi="Courier New"/>
          <w:sz w:val="18"/>
          <w:szCs w:val="18"/>
          <w:color w:val="auto"/>
        </w:rPr>
      </w:pPr>
    </w:p>
    <w:p>
      <w:pPr>
        <w:ind w:left="4" w:right="1779" w:firstLine="944"/>
        <w:spacing w:after="0" w:line="270" w:lineRule="auto"/>
        <w:tabs>
          <w:tab w:leader="none" w:pos="137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Registration Statement has not become effective prior to the Execution Time, unless the Representatives agree in writing to a later time, the Registration Statement will become effective not later than (i) 6:00 p.m., New York City time, on the date of determination of the public offering price, if such determination occurred at or prior to 3:00 p.m., New York City time, on such date or (ii) 9:30 a.m. on the Business Day following the day on which the public offering price was determined, if such determination occurred after 3:00 p.m., New York City time, on such date; if filing of the Final Prospectus, or any supplement thereto, is required pursuant to Rule 424(b), the Final Prospectus, and any such supplement, will be filed in the manner and within the time period required by Rule 424(b); and no stop order suspending the effectiveness of the Registration Statement shall have been issued and no proceedings for that purpose shall have been instituted or threatened.</w:t>
      </w:r>
    </w:p>
    <w:p>
      <w:pPr>
        <w:spacing w:after="0" w:line="386" w:lineRule="exact"/>
        <w:rPr>
          <w:rFonts w:ascii="Courier New" w:cs="Courier New" w:eastAsia="Courier New" w:hAnsi="Courier New"/>
          <w:sz w:val="16"/>
          <w:szCs w:val="16"/>
          <w:color w:val="auto"/>
        </w:rPr>
      </w:pPr>
    </w:p>
    <w:p>
      <w:pPr>
        <w:ind w:left="4" w:right="1879" w:firstLine="944"/>
        <w:spacing w:after="0" w:line="237" w:lineRule="auto"/>
        <w:tabs>
          <w:tab w:leader="none" w:pos="137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requested and caused Baker Botts L.L.P., counsel for the Company, to have furnished to the Representatives their opinion, dated the Closing Date and addressed to the Representatives, to the effect that:</w:t>
      </w:r>
    </w:p>
    <w:p>
      <w:pPr>
        <w:spacing w:after="0" w:line="207" w:lineRule="exact"/>
        <w:rPr>
          <w:rFonts w:ascii="Courier New" w:cs="Courier New" w:eastAsia="Courier New" w:hAnsi="Courier New"/>
          <w:sz w:val="18"/>
          <w:szCs w:val="18"/>
          <w:color w:val="auto"/>
        </w:rPr>
      </w:pPr>
    </w:p>
    <w:p>
      <w:pPr>
        <w:jc w:val="both"/>
        <w:ind w:left="944" w:right="2099" w:firstLine="952"/>
        <w:spacing w:after="0" w:line="236" w:lineRule="auto"/>
        <w:tabs>
          <w:tab w:leader="none" w:pos="2313"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corporation duly incorporated and validly existing in good standing under the laws of the State of Delaware;</w:t>
      </w:r>
    </w:p>
    <w:p>
      <w:pPr>
        <w:spacing w:after="0" w:line="200" w:lineRule="exact"/>
        <w:rPr>
          <w:sz w:val="20"/>
          <w:szCs w:val="20"/>
          <w:color w:val="auto"/>
        </w:rPr>
      </w:pPr>
    </w:p>
    <w:p>
      <w:pPr>
        <w:spacing w:after="0" w:line="20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925" w:right="1440" w:bottom="1440" w:gutter="0" w:footer="0" w:header="0"/>
        </w:sectPr>
      </w:pPr>
    </w:p>
    <w:bookmarkStart w:id="15" w:name="page16"/>
    <w:bookmarkEnd w:id="15"/>
    <w:p>
      <w:pPr>
        <w:ind w:left="700" w:right="1779" w:firstLine="952"/>
        <w:spacing w:after="0" w:line="275" w:lineRule="auto"/>
        <w:tabs>
          <w:tab w:leader="none" w:pos="21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corporate power and authority to own, lease and operate its properties and to conduct its business as described in the Final Prospectus and to execute and deliver and perform its obligations under this Agreement;</w:t>
      </w:r>
    </w:p>
    <w:p>
      <w:pPr>
        <w:spacing w:after="0" w:line="182" w:lineRule="exact"/>
        <w:rPr>
          <w:rFonts w:ascii="Courier New" w:cs="Courier New" w:eastAsia="Courier New" w:hAnsi="Courier New"/>
          <w:sz w:val="16"/>
          <w:szCs w:val="16"/>
          <w:color w:val="auto"/>
        </w:rPr>
      </w:pPr>
    </w:p>
    <w:p>
      <w:pPr>
        <w:ind w:left="700" w:right="2519" w:firstLine="952"/>
        <w:spacing w:after="0" w:line="235" w:lineRule="auto"/>
        <w:tabs>
          <w:tab w:leader="none" w:pos="2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700" w:right="1779" w:firstLine="952"/>
        <w:spacing w:after="0" w:line="238" w:lineRule="auto"/>
        <w:tabs>
          <w:tab w:leader="none" w:pos="21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w:t>
      </w:r>
    </w:p>
    <w:p>
      <w:pPr>
        <w:spacing w:after="0" w:line="207" w:lineRule="exact"/>
        <w:rPr>
          <w:rFonts w:ascii="Courier New" w:cs="Courier New" w:eastAsia="Courier New" w:hAnsi="Courier New"/>
          <w:sz w:val="18"/>
          <w:szCs w:val="18"/>
          <w:color w:val="auto"/>
        </w:rPr>
      </w:pPr>
    </w:p>
    <w:p>
      <w:pPr>
        <w:ind w:left="700" w:right="1779" w:firstLine="952"/>
        <w:spacing w:after="0" w:line="269" w:lineRule="auto"/>
        <w:tabs>
          <w:tab w:leader="none" w:pos="206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certificate representing the Securities is in a form authorized by the Indenture, the Securities have been duly authorized by the Company and, assuming the global certificate representing the Securities has been authenticated by the Trustee in the manner provided for in the Indenture and delivered against payment of the consideration therefor specified in this Agreement, the Securities constitute valid and binding obligations of the Company, enforceable against the Company in accordance with their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 and each registered holder thereof is entitled to the benefits of the Indenture;</w:t>
      </w:r>
    </w:p>
    <w:p>
      <w:pPr>
        <w:spacing w:after="0" w:line="395" w:lineRule="exact"/>
        <w:rPr>
          <w:rFonts w:ascii="Courier New" w:cs="Courier New" w:eastAsia="Courier New" w:hAnsi="Courier New"/>
          <w:sz w:val="16"/>
          <w:szCs w:val="16"/>
          <w:color w:val="auto"/>
        </w:rPr>
      </w:pPr>
    </w:p>
    <w:p>
      <w:pPr>
        <w:ind w:left="2180" w:hanging="528"/>
        <w:spacing w:after="0"/>
        <w:tabs>
          <w:tab w:leader="none" w:pos="21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w:t>
      </w:r>
    </w:p>
    <w:p>
      <w:pPr>
        <w:spacing w:after="0" w:line="16" w:lineRule="exact"/>
        <w:rPr>
          <w:rFonts w:ascii="Courier New" w:cs="Courier New" w:eastAsia="Courier New" w:hAnsi="Courier New"/>
          <w:sz w:val="16"/>
          <w:szCs w:val="16"/>
          <w:color w:val="auto"/>
        </w:rPr>
      </w:pP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1939 Act;</w:t>
      </w:r>
    </w:p>
    <w:p>
      <w:pPr>
        <w:spacing w:after="0" w:line="207" w:lineRule="exact"/>
        <w:rPr>
          <w:rFonts w:ascii="Courier New" w:cs="Courier New" w:eastAsia="Courier New" w:hAnsi="Courier New"/>
          <w:sz w:val="16"/>
          <w:szCs w:val="16"/>
          <w:color w:val="auto"/>
        </w:rPr>
      </w:pPr>
    </w:p>
    <w:p>
      <w:pPr>
        <w:ind w:left="700" w:right="1879" w:firstLine="952"/>
        <w:spacing w:after="0" w:line="236" w:lineRule="auto"/>
        <w:tabs>
          <w:tab w:leader="none" w:pos="2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and the Indenture conform as to legal matters in all material respects to the descriptions thereof contained in the Final Prospectus;</w:t>
      </w:r>
    </w:p>
    <w:p>
      <w:pPr>
        <w:spacing w:after="0" w:line="208" w:lineRule="exact"/>
        <w:rPr>
          <w:rFonts w:ascii="Courier New" w:cs="Courier New" w:eastAsia="Courier New" w:hAnsi="Courier New"/>
          <w:sz w:val="18"/>
          <w:szCs w:val="18"/>
          <w:color w:val="auto"/>
        </w:rPr>
      </w:pPr>
    </w:p>
    <w:p>
      <w:pPr>
        <w:ind w:left="700" w:right="1779" w:firstLine="952"/>
        <w:spacing w:after="0" w:line="237" w:lineRule="auto"/>
        <w:tabs>
          <w:tab w:leader="none" w:pos="238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been declared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212" w:lineRule="exact"/>
        <w:rPr>
          <w:rFonts w:ascii="Courier New" w:cs="Courier New" w:eastAsia="Courier New" w:hAnsi="Courier New"/>
          <w:sz w:val="18"/>
          <w:szCs w:val="18"/>
          <w:color w:val="auto"/>
        </w:rPr>
      </w:pPr>
    </w:p>
    <w:p>
      <w:pPr>
        <w:ind w:left="700" w:right="1779" w:firstLine="952"/>
        <w:spacing w:after="0" w:line="237" w:lineRule="auto"/>
        <w:tabs>
          <w:tab w:leader="none" w:pos="21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approval, consent or license of any regulatory body or authority (other than under the Act, the 1939 Act and the securities or Blue Sky laws of the various states) and no approval of the stockholders of the</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925" w:right="1440" w:bottom="1440" w:gutter="0" w:footer="0" w:header="0"/>
        </w:sectPr>
      </w:pPr>
    </w:p>
    <w:bookmarkStart w:id="16" w:name="page17"/>
    <w:bookmarkEnd w:id="16"/>
    <w:p>
      <w:pPr>
        <w:ind w:left="940" w:right="1779"/>
        <w:spacing w:after="0" w:line="236" w:lineRule="auto"/>
        <w:rPr>
          <w:sz w:val="20"/>
          <w:szCs w:val="20"/>
          <w:color w:val="auto"/>
        </w:rPr>
      </w:pPr>
      <w:r>
        <w:rPr>
          <w:rFonts w:ascii="Courier New" w:cs="Courier New" w:eastAsia="Courier New" w:hAnsi="Courier New"/>
          <w:sz w:val="18"/>
          <w:szCs w:val="18"/>
          <w:color w:val="auto"/>
        </w:rPr>
        <w:t>Company is required for the valid authorization, issuance, sale and delivery of the Securities by the Company, or for the performance of the Indenture;</w:t>
      </w:r>
    </w:p>
    <w:p>
      <w:pPr>
        <w:spacing w:after="0" w:line="209" w:lineRule="exact"/>
        <w:rPr>
          <w:sz w:val="20"/>
          <w:szCs w:val="20"/>
          <w:color w:val="auto"/>
        </w:rPr>
      </w:pPr>
    </w:p>
    <w:p>
      <w:pPr>
        <w:ind w:left="940" w:right="1779" w:firstLine="952"/>
        <w:spacing w:after="0" w:line="270" w:lineRule="auto"/>
        <w:tabs>
          <w:tab w:leader="none" w:pos="23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or its subsidiaries Waste Management Holdings, Inc. and Wheelabrator Technologies, Inc., or any indenture, mortgage or other agreement or instrument to which the Company or such subsidiaries is a party or by which they or any of their property is bound which is filed as an exhibit to the Registration Statement or to any of the documents incorporated by reference in the Final Prospectus, or any existing applicable laws, rule, regulation (excluding any securities or anti-fraud law, rule or regulation);</w:t>
      </w:r>
    </w:p>
    <w:p>
      <w:pPr>
        <w:spacing w:after="0" w:line="386" w:lineRule="exact"/>
        <w:rPr>
          <w:rFonts w:ascii="Courier New" w:cs="Courier New" w:eastAsia="Courier New" w:hAnsi="Courier New"/>
          <w:sz w:val="16"/>
          <w:szCs w:val="16"/>
          <w:color w:val="auto"/>
        </w:rPr>
      </w:pPr>
    </w:p>
    <w:p>
      <w:pPr>
        <w:ind w:left="940" w:right="1779" w:firstLine="952"/>
        <w:spacing w:after="0" w:line="236" w:lineRule="auto"/>
        <w:tabs>
          <w:tab w:leader="none" w:pos="241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an entity "controlled" by an "investment company," as such terms are defined in the 1940 Act; and</w:t>
      </w:r>
    </w:p>
    <w:p>
      <w:pPr>
        <w:spacing w:after="0" w:line="208" w:lineRule="exact"/>
        <w:rPr>
          <w:rFonts w:ascii="Courier New" w:cs="Courier New" w:eastAsia="Courier New" w:hAnsi="Courier New"/>
          <w:sz w:val="18"/>
          <w:szCs w:val="18"/>
          <w:color w:val="auto"/>
        </w:rPr>
      </w:pPr>
    </w:p>
    <w:p>
      <w:pPr>
        <w:jc w:val="both"/>
        <w:ind w:left="940" w:right="2199" w:firstLine="952"/>
        <w:spacing w:after="0" w:line="236" w:lineRule="auto"/>
        <w:tabs>
          <w:tab w:leader="none" w:pos="25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"holding company" or a "public utility," as such terms are defined in the 1935 Act.</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Such counsel shall state that the Registration Statement and the Final Prospectus, excluding the documents incorporated by reference therein and the financial statements and other financial data and supporting schedules included therein or omitted therefrom and the Trustee's Statement of Eligibility on Form T-1 (the "Form T-1"), as to which they need not express a view, as of their respective effective or issue dates appear on their face to have been appropriately responsive in all material respects with the requirements of the Act. 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and the Final Prospectus were discussed and, although such counsel did not independently verify such information and is not passing upon and does not assume any responsibility for the accuracy, completeness or fairness of the statements contained in the Registration Statement and the Final Prospectus (other than as set forth in paragraph (vii) above), on the basis of the foregoing, no facts came to such counsel's attention that led such counsel to believe that the Registration Statement (other than the financial statements, the notes thereto and the auditors' reports thereon and the related schedules and the other financial and accounting data included or incorporated by reference therein, or omitted therefrom, and the exhibits thereto, as to which such counsel need not comment) as of the date of the Underwriting Agreement contained an untrue statement of a material fact or omitted to state a material fact required to be stated therein or necessary in order to make the statements therein not misleading, or that the Final Prospectus (other than the financial statements, the notes thereto and the auditors' reports thereon and the related schedules and the other financial and accounting data included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259"/>
          </w:cols>
          <w:pgMar w:left="1200" w:top="925"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incorporated by reference therein, or omitted therefrom, as to which such counsel need not comment) as of its issue date or the Closing Date contained or contains an untrue statement of a material fact or omitted or omits to state a material fact necessary in order to make the statements therein, in the light of the circumstances under which they were made, not misleading.</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rendering such opinions, such counsel may rely (A) as to matters involving the application of laws of any jurisdiction other than the contract law of the State of New York, the General Corporation Law of Delaware or the Federal laws of the United States, to the extent they deem proper and specified in such opinion, upon the opinion of other counsel of good standing whom they believe to be reliable and who are satisfactory to counsel for the Underwriters and (B) as to matters of fact, to the extent they deem proper, on certificates of responsible officers of the Company and public officials. References to the Final Prospectus in this paragraph (b) include any supplements thereto at the Closing Date.</w:t>
      </w:r>
    </w:p>
    <w:p>
      <w:pPr>
        <w:spacing w:after="0" w:line="216" w:lineRule="exact"/>
        <w:rPr>
          <w:sz w:val="20"/>
          <w:szCs w:val="20"/>
          <w:color w:val="auto"/>
        </w:rPr>
      </w:pPr>
    </w:p>
    <w:p>
      <w:pPr>
        <w:ind w:right="1999" w:firstLine="944"/>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P. Steiner, Senior Vice President, General Counsel and Corporate Secretary of the Company, shall have furnished to the Representatives his opinion, dated the Closing Date and addressed to the Representatives, to the effect that:</w:t>
      </w:r>
    </w:p>
    <w:p>
      <w:pPr>
        <w:spacing w:after="0" w:line="207" w:lineRule="exact"/>
        <w:rPr>
          <w:rFonts w:ascii="Courier New" w:cs="Courier New" w:eastAsia="Courier New" w:hAnsi="Courier New"/>
          <w:sz w:val="18"/>
          <w:szCs w:val="18"/>
          <w:color w:val="auto"/>
        </w:rPr>
      </w:pPr>
    </w:p>
    <w:p>
      <w:pPr>
        <w:ind w:left="940" w:right="1779" w:firstLine="952"/>
        <w:spacing w:after="0" w:line="269" w:lineRule="auto"/>
        <w:tabs>
          <w:tab w:leader="none" w:pos="230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corporate Subsidiaries organized under U.S. law is a corporation duly incorporated and validly existing in good standing under the laws of the jurisdiction of its incorporation, has corporate power and authority to own, lease and operate its properties and to conduct its business as described in the Final Prospectus, except as would not have a Material Adverse Effect; except as otherwise disclosed in the Registration Statement or set forth in the opinion, all of the issued and outstanding capital stock of each of the Subsidiaries is validly issued, fully paid and nonassessable and, to the best of such counsel's knowledge, is owned by the Company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396" w:lineRule="exact"/>
        <w:rPr>
          <w:rFonts w:ascii="Courier New" w:cs="Courier New" w:eastAsia="Courier New" w:hAnsi="Courier New"/>
          <w:sz w:val="16"/>
          <w:szCs w:val="16"/>
          <w:color w:val="auto"/>
        </w:rPr>
      </w:pPr>
    </w:p>
    <w:p>
      <w:pPr>
        <w:ind w:left="940" w:right="1779" w:firstLine="952"/>
        <w:spacing w:after="0" w:line="237" w:lineRule="auto"/>
        <w:tabs>
          <w:tab w:leader="none" w:pos="241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Final Prospectus (other than the financial statements, other financial data and supporting schedules included therein or omitted therefrom, as to which he need express no opinion, and except to the extent that any statement therein is modified or superseded in the Final Prospectus), as of the dates they became effective or were filed with the Commission, as the case may be, appear on their face to be appropriately responsive in all material respects with the requirements of the Exchange Act;</w:t>
      </w:r>
    </w:p>
    <w:p>
      <w:pPr>
        <w:spacing w:after="0" w:line="214" w:lineRule="exact"/>
        <w:rPr>
          <w:rFonts w:ascii="Courier New" w:cs="Courier New" w:eastAsia="Courier New" w:hAnsi="Courier New"/>
          <w:sz w:val="18"/>
          <w:szCs w:val="18"/>
          <w:color w:val="auto"/>
        </w:rPr>
      </w:pPr>
    </w:p>
    <w:p>
      <w:pPr>
        <w:ind w:left="940" w:right="1779" w:firstLine="952"/>
        <w:spacing w:after="0" w:line="237" w:lineRule="auto"/>
        <w:tabs>
          <w:tab w:leader="none" w:pos="25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200" w:lineRule="exact"/>
        <w:rPr>
          <w:sz w:val="20"/>
          <w:szCs w:val="20"/>
          <w:color w:val="auto"/>
        </w:rPr>
      </w:pP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259"/>
          </w:cols>
          <w:pgMar w:left="1200" w:top="520" w:right="1440" w:bottom="1440" w:gutter="0" w:footer="0" w:header="0"/>
        </w:sectPr>
      </w:pPr>
    </w:p>
    <w:bookmarkStart w:id="18" w:name="page19"/>
    <w:bookmarkEnd w:id="18"/>
    <w:p>
      <w:pPr>
        <w:ind w:left="700" w:right="1779" w:firstLine="952"/>
        <w:spacing w:after="0" w:line="237" w:lineRule="auto"/>
        <w:tabs>
          <w:tab w:leader="none" w:pos="217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statutes or regulations or any pending or threatened legal or governmental proceedings required to be described in the Final Prospectus which are not described as required, nor of any material contracts or documents of a character required to be described in the Registration Statement or Final Prospectus or to be filed or incorporated as exhibits to the Registration Statement which are not described and filed or incorporated as required;</w:t>
      </w:r>
    </w:p>
    <w:p>
      <w:pPr>
        <w:spacing w:after="0" w:line="213" w:lineRule="exact"/>
        <w:rPr>
          <w:rFonts w:ascii="Courier New" w:cs="Courier New" w:eastAsia="Courier New" w:hAnsi="Courier New"/>
          <w:sz w:val="18"/>
          <w:szCs w:val="18"/>
          <w:color w:val="auto"/>
        </w:rPr>
      </w:pPr>
    </w:p>
    <w:p>
      <w:pPr>
        <w:ind w:left="700" w:right="1779" w:firstLine="952"/>
        <w:spacing w:after="0" w:line="279" w:lineRule="auto"/>
        <w:tabs>
          <w:tab w:leader="none" w:pos="206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holders of securities of the Company that have rights to the registration of such securities under the Registration Statement; and</w:t>
      </w:r>
    </w:p>
    <w:p>
      <w:pPr>
        <w:spacing w:after="0" w:line="178" w:lineRule="exact"/>
        <w:rPr>
          <w:rFonts w:ascii="Courier New" w:cs="Courier New" w:eastAsia="Courier New" w:hAnsi="Courier New"/>
          <w:sz w:val="16"/>
          <w:szCs w:val="16"/>
          <w:color w:val="auto"/>
        </w:rPr>
      </w:pPr>
    </w:p>
    <w:p>
      <w:pPr>
        <w:ind w:left="700" w:right="1779" w:firstLine="952"/>
        <w:spacing w:after="0" w:line="238" w:lineRule="auto"/>
        <w:tabs>
          <w:tab w:leader="none" w:pos="217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securities or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209"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213" w:lineRule="exact"/>
        <w:rPr>
          <w:rFonts w:ascii="Courier New" w:cs="Courier New" w:eastAsia="Courier New" w:hAnsi="Courier New"/>
          <w:sz w:val="18"/>
          <w:szCs w:val="18"/>
          <w:color w:val="auto"/>
        </w:rPr>
      </w:pPr>
    </w:p>
    <w:p>
      <w:pPr>
        <w:ind w:left="-240" w:right="1779" w:firstLine="944"/>
        <w:spacing w:after="0" w:line="272" w:lineRule="auto"/>
        <w:tabs>
          <w:tab w:leader="none" w:pos="112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the Representatives a certificate of the Company, signed by the principal legal officer and the principal financial or accounting officer of the Company, dated the Closing Date, to the effect that the signers of such certificate have carefully examined the Registration Statement, the Final Prospectus, any supplements to the Final Prospectus and this Agreement and that:</w:t>
      </w:r>
    </w:p>
    <w:p>
      <w:pPr>
        <w:spacing w:after="0" w:line="185" w:lineRule="exact"/>
        <w:rPr>
          <w:rFonts w:ascii="Courier New" w:cs="Courier New" w:eastAsia="Courier New" w:hAnsi="Courier New"/>
          <w:sz w:val="16"/>
          <w:szCs w:val="16"/>
          <w:color w:val="auto"/>
        </w:rPr>
      </w:pPr>
    </w:p>
    <w:p>
      <w:pPr>
        <w:ind w:left="700" w:right="1779" w:firstLine="952"/>
        <w:spacing w:after="0" w:line="237" w:lineRule="auto"/>
        <w:tabs>
          <w:tab w:leader="none" w:pos="20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925" w:right="1440" w:bottom="1440" w:gutter="0" w:footer="0" w:header="0"/>
        </w:sectPr>
      </w:pPr>
    </w:p>
    <w:bookmarkStart w:id="19" w:name="page20"/>
    <w:bookmarkEnd w:id="19"/>
    <w:p>
      <w:pPr>
        <w:ind w:left="700" w:right="1879" w:firstLine="952"/>
        <w:spacing w:after="0" w:line="237" w:lineRule="auto"/>
        <w:tabs>
          <w:tab w:leader="none" w:pos="217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stop order suspending the effectiveness of the Registration Statement has been issued and no proceedings for that purpose have been instituted or, to the Company's knowledge, threatened; and</w:t>
      </w:r>
    </w:p>
    <w:p>
      <w:pPr>
        <w:spacing w:after="0" w:line="207" w:lineRule="exact"/>
        <w:rPr>
          <w:rFonts w:ascii="Courier New" w:cs="Courier New" w:eastAsia="Courier New" w:hAnsi="Courier New"/>
          <w:sz w:val="18"/>
          <w:szCs w:val="18"/>
          <w:color w:val="auto"/>
        </w:rPr>
      </w:pPr>
    </w:p>
    <w:p>
      <w:pPr>
        <w:ind w:left="700" w:right="1779" w:firstLine="952"/>
        <w:spacing w:after="0" w:line="271" w:lineRule="auto"/>
        <w:tabs>
          <w:tab w:leader="none" w:pos="2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the most recent financial statements included or incorporated by reference in the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Final Prospectus (exclusive of any supplement thereto).</w:t>
      </w:r>
    </w:p>
    <w:p>
      <w:pPr>
        <w:spacing w:after="0" w:line="183" w:lineRule="exact"/>
        <w:rPr>
          <w:rFonts w:ascii="Courier New" w:cs="Courier New" w:eastAsia="Courier New" w:hAnsi="Courier New"/>
          <w:sz w:val="16"/>
          <w:szCs w:val="16"/>
          <w:color w:val="auto"/>
        </w:rPr>
      </w:pPr>
    </w:p>
    <w:p>
      <w:pPr>
        <w:ind w:left="-240" w:right="1779" w:firstLine="944"/>
        <w:spacing w:after="0" w:line="270" w:lineRule="auto"/>
        <w:tabs>
          <w:tab w:leader="none" w:pos="112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requested and caused Arthur Andersen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that they have performed a review of the unaudited interim financial information of the Company for the nine-month period ended September 30, 2001 and as at September 30, 2001 in accordance with Statement on Auditing Standards No. 71, and stating in effect, except as provided in Schedule I hereto, that:</w:t>
      </w:r>
    </w:p>
    <w:p>
      <w:pPr>
        <w:spacing w:after="0" w:line="389" w:lineRule="exact"/>
        <w:rPr>
          <w:rFonts w:ascii="Courier New" w:cs="Courier New" w:eastAsia="Courier New" w:hAnsi="Courier New"/>
          <w:sz w:val="16"/>
          <w:szCs w:val="16"/>
          <w:color w:val="auto"/>
        </w:rPr>
      </w:pPr>
    </w:p>
    <w:p>
      <w:pPr>
        <w:ind w:left="700" w:right="1779" w:firstLine="952"/>
        <w:spacing w:after="0" w:line="237" w:lineRule="auto"/>
        <w:tabs>
          <w:tab w:leader="none" w:pos="206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opinion the audited financial statements and financial statement schedules included or incorporated by reference in the Registration Statement and the Final Prospectus and reported on by them comply as to form in all material respects with the applicable accounting requirements of the Act and the Exchange Act and the related rules and regulations adopted by the Commission;</w:t>
      </w:r>
    </w:p>
    <w:p>
      <w:pPr>
        <w:spacing w:after="0" w:line="211" w:lineRule="exact"/>
        <w:rPr>
          <w:rFonts w:ascii="Courier New" w:cs="Courier New" w:eastAsia="Courier New" w:hAnsi="Courier New"/>
          <w:sz w:val="18"/>
          <w:szCs w:val="18"/>
          <w:color w:val="auto"/>
        </w:rPr>
      </w:pPr>
    </w:p>
    <w:p>
      <w:pPr>
        <w:ind w:left="700" w:right="1779" w:firstLine="952"/>
        <w:spacing w:after="0" w:line="269" w:lineRule="auto"/>
        <w:tabs>
          <w:tab w:leader="none" w:pos="217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a reading of the latest unaudited financial statements made available by the Company and its subsidiaries; their limited review, in accordance with standards established under Statement on Auditing Standards No. 71, of the unaudited interim financial information for the nine-month period ended September 30, 2001 and as at September 30, 2001; carrying out certain specified procedures (but not an examination in accordance with generally accepted auditing standards) which would not necessarily reveal matters of significance with respect to the comments set forth in such letter; a reading of the minutes of the meetings of the stockholders, directors and audit committee of the Company and the subsidiaries; and inquiries of certain officials of the Company who have responsibility for financial and accounting matters of the Company and its subsidiaries as to transactions and events subsequent to September 30, 2001, nothing came to their attention which caused them to believe that:</w:t>
      </w:r>
    </w:p>
    <w:p>
      <w:pPr>
        <w:spacing w:after="0" w:line="200" w:lineRule="exact"/>
        <w:rPr>
          <w:sz w:val="20"/>
          <w:szCs w:val="20"/>
          <w:color w:val="auto"/>
        </w:rPr>
      </w:pPr>
    </w:p>
    <w:p>
      <w:pPr>
        <w:spacing w:after="0" w:line="39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925" w:right="1440" w:bottom="1440" w:gutter="0" w:footer="0" w:header="0"/>
        </w:sectPr>
      </w:pPr>
    </w:p>
    <w:bookmarkStart w:id="20" w:name="page21"/>
    <w:bookmarkEnd w:id="20"/>
    <w:p>
      <w:pPr>
        <w:ind w:left="1660" w:right="1779" w:firstLine="940"/>
        <w:spacing w:after="0" w:line="270" w:lineRule="auto"/>
        <w:tabs>
          <w:tab w:leader="none" w:pos="302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unaudited financial statements included or incorporated by reference in the Registration Statement and the Final Prospectus do not comply as to form in all material respects with applicable accounting requirements of the Act and with the related rules and regulations adopted by the Commission with respect to financial statements included or incorporated by reference in quarterly reports on Form 10-Q under the Exchange Act; and said unaudited financial statements are not in conformity with generally accepted accounting principles applied on a basis substantially consistent with that of the audited financial statements included or incorporated by reference in the Registration Statement and the Final Prospectus;</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1660" w:right="1779" w:firstLine="940"/>
        <w:spacing w:after="0" w:line="269" w:lineRule="auto"/>
        <w:tabs>
          <w:tab w:leader="none" w:pos="302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period subsequent to September 30, 2001, there were any changes, at a specified date not more than five days prior to the date of the letter, in the long-term debt of the Company and its subsidiaries or capital stock of the Company or decreases in consolidated net current assets (working capital) or stockholders' equity of the Company as compared with the amounts shown on the September 30, 2001 consolidated balance sheet included or incorporated by reference in the Registration Statement and the Final Prospectus, or for the period from October 1, 2001 to November 15, 2001 there were any decreases, as compared with the corresponding period in the preceding year in consolidated revenues or in net income or earnings per share of the Company and its subsidiaries, except in all instances for changes or decreases set forth in such letter, in which case the letter shall be accompanied by an explanation by the Company as to the significance thereof unless said explanation is not deemed necessary by the Representatives; or</w:t>
      </w:r>
    </w:p>
    <w:p>
      <w:pPr>
        <w:spacing w:after="0" w:line="393" w:lineRule="exact"/>
        <w:rPr>
          <w:rFonts w:ascii="Courier New" w:cs="Courier New" w:eastAsia="Courier New" w:hAnsi="Courier New"/>
          <w:sz w:val="16"/>
          <w:szCs w:val="16"/>
          <w:color w:val="auto"/>
        </w:rPr>
      </w:pPr>
    </w:p>
    <w:p>
      <w:pPr>
        <w:ind w:left="1660" w:right="1779" w:firstLine="940"/>
        <w:spacing w:after="0" w:line="237" w:lineRule="auto"/>
        <w:tabs>
          <w:tab w:leader="none" w:pos="302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included or incorporated by reference in the Registration Statement and Final Prospectus in response to Regulation S-K, Item 301 (Selected Financial Data) and Item 503(d) (Ratio of Earnings to Fixed Charges) is not in conformity with the applicable disclosure requirements of Regulation S-K; and</w:t>
      </w:r>
    </w:p>
    <w:p>
      <w:pPr>
        <w:spacing w:after="0" w:line="211" w:lineRule="exact"/>
        <w:rPr>
          <w:rFonts w:ascii="Courier New" w:cs="Courier New" w:eastAsia="Courier New" w:hAnsi="Courier New"/>
          <w:sz w:val="18"/>
          <w:szCs w:val="18"/>
          <w:color w:val="auto"/>
        </w:rPr>
      </w:pPr>
    </w:p>
    <w:p>
      <w:pPr>
        <w:ind w:left="700" w:right="1779" w:firstLine="952"/>
        <w:spacing w:after="0" w:line="269" w:lineRule="auto"/>
        <w:tabs>
          <w:tab w:leader="none" w:pos="22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subsidiaries) set forth in the Registration Statement and the Final Prospectus and in Exhibit 12 to the Registration Statement, the information included or incorporated by reference in Items 1, 2, 6, 7 and 11 of the Company's Annual Report on Form 10-K, incorporated by reference in the Registration Statement and the Final Prospectus, and the information included in the "Management's Discussion and Analysis of Financial Condition and Results of Operations" included or incorporated by reference in the Company's Quarterly Reports on Form 10-Q, incorporated by reference in the Registration Statement and the Final</w:t>
      </w:r>
    </w:p>
    <w:p>
      <w:pPr>
        <w:spacing w:after="0" w:line="200" w:lineRule="exact"/>
        <w:rPr>
          <w:sz w:val="20"/>
          <w:szCs w:val="20"/>
          <w:color w:val="auto"/>
        </w:rPr>
      </w:pPr>
    </w:p>
    <w:p>
      <w:pPr>
        <w:spacing w:after="0" w:line="39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019"/>
          </w:cols>
          <w:pgMar w:left="1440" w:top="925" w:right="1440" w:bottom="1440" w:gutter="0" w:footer="0" w:header="0"/>
        </w:sectPr>
      </w:pPr>
    </w:p>
    <w:bookmarkStart w:id="21" w:name="page22"/>
    <w:bookmarkEnd w:id="21"/>
    <w:p>
      <w:pPr>
        <w:ind w:left="1900" w:right="1879"/>
        <w:spacing w:after="0" w:line="236" w:lineRule="auto"/>
        <w:rPr>
          <w:sz w:val="20"/>
          <w:szCs w:val="20"/>
          <w:color w:val="auto"/>
        </w:rPr>
      </w:pPr>
      <w:r>
        <w:rPr>
          <w:rFonts w:ascii="Courier New" w:cs="Courier New" w:eastAsia="Courier New" w:hAnsi="Courier New"/>
          <w:sz w:val="18"/>
          <w:szCs w:val="18"/>
          <w:color w:val="auto"/>
        </w:rPr>
        <w:t>Prospectus, agrees with the accounting records of the Company and its subsidiaries, excluding any questions of legal interpretation.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References to the Final Prospectus in this paragraph (f)</w:t>
      </w:r>
    </w:p>
    <w:p>
      <w:pPr>
        <w:ind w:left="960"/>
        <w:spacing w:after="0" w:line="238" w:lineRule="auto"/>
        <w:rPr>
          <w:sz w:val="20"/>
          <w:szCs w:val="20"/>
          <w:color w:val="auto"/>
        </w:rPr>
      </w:pPr>
      <w:r>
        <w:rPr>
          <w:rFonts w:ascii="Courier New" w:cs="Courier New" w:eastAsia="Courier New" w:hAnsi="Courier New"/>
          <w:sz w:val="18"/>
          <w:szCs w:val="18"/>
          <w:color w:val="auto"/>
        </w:rPr>
        <w:t>include any supplement thereto at the date of the letter.</w:t>
      </w:r>
    </w:p>
    <w:p>
      <w:pPr>
        <w:spacing w:after="0" w:line="207" w:lineRule="exact"/>
        <w:rPr>
          <w:sz w:val="20"/>
          <w:szCs w:val="20"/>
          <w:color w:val="auto"/>
        </w:rPr>
      </w:pPr>
    </w:p>
    <w:p>
      <w:pPr>
        <w:ind w:left="960" w:right="1779" w:firstLine="944"/>
        <w:spacing w:after="0" w:line="238"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Time or, if earlier, the dates as of which information is given in the Registration Statement (exclusive of any amendment thereof) and the Final Prospectus (exclusive of any supplement thereto),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Final Prospectus (exclusive of any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Final Prospectus (exclusive of any supplement thereto).</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Time,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211" w:lineRule="exact"/>
        <w:rPr>
          <w:rFonts w:ascii="Courier New" w:cs="Courier New" w:eastAsia="Courier New" w:hAnsi="Courier New"/>
          <w:sz w:val="18"/>
          <w:szCs w:val="18"/>
          <w:color w:val="auto"/>
        </w:rPr>
      </w:pPr>
    </w:p>
    <w:p>
      <w:pPr>
        <w:ind w:left="960" w:right="1779" w:firstLine="944"/>
        <w:spacing w:after="0" w:line="279" w:lineRule="auto"/>
        <w:tabs>
          <w:tab w:leader="none" w:pos="232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the Company shall have furnished to the Representatives such further information, certificates and documents as the Representatives may reasonably request.</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any of the conditions specified in this Section 6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214"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documents required to be delivered by this Section 6 shall be delivered at the office of Baker Botts L.L.P., counsel for the Company, at One Shell Plaza, 910 Louisiana Street, Houston, Texas 77002, on the Closing Date.</w:t>
      </w:r>
    </w:p>
    <w:p>
      <w:pPr>
        <w:spacing w:after="0" w:line="178" w:lineRule="exact"/>
        <w:rPr>
          <w:sz w:val="20"/>
          <w:szCs w:val="20"/>
          <w:color w:val="auto"/>
        </w:rPr>
      </w:pPr>
    </w:p>
    <w:p>
      <w:pPr>
        <w:ind w:right="1879" w:firstLine="956"/>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of Underwriters' Expenses. If the sale of the Securities provided for herein is not consummated because any condition to the obligations of the Underwriters set forth in Section 6 hereof is not satisfied, because of any termination pursuant to Section 10(i) hereof (other than as a result of the occurrence of the circumstances in Section 10(ii) hereof) or because of any refusal, inability or failure on the part of the Company to perform any agreement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2" w:name="page23"/>
    <w:bookmarkEnd w:id="22"/>
    <w:p>
      <w:pPr>
        <w:ind w:right="1779"/>
        <w:spacing w:after="0" w:line="272" w:lineRule="auto"/>
        <w:rPr>
          <w:sz w:val="20"/>
          <w:szCs w:val="20"/>
          <w:color w:val="auto"/>
        </w:rPr>
      </w:pPr>
      <w:r>
        <w:rPr>
          <w:rFonts w:ascii="Courier New" w:cs="Courier New" w:eastAsia="Courier New" w:hAnsi="Courier New"/>
          <w:sz w:val="16"/>
          <w:szCs w:val="16"/>
          <w:color w:val="auto"/>
        </w:rPr>
        <w:t>herein or comply with any provision hereof other than by reason of a default by any of the Underwriters, the Company will reimburse the Underwriters severally through Banc of America Securities LLC, J.P. Morgan Securities Inc. and Salomon Smith Barney Inc. on demand for all out-of-pocket expenses (including reasonable fees and disbursements of counsel) that shall have been incurred by them in connection with the proposed purchase and sale of the Securities.</w:t>
      </w:r>
    </w:p>
    <w:p>
      <w:pPr>
        <w:spacing w:after="0" w:line="186" w:lineRule="exact"/>
        <w:rPr>
          <w:sz w:val="20"/>
          <w:szCs w:val="20"/>
          <w:color w:val="auto"/>
        </w:rPr>
      </w:pPr>
    </w:p>
    <w:p>
      <w:pPr>
        <w:ind w:right="1779" w:firstLine="956"/>
        <w:spacing w:after="0" w:line="269" w:lineRule="auto"/>
        <w:tabs>
          <w:tab w:leader="none" w:pos="12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Basic Prospectus, any Preliminary Final Prospectus or the Final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in the last paragraph of the cover page regarding delivery of the Securities and, under the heading "Underwriting" or "Plan of Distribution," (i) the list of Underwriters and their respective participation in the sale of the Securities, (ii) the sentences related to concessions and reallowances, (iii) the paragraph related to stabilization, syndicate covering transactions and penalty bids and (iv) the paragraph relating to internet distribution of the Securities in any Preliminary Final Prospectus and the Final Prospectus constitute the only information furnished in writing by or on behalf of the several Underwriters for inclusion in any Preliminary Final Prospectus or the Final Prospectus.</w:t>
      </w:r>
    </w:p>
    <w:p>
      <w:pPr>
        <w:spacing w:after="0" w:line="209"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this Section 8 of notice of the commencement of any action, such indemnified party will, if a claim in respect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23" w:name="page24"/>
    <w:bookmarkEnd w:id="23"/>
    <w:p>
      <w:pPr>
        <w:ind w:right="1779"/>
        <w:spacing w:after="0" w:line="268" w:lineRule="auto"/>
        <w:rPr>
          <w:sz w:val="20"/>
          <w:szCs w:val="20"/>
          <w:color w:val="auto"/>
        </w:rPr>
      </w:pPr>
      <w:r>
        <w:rPr>
          <w:rFonts w:ascii="Courier New" w:cs="Courier New" w:eastAsia="Courier New" w:hAnsi="Courier New"/>
          <w:sz w:val="16"/>
          <w:szCs w:val="16"/>
          <w:color w:val="auto"/>
        </w:rPr>
        <w:t>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8"/>
        <w:spacing w:after="0" w:line="270"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391" w:lineRule="exact"/>
        <w:rPr>
          <w:rFonts w:ascii="Courier New" w:cs="Courier New" w:eastAsia="Courier New" w:hAnsi="Courier New"/>
          <w:sz w:val="16"/>
          <w:szCs w:val="16"/>
          <w:color w:val="auto"/>
        </w:rPr>
      </w:pPr>
    </w:p>
    <w:p>
      <w:pPr>
        <w:ind w:right="1879" w:firstLine="1904"/>
        <w:spacing w:after="0" w:line="271" w:lineRule="auto"/>
        <w:tabs>
          <w:tab w:leader="none" w:pos="231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same) (collectively, "Losses") to which the Company and one or more of the Underwriters may be subject in such proportion as is appropriate to reflect the relative benefits received by the Company on the one hand and by the Underwriters on the other from the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24" w:name="page25"/>
    <w:bookmarkEnd w:id="24"/>
    <w:p>
      <w:pPr>
        <w:ind w:right="1779"/>
        <w:spacing w:after="0" w:line="238" w:lineRule="auto"/>
        <w:rPr>
          <w:sz w:val="20"/>
          <w:szCs w:val="20"/>
          <w:color w:val="auto"/>
        </w:rPr>
      </w:pPr>
      <w:r>
        <w:rPr>
          <w:rFonts w:ascii="Courier New" w:cs="Courier New" w:eastAsia="Courier New" w:hAnsi="Courier New"/>
          <w:sz w:val="18"/>
          <w:szCs w:val="18"/>
          <w:color w:val="auto"/>
        </w:rPr>
        <w:t>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17" w:lineRule="exact"/>
        <w:rPr>
          <w:sz w:val="20"/>
          <w:szCs w:val="20"/>
          <w:color w:val="auto"/>
        </w:rPr>
      </w:pPr>
    </w:p>
    <w:p>
      <w:pPr>
        <w:ind w:right="1779" w:firstLine="956"/>
        <w:spacing w:after="0" w:line="238"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an Underwriter.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II hereto bears to the aggregate principal amount of Securities set forth opposite the names of all the remaining Underwriters) the Securities which the defaulting Underwriter or Underwriters agreed but failed to purchase; provided, however, that in the event that the aggregate principal amount of Securities which the defaulting Underwriter or Underwriters agreed but failed to purchase shall exceed 10% of the aggregate principal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5" w:name="page26"/>
    <w:bookmarkEnd w:id="25"/>
    <w:p>
      <w:pPr>
        <w:ind w:right="1879"/>
        <w:spacing w:after="0" w:line="272" w:lineRule="auto"/>
        <w:rPr>
          <w:sz w:val="20"/>
          <w:szCs w:val="20"/>
          <w:color w:val="auto"/>
        </w:rPr>
      </w:pPr>
      <w:r>
        <w:rPr>
          <w:rFonts w:ascii="Courier New" w:cs="Courier New" w:eastAsia="Courier New" w:hAnsi="Courier New"/>
          <w:sz w:val="16"/>
          <w:szCs w:val="16"/>
          <w:color w:val="auto"/>
        </w:rPr>
        <w:t>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6" w:lineRule="exact"/>
        <w:rPr>
          <w:sz w:val="20"/>
          <w:szCs w:val="20"/>
          <w:color w:val="auto"/>
        </w:rPr>
      </w:pPr>
    </w:p>
    <w:p>
      <w:pPr>
        <w:ind w:right="1779" w:firstLine="956"/>
        <w:spacing w:after="0" w:line="268" w:lineRule="auto"/>
        <w:tabs>
          <w:tab w:leader="none" w:pos="136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Representatives, by notice given to the Company prior to delivery of and payment for the Securities, if at any time prior to such time</w:t>
      </w:r>
    </w:p>
    <w:p>
      <w:pPr>
        <w:ind w:right="1879" w:firstLine="8"/>
        <w:spacing w:after="0" w:line="238"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or New York State authorities or (iv) there shall have occurred any material change in the financial markets or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Final Prospectus (exclusive of any supplement thereto).</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Indemnities to Survive.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213"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communications hereunder will be in writing and effective only on receipt, and, if sent to the Representatives, will be mailed, delivered or telefaxed to Banc of America Securities LLC, Attention: Debt Capital Markets (fax no.: (704) 388-9939) and confirmed to Banc of America Securities LLC, at Bank of America Corp. Center, 100 North Tryon Street, Charlotte, North Carolina 28255, Attention: Debt Capital Markets; J.P. Morgan Securities Inc., Attention: Debt Capital Markets - 9th Floor (fax no.: (212)</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834-6170) and confirmed to J.P. Morgan Securities Inc., at 270 Park Avenue, New York, New York 10017, Attention: Debt Capital Markets - 9th Floor; Salomon Smith Barney Inc. General Counsel (fax no.: (212) 816-7912) and confirmed to the General Counsel, Salomon Smith Barney Inc., at 388 Greenwich Street, New York, New York 10013, Attention: General Counsel; or, if sent to the Company, will be mailed, delivered or telefaxed to the Waste Management, Inc. General Counsel (fax no.: (713) 209-9710) and confirmed to it at 1001 Fannin, Suite 4000, attention of the Legal Department.</w:t>
      </w:r>
    </w:p>
    <w:p>
      <w:pPr>
        <w:spacing w:after="0" w:line="212" w:lineRule="exact"/>
        <w:rPr>
          <w:rFonts w:ascii="Courier New" w:cs="Courier New" w:eastAsia="Courier New" w:hAnsi="Courier New"/>
          <w:sz w:val="16"/>
          <w:szCs w:val="16"/>
          <w:color w:val="auto"/>
        </w:rPr>
      </w:pPr>
    </w:p>
    <w:p>
      <w:pPr>
        <w:ind w:right="2099" w:firstLine="956"/>
        <w:spacing w:after="0" w:line="237"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6" w:name="page27"/>
    <w:bookmarkEnd w:id="26"/>
    <w:p>
      <w:pPr>
        <w:ind w:left="-956" w:right="1779" w:firstLine="956"/>
        <w:spacing w:after="0" w:line="236"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will be governed by and construed in accordance with the laws of the State of New York applicable to contracts made and to be performed within the State of New York.</w:t>
      </w:r>
    </w:p>
    <w:p>
      <w:pPr>
        <w:spacing w:after="0" w:line="208" w:lineRule="exact"/>
        <w:rPr>
          <w:rFonts w:ascii="Courier New" w:cs="Courier New" w:eastAsia="Courier New" w:hAnsi="Courier New"/>
          <w:sz w:val="18"/>
          <w:szCs w:val="18"/>
          <w:color w:val="auto"/>
        </w:rPr>
      </w:pPr>
    </w:p>
    <w:p>
      <w:pPr>
        <w:ind w:left="-956" w:right="2519" w:firstLine="956"/>
        <w:spacing w:after="0" w:line="236"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signed in one or more counterparts, each of which shall constitute an original and all of which together shall constitute one and the same agreement.</w:t>
      </w:r>
    </w:p>
    <w:p>
      <w:pPr>
        <w:spacing w:after="0" w:line="208" w:lineRule="exact"/>
        <w:rPr>
          <w:rFonts w:ascii="Courier New" w:cs="Courier New" w:eastAsia="Courier New" w:hAnsi="Courier New"/>
          <w:sz w:val="18"/>
          <w:szCs w:val="18"/>
          <w:color w:val="auto"/>
        </w:rPr>
      </w:pPr>
    </w:p>
    <w:p>
      <w:pPr>
        <w:ind w:left="-956" w:right="1779" w:firstLine="956"/>
        <w:spacing w:after="0" w:line="235"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section headings used herein are for convenience only and shall not affect the construction hereof.</w:t>
      </w:r>
    </w:p>
    <w:p>
      <w:pPr>
        <w:spacing w:after="0" w:line="208" w:lineRule="exact"/>
        <w:rPr>
          <w:rFonts w:ascii="Courier New" w:cs="Courier New" w:eastAsia="Courier New" w:hAnsi="Courier New"/>
          <w:sz w:val="18"/>
          <w:szCs w:val="18"/>
          <w:color w:val="auto"/>
        </w:rPr>
      </w:pPr>
    </w:p>
    <w:p>
      <w:pPr>
        <w:ind w:left="-956" w:right="1999" w:firstLine="956"/>
        <w:spacing w:after="0" w:line="235"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terms which follow, when used in this Agreement, shall have the meanings indicated.</w:t>
      </w:r>
    </w:p>
    <w:p>
      <w:pPr>
        <w:spacing w:after="0" w:line="208" w:lineRule="exact"/>
        <w:rPr>
          <w:sz w:val="20"/>
          <w:szCs w:val="20"/>
          <w:color w:val="auto"/>
        </w:rPr>
      </w:pPr>
    </w:p>
    <w:p>
      <w:pPr>
        <w:ind w:left="4" w:right="1999" w:firstLine="948"/>
        <w:spacing w:after="0" w:line="290" w:lineRule="auto"/>
        <w:rPr>
          <w:sz w:val="20"/>
          <w:szCs w:val="20"/>
          <w:color w:val="auto"/>
        </w:rPr>
      </w:pPr>
      <w:r>
        <w:rPr>
          <w:rFonts w:ascii="Courier New" w:cs="Courier New" w:eastAsia="Courier New" w:hAnsi="Courier New"/>
          <w:sz w:val="16"/>
          <w:szCs w:val="16"/>
          <w:color w:val="auto"/>
        </w:rPr>
        <w:t>"Act" shall mean the Securities Act of 1933, as amended, and the rules and regulations of the Commission promulgated thereunder.</w:t>
      </w:r>
    </w:p>
    <w:p>
      <w:pPr>
        <w:spacing w:after="0" w:line="170" w:lineRule="exact"/>
        <w:rPr>
          <w:sz w:val="20"/>
          <w:szCs w:val="20"/>
          <w:color w:val="auto"/>
        </w:rPr>
      </w:pPr>
    </w:p>
    <w:p>
      <w:pPr>
        <w:jc w:val="both"/>
        <w:ind w:left="4" w:right="2099" w:firstLine="948"/>
        <w:spacing w:after="0" w:line="236" w:lineRule="auto"/>
        <w:rPr>
          <w:sz w:val="20"/>
          <w:szCs w:val="20"/>
          <w:color w:val="auto"/>
        </w:rPr>
      </w:pPr>
      <w:r>
        <w:rPr>
          <w:rFonts w:ascii="Courier New" w:cs="Courier New" w:eastAsia="Courier New" w:hAnsi="Courier New"/>
          <w:sz w:val="18"/>
          <w:szCs w:val="18"/>
          <w:color w:val="auto"/>
        </w:rPr>
        <w:t>"Basic Prospectus" shall mean the prospectus referred to in paragraph 1(a) above contained in the Registration Statement at the Effective Date including any Preliminary Final Prospectus.</w:t>
      </w:r>
    </w:p>
    <w:p>
      <w:pPr>
        <w:spacing w:after="0" w:line="209" w:lineRule="exact"/>
        <w:rPr>
          <w:sz w:val="20"/>
          <w:szCs w:val="20"/>
          <w:color w:val="auto"/>
        </w:rPr>
      </w:pPr>
    </w:p>
    <w:p>
      <w:pPr>
        <w:ind w:left="4" w:right="1779" w:firstLine="948"/>
        <w:spacing w:after="0" w:line="237" w:lineRule="auto"/>
        <w:rPr>
          <w:sz w:val="20"/>
          <w:szCs w:val="20"/>
          <w:color w:val="auto"/>
        </w:rPr>
      </w:pPr>
      <w:r>
        <w:rPr>
          <w:rFonts w:ascii="Courier New" w:cs="Courier New" w:eastAsia="Courier New" w:hAnsi="Courier New"/>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207" w:lineRule="exact"/>
        <w:rPr>
          <w:sz w:val="20"/>
          <w:szCs w:val="20"/>
          <w:color w:val="auto"/>
        </w:rPr>
      </w:pPr>
    </w:p>
    <w:p>
      <w:pPr>
        <w:ind w:left="4" w:right="2939" w:firstLine="948"/>
        <w:spacing w:after="0" w:line="235" w:lineRule="auto"/>
        <w:rPr>
          <w:sz w:val="20"/>
          <w:szCs w:val="20"/>
          <w:color w:val="auto"/>
        </w:rPr>
      </w:pPr>
      <w:r>
        <w:rPr>
          <w:rFonts w:ascii="Courier New" w:cs="Courier New" w:eastAsia="Courier New" w:hAnsi="Courier New"/>
          <w:sz w:val="18"/>
          <w:szCs w:val="18"/>
          <w:color w:val="auto"/>
        </w:rPr>
        <w:t>"Commission" shall mean the Securities and Exchange Commission.</w:t>
      </w:r>
    </w:p>
    <w:p>
      <w:pPr>
        <w:spacing w:after="0" w:line="208" w:lineRule="exact"/>
        <w:rPr>
          <w:sz w:val="20"/>
          <w:szCs w:val="20"/>
          <w:color w:val="auto"/>
        </w:rPr>
      </w:pPr>
    </w:p>
    <w:p>
      <w:pPr>
        <w:ind w:left="4" w:right="2199" w:firstLine="948"/>
        <w:spacing w:after="0" w:line="237" w:lineRule="auto"/>
        <w:rPr>
          <w:sz w:val="20"/>
          <w:szCs w:val="20"/>
          <w:color w:val="auto"/>
        </w:rPr>
      </w:pPr>
      <w:r>
        <w:rPr>
          <w:rFonts w:ascii="Courier New" w:cs="Courier New" w:eastAsia="Courier New" w:hAnsi="Courier New"/>
          <w:sz w:val="18"/>
          <w:szCs w:val="18"/>
          <w:color w:val="auto"/>
        </w:rPr>
        <w:t>"Effective Date" shall mean each date and time that the Registration Statement, any post-effective amendment or amendments thereto and any Rule 462(b) Registration Statement became or become effective.</w:t>
      </w:r>
    </w:p>
    <w:p>
      <w:pPr>
        <w:spacing w:after="0" w:line="207" w:lineRule="exact"/>
        <w:rPr>
          <w:sz w:val="20"/>
          <w:szCs w:val="20"/>
          <w:color w:val="auto"/>
        </w:rPr>
      </w:pPr>
    </w:p>
    <w:p>
      <w:pPr>
        <w:jc w:val="both"/>
        <w:ind w:left="4" w:right="1779" w:firstLine="948"/>
        <w:spacing w:after="0" w:line="236" w:lineRule="auto"/>
        <w:rPr>
          <w:sz w:val="20"/>
          <w:szCs w:val="20"/>
          <w:color w:val="auto"/>
        </w:rPr>
      </w:pPr>
      <w:r>
        <w:rPr>
          <w:rFonts w:ascii="Courier New" w:cs="Courier New" w:eastAsia="Courier New" w:hAnsi="Courier New"/>
          <w:sz w:val="18"/>
          <w:szCs w:val="18"/>
          <w:color w:val="auto"/>
        </w:rPr>
        <w:t>"Exchange Act" shall mean the Securities Exchange Act of 1934, as amended, and the rules and regulations of the Commission promulgated thereunder.</w:t>
      </w:r>
    </w:p>
    <w:p>
      <w:pPr>
        <w:spacing w:after="0" w:line="209" w:lineRule="exact"/>
        <w:rPr>
          <w:sz w:val="20"/>
          <w:szCs w:val="20"/>
          <w:color w:val="auto"/>
        </w:rPr>
      </w:pPr>
    </w:p>
    <w:p>
      <w:pPr>
        <w:ind w:left="4" w:right="2519" w:firstLine="948"/>
        <w:spacing w:after="0" w:line="290" w:lineRule="auto"/>
        <w:rPr>
          <w:sz w:val="20"/>
          <w:szCs w:val="20"/>
          <w:color w:val="auto"/>
        </w:rPr>
      </w:pPr>
      <w:r>
        <w:rPr>
          <w:rFonts w:ascii="Courier New" w:cs="Courier New" w:eastAsia="Courier New" w:hAnsi="Courier New"/>
          <w:sz w:val="16"/>
          <w:szCs w:val="16"/>
          <w:color w:val="auto"/>
        </w:rPr>
        <w:t>"Execution Time" shall mean the date and time that this Agreement is executed and delivered by the parties hereto.</w:t>
      </w:r>
    </w:p>
    <w:p>
      <w:pPr>
        <w:spacing w:after="0" w:line="170" w:lineRule="exact"/>
        <w:rPr>
          <w:sz w:val="20"/>
          <w:szCs w:val="20"/>
          <w:color w:val="auto"/>
        </w:rPr>
      </w:pPr>
    </w:p>
    <w:p>
      <w:pPr>
        <w:ind w:left="4" w:right="1779" w:firstLine="948"/>
        <w:spacing w:after="0" w:line="236" w:lineRule="auto"/>
        <w:rPr>
          <w:sz w:val="20"/>
          <w:szCs w:val="20"/>
          <w:color w:val="auto"/>
        </w:rPr>
      </w:pPr>
      <w:r>
        <w:rPr>
          <w:rFonts w:ascii="Courier New" w:cs="Courier New" w:eastAsia="Courier New" w:hAnsi="Courier New"/>
          <w:sz w:val="18"/>
          <w:szCs w:val="18"/>
          <w:color w:val="auto"/>
        </w:rPr>
        <w:t>"Final Prospectus" shall mean the prospectus supplement relating to the Securities that was first filed pursuant to Rule 424(b) after the Execution Time, together with the Basic Prospectus.</w:t>
      </w:r>
    </w:p>
    <w:p>
      <w:pPr>
        <w:spacing w:after="0" w:line="209" w:lineRule="exact"/>
        <w:rPr>
          <w:sz w:val="20"/>
          <w:szCs w:val="20"/>
          <w:color w:val="auto"/>
        </w:rPr>
      </w:pPr>
    </w:p>
    <w:p>
      <w:pPr>
        <w:ind w:left="4" w:right="1999" w:firstLine="948"/>
        <w:spacing w:after="0" w:line="235" w:lineRule="auto"/>
        <w:rPr>
          <w:sz w:val="20"/>
          <w:szCs w:val="20"/>
          <w:color w:val="auto"/>
        </w:rPr>
      </w:pPr>
      <w:r>
        <w:rPr>
          <w:rFonts w:ascii="Courier New" w:cs="Courier New" w:eastAsia="Courier New" w:hAnsi="Courier New"/>
          <w:sz w:val="18"/>
          <w:szCs w:val="18"/>
          <w:color w:val="auto"/>
        </w:rPr>
        <w:t>"1935 Act" shall mean the Public Utility Holding Company Act of 1935, as amended.</w:t>
      </w:r>
    </w:p>
    <w:p>
      <w:pPr>
        <w:spacing w:after="0" w:line="208" w:lineRule="exact"/>
        <w:rPr>
          <w:sz w:val="20"/>
          <w:szCs w:val="20"/>
          <w:color w:val="auto"/>
        </w:rPr>
      </w:pPr>
    </w:p>
    <w:p>
      <w:pPr>
        <w:ind w:left="4" w:right="1879" w:firstLine="948"/>
        <w:spacing w:after="0" w:line="237" w:lineRule="auto"/>
        <w:rPr>
          <w:sz w:val="20"/>
          <w:szCs w:val="20"/>
          <w:color w:val="auto"/>
        </w:rPr>
      </w:pPr>
      <w:r>
        <w:rPr>
          <w:rFonts w:ascii="Courier New" w:cs="Courier New" w:eastAsia="Courier New" w:hAnsi="Courier New"/>
          <w:sz w:val="18"/>
          <w:szCs w:val="18"/>
          <w:color w:val="auto"/>
        </w:rPr>
        <w:t>"Preliminary Final Prospectus" shall mean any preliminary prospectus supplement to the Basic Prospectus which describes the Securities and the offering thereof and is used prior to filing of the Final Prospectus, together with the Basic Prospectus.</w:t>
      </w:r>
    </w:p>
    <w:p>
      <w:pPr>
        <w:spacing w:after="0" w:line="200" w:lineRule="exact"/>
        <w:rPr>
          <w:sz w:val="20"/>
          <w:szCs w:val="20"/>
          <w:color w:val="auto"/>
        </w:rPr>
      </w:pPr>
    </w:p>
    <w:p>
      <w:pPr>
        <w:spacing w:after="0" w:line="204"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263"/>
          </w:cols>
          <w:pgMar w:left="1196" w:top="925" w:right="1440" w:bottom="1440" w:gutter="0" w:footer="0" w:header="0"/>
        </w:sectPr>
      </w:pPr>
    </w:p>
    <w:bookmarkStart w:id="27" w:name="page28"/>
    <w:bookmarkEnd w:id="27"/>
    <w:p>
      <w:pPr>
        <w:ind w:left="4" w:right="1779" w:firstLine="948"/>
        <w:spacing w:after="0" w:line="237" w:lineRule="auto"/>
        <w:rPr>
          <w:sz w:val="20"/>
          <w:szCs w:val="20"/>
          <w:color w:val="auto"/>
        </w:rPr>
      </w:pPr>
      <w:r>
        <w:rPr>
          <w:rFonts w:ascii="Courier New" w:cs="Courier New" w:eastAsia="Courier New" w:hAnsi="Courier New"/>
          <w:sz w:val="18"/>
          <w:szCs w:val="18"/>
          <w:color w:val="auto"/>
        </w:rPr>
        <w:t>"Registration Statement" shall mean the registration statement referred to in paragraph 1(a) above, including exhibits and financial statements, as amended at the Execution Time (or, if not effective at the Execution Time,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430A Information deemed to be included therein at the Effective Date as provided by Rule 430A.</w:t>
      </w:r>
    </w:p>
    <w:p>
      <w:pPr>
        <w:spacing w:after="0" w:line="215" w:lineRule="exact"/>
        <w:rPr>
          <w:sz w:val="20"/>
          <w:szCs w:val="20"/>
          <w:color w:val="auto"/>
        </w:rPr>
      </w:pPr>
    </w:p>
    <w:p>
      <w:pPr>
        <w:ind w:left="4" w:right="2099" w:firstLine="948"/>
        <w:spacing w:after="0" w:line="235" w:lineRule="auto"/>
        <w:rPr>
          <w:sz w:val="20"/>
          <w:szCs w:val="20"/>
          <w:color w:val="auto"/>
        </w:rPr>
      </w:pPr>
      <w:r>
        <w:rPr>
          <w:rFonts w:ascii="Courier New" w:cs="Courier New" w:eastAsia="Courier New" w:hAnsi="Courier New"/>
          <w:sz w:val="18"/>
          <w:szCs w:val="18"/>
          <w:color w:val="auto"/>
        </w:rPr>
        <w:t>"Rule 415," "Rule 424," "Rule 430A" and "Rule 462" refer to such rules under the Act.</w:t>
      </w:r>
    </w:p>
    <w:p>
      <w:pPr>
        <w:spacing w:after="0" w:line="208" w:lineRule="exact"/>
        <w:rPr>
          <w:sz w:val="20"/>
          <w:szCs w:val="20"/>
          <w:color w:val="auto"/>
        </w:rPr>
      </w:pPr>
    </w:p>
    <w:p>
      <w:pPr>
        <w:ind w:left="4" w:right="1779" w:firstLine="948"/>
        <w:spacing w:after="0" w:line="237" w:lineRule="auto"/>
        <w:rPr>
          <w:sz w:val="20"/>
          <w:szCs w:val="20"/>
          <w:color w:val="auto"/>
        </w:rPr>
      </w:pPr>
      <w:r>
        <w:rPr>
          <w:rFonts w:ascii="Courier New" w:cs="Courier New" w:eastAsia="Courier New" w:hAnsi="Courier New"/>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207" w:lineRule="exact"/>
        <w:rPr>
          <w:sz w:val="20"/>
          <w:szCs w:val="20"/>
          <w:color w:val="auto"/>
        </w:rPr>
      </w:pPr>
    </w:p>
    <w:p>
      <w:pPr>
        <w:ind w:left="4" w:right="1779" w:firstLine="948"/>
        <w:spacing w:after="0" w:line="237" w:lineRule="auto"/>
        <w:rPr>
          <w:sz w:val="20"/>
          <w:szCs w:val="20"/>
          <w:color w:val="auto"/>
        </w:rPr>
      </w:pPr>
      <w:r>
        <w:rPr>
          <w:rFonts w:ascii="Courier New" w:cs="Courier New" w:eastAsia="Courier New" w:hAnsi="Courier New"/>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207" w:lineRule="exact"/>
        <w:rPr>
          <w:sz w:val="20"/>
          <w:szCs w:val="20"/>
          <w:color w:val="auto"/>
        </w:rPr>
      </w:pPr>
    </w:p>
    <w:p>
      <w:pPr>
        <w:ind w:left="4" w:right="2099" w:firstLine="948"/>
        <w:spacing w:after="0" w:line="236" w:lineRule="auto"/>
        <w:rPr>
          <w:sz w:val="20"/>
          <w:szCs w:val="20"/>
          <w:color w:val="auto"/>
        </w:rPr>
      </w:pPr>
      <w:r>
        <w:rPr>
          <w:rFonts w:ascii="Courier New" w:cs="Courier New" w:eastAsia="Courier New" w:hAnsi="Courier New"/>
          <w:sz w:val="18"/>
          <w:szCs w:val="18"/>
          <w:color w:val="auto"/>
        </w:rPr>
        <w:t>"Trust Indenture Act" shall mean the Trust Indenture Act of 1939, as amended and the rules and regulations of the Commission promulgated thereunder.</w:t>
      </w:r>
    </w:p>
    <w:p>
      <w:pPr>
        <w:spacing w:after="0" w:line="209" w:lineRule="exact"/>
        <w:rPr>
          <w:sz w:val="20"/>
          <w:szCs w:val="20"/>
          <w:color w:val="auto"/>
        </w:rPr>
      </w:pPr>
    </w:p>
    <w:p>
      <w:pPr>
        <w:ind w:left="-956" w:right="1879" w:firstLine="956"/>
        <w:spacing w:after="0" w:line="272" w:lineRule="auto"/>
        <w:tabs>
          <w:tab w:leader="none" w:pos="41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Representation.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200" w:lineRule="exact"/>
        <w:rPr>
          <w:sz w:val="20"/>
          <w:szCs w:val="20"/>
          <w:color w:val="auto"/>
        </w:rPr>
      </w:pPr>
    </w:p>
    <w:p>
      <w:pPr>
        <w:spacing w:after="0" w:line="385"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263"/>
          </w:cols>
          <w:pgMar w:left="1196" w:top="925" w:right="1440" w:bottom="1440" w:gutter="0" w:footer="0" w:header="0"/>
        </w:sectPr>
      </w:pPr>
    </w:p>
    <w:bookmarkStart w:id="28" w:name="page29"/>
    <w:bookmarkEnd w:id="28"/>
    <w:p>
      <w:pPr>
        <w:ind w:right="1779" w:firstLine="948"/>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96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William L. Trubeck</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Title: Executive Vice President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and Chief Financial</w:t>
      </w:r>
    </w:p>
    <w:p>
      <w:pPr>
        <w:ind w:left="590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AGREEMENT IS HEREBY</w:t>
      </w:r>
    </w:p>
    <w:p>
      <w:pPr>
        <w:spacing w:after="0" w:line="238" w:lineRule="auto"/>
        <w:rPr>
          <w:sz w:val="20"/>
          <w:szCs w:val="20"/>
          <w:color w:val="auto"/>
        </w:rPr>
      </w:pPr>
      <w:r>
        <w:rPr>
          <w:rFonts w:ascii="Courier New" w:cs="Courier New" w:eastAsia="Courier New" w:hAnsi="Courier New"/>
          <w:sz w:val="18"/>
          <w:szCs w:val="18"/>
          <w:color w:val="auto"/>
        </w:rPr>
        <w:t>CONFIRMED AND ACCEPTED AS OF THE DATE</w:t>
      </w:r>
    </w:p>
    <w:p>
      <w:pPr>
        <w:spacing w:after="0"/>
        <w:rPr>
          <w:sz w:val="20"/>
          <w:szCs w:val="20"/>
          <w:color w:val="auto"/>
        </w:rPr>
      </w:pPr>
      <w:r>
        <w:rPr>
          <w:rFonts w:ascii="Courier New" w:cs="Courier New" w:eastAsia="Courier New" w:hAnsi="Courier New"/>
          <w:sz w:val="18"/>
          <w:szCs w:val="18"/>
          <w:color w:val="auto"/>
        </w:rPr>
        <w:t>SPECIFIED IN SCHEDULE I HERETO.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SALOMON SMITH BARNEY INC.</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200" w:lineRule="exact"/>
        <w:rPr>
          <w:sz w:val="20"/>
          <w:szCs w:val="20"/>
          <w:color w:val="auto"/>
        </w:rPr>
      </w:pPr>
    </w:p>
    <w:p>
      <w:pPr>
        <w:sectPr>
          <w:pgSz w:w="11900" w:h="16838" w:orient="portrait"/>
          <w:cols w:equalWidth="0" w:num="2">
            <w:col w:w="320" w:space="640"/>
            <w:col w:w="925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LILY CHANG</w:t>
      </w:r>
    </w:p>
    <w:p>
      <w:pPr>
        <w:spacing w:after="0" w:line="20" w:lineRule="exact"/>
        <w:rPr>
          <w:sz w:val="20"/>
          <w:szCs w:val="20"/>
          <w:color w:val="auto"/>
        </w:rPr>
      </w:pPr>
    </w:p>
    <w:p>
      <w:pPr>
        <w:sectPr>
          <w:pgSz w:w="11900" w:h="16838" w:orient="portrait"/>
          <w:cols w:equalWidth="0" w:num="2">
            <w:col w:w="240" w:space="720"/>
            <w:col w:w="925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Lily Chang</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Principal</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00" w:lineRule="exact"/>
        <w:rPr>
          <w:sz w:val="20"/>
          <w:szCs w:val="20"/>
          <w:color w:val="auto"/>
        </w:rPr>
      </w:pPr>
    </w:p>
    <w:p>
      <w:pPr>
        <w:sectPr>
          <w:pgSz w:w="11900" w:h="16838" w:orient="portrait"/>
          <w:cols w:equalWidth="0" w:num="2">
            <w:col w:w="320" w:space="640"/>
            <w:col w:w="925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MARIA SRAMEK</w:t>
      </w:r>
    </w:p>
    <w:p>
      <w:pPr>
        <w:spacing w:after="0" w:line="20" w:lineRule="exact"/>
        <w:rPr>
          <w:sz w:val="20"/>
          <w:szCs w:val="20"/>
          <w:color w:val="auto"/>
        </w:rPr>
      </w:pPr>
    </w:p>
    <w:p>
      <w:pPr>
        <w:sectPr>
          <w:pgSz w:w="11900" w:h="16838" w:orient="portrait"/>
          <w:cols w:equalWidth="0" w:num="2">
            <w:col w:w="220" w:space="640"/>
            <w:col w:w="935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Name:</w:t>
        <w:tab/>
        <w:t>Maria Sramek</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SALOMON SMITH BARNEY INC.</w:t>
      </w:r>
    </w:p>
    <w:p>
      <w:pPr>
        <w:spacing w:after="0" w:line="200" w:lineRule="exact"/>
        <w:rPr>
          <w:sz w:val="20"/>
          <w:szCs w:val="20"/>
          <w:color w:val="auto"/>
        </w:rPr>
      </w:pPr>
    </w:p>
    <w:p>
      <w:pPr>
        <w:sectPr>
          <w:pgSz w:w="11900" w:h="16838" w:orient="portrait"/>
          <w:cols w:equalWidth="0" w:num="2">
            <w:col w:w="320" w:space="640"/>
            <w:col w:w="925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SHAFER III</w:t>
      </w:r>
    </w:p>
    <w:p>
      <w:pPr>
        <w:spacing w:after="0" w:line="20" w:lineRule="exact"/>
        <w:rPr>
          <w:sz w:val="20"/>
          <w:szCs w:val="20"/>
          <w:color w:val="auto"/>
        </w:rPr>
      </w:pPr>
    </w:p>
    <w:p>
      <w:pPr>
        <w:sectPr>
          <w:pgSz w:w="11900" w:h="16838" w:orient="portrait"/>
          <w:cols w:equalWidth="0" w:num="2">
            <w:col w:w="220" w:space="640"/>
            <w:col w:w="935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Name:</w:t>
        <w:tab/>
        <w:t>John Shafer III</w:t>
      </w:r>
    </w:p>
    <w:p>
      <w:pPr>
        <w:ind w:left="5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7"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For themselves and the other several Underwriters, if any, named in Schedule II to the foregoing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type w:val="continuous"/>
        </w:sectPr>
      </w:pPr>
    </w:p>
    <w:bookmarkStart w:id="29" w:name="page30"/>
    <w:bookmarkEnd w:id="29"/>
    <w:p>
      <w:pPr>
        <w:ind w:left="370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Underwriting Agreement dated:</w:t>
      </w:r>
      <w:r>
        <w:rPr>
          <w:sz w:val="20"/>
          <w:szCs w:val="20"/>
          <w:color w:val="auto"/>
        </w:rPr>
        <w:tab/>
      </w:r>
      <w:r>
        <w:rPr>
          <w:rFonts w:ascii="Courier New" w:cs="Courier New" w:eastAsia="Courier New" w:hAnsi="Courier New"/>
          <w:sz w:val="16"/>
          <w:szCs w:val="16"/>
          <w:color w:val="auto"/>
        </w:rPr>
        <w:t>November 15, 2001</w:t>
      </w:r>
    </w:p>
    <w:p>
      <w:pPr>
        <w:spacing w:after="0" w:line="201"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Registration Statement No.:</w:t>
      </w:r>
      <w:r>
        <w:rPr>
          <w:sz w:val="20"/>
          <w:szCs w:val="20"/>
          <w:color w:val="auto"/>
        </w:rPr>
        <w:tab/>
      </w:r>
      <w:r>
        <w:rPr>
          <w:rFonts w:ascii="Courier New" w:cs="Courier New" w:eastAsia="Courier New" w:hAnsi="Courier New"/>
          <w:sz w:val="16"/>
          <w:szCs w:val="16"/>
          <w:color w:val="auto"/>
        </w:rPr>
        <w:t>333-80063</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Representative(s):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line="200" w:lineRule="exact"/>
        <w:rPr>
          <w:sz w:val="20"/>
          <w:szCs w:val="20"/>
          <w:color w:val="auto"/>
        </w:rPr>
      </w:pPr>
    </w:p>
    <w:p>
      <w:pPr>
        <w:sectPr>
          <w:pgSz w:w="11900" w:h="16838" w:orient="portrait"/>
          <w:cols w:equalWidth="0" w:num="2">
            <w:col w:w="2140" w:space="720"/>
            <w:col w:w="7359"/>
          </w:cols>
          <w:pgMar w:left="240" w:top="91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Purchase Price and Description of Securities:</w:t>
      </w:r>
    </w:p>
    <w:p>
      <w:pPr>
        <w:spacing w:after="0" w:line="201"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6 1/2% Senior Notes Due 2008</w:t>
      </w:r>
    </w:p>
    <w:p>
      <w:pPr>
        <w:spacing w:after="0" w:line="201" w:lineRule="exact"/>
        <w:rPr>
          <w:sz w:val="20"/>
          <w:szCs w:val="20"/>
          <w:color w:val="auto"/>
        </w:rPr>
      </w:pP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Principal amount:</w:t>
      </w:r>
      <w:r>
        <w:rPr>
          <w:sz w:val="20"/>
          <w:szCs w:val="20"/>
          <w:color w:val="auto"/>
        </w:rPr>
        <w:tab/>
      </w:r>
      <w:r>
        <w:rPr>
          <w:rFonts w:ascii="Courier New" w:cs="Courier New" w:eastAsia="Courier New" w:hAnsi="Courier New"/>
          <w:sz w:val="16"/>
          <w:szCs w:val="16"/>
          <w:color w:val="auto"/>
        </w:rPr>
        <w:t>$400,000,000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Purchase price (include accrued</w:t>
      </w:r>
    </w:p>
    <w:p>
      <w:pPr>
        <w:ind w:left="1160"/>
        <w:spacing w:after="0" w:line="238" w:lineRule="auto"/>
        <w:rPr>
          <w:sz w:val="20"/>
          <w:szCs w:val="20"/>
          <w:color w:val="auto"/>
        </w:rPr>
      </w:pPr>
      <w:r>
        <w:rPr>
          <w:rFonts w:ascii="Courier New" w:cs="Courier New" w:eastAsia="Courier New" w:hAnsi="Courier New"/>
          <w:sz w:val="18"/>
          <w:szCs w:val="18"/>
          <w:color w:val="auto"/>
        </w:rPr>
        <w:t>interest or amortization, if</w:t>
      </w:r>
    </w:p>
    <w:p>
      <w:pPr>
        <w:ind w:left="1160"/>
        <w:spacing w:after="0"/>
        <w:rPr>
          <w:sz w:val="20"/>
          <w:szCs w:val="20"/>
          <w:color w:val="auto"/>
        </w:rPr>
      </w:pPr>
      <w:r>
        <w:rPr>
          <w:rFonts w:ascii="Courier New" w:cs="Courier New" w:eastAsia="Courier New" w:hAnsi="Courier New"/>
          <w:sz w:val="18"/>
          <w:szCs w:val="18"/>
          <w:color w:val="auto"/>
        </w:rPr>
        <w:t>any, from November 20, 2001): 98.984%</w:t>
      </w:r>
    </w:p>
    <w:p>
      <w:pPr>
        <w:spacing w:after="0" w:line="200" w:lineRule="exact"/>
        <w:rPr>
          <w:sz w:val="20"/>
          <w:szCs w:val="20"/>
          <w:color w:val="auto"/>
        </w:rPr>
      </w:pPr>
    </w:p>
    <w:p>
      <w:pPr>
        <w:ind w:left="960"/>
        <w:spacing w:after="0"/>
        <w:tabs>
          <w:tab w:leader="none" w:pos="3680" w:val="left"/>
        </w:tabs>
        <w:rPr>
          <w:sz w:val="20"/>
          <w:szCs w:val="20"/>
          <w:color w:val="auto"/>
        </w:rPr>
      </w:pPr>
      <w:r>
        <w:rPr>
          <w:rFonts w:ascii="Courier New" w:cs="Courier New" w:eastAsia="Courier New" w:hAnsi="Courier New"/>
          <w:sz w:val="18"/>
          <w:szCs w:val="18"/>
          <w:color w:val="auto"/>
        </w:rPr>
        <w:t>Sinking fund provisions:</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Redemption provisions:</w:t>
      </w:r>
      <w:r>
        <w:rPr>
          <w:sz w:val="20"/>
          <w:szCs w:val="20"/>
          <w:color w:val="auto"/>
        </w:rPr>
        <w:tab/>
      </w:r>
      <w:r>
        <w:rPr>
          <w:rFonts w:ascii="Courier New" w:cs="Courier New" w:eastAsia="Courier New" w:hAnsi="Courier New"/>
          <w:sz w:val="16"/>
          <w:szCs w:val="16"/>
          <w:color w:val="auto"/>
        </w:rPr>
        <w:t>Make Whole Call + 25bp</w:t>
      </w:r>
    </w:p>
    <w:p>
      <w:pPr>
        <w:spacing w:after="0" w:line="201" w:lineRule="exact"/>
        <w:rPr>
          <w:sz w:val="20"/>
          <w:szCs w:val="20"/>
          <w:color w:val="auto"/>
        </w:rPr>
      </w:pP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Other provisions:</w:t>
      </w:r>
      <w:r>
        <w:rPr>
          <w:sz w:val="20"/>
          <w:szCs w:val="20"/>
          <w:color w:val="auto"/>
        </w:rPr>
        <w:tab/>
      </w:r>
      <w:r>
        <w:rPr>
          <w:rFonts w:ascii="Courier New" w:cs="Courier New" w:eastAsia="Courier New" w:hAnsi="Courier New"/>
          <w:sz w:val="16"/>
          <w:szCs w:val="16"/>
          <w:color w:val="auto"/>
        </w:rPr>
        <w:t>As provided in the Indenture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Closing Date, Time and Location: November 20, 2001 at 8:30 a.m. CST at the offices of Baker Botts L.L.P., One Shell Plaza, 910 Louisiana Street, Houston, Texas 77002</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Type of Offering:</w:t>
      </w:r>
      <w:r>
        <w:rPr>
          <w:sz w:val="20"/>
          <w:szCs w:val="20"/>
          <w:color w:val="auto"/>
        </w:rPr>
        <w:tab/>
      </w:r>
      <w:r>
        <w:rPr>
          <w:rFonts w:ascii="Courier New" w:cs="Courier New" w:eastAsia="Courier New" w:hAnsi="Courier New"/>
          <w:sz w:val="16"/>
          <w:szCs w:val="16"/>
          <w:color w:val="auto"/>
        </w:rPr>
        <w:t>Non-delayed</w:t>
      </w:r>
    </w:p>
    <w:p>
      <w:pPr>
        <w:spacing w:after="0" w:line="207" w:lineRule="exact"/>
        <w:rPr>
          <w:sz w:val="20"/>
          <w:szCs w:val="20"/>
          <w:color w:val="auto"/>
        </w:rPr>
      </w:pPr>
    </w:p>
    <w:p>
      <w:pPr>
        <w:jc w:val="right"/>
        <w:ind w:right="4319"/>
        <w:spacing w:after="0" w:line="268" w:lineRule="auto"/>
        <w:rPr>
          <w:sz w:val="20"/>
          <w:szCs w:val="20"/>
          <w:color w:val="auto"/>
        </w:rPr>
      </w:pPr>
      <w:r>
        <w:rPr>
          <w:rFonts w:ascii="Courier New" w:cs="Courier New" w:eastAsia="Courier New" w:hAnsi="Courier New"/>
          <w:sz w:val="16"/>
          <w:szCs w:val="16"/>
          <w:color w:val="auto"/>
        </w:rPr>
        <w:t>Date referred to in Section 5(f) after which the Company may offer or sell debt securities issued or guaranteed</w:t>
      </w:r>
    </w:p>
    <w:p>
      <w:pPr>
        <w:ind w:left="220"/>
        <w:spacing w:after="0"/>
        <w:rPr>
          <w:sz w:val="20"/>
          <w:szCs w:val="20"/>
          <w:color w:val="auto"/>
        </w:rPr>
      </w:pPr>
      <w:r>
        <w:rPr>
          <w:rFonts w:ascii="Courier New" w:cs="Courier New" w:eastAsia="Courier New" w:hAnsi="Courier New"/>
          <w:sz w:val="16"/>
          <w:szCs w:val="16"/>
          <w:color w:val="auto"/>
        </w:rPr>
        <w:t>by the Company without the consent of the Representative(s): December 15, 2001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items to be covered by the letter from</w:t>
      </w:r>
    </w:p>
    <w:p>
      <w:pPr>
        <w:ind w:left="220"/>
        <w:spacing w:after="0" w:line="238" w:lineRule="auto"/>
        <w:rPr>
          <w:sz w:val="20"/>
          <w:szCs w:val="20"/>
          <w:color w:val="auto"/>
        </w:rPr>
      </w:pPr>
      <w:r>
        <w:rPr>
          <w:rFonts w:ascii="Courier New" w:cs="Courier New" w:eastAsia="Courier New" w:hAnsi="Courier New"/>
          <w:sz w:val="18"/>
          <w:szCs w:val="18"/>
          <w:color w:val="auto"/>
        </w:rPr>
        <w:t>Arthur Andersen LLP delivered pursuant to</w:t>
      </w:r>
    </w:p>
    <w:p>
      <w:pPr>
        <w:ind w:left="220"/>
        <w:spacing w:after="0"/>
        <w:tabs>
          <w:tab w:leader="none" w:pos="4100" w:val="left"/>
        </w:tabs>
        <w:rPr>
          <w:sz w:val="20"/>
          <w:szCs w:val="20"/>
          <w:color w:val="auto"/>
        </w:rPr>
      </w:pPr>
      <w:r>
        <w:rPr>
          <w:rFonts w:ascii="Courier New" w:cs="Courier New" w:eastAsia="Courier New" w:hAnsi="Courier New"/>
          <w:sz w:val="18"/>
          <w:szCs w:val="18"/>
          <w:color w:val="auto"/>
        </w:rPr>
        <w:t>Section 6(f) at the Execution Time:</w:t>
      </w:r>
      <w:r>
        <w:rPr>
          <w:sz w:val="20"/>
          <w:szCs w:val="20"/>
          <w:color w:val="auto"/>
        </w:rPr>
        <w:tab/>
      </w:r>
      <w:r>
        <w:rPr>
          <w:rFonts w:ascii="Courier New" w:cs="Courier New" w:eastAsia="Courier New" w:hAnsi="Courier New"/>
          <w:sz w:val="16"/>
          <w:szCs w:val="16"/>
          <w:color w:val="auto"/>
        </w:rPr>
        <w:t>None</w:t>
      </w:r>
    </w:p>
    <w:p>
      <w:pPr>
        <w:sectPr>
          <w:pgSz w:w="11900" w:h="16838" w:orient="portrait"/>
          <w:cols w:equalWidth="0" w:num="1">
            <w:col w:w="10219"/>
          </w:cols>
          <w:pgMar w:left="240" w:top="919" w:right="1440" w:bottom="1440" w:gutter="0" w:footer="0" w:header="0"/>
          <w:type w:val="continuous"/>
        </w:sectPr>
      </w:pPr>
    </w:p>
    <w:bookmarkStart w:id="30" w:name="page31"/>
    <w:bookmarkEnd w:id="30"/>
    <w:p>
      <w:pPr>
        <w:ind w:left="3700"/>
        <w:spacing w:after="0"/>
        <w:rPr>
          <w:sz w:val="20"/>
          <w:szCs w:val="20"/>
          <w:color w:val="auto"/>
        </w:rPr>
      </w:pPr>
      <w:r>
        <w:rPr>
          <w:rFonts w:ascii="Courier New" w:cs="Courier New" w:eastAsia="Courier New" w:hAnsi="Courier New"/>
          <w:sz w:val="18"/>
          <w:szCs w:val="18"/>
          <w:color w:val="auto"/>
        </w:rPr>
        <w:t>SCHEDULE II</w:t>
      </w:r>
    </w:p>
    <w:p>
      <w:pPr>
        <w:spacing w:after="0" w:line="207" w:lineRule="exact"/>
        <w:rPr>
          <w:sz w:val="20"/>
          <w:szCs w:val="20"/>
          <w:color w:val="auto"/>
        </w:rPr>
      </w:pPr>
    </w:p>
    <w:p>
      <w:pPr>
        <w:jc w:val="center"/>
        <w:ind w:right="4739"/>
        <w:spacing w:after="0" w:line="236" w:lineRule="auto"/>
        <w:rPr>
          <w:sz w:val="20"/>
          <w:szCs w:val="20"/>
          <w:color w:val="auto"/>
        </w:rPr>
      </w:pPr>
      <w:r>
        <w:rPr>
          <w:rFonts w:ascii="Courier New" w:cs="Courier New" w:eastAsia="Courier New" w:hAnsi="Courier New"/>
          <w:sz w:val="18"/>
          <w:szCs w:val="18"/>
          <w:color w:val="auto"/>
        </w:rPr>
        <w:t>PRINCIPAL AMOUNT OF SECURITIES UNDERWRITERS TO BE PURCHASED - ------------ ---------------- Banc of America Securities</w:t>
      </w:r>
    </w:p>
    <w:p>
      <w:pPr>
        <w:spacing w:after="0" w:line="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LLC............................... $ 106,668,000</w:t>
      </w:r>
    </w:p>
    <w:p>
      <w:pPr>
        <w:jc w:val="center"/>
        <w:ind w:right="4739"/>
        <w:spacing w:after="0" w:line="238" w:lineRule="auto"/>
        <w:rPr>
          <w:sz w:val="20"/>
          <w:szCs w:val="20"/>
          <w:color w:val="auto"/>
        </w:rPr>
      </w:pPr>
      <w:r>
        <w:rPr>
          <w:rFonts w:ascii="Courier New" w:cs="Courier New" w:eastAsia="Courier New" w:hAnsi="Courier New"/>
          <w:sz w:val="18"/>
          <w:szCs w:val="18"/>
          <w:color w:val="auto"/>
        </w:rPr>
        <w:t>J.P. Morgan Securities</w:t>
      </w:r>
    </w:p>
    <w:p>
      <w:pPr>
        <w:jc w:val="center"/>
        <w:ind w:right="4739"/>
        <w:spacing w:after="0"/>
        <w:rPr>
          <w:sz w:val="20"/>
          <w:szCs w:val="20"/>
          <w:color w:val="auto"/>
        </w:rPr>
      </w:pPr>
      <w:r>
        <w:rPr>
          <w:rFonts w:ascii="Courier New" w:cs="Courier New" w:eastAsia="Courier New" w:hAnsi="Courier New"/>
          <w:sz w:val="18"/>
          <w:szCs w:val="18"/>
          <w:color w:val="auto"/>
        </w:rPr>
        <w:t>Inc................................... $</w:t>
      </w:r>
    </w:p>
    <w:p>
      <w:pPr>
        <w:jc w:val="center"/>
        <w:ind w:right="4739"/>
        <w:spacing w:after="0" w:line="237" w:lineRule="auto"/>
        <w:rPr>
          <w:sz w:val="20"/>
          <w:szCs w:val="20"/>
          <w:color w:val="auto"/>
        </w:rPr>
      </w:pPr>
      <w:r>
        <w:rPr>
          <w:rFonts w:ascii="Courier New" w:cs="Courier New" w:eastAsia="Courier New" w:hAnsi="Courier New"/>
          <w:sz w:val="18"/>
          <w:szCs w:val="18"/>
          <w:color w:val="auto"/>
        </w:rPr>
        <w:t>106,666,000 Salomon Smith Barney</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Inc..................................... $</w:t>
      </w:r>
    </w:p>
    <w:p>
      <w:pPr>
        <w:jc w:val="center"/>
        <w:ind w:right="4739"/>
        <w:spacing w:after="0"/>
        <w:rPr>
          <w:sz w:val="20"/>
          <w:szCs w:val="20"/>
          <w:color w:val="auto"/>
        </w:rPr>
      </w:pPr>
      <w:r>
        <w:rPr>
          <w:rFonts w:ascii="Courier New" w:cs="Courier New" w:eastAsia="Courier New" w:hAnsi="Courier New"/>
          <w:sz w:val="18"/>
          <w:szCs w:val="18"/>
          <w:color w:val="auto"/>
        </w:rPr>
        <w:t>106,666,000 ABN AMRO</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$ 10,000,000 Credit Suisse First Boston</w:t>
      </w:r>
    </w:p>
    <w:p>
      <w:pPr>
        <w:jc w:val="center"/>
        <w:ind w:right="4739"/>
        <w:spacing w:after="0" w:line="238" w:lineRule="auto"/>
        <w:rPr>
          <w:sz w:val="20"/>
          <w:szCs w:val="20"/>
          <w:color w:val="auto"/>
        </w:rPr>
      </w:pPr>
      <w:r>
        <w:rPr>
          <w:rFonts w:ascii="Courier New" w:cs="Courier New" w:eastAsia="Courier New" w:hAnsi="Courier New"/>
          <w:sz w:val="18"/>
          <w:szCs w:val="18"/>
          <w:color w:val="auto"/>
        </w:rPr>
        <w:t>Corporation....................... $ 10,000,000</w:t>
      </w:r>
    </w:p>
    <w:p>
      <w:pPr>
        <w:jc w:val="center"/>
        <w:ind w:right="4739"/>
        <w:spacing w:after="0"/>
        <w:rPr>
          <w:sz w:val="20"/>
          <w:szCs w:val="20"/>
          <w:color w:val="auto"/>
        </w:rPr>
      </w:pPr>
      <w:r>
        <w:rPr>
          <w:rFonts w:ascii="Courier New" w:cs="Courier New" w:eastAsia="Courier New" w:hAnsi="Courier New"/>
          <w:sz w:val="18"/>
          <w:szCs w:val="18"/>
          <w:color w:val="auto"/>
        </w:rPr>
        <w:t>Fleet Securities,</w:t>
      </w:r>
    </w:p>
    <w:p>
      <w:pPr>
        <w:jc w:val="center"/>
        <w:ind w:right="4739"/>
        <w:spacing w:after="0" w:line="237" w:lineRule="auto"/>
        <w:rPr>
          <w:sz w:val="20"/>
          <w:szCs w:val="20"/>
          <w:color w:val="auto"/>
        </w:rPr>
      </w:pPr>
      <w:r>
        <w:rPr>
          <w:rFonts w:ascii="Courier New" w:cs="Courier New" w:eastAsia="Courier New" w:hAnsi="Courier New"/>
          <w:sz w:val="18"/>
          <w:szCs w:val="18"/>
          <w:color w:val="auto"/>
        </w:rPr>
        <w:t>Inc........................................ $</w:t>
      </w:r>
    </w:p>
    <w:p>
      <w:pPr>
        <w:jc w:val="center"/>
        <w:ind w:right="4739"/>
        <w:spacing w:after="0" w:line="238" w:lineRule="auto"/>
        <w:rPr>
          <w:sz w:val="20"/>
          <w:szCs w:val="20"/>
          <w:color w:val="auto"/>
        </w:rPr>
      </w:pPr>
      <w:r>
        <w:rPr>
          <w:rFonts w:ascii="Courier New" w:cs="Courier New" w:eastAsia="Courier New" w:hAnsi="Courier New"/>
          <w:sz w:val="18"/>
          <w:szCs w:val="18"/>
          <w:color w:val="auto"/>
        </w:rPr>
        <w:t>10,000,000 Goldman, Sachs &amp;</w:t>
      </w:r>
    </w:p>
    <w:p>
      <w:pPr>
        <w:jc w:val="center"/>
        <w:ind w:right="4739"/>
        <w:spacing w:after="0"/>
        <w:rPr>
          <w:sz w:val="20"/>
          <w:szCs w:val="20"/>
          <w:color w:val="auto"/>
        </w:rPr>
      </w:pPr>
      <w:r>
        <w:rPr>
          <w:rFonts w:ascii="Courier New" w:cs="Courier New" w:eastAsia="Courier New" w:hAnsi="Courier New"/>
          <w:sz w:val="18"/>
          <w:szCs w:val="18"/>
          <w:color w:val="auto"/>
        </w:rPr>
        <w:t>Co.......................................... $</w:t>
      </w:r>
    </w:p>
    <w:p>
      <w:pPr>
        <w:jc w:val="center"/>
        <w:ind w:right="4739"/>
        <w:spacing w:after="0" w:line="237" w:lineRule="auto"/>
        <w:rPr>
          <w:sz w:val="20"/>
          <w:szCs w:val="20"/>
          <w:color w:val="auto"/>
        </w:rPr>
      </w:pPr>
      <w:r>
        <w:rPr>
          <w:rFonts w:ascii="Courier New" w:cs="Courier New" w:eastAsia="Courier New" w:hAnsi="Courier New"/>
          <w:sz w:val="18"/>
          <w:szCs w:val="18"/>
          <w:color w:val="auto"/>
        </w:rPr>
        <w:t>10,000,000 Lehman Brothers</w:t>
      </w:r>
    </w:p>
    <w:p>
      <w:pPr>
        <w:jc w:val="center"/>
        <w:ind w:right="4739"/>
        <w:spacing w:after="0"/>
        <w:rPr>
          <w:sz w:val="20"/>
          <w:szCs w:val="20"/>
          <w:color w:val="auto"/>
        </w:rPr>
      </w:pPr>
      <w:r>
        <w:rPr>
          <w:rFonts w:ascii="Courier New" w:cs="Courier New" w:eastAsia="Courier New" w:hAnsi="Courier New"/>
          <w:sz w:val="18"/>
          <w:szCs w:val="18"/>
          <w:color w:val="auto"/>
        </w:rPr>
        <w:t>Inc.......................................... $</w:t>
      </w:r>
    </w:p>
    <w:p>
      <w:pPr>
        <w:jc w:val="center"/>
        <w:ind w:right="4739"/>
        <w:spacing w:after="0" w:line="237" w:lineRule="auto"/>
        <w:rPr>
          <w:sz w:val="20"/>
          <w:szCs w:val="20"/>
          <w:color w:val="auto"/>
        </w:rPr>
      </w:pPr>
      <w:r>
        <w:rPr>
          <w:rFonts w:ascii="Courier New" w:cs="Courier New" w:eastAsia="Courier New" w:hAnsi="Courier New"/>
          <w:sz w:val="18"/>
          <w:szCs w:val="18"/>
          <w:color w:val="auto"/>
        </w:rPr>
        <w:t>10,000,000 Merrill Lynch, Pierce, Fenner &amp; Smith</w:t>
      </w:r>
    </w:p>
    <w:p>
      <w:pPr>
        <w:jc w:val="center"/>
        <w:ind w:right="4739"/>
        <w:spacing w:after="0"/>
        <w:rPr>
          <w:sz w:val="20"/>
          <w:szCs w:val="20"/>
          <w:color w:val="auto"/>
        </w:rPr>
      </w:pPr>
      <w:r>
        <w:rPr>
          <w:rFonts w:ascii="Courier New" w:cs="Courier New" w:eastAsia="Courier New" w:hAnsi="Courier New"/>
          <w:sz w:val="18"/>
          <w:szCs w:val="18"/>
          <w:color w:val="auto"/>
        </w:rPr>
        <w:t>Incorporated......................................</w:t>
      </w:r>
    </w:p>
    <w:p>
      <w:pPr>
        <w:jc w:val="center"/>
        <w:ind w:right="4739"/>
        <w:spacing w:after="0" w:line="237" w:lineRule="auto"/>
        <w:rPr>
          <w:sz w:val="20"/>
          <w:szCs w:val="20"/>
          <w:color w:val="auto"/>
        </w:rPr>
      </w:pPr>
      <w:r>
        <w:rPr>
          <w:rFonts w:ascii="Courier New" w:cs="Courier New" w:eastAsia="Courier New" w:hAnsi="Courier New"/>
          <w:sz w:val="18"/>
          <w:szCs w:val="18"/>
          <w:color w:val="auto"/>
        </w:rPr>
        <w:t>$ 10,000,000 Morgan Stanley &amp; Co.</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Incorporated............................ $</w:t>
      </w:r>
    </w:p>
    <w:p>
      <w:pPr>
        <w:jc w:val="center"/>
        <w:ind w:right="4739"/>
        <w:spacing w:after="0"/>
        <w:rPr>
          <w:sz w:val="20"/>
          <w:szCs w:val="20"/>
          <w:color w:val="auto"/>
        </w:rPr>
      </w:pPr>
      <w:r>
        <w:rPr>
          <w:rFonts w:ascii="Courier New" w:cs="Courier New" w:eastAsia="Courier New" w:hAnsi="Courier New"/>
          <w:sz w:val="18"/>
          <w:szCs w:val="18"/>
          <w:color w:val="auto"/>
        </w:rPr>
        <w:t>10,000,000 PNC Capital Markets,</w:t>
      </w:r>
    </w:p>
    <w:p>
      <w:pPr>
        <w:jc w:val="center"/>
        <w:ind w:right="4739"/>
        <w:spacing w:after="0" w:line="237" w:lineRule="auto"/>
        <w:rPr>
          <w:sz w:val="20"/>
          <w:szCs w:val="20"/>
          <w:color w:val="auto"/>
        </w:rPr>
      </w:pPr>
      <w:r>
        <w:rPr>
          <w:rFonts w:ascii="Courier New" w:cs="Courier New" w:eastAsia="Courier New" w:hAnsi="Courier New"/>
          <w:sz w:val="18"/>
          <w:szCs w:val="18"/>
          <w:color w:val="auto"/>
        </w:rPr>
        <w:t>Inc..................................... $</w:t>
      </w:r>
    </w:p>
    <w:p>
      <w:pPr>
        <w:jc w:val="center"/>
        <w:ind w:right="4739"/>
        <w:spacing w:after="0"/>
        <w:rPr>
          <w:sz w:val="20"/>
          <w:szCs w:val="20"/>
          <w:color w:val="auto"/>
        </w:rPr>
      </w:pPr>
      <w:r>
        <w:rPr>
          <w:rFonts w:ascii="Courier New" w:cs="Courier New" w:eastAsia="Courier New" w:hAnsi="Courier New"/>
          <w:sz w:val="18"/>
          <w:szCs w:val="18"/>
          <w:color w:val="auto"/>
        </w:rPr>
        <w:t>10,000,000</w:t>
      </w:r>
    </w:p>
    <w:p>
      <w:pPr>
        <w:jc w:val="center"/>
        <w:ind w:right="4739"/>
        <w:spacing w:after="0" w:line="237" w:lineRule="auto"/>
        <w:rPr>
          <w:sz w:val="20"/>
          <w:szCs w:val="20"/>
          <w:color w:val="auto"/>
        </w:rPr>
      </w:pPr>
      <w:r>
        <w:rPr>
          <w:rFonts w:ascii="Courier New" w:cs="Courier New" w:eastAsia="Courier New" w:hAnsi="Courier New"/>
          <w:sz w:val="18"/>
          <w:szCs w:val="18"/>
          <w:color w:val="auto"/>
        </w:rPr>
        <w:t>TOTAL...................................... $</w:t>
      </w:r>
    </w:p>
    <w:p>
      <w:pPr>
        <w:ind w:left="1260"/>
        <w:spacing w:after="0"/>
        <w:rPr>
          <w:sz w:val="20"/>
          <w:szCs w:val="20"/>
          <w:color w:val="auto"/>
        </w:rPr>
      </w:pPr>
      <w:r>
        <w:rPr>
          <w:rFonts w:ascii="Courier New" w:cs="Courier New" w:eastAsia="Courier New" w:hAnsi="Courier New"/>
          <w:sz w:val="18"/>
          <w:szCs w:val="18"/>
          <w:color w:val="auto"/>
        </w:rPr>
        <w:t>400,000,000 ================</w:t>
      </w:r>
    </w:p>
    <w:p>
      <w:pPr>
        <w:sectPr>
          <w:pgSz w:w="11900" w:h="16838" w:orient="portrait"/>
          <w:cols w:equalWidth="0" w:num="1">
            <w:col w:w="10219"/>
          </w:cols>
          <w:pgMar w:left="240" w:top="919" w:right="1440" w:bottom="144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BOOK-ENTRY SECURITY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219"/>
          </w:cols>
          <w:pgMar w:left="240" w:top="339" w:right="1440" w:bottom="1440" w:gutter="0" w:footer="0" w:header="0"/>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RGN-1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200" w:lineRule="exact"/>
        <w:rPr>
          <w:sz w:val="20"/>
          <w:szCs w:val="20"/>
          <w:color w:val="auto"/>
        </w:rPr>
      </w:pPr>
    </w:p>
    <w:p>
      <w:pPr>
        <w:sectPr>
          <w:pgSz w:w="11900" w:h="16838" w:orient="portrait"/>
          <w:cols w:equalWidth="0" w:num="2">
            <w:col w:w="6020" w:space="720"/>
            <w:col w:w="3479"/>
          </w:cols>
          <w:pgMar w:left="240" w:top="339"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WASTE MANAGEMENT, INC. 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$400,000,000</w:t>
      </w:r>
    </w:p>
    <w:p>
      <w:pPr>
        <w:spacing w:after="0" w:line="200" w:lineRule="exact"/>
        <w:rPr>
          <w:sz w:val="20"/>
          <w:szCs w:val="20"/>
          <w:color w:val="auto"/>
        </w:rPr>
      </w:pPr>
    </w:p>
    <w:p>
      <w:pPr>
        <w:sectPr>
          <w:pgSz w:w="11900" w:h="16838" w:orient="portrait"/>
          <w:cols w:equalWidth="0" w:num="2">
            <w:col w:w="6460" w:space="720"/>
            <w:col w:w="3039"/>
          </w:cols>
          <w:pgMar w:left="240" w:top="339" w:right="1440" w:bottom="1440" w:gutter="0" w:footer="0" w:header="0"/>
          <w:type w:val="continuous"/>
        </w:sectPr>
      </w:pPr>
    </w:p>
    <w:p>
      <w:pPr>
        <w:spacing w:after="0" w:line="2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6 1/2% SENIOR NOTES DUE 2008</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Million ($400,000,000) U.S. dollars, or such lesser principal sum as is shown on the attached Schedule of Exchanges of Definitive Security, on November 15, 2008 in such coin or currency of the United States of America as at the time of payment shall be legal tender for the payment of public and private debts, and to pay interest at an annual rate of 6 1/2% payable on May 15 and November 15 of each year, to the person in whose name this Security is registered at the close of business on the record date for such interest, which shall be the preceding May 1 or November 1, respectively, payable commencing May 15, 2002 with interest consisting of interest accrued from November 20, 2001.</w:t>
      </w:r>
    </w:p>
    <w:p>
      <w:pPr>
        <w:sectPr>
          <w:pgSz w:w="11900" w:h="16838" w:orient="portrait"/>
          <w:cols w:equalWidth="0" w:num="1">
            <w:col w:w="10219"/>
          </w:cols>
          <w:pgMar w:left="240" w:top="339" w:right="1440" w:bottom="1440" w:gutter="0" w:footer="0" w:header="0"/>
          <w:type w:val="continuous"/>
        </w:sectPr>
      </w:pPr>
    </w:p>
    <w:bookmarkStart w:id="32" w:name="page33"/>
    <w:bookmarkEnd w:id="32"/>
    <w:p>
      <w:pPr>
        <w:ind w:right="1879" w:firstLine="948"/>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Security is issued in respect of a series of Securities of an initial aggregate of U.S. $400,000,000 in principal amount designated as the 6 1/2% Senior Notes due 2008 of the Company and is governed by the Indenture dated as of September 10, 1997, duly executed and delivered by the Company, formerly known as USA Waste Services, Inc., to JPMorgan Chase Bank, as successor to The Chase Manhattan Bank,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386"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Company hereby irrevocably undertakes to the Holder hereof to exchange this Security in accordance with the terms of the Indenture without charge.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33" w:name="page34"/>
    <w:bookmarkEnd w:id="33"/>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or become obligatory for any purpose until the Certificate of Authentication hereon shall have been manually signed by the Trustee under the Indenture.</w:t>
      </w:r>
    </w:p>
    <w:p>
      <w:pPr>
        <w:spacing w:after="0" w:line="209" w:lineRule="exact"/>
        <w:rPr>
          <w:sz w:val="20"/>
          <w:szCs w:val="20"/>
          <w:color w:val="auto"/>
        </w:rPr>
      </w:pPr>
    </w:p>
    <w:p>
      <w:pPr>
        <w:jc w:val="both"/>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20, 2001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3">
            <w:col w:w="640" w:space="220"/>
            <w:col w:w="3380" w:space="720"/>
            <w:col w:w="5259"/>
          </w:cols>
          <w:pgMar w:left="240" w:top="925"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William L. Trubeck</w:t>
      </w:r>
    </w:p>
    <w:p>
      <w:pPr>
        <w:ind w:left="53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Attest:</w:t>
      </w:r>
    </w:p>
    <w:p>
      <w:pPr>
        <w:spacing w:after="0" w:line="20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Linda J. Smith</w:t>
      </w:r>
    </w:p>
    <w:p>
      <w:pPr>
        <w:ind w:left="5280"/>
        <w:spacing w:after="0" w:line="238" w:lineRule="auto"/>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Authentication: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ectPr>
          <w:pgSz w:w="11900" w:h="16838" w:orient="portrait"/>
          <w:cols w:equalWidth="0" w:num="3">
            <w:col w:w="2440" w:space="200"/>
            <w:col w:w="1800" w:space="520"/>
            <w:col w:w="5259"/>
          </w:cols>
          <w:pgMar w:left="240" w:top="925" w:right="1440" w:bottom="1440" w:gutter="0" w:footer="0" w:header="0"/>
          <w:type w:val="continuous"/>
        </w:sectPr>
      </w:pPr>
    </w:p>
    <w:p>
      <w:pPr>
        <w:spacing w:after="0" w:line="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Lynda Gunther</w:t>
      </w:r>
    </w:p>
    <w:p>
      <w:pPr>
        <w:ind w:left="5280"/>
        <w:spacing w:after="0" w:line="238" w:lineRule="auto"/>
        <w:rPr>
          <w:sz w:val="20"/>
          <w:szCs w:val="20"/>
          <w:color w:val="auto"/>
        </w:rPr>
      </w:pPr>
      <w:r>
        <w:rPr>
          <w:rFonts w:ascii="Courier New" w:cs="Courier New" w:eastAsia="Courier New" w:hAnsi="Courier New"/>
          <w:sz w:val="18"/>
          <w:szCs w:val="18"/>
          <w:color w:val="auto"/>
        </w:rPr>
        <w:t>Assistant Vice President and</w:t>
      </w:r>
    </w:p>
    <w:p>
      <w:pPr>
        <w:ind w:left="5280"/>
        <w:spacing w:after="0"/>
        <w:rPr>
          <w:sz w:val="20"/>
          <w:szCs w:val="20"/>
          <w:color w:val="auto"/>
        </w:rPr>
      </w:pPr>
      <w:r>
        <w:rPr>
          <w:rFonts w:ascii="Courier New" w:cs="Courier New" w:eastAsia="Courier New" w:hAnsi="Courier New"/>
          <w:sz w:val="18"/>
          <w:szCs w:val="18"/>
          <w:color w:val="auto"/>
        </w:rPr>
        <w:t>Trust Officer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type w:val="continuous"/>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REVERSE OF BOOK-ENTRY SECURITY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6 1/2% SENIOR NOTES DUE 2008</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 1/2% Senior Notes due 2008 of the Company, in initial aggregate principal amount of $400,000,000 (the "Securities").</w:t>
      </w:r>
    </w:p>
    <w:p>
      <w:pPr>
        <w:spacing w:after="0" w:line="384"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Company promises to pay interest on the principal amount of this Security at the rate of 6 1/2% per annum.</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Company will pay interest semi-annually on May 15 and November 15 of each year (each an "Interest Payment Date"), commencing May 15, 2002. Interest on the Securities will accrue from the most recent date to which interest has been paid or, if no interest has been paid on the Securities, from November 20, 2001.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6 1/2% per annum, in each case to the extent lawful.</w:t>
      </w:r>
    </w:p>
    <w:p>
      <w:pPr>
        <w:spacing w:after="0" w:line="381"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35" w:name="page36"/>
    <w:bookmarkEnd w:id="35"/>
    <w:p>
      <w:pPr>
        <w:ind w:right="1879"/>
        <w:spacing w:after="0" w:line="271" w:lineRule="auto"/>
        <w:rPr>
          <w:sz w:val="20"/>
          <w:szCs w:val="20"/>
          <w:color w:val="auto"/>
        </w:rPr>
      </w:pPr>
      <w:r>
        <w:rPr>
          <w:rFonts w:ascii="Courier New" w:cs="Courier New" w:eastAsia="Courier New" w:hAnsi="Courier New"/>
          <w:sz w:val="16"/>
          <w:szCs w:val="16"/>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Trustee located at 55 Water Street, Room 234, New York, New York, or at the option of the Company, payment of interest may be made by check mailed to the Holders on the Regular Record Date or on the Special Record Date at their addresses set forth in the Security Register of Holders.</w:t>
      </w:r>
    </w:p>
    <w:p>
      <w:pPr>
        <w:spacing w:after="0" w:line="180"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and Registrar.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Initially, JPMorgan Chase Bank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03" w:lineRule="exact"/>
        <w:rPr>
          <w:sz w:val="20"/>
          <w:szCs w:val="20"/>
          <w:color w:val="auto"/>
        </w:rPr>
      </w:pPr>
    </w:p>
    <w:p>
      <w:pPr>
        <w:ind w:left="960" w:hanging="952"/>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jc w:val="both"/>
        <w:ind w:right="1999" w:firstLine="948"/>
        <w:spacing w:after="0" w:line="290" w:lineRule="auto"/>
        <w:rPr>
          <w:sz w:val="20"/>
          <w:szCs w:val="20"/>
          <w:color w:val="auto"/>
        </w:rPr>
      </w:pPr>
      <w:r>
        <w:rPr>
          <w:rFonts w:ascii="Courier New" w:cs="Courier New" w:eastAsia="Courier New" w:hAnsi="Courier New"/>
          <w:sz w:val="16"/>
          <w:szCs w:val="16"/>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30, 1999, May 14, 1999 and November 3, 2001 (the "Resolutions"). The Securities are subject to all such terms, and Holders of Securities are referred to the Indenture, all indentures supplemental thereto, said Act and said Resolutions and Officers' Certificate for a statement of them. The Securities of this series are general unsecured obligations of the Company limited with an initial aggregate principal amount of $400,000,000.</w:t>
      </w:r>
    </w:p>
    <w:p>
      <w:pPr>
        <w:spacing w:after="0" w:line="385" w:lineRule="exact"/>
        <w:rPr>
          <w:sz w:val="20"/>
          <w:szCs w:val="20"/>
          <w:color w:val="auto"/>
        </w:rPr>
      </w:pPr>
    </w:p>
    <w:p>
      <w:pPr>
        <w:ind w:left="960" w:hanging="952"/>
        <w:spacing w:after="0"/>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21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Make-Whole Price and the place(s) that payment will be made upon presentation and surrender of Securities to be redeemed. Unless the Company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7" w:lineRule="auto"/>
        <w:rPr>
          <w:sz w:val="20"/>
          <w:szCs w:val="20"/>
          <w:color w:val="auto"/>
        </w:rPr>
      </w:pPr>
      <w:r>
        <w:rPr>
          <w:rFonts w:ascii="Courier New" w:cs="Courier New" w:eastAsia="Courier New" w:hAnsi="Courier New"/>
          <w:sz w:val="18"/>
          <w:szCs w:val="18"/>
          <w:color w:val="auto"/>
        </w:rPr>
        <w:t>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209"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For purposes of determining the Make-Whole Price, the following definitions are applicable:</w:t>
      </w:r>
    </w:p>
    <w:p>
      <w:pPr>
        <w:spacing w:after="0" w:line="208"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"Independent Investment Banker" means any of Banc of America Securities LLC, J.P. Morgan Securities Inc. or Salomon Smith Barney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879" w:firstLine="8"/>
        <w:spacing w:after="0" w:line="237" w:lineRule="auto"/>
        <w:tabs>
          <w:tab w:leader="none" w:pos="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bid price for the Comparable Treasury Issue (expressed as a percentage of its principal amount) at 4:00 p.m.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"Reference Treasury Dealer" means (i) each of Banc of America Securities LLC, J.P. Morgan Securities Inc. and Salomon Smith Barney Inc., or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10"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7" w:name="page38"/>
    <w:bookmarkEnd w:id="37"/>
    <w:p>
      <w:pPr>
        <w:ind w:right="2319"/>
        <w:spacing w:after="0" w:line="235" w:lineRule="auto"/>
        <w:rPr>
          <w:sz w:val="20"/>
          <w:szCs w:val="20"/>
          <w:color w:val="auto"/>
        </w:rPr>
      </w:pPr>
      <w:r>
        <w:rPr>
          <w:rFonts w:ascii="Courier New" w:cs="Courier New" w:eastAsia="Courier New" w:hAnsi="Courier New"/>
          <w:sz w:val="18"/>
          <w:szCs w:val="18"/>
          <w:color w:val="auto"/>
        </w:rPr>
        <w:t>Treasury Dealer at 5:00 p.m., New York City time, on the third Business Day preceding such Redemption Date.</w:t>
      </w:r>
    </w:p>
    <w:p>
      <w:pPr>
        <w:spacing w:after="0" w:line="208"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Except as set forth above, the Securities will not be redeemable prior to their Stated Maturity and will not be entitled to the benefit of any sinking fund.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Securities may be redeemed in part in multiplies of $1,000 only.</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Any such redemption will also comply with Article Eleven of the Indenture.</w:t>
      </w:r>
    </w:p>
    <w:p>
      <w:pPr>
        <w:spacing w:after="0" w:line="203" w:lineRule="exact"/>
        <w:rPr>
          <w:sz w:val="20"/>
          <w:szCs w:val="20"/>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4" w:lineRule="exact"/>
        <w:rPr>
          <w:sz w:val="20"/>
          <w:szCs w:val="20"/>
          <w:color w:val="auto"/>
        </w:rPr>
      </w:pPr>
    </w:p>
    <w:p>
      <w:pPr>
        <w:ind w:left="960" w:hanging="952"/>
        <w:spacing w:after="0"/>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Deemed Owners.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registered Holder of a Security may be treated as the owner of it for all purposes.</w:t>
      </w:r>
    </w:p>
    <w:p>
      <w:pPr>
        <w:spacing w:after="0" w:line="203" w:lineRule="exact"/>
        <w:rPr>
          <w:sz w:val="20"/>
          <w:szCs w:val="20"/>
          <w:color w:val="auto"/>
        </w:rPr>
      </w:pPr>
    </w:p>
    <w:p>
      <w:pPr>
        <w:ind w:left="960" w:hanging="952"/>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2" w:lineRule="exact"/>
        <w:rPr>
          <w:sz w:val="20"/>
          <w:szCs w:val="20"/>
          <w:color w:val="auto"/>
        </w:rPr>
      </w:pPr>
    </w:p>
    <w:p>
      <w:pPr>
        <w:ind w:left="960" w:hanging="952"/>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8" w:name="page39"/>
    <w:bookmarkEnd w:id="38"/>
    <w:p>
      <w:pPr>
        <w:ind w:right="1779" w:firstLine="8"/>
        <w:spacing w:after="0" w:line="269"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391" w:lineRule="exact"/>
        <w:rPr>
          <w:sz w:val="20"/>
          <w:szCs w:val="20"/>
          <w:color w:val="auto"/>
        </w:rPr>
      </w:pPr>
    </w:p>
    <w:p>
      <w:pPr>
        <w:ind w:left="960" w:hanging="952"/>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Company.</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77" w:lineRule="exact"/>
        <w:rPr>
          <w:sz w:val="20"/>
          <w:szCs w:val="20"/>
          <w:color w:val="auto"/>
        </w:rPr>
      </w:pPr>
    </w:p>
    <w:p>
      <w:pPr>
        <w:ind w:left="960" w:hanging="952"/>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until the Trustee or authenticating agent signs the certificate of authentication on the other side of this Security.</w:t>
      </w:r>
    </w:p>
    <w:p>
      <w:pPr>
        <w:spacing w:after="0" w:line="203" w:lineRule="exact"/>
        <w:rPr>
          <w:sz w:val="20"/>
          <w:szCs w:val="20"/>
          <w:color w:val="auto"/>
        </w:rPr>
      </w:pPr>
    </w:p>
    <w:p>
      <w:pPr>
        <w:ind w:left="960" w:hanging="952"/>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 and Defined Terms.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7" w:lineRule="exact"/>
        <w:rPr>
          <w:sz w:val="20"/>
          <w:szCs w:val="20"/>
          <w:color w:val="auto"/>
        </w:rPr>
      </w:pPr>
    </w:p>
    <w:p>
      <w:pPr>
        <w:ind w:left="960" w:hanging="952"/>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4" w:lineRule="exact"/>
        <w:rPr>
          <w:sz w:val="20"/>
          <w:szCs w:val="20"/>
          <w:color w:val="auto"/>
        </w:rPr>
      </w:pPr>
    </w:p>
    <w:p>
      <w:pPr>
        <w:ind w:left="960" w:hanging="952"/>
        <w:spacing w:after="0"/>
        <w:tabs>
          <w:tab w:leader="none" w:pos="9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Obligation.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9" w:name="page40"/>
    <w:bookmarkEnd w:id="39"/>
    <w:p>
      <w:pPr>
        <w:ind w:left="960" w:hanging="952"/>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9" w:lineRule="exact"/>
        <w:rPr>
          <w:sz w:val="20"/>
          <w:szCs w:val="20"/>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Security shall be construed in accordance with and governed by the laws of the State of New York.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40" w:name="page41"/>
    <w:bookmarkEnd w:id="40"/>
    <w:p>
      <w:pPr>
        <w:ind w:left="1900"/>
        <w:spacing w:after="0"/>
        <w:rPr>
          <w:sz w:val="20"/>
          <w:szCs w:val="20"/>
          <w:color w:val="auto"/>
        </w:rPr>
      </w:pPr>
      <w:r>
        <w:rPr>
          <w:rFonts w:ascii="Courier New" w:cs="Courier New" w:eastAsia="Courier New" w:hAnsi="Courier New"/>
          <w:sz w:val="18"/>
          <w:szCs w:val="18"/>
          <w:color w:val="auto"/>
        </w:rPr>
        <w:t>SCHEDULE OF EXCHANGES OF DEFINITIVE SECURITY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exchanges of a part of this Book-Entry Security for definitive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have been made:</w:t>
      </w:r>
    </w:p>
    <w:p>
      <w:pPr>
        <w:spacing w:after="0" w:line="20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Amount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9159"/>
        <w:spacing w:after="0"/>
        <w:rPr>
          <w:sz w:val="20"/>
          <w:szCs w:val="20"/>
          <w:color w:val="auto"/>
        </w:rPr>
      </w:pPr>
      <w:r>
        <w:rPr>
          <w:rFonts w:ascii="Courier New" w:cs="Courier New" w:eastAsia="Courier New" w:hAnsi="Courier New"/>
          <w:sz w:val="18"/>
          <w:szCs w:val="18"/>
          <w:color w:val="auto"/>
        </w:rPr>
        <w:t>Principal</w:t>
      </w:r>
    </w:p>
    <w:p>
      <w:pPr>
        <w:jc w:val="center"/>
        <w:ind w:right="9159"/>
        <w:spacing w:after="0" w:line="237" w:lineRule="auto"/>
        <w:rPr>
          <w:sz w:val="20"/>
          <w:szCs w:val="20"/>
          <w:color w:val="auto"/>
        </w:rPr>
      </w:pPr>
      <w:r>
        <w:rPr>
          <w:rFonts w:ascii="Courier New" w:cs="Courier New" w:eastAsia="Courier New" w:hAnsi="Courier New"/>
          <w:sz w:val="18"/>
          <w:szCs w:val="18"/>
          <w:color w:val="auto"/>
        </w:rPr>
        <w:t>Amount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decrease</w:t>
      </w:r>
    </w:p>
    <w:p>
      <w:pPr>
        <w:jc w:val="center"/>
        <w:ind w:right="9159"/>
        <w:spacing w:after="0"/>
        <w:rPr>
          <w:sz w:val="20"/>
          <w:szCs w:val="20"/>
          <w:color w:val="auto"/>
        </w:rPr>
      </w:pPr>
      <w:r>
        <w:rPr>
          <w:rFonts w:ascii="Courier New" w:cs="Courier New" w:eastAsia="Courier New" w:hAnsi="Courier New"/>
          <w:sz w:val="18"/>
          <w:szCs w:val="18"/>
          <w:color w:val="auto"/>
        </w:rPr>
        <w:t>in</w:t>
      </w:r>
    </w:p>
    <w:p>
      <w:pPr>
        <w:jc w:val="center"/>
        <w:ind w:right="9159"/>
        <w:spacing w:after="0" w:line="237" w:lineRule="auto"/>
        <w:rPr>
          <w:sz w:val="20"/>
          <w:szCs w:val="20"/>
          <w:color w:val="auto"/>
        </w:rPr>
      </w:pPr>
      <w:r>
        <w:rPr>
          <w:rFonts w:ascii="Courier New" w:cs="Courier New" w:eastAsia="Courier New" w:hAnsi="Courier New"/>
          <w:sz w:val="18"/>
          <w:szCs w:val="18"/>
          <w:color w:val="auto"/>
        </w:rPr>
        <w:t>increase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in of this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Book-Entry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Signature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w:t>
      </w:r>
    </w:p>
    <w:p>
      <w:pPr>
        <w:jc w:val="center"/>
        <w:ind w:right="9159"/>
        <w:spacing w:after="0"/>
        <w:rPr>
          <w:sz w:val="20"/>
          <w:szCs w:val="20"/>
          <w:color w:val="auto"/>
        </w:rPr>
      </w:pPr>
      <w:r>
        <w:rPr>
          <w:rFonts w:ascii="Courier New" w:cs="Courier New" w:eastAsia="Courier New" w:hAnsi="Courier New"/>
          <w:sz w:val="18"/>
          <w:szCs w:val="18"/>
          <w:color w:val="auto"/>
        </w:rPr>
        <w:t>Principal</w:t>
      </w:r>
    </w:p>
    <w:p>
      <w:pPr>
        <w:jc w:val="center"/>
        <w:ind w:right="9159"/>
        <w:spacing w:after="0" w:line="237" w:lineRule="auto"/>
        <w:rPr>
          <w:sz w:val="20"/>
          <w:szCs w:val="20"/>
          <w:color w:val="auto"/>
        </w:rPr>
      </w:pPr>
      <w:r>
        <w:rPr>
          <w:rFonts w:ascii="Courier New" w:cs="Courier New" w:eastAsia="Courier New" w:hAnsi="Courier New"/>
          <w:sz w:val="18"/>
          <w:szCs w:val="18"/>
          <w:color w:val="auto"/>
        </w:rPr>
        <w:t>Amount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9159"/>
        <w:spacing w:after="0"/>
        <w:rPr>
          <w:sz w:val="20"/>
          <w:szCs w:val="20"/>
          <w:color w:val="auto"/>
        </w:rPr>
      </w:pPr>
      <w:r>
        <w:rPr>
          <w:rFonts w:ascii="Courier New" w:cs="Courier New" w:eastAsia="Courier New" w:hAnsi="Courier New"/>
          <w:sz w:val="18"/>
          <w:szCs w:val="18"/>
          <w:color w:val="auto"/>
        </w:rPr>
        <w:t>Amount</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9159"/>
        <w:spacing w:after="0"/>
        <w:rPr>
          <w:sz w:val="20"/>
          <w:szCs w:val="20"/>
          <w:color w:val="auto"/>
        </w:rPr>
      </w:pPr>
      <w:r>
        <w:rPr>
          <w:rFonts w:ascii="Courier New" w:cs="Courier New" w:eastAsia="Courier New" w:hAnsi="Courier New"/>
          <w:sz w:val="18"/>
          <w:szCs w:val="18"/>
          <w:color w:val="auto"/>
        </w:rPr>
        <w:t>following</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authorized</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officer of</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this Book-</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Entry 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this Book-</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Entry such</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decrease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Trustee</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or Date of</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Security</w:t>
      </w:r>
    </w:p>
    <w:p>
      <w:pPr>
        <w:jc w:val="center"/>
        <w:ind w:right="9159"/>
        <w:spacing w:after="0"/>
        <w:rPr>
          <w:sz w:val="20"/>
          <w:szCs w:val="20"/>
          <w:color w:val="auto"/>
        </w:rPr>
      </w:pPr>
      <w:r>
        <w:rPr>
          <w:rFonts w:ascii="Courier New" w:cs="Courier New" w:eastAsia="Courier New" w:hAnsi="Courier New"/>
          <w:sz w:val="18"/>
          <w:szCs w:val="18"/>
          <w:color w:val="auto"/>
        </w:rPr>
        <w:t>Security</w:t>
      </w:r>
    </w:p>
    <w:p>
      <w:pPr>
        <w:jc w:val="center"/>
        <w:ind w:right="9159"/>
        <w:spacing w:after="0" w:line="237" w:lineRule="auto"/>
        <w:rPr>
          <w:sz w:val="20"/>
          <w:szCs w:val="20"/>
          <w:color w:val="auto"/>
        </w:rPr>
      </w:pPr>
      <w:r>
        <w:rPr>
          <w:rFonts w:ascii="Courier New" w:cs="Courier New" w:eastAsia="Courier New" w:hAnsi="Courier New"/>
          <w:sz w:val="18"/>
          <w:szCs w:val="18"/>
          <w:color w:val="auto"/>
        </w:rPr>
        <w: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increase)</w:t>
      </w:r>
    </w:p>
    <w:p>
      <w:pPr>
        <w:jc w:val="center"/>
        <w:ind w:right="9159"/>
        <w:spacing w:after="0"/>
        <w:rPr>
          <w:sz w:val="20"/>
          <w:szCs w:val="20"/>
          <w:color w:val="auto"/>
        </w:rPr>
      </w:pPr>
      <w:r>
        <w:rPr>
          <w:rFonts w:ascii="Courier New" w:cs="Courier New" w:eastAsia="Courier New" w:hAnsi="Courier New"/>
          <w:sz w:val="18"/>
          <w:szCs w:val="18"/>
          <w:color w:val="auto"/>
        </w:rPr>
        <w:t>Security</w:t>
      </w:r>
    </w:p>
    <w:p>
      <w:pPr>
        <w:jc w:val="center"/>
        <w:ind w:right="9159"/>
        <w:spacing w:after="0" w:line="237" w:lineRule="auto"/>
        <w:rPr>
          <w:sz w:val="20"/>
          <w:szCs w:val="20"/>
          <w:color w:val="auto"/>
        </w:rPr>
      </w:pPr>
      <w:r>
        <w:rPr>
          <w:rFonts w:ascii="Courier New" w:cs="Courier New" w:eastAsia="Courier New" w:hAnsi="Courier New"/>
          <w:sz w:val="18"/>
          <w:szCs w:val="18"/>
          <w:color w:val="auto"/>
        </w:rPr>
        <w:t>Custodian</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0"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OFFICERS' CERTIFICATE DELIVERED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301 OF THE INDENTURE DATED AS OF SEPTEMBER 10, 1997</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The undersigned, the Executive Vice President and Chief Financial Officer, and the Senior Vice President, General Counsel and Corporate Secretary of Waste Management, Inc. (the "Company"), hereby certify that:</w:t>
      </w:r>
    </w:p>
    <w:p>
      <w:pPr>
        <w:spacing w:after="0" w:line="178" w:lineRule="exact"/>
        <w:rPr>
          <w:sz w:val="20"/>
          <w:szCs w:val="20"/>
          <w:color w:val="auto"/>
        </w:rPr>
      </w:pPr>
    </w:p>
    <w:p>
      <w:pPr>
        <w:ind w:left="960" w:right="1779" w:firstLine="944"/>
        <w:spacing w:after="0" w:line="237" w:lineRule="auto"/>
        <w:tabs>
          <w:tab w:leader="none" w:pos="22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Certificate is delivered to JPMorgan Chase Bank, as successor to The Chase Manhattan Bank, as trustee (the "Trustee"), pursuant to Sections 102 and 301 of the Indenture dated as of September 10, 1997 between the Company, formerly known as USA Waste Services, Inc., and the Trustee in connection with the Company Order dated November 20, 2001 (the "Order") for the authentication and delivery by the Trustee of $400,000,000 aggregate principal amount of 6 1/2% Notes due 2008 ("Notes").</w:t>
      </w:r>
    </w:p>
    <w:p>
      <w:pPr>
        <w:spacing w:after="0" w:line="212" w:lineRule="exact"/>
        <w:rPr>
          <w:rFonts w:ascii="Courier New" w:cs="Courier New" w:eastAsia="Courier New" w:hAnsi="Courier New"/>
          <w:sz w:val="18"/>
          <w:szCs w:val="18"/>
          <w:color w:val="auto"/>
        </w:rPr>
      </w:pPr>
    </w:p>
    <w:p>
      <w:pPr>
        <w:ind w:left="960" w:right="1779" w:firstLine="944"/>
        <w:spacing w:after="0" w:line="290" w:lineRule="auto"/>
        <w:tabs>
          <w:tab w:leader="none" w:pos="222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have read Sections 102, 103, 301 and 303 of the Indenture and the definitions in the Indenture relating thereto.</w:t>
      </w:r>
    </w:p>
    <w:p>
      <w:pPr>
        <w:spacing w:after="0" w:line="169" w:lineRule="exact"/>
        <w:rPr>
          <w:rFonts w:ascii="Courier New" w:cs="Courier New" w:eastAsia="Courier New" w:hAnsi="Courier New"/>
          <w:sz w:val="16"/>
          <w:szCs w:val="16"/>
          <w:color w:val="auto"/>
        </w:rPr>
      </w:pPr>
    </w:p>
    <w:p>
      <w:pPr>
        <w:ind w:left="960" w:right="2199" w:firstLine="944"/>
        <w:spacing w:after="0" w:line="237" w:lineRule="auto"/>
        <w:tabs>
          <w:tab w:leader="none" w:pos="22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208" w:lineRule="exact"/>
        <w:rPr>
          <w:rFonts w:ascii="Courier New" w:cs="Courier New" w:eastAsia="Courier New" w:hAnsi="Courier New"/>
          <w:sz w:val="18"/>
          <w:szCs w:val="18"/>
          <w:color w:val="auto"/>
        </w:rPr>
      </w:pPr>
    </w:p>
    <w:p>
      <w:pPr>
        <w:jc w:val="both"/>
        <w:ind w:left="960" w:right="2319" w:firstLine="944"/>
        <w:spacing w:after="0" w:line="236" w:lineRule="auto"/>
        <w:tabs>
          <w:tab w:leader="none" w:pos="22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have examined the Order, and they have examined the covenants, conditions and provisions of the Indenture relating thereto.</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22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208" w:lineRule="exact"/>
        <w:rPr>
          <w:rFonts w:ascii="Courier New" w:cs="Courier New" w:eastAsia="Courier New" w:hAnsi="Courier New"/>
          <w:sz w:val="18"/>
          <w:szCs w:val="18"/>
          <w:color w:val="auto"/>
        </w:rPr>
      </w:pPr>
    </w:p>
    <w:p>
      <w:pPr>
        <w:ind w:left="960" w:right="1779" w:firstLine="944"/>
        <w:spacing w:after="0" w:line="275" w:lineRule="auto"/>
        <w:tabs>
          <w:tab w:leader="none" w:pos="222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precedent provided in the Indenture to the authentication by the Trustee of $400,000,000 aggregate principal amount of Notes have been complied with, and such Debt Securities may be delivered in accordance with the Order as provided in the Indenture.</w:t>
      </w:r>
    </w:p>
    <w:p>
      <w:pPr>
        <w:spacing w:after="0" w:line="182" w:lineRule="exact"/>
        <w:rPr>
          <w:rFonts w:ascii="Courier New" w:cs="Courier New" w:eastAsia="Courier New" w:hAnsi="Courier New"/>
          <w:sz w:val="16"/>
          <w:szCs w:val="16"/>
          <w:color w:val="auto"/>
        </w:rPr>
      </w:pPr>
    </w:p>
    <w:p>
      <w:pPr>
        <w:ind w:left="960" w:right="1879" w:firstLine="944"/>
        <w:spacing w:after="0" w:line="272" w:lineRule="auto"/>
        <w:tabs>
          <w:tab w:leader="none" w:pos="222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Notes (including the Form of Note) as set forth in Annex A to this Officers' Certificate have been approved by officers of the Company as duly authorized by resolutions of the Board of Directors of the Company as of April 30, 1999, May 14, 1999 and November 3, 2001 and such resolutions, copies of which are attached hereto as Annex B, are in full force and effect as of the date hereof.</w:t>
      </w:r>
    </w:p>
    <w:p>
      <w:pPr>
        <w:sectPr>
          <w:pgSz w:w="11900" w:h="16838" w:orient="portrait"/>
          <w:cols w:equalWidth="0" w:num="1">
            <w:col w:w="10219"/>
          </w:cols>
          <w:pgMar w:left="240" w:top="339" w:right="1440" w:bottom="1440" w:gutter="0" w:footer="0" w:header="0"/>
        </w:sectPr>
      </w:pPr>
    </w:p>
    <w:bookmarkStart w:id="42" w:name="page43"/>
    <w:bookmarkEnd w:id="42"/>
    <w:p>
      <w:pPr>
        <w:ind w:right="1779" w:firstLine="1896"/>
        <w:spacing w:after="0" w:line="235" w:lineRule="auto"/>
        <w:rPr>
          <w:sz w:val="20"/>
          <w:szCs w:val="20"/>
          <w:color w:val="auto"/>
        </w:rPr>
      </w:pPr>
      <w:r>
        <w:rPr>
          <w:rFonts w:ascii="Courier New" w:cs="Courier New" w:eastAsia="Courier New" w:hAnsi="Courier New"/>
          <w:sz w:val="18"/>
          <w:szCs w:val="18"/>
          <w:color w:val="auto"/>
        </w:rPr>
        <w:t>IN WITNESS WHEREOF, the undersigned has hereunto executed this Certificate as of November 20, 2001.</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William L. Trubeck</w:t>
      </w:r>
    </w:p>
    <w:p>
      <w:pPr>
        <w:ind w:left="370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37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DAVID P. STEINER</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P. Steiner</w:t>
      </w:r>
    </w:p>
    <w:p>
      <w:pPr>
        <w:ind w:left="3700"/>
        <w:spacing w:after="0" w:line="238" w:lineRule="auto"/>
        <w:rPr>
          <w:sz w:val="20"/>
          <w:szCs w:val="20"/>
          <w:color w:val="auto"/>
        </w:rPr>
      </w:pPr>
      <w:r>
        <w:rPr>
          <w:rFonts w:ascii="Courier New" w:cs="Courier New" w:eastAsia="Courier New" w:hAnsi="Courier New"/>
          <w:sz w:val="18"/>
          <w:szCs w:val="18"/>
          <w:color w:val="auto"/>
        </w:rPr>
        <w:t>Senior Vice President, General Counsel</w:t>
      </w:r>
    </w:p>
    <w:p>
      <w:pPr>
        <w:ind w:left="3700"/>
        <w:spacing w:after="0"/>
        <w:rPr>
          <w:sz w:val="20"/>
          <w:szCs w:val="20"/>
          <w:color w:val="auto"/>
        </w:rPr>
      </w:pPr>
      <w:r>
        <w:rPr>
          <w:rFonts w:ascii="Courier New" w:cs="Courier New" w:eastAsia="Courier New" w:hAnsi="Courier New"/>
          <w:sz w:val="18"/>
          <w:szCs w:val="18"/>
          <w:color w:val="auto"/>
        </w:rPr>
        <w:t>and Corporate Secretary</w:t>
      </w:r>
    </w:p>
    <w:p>
      <w:pPr>
        <w:sectPr>
          <w:pgSz w:w="11900" w:h="16838" w:orient="portrait"/>
          <w:cols w:equalWidth="0" w:num="1">
            <w:col w:w="10219"/>
          </w:cols>
          <w:pgMar w:left="240" w:top="723"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TERMS OF THE NOTES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authority granted by the Board of Directors of the Company on April 30, 1999, May 14, 1999 and November 3, 2001, the Company has approved the establishment, issuance, execution and delivery of a new series of Securities (as defined in the Indenture) to be issued under the Indenture dated as of September 10, 1997 (the "Indenture"), between the Company, formerly known as USA Waste Services, Inc., and JPMorgan Chase Bank, as successor to The Chase Manhattan Bank, as trustee (the "Trustee"), the terms of which are set forth below. Capitalized terms used but not defined herein are used herein as defined in the Indenture.</w:t>
      </w:r>
    </w:p>
    <w:p>
      <w:pPr>
        <w:spacing w:after="0" w:line="214" w:lineRule="exact"/>
        <w:rPr>
          <w:sz w:val="20"/>
          <w:szCs w:val="20"/>
          <w:color w:val="auto"/>
        </w:rPr>
      </w:pPr>
    </w:p>
    <w:p>
      <w:pPr>
        <w:ind w:left="1900" w:right="1879" w:hanging="944"/>
        <w:spacing w:after="0" w:line="235"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series of Securities shall be "6 1/2% Senior Notes due 2008" (the "Notes").</w:t>
      </w:r>
    </w:p>
    <w:p>
      <w:pPr>
        <w:spacing w:after="0" w:line="208"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shall be general unsecured, senior obligations of the Company.</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aggregate principal amount of the Notes which may be authenticated and delivered under the Indenture shall be $400,000,000 (except for Notes authenticated and delivered upon registration of transfer of, or in exchange for, or in lieu of, other Notes pursuant to Section 304, 305, 306, 907 or 1107 of the Indenture).</w:t>
      </w:r>
    </w:p>
    <w:p>
      <w:pPr>
        <w:spacing w:after="0" w:line="209"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each Note shall be payable on November 15, 2008.</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Note shall bear interest from November 20, 2001 at the fixed rate of 6 1/2% per annum; the interest payment dates on which such interest shall be payable shall be May 15 and November 15 ("Interest Payment Dates"), of each year, commencing May 15, 2002, until maturity unless such date falls on a day that is not a Business Day, in which case, such payment shall be made on the next day that is a Business Day; the record date for the determination of Holders to whom interest is payable shall be May 1 or November 1, respectively, immediately preceding such date, as the case may be.</w:t>
      </w:r>
    </w:p>
    <w:p>
      <w:pPr>
        <w:spacing w:after="0" w:line="215"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to be issued as Registered Securities.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for such Notes shall be The Depository Trust Company, New York, New York.</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principal of, premium, if any, and interest due on the Notes representing Book-Entry Notes on any Interest Payment Date or at maturity will be made available to the Trustee by 11:00 a.m., New York</w:t>
      </w:r>
    </w:p>
    <w:p>
      <w:pPr>
        <w:sectPr>
          <w:pgSz w:w="11900" w:h="16838" w:orient="portrait"/>
          <w:cols w:equalWidth="0" w:num="1">
            <w:col w:w="10219"/>
          </w:cols>
          <w:pgMar w:left="240" w:top="717" w:right="1440" w:bottom="1440" w:gutter="0" w:footer="0" w:header="0"/>
        </w:sectPr>
      </w:pPr>
    </w:p>
    <w:bookmarkStart w:id="44" w:name="page45"/>
    <w:bookmarkEnd w:id="44"/>
    <w:p>
      <w:pPr>
        <w:ind w:left="944" w:right="1779"/>
        <w:spacing w:after="0" w:line="237" w:lineRule="auto"/>
        <w:rPr>
          <w:sz w:val="20"/>
          <w:szCs w:val="20"/>
          <w:color w:val="auto"/>
        </w:rPr>
      </w:pPr>
      <w:r>
        <w:rPr>
          <w:rFonts w:ascii="Courier New" w:cs="Courier New" w:eastAsia="Courier New" w:hAnsi="Courier New"/>
          <w:sz w:val="18"/>
          <w:szCs w:val="18"/>
          <w:color w:val="auto"/>
        </w:rPr>
        <w:t>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10" w:lineRule="exact"/>
        <w:rPr>
          <w:sz w:val="20"/>
          <w:szCs w:val="20"/>
          <w:color w:val="auto"/>
        </w:rPr>
      </w:pPr>
    </w:p>
    <w:p>
      <w:pPr>
        <w:ind w:left="944" w:right="1779" w:hanging="944"/>
        <w:spacing w:after="0" w:line="270" w:lineRule="auto"/>
        <w:tabs>
          <w:tab w:leader="none" w:pos="9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discounted to the Redemption Date on a semiannual basis (assuming a 360 day year consisting of twelve 30-day months) at the applicable Treasury Yield (as defined in the Notes) plus 25 basis points; plus, in either case, accrued interest to the Redemption Date.</w:t>
      </w:r>
    </w:p>
    <w:p>
      <w:pPr>
        <w:spacing w:after="0" w:line="390" w:lineRule="exact"/>
        <w:rPr>
          <w:rFonts w:ascii="Courier New" w:cs="Courier New" w:eastAsia="Courier New" w:hAnsi="Courier New"/>
          <w:sz w:val="16"/>
          <w:szCs w:val="16"/>
          <w:color w:val="auto"/>
        </w:rPr>
      </w:pPr>
    </w:p>
    <w:p>
      <w:pPr>
        <w:ind w:left="944" w:right="1779" w:hanging="944"/>
        <w:spacing w:after="0" w:line="235" w:lineRule="auto"/>
        <w:tabs>
          <w:tab w:leader="none" w:pos="94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shall not be redeemable through the operation of any sinking fund or analogous provision.</w:t>
      </w:r>
    </w:p>
    <w:p>
      <w:pPr>
        <w:spacing w:after="0" w:line="208" w:lineRule="exact"/>
        <w:rPr>
          <w:rFonts w:ascii="Courier New" w:cs="Courier New" w:eastAsia="Courier New" w:hAnsi="Courier New"/>
          <w:sz w:val="18"/>
          <w:szCs w:val="18"/>
          <w:color w:val="auto"/>
        </w:rPr>
      </w:pPr>
    </w:p>
    <w:p>
      <w:pPr>
        <w:ind w:left="944" w:right="1879" w:hanging="944"/>
        <w:spacing w:after="0" w:line="236" w:lineRule="auto"/>
        <w:tabs>
          <w:tab w:leader="none" w:pos="94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will be subject to defeasance and discharge as contemplated by Section 1302 of the Indenture and to covenant defeasance under Section 1303 of the Indenture.</w:t>
      </w:r>
    </w:p>
    <w:p>
      <w:pPr>
        <w:spacing w:after="0" w:line="208" w:lineRule="exact"/>
        <w:rPr>
          <w:rFonts w:ascii="Courier New" w:cs="Courier New" w:eastAsia="Courier New" w:hAnsi="Courier New"/>
          <w:sz w:val="18"/>
          <w:szCs w:val="18"/>
          <w:color w:val="auto"/>
        </w:rPr>
      </w:pPr>
    </w:p>
    <w:p>
      <w:pPr>
        <w:ind w:left="944" w:right="2099" w:hanging="944"/>
        <w:spacing w:after="0" w:line="290" w:lineRule="auto"/>
        <w:tabs>
          <w:tab w:leader="none" w:pos="9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entitled to the benefit of the covenants contained in Sections 1008 and 1009 of the Indenture.</w:t>
      </w:r>
    </w:p>
    <w:p>
      <w:pPr>
        <w:spacing w:after="0" w:line="169" w:lineRule="exact"/>
        <w:rPr>
          <w:rFonts w:ascii="Courier New" w:cs="Courier New" w:eastAsia="Courier New" w:hAnsi="Courier New"/>
          <w:sz w:val="16"/>
          <w:szCs w:val="16"/>
          <w:color w:val="auto"/>
        </w:rPr>
      </w:pPr>
    </w:p>
    <w:p>
      <w:pPr>
        <w:ind w:left="944" w:right="2099" w:hanging="944"/>
        <w:spacing w:after="0" w:line="235" w:lineRule="auto"/>
        <w:tabs>
          <w:tab w:leader="none" w:pos="94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serve initially as Security Registrar for the Notes.</w:t>
      </w:r>
    </w:p>
    <w:p>
      <w:pPr>
        <w:spacing w:after="0" w:line="208" w:lineRule="exact"/>
        <w:rPr>
          <w:rFonts w:ascii="Courier New" w:cs="Courier New" w:eastAsia="Courier New" w:hAnsi="Courier New"/>
          <w:sz w:val="18"/>
          <w:szCs w:val="18"/>
          <w:color w:val="auto"/>
        </w:rPr>
      </w:pPr>
    </w:p>
    <w:p>
      <w:pPr>
        <w:ind w:left="944" w:right="2319" w:hanging="944"/>
        <w:spacing w:after="0" w:line="235" w:lineRule="auto"/>
        <w:tabs>
          <w:tab w:leader="none" w:pos="94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shall be substantially in the form of Exhibit A hereto.</w:t>
      </w:r>
    </w:p>
    <w:p>
      <w:pPr>
        <w:sectPr>
          <w:pgSz w:w="11900" w:h="16838" w:orient="portrait"/>
          <w:cols w:equalWidth="0" w:num="1">
            <w:col w:w="9263"/>
          </w:cols>
          <w:pgMar w:left="1196" w:top="723" w:right="1440" w:bottom="1440" w:gutter="0" w:footer="0" w:header="0"/>
        </w:sectPr>
      </w:pPr>
    </w:p>
    <w:bookmarkStart w:id="45" w:name="page46"/>
    <w:bookmarkEnd w:id="45"/>
    <w:p>
      <w:pPr>
        <w:ind w:left="26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TERMS OF NOTES</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[FORM OF BOOK-ENTRY NOTE]</w:t>
      </w:r>
    </w:p>
    <w:p>
      <w:pPr>
        <w:sectPr>
          <w:pgSz w:w="11900" w:h="16838" w:orient="portrait"/>
          <w:cols w:equalWidth="0" w:num="1">
            <w:col w:w="9019"/>
          </w:cols>
          <w:pgMar w:left="1440" w:top="919"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RESOLUTIONS OF BOARD OF DIRECTORS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on September 7, 2001, the Board of Directors previously adopted resolutions authorizing certain officers of the Company to effect borrowings or securities offerings up to an aggregate of $600 million; and</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WHEREAS, the Board of Directors desires to increase the aggregate amount the Company is authorized to borrow under such resolutions; and</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the Company anticipates that a portion of the financing will be through convertible notes, which may result in certain purchasers of such notes selling short or otherwise disposing of Company Common Stock (the "Common Stock"); and</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WHEREAS, the Company desires to offset any imbalance position caused by the potential disposal of the Common Stock by implementing a stock buy-back program to repurchase shares of Common Stock on the open market ("Stock Buy-Back Program"), such repurchase of shares not to exceed $100 million in fair market value of the Common Stock and not to continue beyond thirty days past the closing of the offering;</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BE IT RESOLVED, that the resolutions adopted by the Board of Directors on September 7, 2001, authorizing certain officers of the Company to effect borrowings or securities offerings up to an aggregate of $600 million be, and they hereby are, superceded and rescinded;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FURTHER, that the Chief Executive Officer, the Chief Financial Officer, the Treasurer, and the Secretary of the Company (the "Authorized Officers") be, and each of them hereby is, authorized, for and on behalf of the Company, to issue up to $800 Million (net proceeds to the Company) of debt securities, consisting of fixed maturity senior unsecured debt and zero coupon, subordinated convertible debt, each upon such terms and conditions as the Authorized Officers deem necessary or appropriate; and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FURTHER, that, for a period of up to thirty days subsequent to the closing of any debt offering contemplated hereby, the Company take the appropriate action to conduct a Stock Buy-Back Program through its stock transfer agent, Mellon Investor Services LLC, or through any other financial institution and upon such terms and conditions, including price, deemed appropriate by the Authorized</w:t>
      </w:r>
    </w:p>
    <w:p>
      <w:pPr>
        <w:sectPr>
          <w:pgSz w:w="11900" w:h="16838" w:orient="portrait"/>
          <w:cols w:equalWidth="0" w:num="1">
            <w:col w:w="9259"/>
          </w:cols>
          <w:pgMar w:left="1200" w:top="514" w:right="1440" w:bottom="1440" w:gutter="0" w:footer="0" w:header="0"/>
        </w:sectPr>
      </w:pPr>
    </w:p>
    <w:bookmarkStart w:id="47" w:name="page48"/>
    <w:bookmarkEnd w:id="47"/>
    <w:p>
      <w:pPr>
        <w:ind w:right="1879"/>
        <w:spacing w:after="0" w:line="236" w:lineRule="auto"/>
        <w:rPr>
          <w:sz w:val="20"/>
          <w:szCs w:val="20"/>
          <w:color w:val="auto"/>
        </w:rPr>
      </w:pPr>
      <w:r>
        <w:rPr>
          <w:rFonts w:ascii="Courier New" w:cs="Courier New" w:eastAsia="Courier New" w:hAnsi="Courier New"/>
          <w:sz w:val="18"/>
          <w:szCs w:val="18"/>
          <w:color w:val="auto"/>
        </w:rPr>
        <w:t>Officers, in accordance with applicable law, such repurchase of shares not to exceed $100 million in fair market value of the Common Stock; and</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RESOLVED FURTHER, that such shares of Common Stock repurchased by the Company shall be retained in the Company's treasury; and</w:t>
      </w:r>
    </w:p>
    <w:p>
      <w:pPr>
        <w:spacing w:after="0" w:line="17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RESOLVED FURTHER, that the Authorized Officers of the Company be, and each of them hereby is, authorized and empowered, for and on behalf of the Company, (i) to engage such financial institutions, investment banking firms or other advisors to underwrite or assist with such debt issuance, on such terms and conditions as they deem advisable or appropriate and (ii) to take or cause to be taken any and all such actions and to enter into, execute and deliver any and all such acknowledgments, agreements, certificates, contracts, indentures, instruments, notices, statements, powers of attorney and other documents, or to effect any filings, registrations, qualifications or applications with any and all appropriate regulatory authorities, including the Securities and Exchange Commission, any applicable state securities commission or agency, the New York Stock Exchange and any credit rating agency, as may be required or as any such Authorized Officer may deem necessary, advisable or appropriate to effectuate and carry out the transactions contemplated by, and the purposes and intent of, the foregoing resolutions; all such actions to be performed in such manner and all such acknowledgments, agreements, certificates, contracts, indentures, instruments, notices, statements, powers of attorney and documents to be executed and delivered in such form as the officer performing or executing the same shall approve, such officer's performance or execution and delivery thereof to be conclusive evidence of such approval and the approval thereof by this Board of Directors; and</w:t>
      </w:r>
    </w:p>
    <w:p>
      <w:pPr>
        <w:spacing w:after="0" w:line="200" w:lineRule="exact"/>
        <w:rPr>
          <w:sz w:val="20"/>
          <w:szCs w:val="20"/>
          <w:color w:val="auto"/>
        </w:rPr>
      </w:pP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FURTHER, that the form of any additional resolutions required in connection with the borrowings of funds or the Stock Buy-Back Program described above be and hereby is approved and adopted, provided the Authorized Officers, on the advice of counsel, consider the adoption thereof necessary or advisable, in which case the Secretary of the Company is hereby directed to insert as an appendix hereto a copy of such resolutions, which shall thereupon be deemed to have been adopted by this Board of Directors with the same force and effect as if set out verbatim herein; and</w:t>
      </w:r>
    </w:p>
    <w:p>
      <w:pPr>
        <w:spacing w:after="0" w:line="214"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RESOLVED FURTHER, that the Secretary and any Assistant Secretary of the Company be, and each of them hereby is, authorized and empowered, for and on behalf of the Company, to certify and attest any documents that such Secretary or any such Assistant Secretary may deem necessary, advisable or appropriate to consummate the transactions</w:t>
      </w:r>
    </w:p>
    <w:p>
      <w:pPr>
        <w:sectPr>
          <w:pgSz w:w="11900" w:h="16838" w:orient="portrait"/>
          <w:cols w:equalWidth="0" w:num="1">
            <w:col w:w="9259"/>
          </w:cols>
          <w:pgMar w:left="1200" w:top="723" w:right="1440" w:bottom="1440" w:gutter="0" w:footer="0" w:header="0"/>
        </w:sectPr>
      </w:pPr>
    </w:p>
    <w:bookmarkStart w:id="48" w:name="page49"/>
    <w:bookmarkEnd w:id="48"/>
    <w:p>
      <w:pPr>
        <w:ind w:right="2199"/>
        <w:spacing w:after="0" w:line="237" w:lineRule="auto"/>
        <w:rPr>
          <w:sz w:val="20"/>
          <w:szCs w:val="20"/>
          <w:color w:val="auto"/>
        </w:rPr>
      </w:pPr>
      <w:r>
        <w:rPr>
          <w:rFonts w:ascii="Courier New" w:cs="Courier New" w:eastAsia="Courier New" w:hAnsi="Courier New"/>
          <w:sz w:val="18"/>
          <w:szCs w:val="18"/>
          <w:color w:val="auto"/>
        </w:rPr>
        <w:t>contemplated by the documents heretofore authorized and approved, provided that such attestation shall not be required for the due authorization, execution and delivery or validity of the particular document; and</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RESOLVED FURTHER, that the authority granted to the Authorized Officers of the Company under the foregoing resolutions shall be deemed to include, in the case of each such resolution the authority to perform such further acts and deeds for and on behalf of the Company as may be necessary, advisable or appropriate, in the judgment of any such officer, to carry out the transactions contemplated thereby, and all acts and deeds previously performed by any of the officers or counsel to the Company prior to the date hereof that are within the authority conferred by the foregoing resolutions be and each of them hereby is approved, ratified and confirmed in all respects as the authorized acts and deeds of the Company.</w:t>
      </w:r>
    </w:p>
    <w:p>
      <w:pPr>
        <w:sectPr>
          <w:pgSz w:w="11900" w:h="16838" w:orient="portrait"/>
          <w:cols w:equalWidth="0" w:num="1">
            <w:col w:w="9259"/>
          </w:cols>
          <w:pgMar w:left="1200" w:top="723"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[BAKER BOTTS L.L.P. LETTERHEAD]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20,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018484.0200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Salomon Smith Barney Inc.</w:t>
      </w:r>
    </w:p>
    <w:p>
      <w:pPr>
        <w:spacing w:after="0" w:line="237" w:lineRule="auto"/>
        <w:rPr>
          <w:sz w:val="20"/>
          <w:szCs w:val="20"/>
          <w:color w:val="auto"/>
        </w:rPr>
      </w:pPr>
      <w:r>
        <w:rPr>
          <w:rFonts w:ascii="Courier New" w:cs="Courier New" w:eastAsia="Courier New" w:hAnsi="Courier New"/>
          <w:sz w:val="18"/>
          <w:szCs w:val="18"/>
          <w:color w:val="auto"/>
        </w:rPr>
        <w:t>ABN AMRO Incorporated</w:t>
      </w:r>
    </w:p>
    <w:p>
      <w:pPr>
        <w:spacing w:after="0" w:line="238" w:lineRule="auto"/>
        <w:rPr>
          <w:sz w:val="20"/>
          <w:szCs w:val="20"/>
          <w:color w:val="auto"/>
        </w:rPr>
      </w:pPr>
      <w:r>
        <w:rPr>
          <w:rFonts w:ascii="Courier New" w:cs="Courier New" w:eastAsia="Courier New" w:hAnsi="Courier New"/>
          <w:sz w:val="18"/>
          <w:szCs w:val="18"/>
          <w:color w:val="auto"/>
        </w:rPr>
        <w:t>Credit Suisse First Boston Corporation</w:t>
      </w:r>
    </w:p>
    <w:p>
      <w:pPr>
        <w:spacing w:after="0"/>
        <w:rPr>
          <w:sz w:val="20"/>
          <w:szCs w:val="20"/>
          <w:color w:val="auto"/>
        </w:rPr>
      </w:pPr>
      <w:r>
        <w:rPr>
          <w:rFonts w:ascii="Courier New" w:cs="Courier New" w:eastAsia="Courier New" w:hAnsi="Courier New"/>
          <w:sz w:val="18"/>
          <w:szCs w:val="18"/>
          <w:color w:val="auto"/>
        </w:rPr>
        <w:t>Fleet Securities, Inc.</w:t>
      </w:r>
    </w:p>
    <w:p>
      <w:pPr>
        <w:spacing w:after="0" w:line="237" w:lineRule="auto"/>
        <w:rPr>
          <w:sz w:val="20"/>
          <w:szCs w:val="20"/>
          <w:color w:val="auto"/>
        </w:rPr>
      </w:pPr>
      <w:r>
        <w:rPr>
          <w:rFonts w:ascii="Courier New" w:cs="Courier New" w:eastAsia="Courier New" w:hAnsi="Courier New"/>
          <w:sz w:val="18"/>
          <w:szCs w:val="18"/>
          <w:color w:val="auto"/>
        </w:rPr>
        <w:t>Goldman, Sachs &amp; Co.</w:t>
      </w:r>
    </w:p>
    <w:p>
      <w:pPr>
        <w:spacing w:after="0"/>
        <w:rPr>
          <w:sz w:val="20"/>
          <w:szCs w:val="20"/>
          <w:color w:val="auto"/>
        </w:rPr>
      </w:pPr>
      <w:r>
        <w:rPr>
          <w:rFonts w:ascii="Courier New" w:cs="Courier New" w:eastAsia="Courier New" w:hAnsi="Courier New"/>
          <w:sz w:val="18"/>
          <w:szCs w:val="18"/>
          <w:color w:val="auto"/>
        </w:rPr>
        <w:t>Lehman Brothers Inc.</w:t>
      </w:r>
    </w:p>
    <w:p>
      <w:pPr>
        <w:spacing w:after="0" w:line="237" w:lineRule="auto"/>
        <w:rPr>
          <w:sz w:val="20"/>
          <w:szCs w:val="20"/>
          <w:color w:val="auto"/>
        </w:rPr>
      </w:pPr>
      <w:r>
        <w:rPr>
          <w:rFonts w:ascii="Courier New" w:cs="Courier New" w:eastAsia="Courier New" w:hAnsi="Courier New"/>
          <w:sz w:val="18"/>
          <w:szCs w:val="18"/>
          <w:color w:val="auto"/>
        </w:rPr>
        <w:t>Merrill Lynch, Pierce, Fenner &amp; Smith</w:t>
      </w:r>
    </w:p>
    <w:p>
      <w:pPr>
        <w:ind w:left="128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PNC Capital Markets,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J.P. Morgan Securities Inc.</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6 1/2% SENIOR NOTES DUE 2008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This opinion is being furnished pursuant to Section 6(b) of the Underwriting Agreement dated November 15, 2001 (the "Underwriting Agreement") by and between Waste Management, Inc., a Delaware corporation (the "Company"), and Banc of America Securities LLC, J.P. Morgan Securities Inc. and Salomon Smith Barney Inc., as Representatives of the several Underwriters named in Schedule II of the Underwriting Agreement (the "Underwriters"), relating to the issuance and sale by the Company to the Underwriters of $400,000,000 aggregate principal amount of the Company's 6 1/2% Senior Notes due 2008 (the "Notes") to be issued pursuant to an Indenture (the "Indenture") dated as of September 10, 1997 between the Company, formerly known as USA Waste Services, Inc., and JPMorgan Chase Bank, as successor to The Chase Manhattan Bank, as trustee (the "Trustee"). Capitalized terms used but not defined herein shall have the meaning ascribed to such terms in the Underwriting Agreement.</w:t>
      </w:r>
    </w:p>
    <w:p>
      <w:pPr>
        <w:spacing w:after="0" w:line="38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The Company has prepared and filed with the Securities and Exchange Commission (the "Commission") a registration statement on Form S-3 (Registration No. 333-80063) for the registration under the Securities Act of 1933, as amended (the "Securities Act"),</w:t>
      </w:r>
    </w:p>
    <w:p>
      <w:pPr>
        <w:sectPr>
          <w:pgSz w:w="11900" w:h="16838" w:orient="portrait"/>
          <w:cols w:equalWidth="0" w:num="1">
            <w:col w:w="10219"/>
          </w:cols>
          <w:pgMar w:left="240" w:top="339"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[BAKER BOTTS L.L.P. LETTERHEAD]</w:t>
      </w:r>
    </w:p>
    <w:p>
      <w:pPr>
        <w:spacing w:after="0" w:line="201" w:lineRule="exact"/>
        <w:rPr>
          <w:sz w:val="20"/>
          <w:szCs w:val="20"/>
          <w:color w:val="auto"/>
        </w:rPr>
      </w:pPr>
    </w:p>
    <w:p>
      <w:pPr>
        <w:jc w:val="both"/>
        <w:ind w:left="4120"/>
        <w:spacing w:after="0"/>
        <w:tabs>
          <w:tab w:leader="none" w:pos="6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November 20, 2001</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the offering and sale of debt securities, including the Notes, from time to time in accordance with Rule 415 of the rules and regulations under the Securities Act. For purposes hereof, "Effective Date" means the date and time as of which Post-Effective Amendment No. 1 to such registration statement was declared effective by the Commission. Such registration statement, as amended pursuant to the Securities Act, including all documents incorporated or deemed incorporated by reference therein, is hereinafter referred to as the "Registration Statement," and the Company's prospectus dated February 14, 2000, as supplemented by the Company's prospectus supplement thereto dated November 15, 2001, all as first filed with the Commission pursuant to Rule 424(b) under the Securities Act, including the documents incorporated by reference therein, is hereinafter referred to as the "Final Prospectus."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We have examined the originals, or copies certified or otherwise identified, of the Restated Certificate of Incorporation and Bylaws of the Company, each as amended to date, corporate records of the Company and certain subsidiaries, including minute books of the Company and certain subsidiaries, as furnished to us by the Company, certificates of public officials and of representatives of the Company, statutes and other instruments and documents, as a basis for the opinions hereinafter expressed. In giving the opinions set forth below, we have relied upon certificates, statements or other representations of officers or authorized agents of the Company with respect to the accuracy of the factual matters contained in or covered by such certificates, statements or representations. In making our examination, we have assumed that all signatures on all documents examined by us are genuine, all documents submitted to us as originals are authentic and complete, all documents submitted to us as certified or photostatic copies are true and correct copies of the originals thereof and that all information submitted to us was accurate and complete.</w:t>
      </w:r>
    </w:p>
    <w:p>
      <w:pPr>
        <w:spacing w:after="0" w:line="20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On the basis of the foregoing, and subject to the assumptions, limitations, qualifications and exceptions set forth herein, we are of the opinion that:</w:t>
      </w:r>
    </w:p>
    <w:p>
      <w:pPr>
        <w:spacing w:after="0" w:line="209" w:lineRule="exact"/>
        <w:rPr>
          <w:sz w:val="20"/>
          <w:szCs w:val="20"/>
          <w:color w:val="auto"/>
        </w:rPr>
      </w:pPr>
    </w:p>
    <w:p>
      <w:pPr>
        <w:ind w:left="960" w:right="1879" w:firstLine="944"/>
        <w:spacing w:after="0" w:line="290" w:lineRule="auto"/>
        <w:tabs>
          <w:tab w:leader="none" w:pos="222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validly existing in good standing under the laws of the State of Delaware.</w:t>
      </w:r>
    </w:p>
    <w:p>
      <w:pPr>
        <w:spacing w:after="0" w:line="169" w:lineRule="exact"/>
        <w:rPr>
          <w:rFonts w:ascii="Courier New" w:cs="Courier New" w:eastAsia="Courier New" w:hAnsi="Courier New"/>
          <w:sz w:val="16"/>
          <w:szCs w:val="16"/>
          <w:color w:val="auto"/>
        </w:rPr>
      </w:pPr>
    </w:p>
    <w:p>
      <w:pPr>
        <w:ind w:left="960" w:right="1779" w:firstLine="944"/>
        <w:spacing w:after="0" w:line="237" w:lineRule="auto"/>
        <w:tabs>
          <w:tab w:leader="none" w:pos="222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corporate power and authority to own, lease and operate its properties and to conduct its business as described in the Final Prospectus and to execute and deliver and perform its obligations under the Underwriting Agreement.</w:t>
      </w:r>
    </w:p>
    <w:p>
      <w:pPr>
        <w:spacing w:after="0" w:line="207" w:lineRule="exact"/>
        <w:rPr>
          <w:rFonts w:ascii="Courier New" w:cs="Courier New" w:eastAsia="Courier New" w:hAnsi="Courier New"/>
          <w:sz w:val="18"/>
          <w:szCs w:val="18"/>
          <w:color w:val="auto"/>
        </w:rPr>
      </w:pPr>
    </w:p>
    <w:p>
      <w:pPr>
        <w:ind w:left="960" w:right="2519" w:firstLine="944"/>
        <w:spacing w:after="0" w:line="235" w:lineRule="auto"/>
        <w:tabs>
          <w:tab w:leader="none" w:pos="222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Underwriting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22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w:t>
      </w:r>
    </w:p>
    <w:p>
      <w:pPr>
        <w:sectPr>
          <w:pgSz w:w="11900" w:h="16838" w:orient="portrait"/>
          <w:cols w:equalWidth="0" w:num="1">
            <w:col w:w="10219"/>
          </w:cols>
          <w:pgMar w:left="240" w:top="51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[BAKER BOTTS L.L.P. LETTERHEAD]</w:t>
      </w:r>
    </w:p>
    <w:p>
      <w:pPr>
        <w:spacing w:after="0" w:line="201" w:lineRule="exact"/>
        <w:rPr>
          <w:sz w:val="20"/>
          <w:szCs w:val="20"/>
          <w:color w:val="auto"/>
        </w:rPr>
      </w:pPr>
    </w:p>
    <w:p>
      <w:pPr>
        <w:jc w:val="both"/>
        <w:ind w:left="4120"/>
        <w:spacing w:after="0"/>
        <w:tabs>
          <w:tab w:leader="none" w:pos="6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November 20, 2001</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70" w:lineRule="auto"/>
        <w:tabs>
          <w:tab w:leader="none" w:pos="222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certificate representing the Notes is in a form authorized by the Indenture, the Notes have been duly authorized by the Company and, assuming the global certificate representing the Notes has been authenticated by the Trustee in the manner provided for in the Indenture and delivered against payment of the consideration therefor specified in the Underwriting Agreement, the Notes constitute valid and binding obligations of the Company, enforceable against the Company in accordance with their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 and each registered holder thereof is entitled to the benefits of the Indenture.</w:t>
      </w:r>
    </w:p>
    <w:p>
      <w:pPr>
        <w:spacing w:after="0" w:line="382" w:lineRule="exact"/>
        <w:rPr>
          <w:rFonts w:ascii="Courier New" w:cs="Courier New" w:eastAsia="Courier New" w:hAnsi="Courier New"/>
          <w:sz w:val="16"/>
          <w:szCs w:val="16"/>
          <w:color w:val="auto"/>
        </w:rPr>
      </w:pPr>
    </w:p>
    <w:p>
      <w:pPr>
        <w:ind w:left="2220" w:hanging="316"/>
        <w:spacing w:after="0"/>
        <w:tabs>
          <w:tab w:leader="none" w:pos="2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qualified under the 1939 Act.</w:t>
      </w:r>
    </w:p>
    <w:p>
      <w:pPr>
        <w:spacing w:after="0" w:line="206" w:lineRule="exact"/>
        <w:rPr>
          <w:rFonts w:ascii="Courier New" w:cs="Courier New" w:eastAsia="Courier New" w:hAnsi="Courier New"/>
          <w:sz w:val="18"/>
          <w:szCs w:val="18"/>
          <w:color w:val="auto"/>
        </w:rPr>
      </w:pPr>
    </w:p>
    <w:p>
      <w:pPr>
        <w:ind w:left="960" w:right="1879" w:firstLine="944"/>
        <w:spacing w:after="0" w:line="236" w:lineRule="auto"/>
        <w:tabs>
          <w:tab w:leader="none" w:pos="2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and the Indenture conform as to legal matters in all material respects to the descriptions thereof contained in the Final Prospectus.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been declared effective under the Act; any required filing of the Final Prospectus pursuant to Rule 424(b) has been made in the manner and within the time period required by Rule 424(b); and, to the best of our knowledge, no stop order suspending the effectiveness of the Registration Statement has been issued and no proceedings for that purpose have been instituted or are pending or threatened under the Act.</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approval, consent or license of any regulatory body or authority (other than under the Act, the 1939 Act and the securities or Blue Sky laws of the various states) and no approval of the stockholders of the Company is required for the valid authorization, issuance, sale and delivery of the Notes by the Company, or performance of the Indenture.</w:t>
      </w:r>
    </w:p>
    <w:p>
      <w:pPr>
        <w:spacing w:after="0" w:line="209" w:lineRule="exact"/>
        <w:rPr>
          <w:rFonts w:ascii="Courier New" w:cs="Courier New" w:eastAsia="Courier New" w:hAnsi="Courier New"/>
          <w:sz w:val="18"/>
          <w:szCs w:val="18"/>
          <w:color w:val="auto"/>
        </w:rPr>
      </w:pPr>
    </w:p>
    <w:p>
      <w:pPr>
        <w:ind w:left="960" w:right="1779" w:firstLine="839"/>
        <w:spacing w:after="0" w:line="238" w:lineRule="auto"/>
        <w:tabs>
          <w:tab w:leader="none" w:pos="2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or its subsidiaries listed on Schedule I (the "Subsidiaries"),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Final Prospectus, or any existing applicable laws, rule, regulation (excluding any securities or anti-fraud law, rule or regulation).</w:t>
      </w:r>
    </w:p>
    <w:p>
      <w:pPr>
        <w:spacing w:after="0" w:line="207" w:lineRule="exact"/>
        <w:rPr>
          <w:rFonts w:ascii="Courier New" w:cs="Courier New" w:eastAsia="Courier New" w:hAnsi="Courier New"/>
          <w:sz w:val="18"/>
          <w:szCs w:val="18"/>
          <w:color w:val="auto"/>
        </w:rPr>
      </w:pPr>
    </w:p>
    <w:p>
      <w:pPr>
        <w:ind w:left="960" w:right="1999" w:firstLine="839"/>
        <w:spacing w:after="0" w:line="236" w:lineRule="auto"/>
        <w:tabs>
          <w:tab w:leader="none" w:pos="222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an entity "controlled" by an "investment company," as such terms are defined in the 1940 Act.</w:t>
      </w:r>
    </w:p>
    <w:p>
      <w:pPr>
        <w:sectPr>
          <w:pgSz w:w="11900" w:h="16838" w:orient="portrait"/>
          <w:cols w:equalWidth="0" w:num="1">
            <w:col w:w="10219"/>
          </w:cols>
          <w:pgMar w:left="240" w:top="51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[BAKER BOTTS L.L.P. LETTERHEAD]</w:t>
      </w:r>
    </w:p>
    <w:p>
      <w:pPr>
        <w:spacing w:after="0" w:line="201" w:lineRule="exact"/>
        <w:rPr>
          <w:sz w:val="20"/>
          <w:szCs w:val="20"/>
          <w:color w:val="auto"/>
        </w:rPr>
      </w:pPr>
    </w:p>
    <w:p>
      <w:pPr>
        <w:jc w:val="both"/>
        <w:ind w:left="4120"/>
        <w:spacing w:after="0"/>
        <w:tabs>
          <w:tab w:leader="none" w:pos="6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November 20, 2001</w:t>
      </w:r>
    </w:p>
    <w:p>
      <w:pPr>
        <w:spacing w:after="0" w:line="200" w:lineRule="exact"/>
        <w:rPr>
          <w:sz w:val="20"/>
          <w:szCs w:val="20"/>
          <w:color w:val="auto"/>
        </w:rPr>
      </w:pPr>
    </w:p>
    <w:p>
      <w:pPr>
        <w:spacing w:after="0" w:line="209" w:lineRule="exact"/>
        <w:rPr>
          <w:sz w:val="20"/>
          <w:szCs w:val="20"/>
          <w:color w:val="auto"/>
        </w:rPr>
      </w:pPr>
    </w:p>
    <w:p>
      <w:pPr>
        <w:ind w:left="960" w:right="1999" w:firstLine="839"/>
        <w:spacing w:after="0" w:line="236" w:lineRule="auto"/>
        <w:tabs>
          <w:tab w:leader="none" w:pos="222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"holding company" or a "public utility," as such terms are defined in the 1935 Act.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the basis of our review described below, we also advise you that the Registration Statement and the Final Prospectus, excluding the documents incorporated by reference therein and the financial statements and other financial data and supporting schedules included therein or omitted therefrom and the Trustee's Statement of Eligibility on Form T-1, as to which we have not been asked to comment, as of the Effective Date and its issue date, respectively, appear on their face to have been appropriately responsive in all material respects with the requirements of the Securities Act.</w:t>
      </w:r>
    </w:p>
    <w:p>
      <w:pPr>
        <w:spacing w:after="0" w:line="212"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In addition, we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and the Final Prospectus were discussed and, although we did not independently verify such information and are not passing upon and do not assume any responsibility for the accuracy, completeness or fairness of the statements contained in the Registration Statement and the Final Prospectus (other than as set forth in paragraph 7 above), on the basis of the foregoing, no facts came to our attention that led us to believe that the Registration Statement (other than the financial statements, the notes thereto and the auditors' reports thereon and the related schedules and the other financial and accounting data included or incorporated by reference therein, or omitted therefrom, and the exhibits thereto, as to which we have not been asked to comment) as of the date of the Underwriting Agreement contained an untrue statement of a material fact or omitted to state a material fact required to be stated therein or necessary in order to make the statements therein not misleading, or that the Final Prospectus (other than the financial statements, the notes thereto and the auditors' reports thereon and the related schedules and the other financial and accounting data included or incorporated by reference therein, or omitted therefrom, as to which we have not been asked to comment) as of its issue date or the Closing Date contained or contains an untrue statement of a material fact or omitted or omits to state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39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opinions set forth above are limited in all respects to matters of the laws of the State of Texas, the contract law of the State of New York, the General Corporation Law of the State of Delaware and applicable federal law of the United States, each as in effect on the date hereof. The opinions set forth above are solely for the benefit of the Underwriters in connection with the transactions consummated on the date hereof pursuant to the Underwriting Agreement and may be relied upon only by the Underwriters named therein and may not be relied upon by any other person or for any other purpose. This opinion speaks as of the date hereof, and we disclaim any obligation to update this opinion.</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 BAKER BOTTS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JDK/ERH</w:t>
      </w:r>
    </w:p>
    <w:p>
      <w:pPr>
        <w:sectPr>
          <w:pgSz w:w="11900" w:h="16838" w:orient="portrait"/>
          <w:cols w:equalWidth="0" w:num="1">
            <w:col w:w="10219"/>
          </w:cols>
          <w:pgMar w:left="240" w:top="51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[BAKER BOTTS L.L.P. LETTERHEAD]</w:t>
      </w:r>
    </w:p>
    <w:p>
      <w:pPr>
        <w:spacing w:after="0" w:line="201" w:lineRule="exact"/>
        <w:rPr>
          <w:sz w:val="20"/>
          <w:szCs w:val="20"/>
          <w:color w:val="auto"/>
        </w:rPr>
      </w:pPr>
    </w:p>
    <w:p>
      <w:pPr>
        <w:jc w:val="both"/>
        <w:ind w:left="4120"/>
        <w:spacing w:after="0"/>
        <w:tabs>
          <w:tab w:leader="none" w:pos="66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November 20,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Technologies, Inc.</w:t>
      </w:r>
    </w:p>
    <w:p>
      <w:pPr>
        <w:sectPr>
          <w:pgSz w:w="11900" w:h="16838" w:orient="portrait"/>
          <w:cols w:equalWidth="0" w:num="1">
            <w:col w:w="10219"/>
          </w:cols>
          <w:pgMar w:left="240" w:top="514" w:right="1440" w:bottom="1440" w:gutter="0" w:footer="0" w:header="0"/>
        </w:sectPr>
      </w:pPr>
    </w:p>
    <w:bookmarkStart w:id="54" w:name="page55"/>
    <w:bookmarkEnd w:id="54"/>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of our report dated March 7, 2001, included in Waste Management, Inc.'s Annual Report on Form 10-K for the year ended December 31, 2000, into the Prospectus Supplement dated November 15, 2001 relating to the Registration Statement on Form S-3 (Registration No. 333-80063) and all references to our Firm included in the Prospectus Supplement and Registration Statement.</w:t>
      </w:r>
    </w:p>
    <w:p>
      <w:pPr>
        <w:spacing w:after="0" w:line="205"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November 15,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lowerLetter"/>
      <w:start w:val="3"/>
    </w:lvl>
  </w:abstractNum>
  <w:abstractNum w:abstractNumId="1">
    <w:nsid w:val="6CEAF087"/>
    <w:multiLevelType w:val="hybridMultilevel"/>
    <w:lvl w:ilvl="0">
      <w:lvlJc w:val="left"/>
      <w:lvlText w:val="1"/>
      <w:numFmt w:val="bullet"/>
      <w:start w:val="1"/>
    </w:lvl>
  </w:abstractNum>
  <w:abstractNum w:abstractNumId="2">
    <w:nsid w:val="22221A70"/>
    <w:multiLevelType w:val="hybridMultilevel"/>
    <w:lvl w:ilvl="0">
      <w:lvlJc w:val="left"/>
      <w:lvlText w:val="5"/>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6"/>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lowerLetter"/>
      <w:start w:val="1"/>
    </w:lvl>
    <w:lvl w:ilvl="1">
      <w:lvlJc w:val="left"/>
      <w:lvlText w:val="(%2)"/>
      <w:numFmt w:val="lowerLetter"/>
      <w:start w:val="1"/>
    </w:lvl>
  </w:abstractNum>
  <w:abstractNum w:abstractNumId="7">
    <w:nsid w:val="5577F8E1"/>
    <w:multiLevelType w:val="hybridMultilevel"/>
    <w:lvl w:ilvl="0">
      <w:lvlJc w:val="left"/>
      <w:lvlText w:val="(%1)"/>
      <w:numFmt w:val="lowerLetter"/>
      <w:start w:val="9"/>
    </w:lvl>
    <w:lvl w:ilvl="1">
      <w:lvlJc w:val="left"/>
      <w:lvlText w:val="%2"/>
      <w:numFmt w:val="lowerLetter"/>
      <w:start w:val="1"/>
    </w:lvl>
  </w:abstractNum>
  <w:abstractNum w:abstractNumId="8">
    <w:nsid w:val="440BADFC"/>
    <w:multiLevelType w:val="hybridMultilevel"/>
    <w:lvl w:ilvl="0">
      <w:lvlJc w:val="left"/>
      <w:lvlText w:val="(%1)"/>
      <w:numFmt w:val="lowerLetter"/>
      <w:start w:val="3"/>
    </w:lvl>
  </w:abstractNum>
  <w:abstractNum w:abstractNumId="9">
    <w:nsid w:val="5072367"/>
    <w:multiLevelType w:val="hybridMultilevel"/>
    <w:lvl w:ilvl="0">
      <w:lvlJc w:val="left"/>
      <w:lvlText w:val="(%1)"/>
      <w:numFmt w:val="lowerLetter"/>
      <w:start w:val="7"/>
    </w:lvl>
  </w:abstractNum>
  <w:abstractNum w:abstractNumId="10">
    <w:nsid w:val="3804823E"/>
    <w:multiLevelType w:val="hybridMultilevel"/>
    <w:lvl w:ilvl="0">
      <w:lvlJc w:val="left"/>
      <w:lvlText w:val="%1"/>
      <w:numFmt w:val="lowerLetter"/>
      <w:start w:val="1"/>
    </w:lvl>
    <w:lvl w:ilvl="1">
      <w:lvlJc w:val="left"/>
      <w:lvlText w:val="(%2)"/>
      <w:numFmt w:val="lowerLetter"/>
      <w:start w:val="11"/>
    </w:lvl>
  </w:abstractNum>
  <w:abstractNum w:abstractNumId="11">
    <w:nsid w:val="77465F01"/>
    <w:multiLevelType w:val="hybridMultilevel"/>
    <w:lvl w:ilvl="0">
      <w:lvlJc w:val="left"/>
      <w:lvlText w:val="(%1)"/>
      <w:numFmt w:val="lowerLetter"/>
      <w:start w:val="9"/>
    </w:lvl>
    <w:lvl w:ilvl="1">
      <w:lvlJc w:val="left"/>
      <w:lvlText w:val="(%2)"/>
      <w:numFmt w:val="lowerLetter"/>
      <w:start w:val="13"/>
    </w:lvl>
  </w:abstractNum>
  <w:abstractNum w:abstractNumId="12">
    <w:nsid w:val="7724C67E"/>
    <w:multiLevelType w:val="hybridMultilevel"/>
    <w:lvl w:ilvl="0">
      <w:lvlJc w:val="left"/>
      <w:lvlText w:val="(%1)"/>
      <w:numFmt w:val="lowerLetter"/>
      <w:start w:val="18"/>
    </w:lvl>
  </w:abstractNum>
  <w:abstractNum w:abstractNumId="13">
    <w:nsid w:val="5C482A97"/>
    <w:multiLevelType w:val="hybridMultilevel"/>
    <w:lvl w:ilvl="0">
      <w:lvlJc w:val="left"/>
      <w:lvlText w:val="%1"/>
      <w:numFmt w:val="lowerRoman"/>
      <w:start w:val="1"/>
    </w:lvl>
    <w:lvl w:ilvl="1">
      <w:lvlJc w:val="left"/>
      <w:lvlText w:val="(%2)"/>
      <w:numFmt w:val="lowerLetter"/>
      <w:start w:val="23"/>
    </w:lvl>
  </w:abstractNum>
  <w:abstractNum w:abstractNumId="14">
    <w:nsid w:val="2463B9EA"/>
    <w:multiLevelType w:val="hybridMultilevel"/>
    <w:lvl w:ilvl="0">
      <w:lvlJc w:val="left"/>
      <w:lvlText w:val="(%1)"/>
      <w:numFmt w:val="lowerRoman"/>
      <w:start w:val="4"/>
    </w:lvl>
    <w:lvl w:ilvl="1">
      <w:lvlJc w:val="left"/>
      <w:lvlText w:val="%2"/>
      <w:numFmt w:val="lowerLetter"/>
      <w:start w:val="1"/>
    </w:lvl>
  </w:abstractNum>
  <w:abstractNum w:abstractNumId="15">
    <w:nsid w:val="5E884ADC"/>
    <w:multiLevelType w:val="hybridMultilevel"/>
    <w:lvl w:ilvl="0">
      <w:lvlJc w:val="left"/>
      <w:lvlText w:val="(%1)"/>
      <w:numFmt w:val="lowerLetter"/>
      <w:start w:val="27"/>
    </w:lvl>
  </w:abstractNum>
  <w:abstractNum w:abstractNumId="16">
    <w:nsid w:val="51EAD36B"/>
    <w:multiLevelType w:val="hybridMultilevel"/>
    <w:lvl w:ilvl="0">
      <w:lvlJc w:val="left"/>
      <w:lvlText w:val="%1."/>
      <w:numFmt w:val="decimal"/>
      <w:start w:val="2"/>
    </w:lvl>
    <w:lvl w:ilvl="1">
      <w:lvlJc w:val="left"/>
      <w:lvlText w:val="(%2)"/>
      <w:numFmt w:val="lowerLetter"/>
      <w:start w:val="1"/>
    </w:lvl>
  </w:abstractNum>
  <w:abstractNum w:abstractNumId="17">
    <w:nsid w:val="2D517796"/>
    <w:multiLevelType w:val="hybridMultilevel"/>
    <w:lvl w:ilvl="0">
      <w:lvlJc w:val="left"/>
      <w:lvlText w:val="(%1)"/>
      <w:numFmt w:val="lowerLetter"/>
      <w:start w:val="2"/>
    </w:lvl>
  </w:abstractNum>
  <w:abstractNum w:abstractNumId="18">
    <w:nsid w:val="580BD78F"/>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9">
    <w:nsid w:val="153EA43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0">
    <w:nsid w:val="3855585C"/>
    <w:multiLevelType w:val="hybridMultilevel"/>
    <w:lvl w:ilvl="0">
      <w:lvlJc w:val="left"/>
      <w:lvlText w:val="(%1)"/>
      <w:numFmt w:val="lowerRoman"/>
      <w:start w:val="2"/>
    </w:lvl>
  </w:abstractNum>
  <w:abstractNum w:abstractNumId="21">
    <w:nsid w:val="70A64E2A"/>
    <w:multiLevelType w:val="hybridMultilevel"/>
    <w:lvl w:ilvl="0">
      <w:lvlJc w:val="left"/>
      <w:lvlText w:val="(%1)"/>
      <w:numFmt w:val="lowerRoman"/>
      <w:start w:val="10"/>
    </w:lvl>
  </w:abstractNum>
  <w:abstractNum w:abstractNumId="22">
    <w:nsid w:val="6A2342EC"/>
    <w:multiLevelType w:val="hybridMultilevel"/>
    <w:lvl w:ilvl="0">
      <w:lvlJc w:val="left"/>
      <w:lvlText w:val="(%1)"/>
      <w:numFmt w:val="lowerLetter"/>
      <w:start w:val="3"/>
    </w:lvl>
    <w:lvl w:ilvl="1">
      <w:lvlJc w:val="left"/>
      <w:lvlText w:val="(%2)"/>
      <w:numFmt w:val="lowerRoman"/>
      <w:start w:val="1"/>
    </w:lvl>
  </w:abstractNum>
  <w:abstractNum w:abstractNumId="23">
    <w:nsid w:val="2A487CB0"/>
    <w:multiLevelType w:val="hybridMultilevel"/>
    <w:lvl w:ilvl="0">
      <w:lvlJc w:val="left"/>
      <w:lvlText w:val="%1"/>
      <w:numFmt w:val="lowerLetter"/>
      <w:start w:val="1"/>
    </w:lvl>
    <w:lvl w:ilvl="1">
      <w:lvlJc w:val="left"/>
      <w:lvlText w:val="(%2)"/>
      <w:numFmt w:val="lowerRoman"/>
      <w:start w:val="4"/>
    </w:lvl>
  </w:abstractNum>
  <w:abstractNum w:abstractNumId="24">
    <w:nsid w:val="1D4ED43B"/>
    <w:multiLevelType w:val="hybridMultilevel"/>
    <w:lvl w:ilvl="0">
      <w:lvlJc w:val="left"/>
      <w:lvlText w:val="(%1)"/>
      <w:numFmt w:val="lowerLetter"/>
      <w:start w:val="4"/>
    </w:lvl>
    <w:lvl w:ilvl="1">
      <w:lvlJc w:val="left"/>
      <w:lvlText w:val="(%2)"/>
      <w:numFmt w:val="lowerRoman"/>
      <w:start w:val="1"/>
    </w:lvl>
  </w:abstractNum>
  <w:abstractNum w:abstractNumId="25">
    <w:nsid w:val="725A06FB"/>
    <w:multiLevelType w:val="hybridMultilevel"/>
    <w:lvl w:ilvl="0">
      <w:lvlJc w:val="left"/>
      <w:lvlText w:val="%1"/>
      <w:numFmt w:val="lowerLetter"/>
      <w:start w:val="1"/>
    </w:lvl>
    <w:lvl w:ilvl="1">
      <w:lvlJc w:val="left"/>
      <w:lvlText w:val="(%2)"/>
      <w:numFmt w:val="lowerRoman"/>
      <w:start w:val="2"/>
    </w:lvl>
  </w:abstractNum>
  <w:abstractNum w:abstractNumId="26">
    <w:nsid w:val="2CD89A32"/>
    <w:multiLevelType w:val="hybridMultilevel"/>
    <w:lvl w:ilvl="0">
      <w:lvlJc w:val="left"/>
      <w:lvlText w:val="(%1)"/>
      <w:numFmt w:val="lowerLetter"/>
      <w:start w:val="6"/>
    </w:lvl>
    <w:lvl w:ilvl="1">
      <w:lvlJc w:val="left"/>
      <w:lvlText w:val="(%2)"/>
      <w:numFmt w:val="lowerRoman"/>
      <w:start w:val="1"/>
    </w:lvl>
  </w:abstractNum>
  <w:abstractNum w:abstractNumId="27">
    <w:nsid w:val="57E4CCAF"/>
    <w:multiLevelType w:val="hybridMultilevel"/>
    <w:lvl w:ilvl="0">
      <w:lvlJc w:val="left"/>
      <w:lvlText w:val="%1"/>
      <w:numFmt w:val="lowerRoman"/>
      <w:start w:val="1"/>
    </w:lvl>
    <w:lvl w:ilvl="1">
      <w:lvlJc w:val="left"/>
      <w:lvlText w:val="(%2)"/>
      <w:numFmt w:val="decimal"/>
      <w:start w:val="1"/>
    </w:lvl>
  </w:abstractNum>
  <w:abstractNum w:abstractNumId="28">
    <w:nsid w:val="7A6D8D3C"/>
    <w:multiLevelType w:val="hybridMultilevel"/>
    <w:lvl w:ilvl="0">
      <w:lvlJc w:val="left"/>
      <w:lvlText w:val="(%1)"/>
      <w:numFmt w:val="lowerRoman"/>
      <w:start w:val="3"/>
    </w:lvl>
    <w:lvl w:ilvl="1">
      <w:lvlJc w:val="left"/>
      <w:lvlText w:val="%2"/>
      <w:numFmt w:val="decimal"/>
      <w:start w:val="1"/>
    </w:lvl>
  </w:abstractNum>
  <w:abstractNum w:abstractNumId="29">
    <w:nsid w:val="4B588F54"/>
    <w:multiLevelType w:val="hybridMultilevel"/>
    <w:lvl w:ilvl="0">
      <w:lvlJc w:val="left"/>
      <w:lvlText w:val="(%1)"/>
      <w:numFmt w:val="lowerLetter"/>
      <w:start w:val="7"/>
    </w:lvl>
  </w:abstractNum>
  <w:abstractNum w:abstractNumId="30">
    <w:nsid w:val="542289EC"/>
    <w:multiLevelType w:val="hybridMultilevel"/>
    <w:lvl w:ilvl="0">
      <w:lvlJc w:val="left"/>
      <w:lvlText w:val="%1."/>
      <w:numFmt w:val="decimal"/>
      <w:start w:val="7"/>
    </w:lvl>
  </w:abstractNum>
  <w:abstractNum w:abstractNumId="31">
    <w:nsid w:val="6DE91B18"/>
    <w:multiLevelType w:val="hybridMultilevel"/>
    <w:lvl w:ilvl="0">
      <w:lvlJc w:val="left"/>
      <w:lvlText w:val="%1."/>
      <w:numFmt w:val="decimal"/>
      <w:start w:val="8"/>
    </w:lvl>
    <w:lvl w:ilvl="1">
      <w:lvlJc w:val="left"/>
      <w:lvlText w:val="(%2)"/>
      <w:numFmt w:val="lowerLetter"/>
      <w:start w:val="2"/>
    </w:lvl>
  </w:abstractNum>
  <w:abstractNum w:abstractNumId="32">
    <w:nsid w:val="38437FDB"/>
    <w:multiLevelType w:val="hybridMultilevel"/>
    <w:lvl w:ilvl="0">
      <w:lvlJc w:val="left"/>
      <w:lvlText w:val="(%1)"/>
      <w:numFmt w:val="lowerLetter"/>
      <w:start w:val="9"/>
    </w:lvl>
    <w:lvl w:ilvl="1">
      <w:lvlJc w:val="left"/>
      <w:lvlText w:val="(%2)"/>
      <w:numFmt w:val="lowerLetter"/>
      <w:start w:val="4"/>
    </w:lvl>
  </w:abstractNum>
  <w:abstractNum w:abstractNumId="33">
    <w:nsid w:val="7644A45C"/>
    <w:multiLevelType w:val="hybridMultilevel"/>
    <w:lvl w:ilvl="0">
      <w:lvlJc w:val="left"/>
      <w:lvlText w:val="%1."/>
      <w:numFmt w:val="decimal"/>
      <w:start w:val="9"/>
    </w:lvl>
  </w:abstractNum>
  <w:abstractNum w:abstractNumId="34">
    <w:nsid w:val="32FFF902"/>
    <w:multiLevelType w:val="hybridMultilevel"/>
    <w:lvl w:ilvl="0">
      <w:lvlJc w:val="left"/>
      <w:lvlText w:val="%1"/>
      <w:numFmt w:val="lowerRoman"/>
      <w:start w:val="1"/>
    </w:lvl>
    <w:lvl w:ilvl="1">
      <w:lvlJc w:val="left"/>
      <w:lvlText w:val="%2."/>
      <w:numFmt w:val="decimal"/>
      <w:start w:val="10"/>
    </w:lvl>
  </w:abstractNum>
  <w:abstractNum w:abstractNumId="35">
    <w:nsid w:val="684A481A"/>
    <w:multiLevelType w:val="hybridMultilevel"/>
    <w:lvl w:ilvl="0">
      <w:lvlJc w:val="left"/>
      <w:lvlText w:val="(%1)"/>
      <w:numFmt w:val="lowerRoman"/>
      <w:start w:val="1"/>
    </w:lvl>
    <w:lvl w:ilvl="1">
      <w:lvlJc w:val="left"/>
      <w:lvlText w:val="%2."/>
      <w:numFmt w:val="decimal"/>
      <w:start w:val="11"/>
    </w:lvl>
  </w:abstractNum>
  <w:abstractNum w:abstractNumId="36">
    <w:nsid w:val="579478FE"/>
    <w:multiLevelType w:val="hybridMultilevel"/>
    <w:lvl w:ilvl="0">
      <w:lvlJc w:val="left"/>
      <w:lvlText w:val="%1."/>
      <w:numFmt w:val="decimal"/>
      <w:start w:val="14"/>
    </w:lvl>
  </w:abstractNum>
  <w:abstractNum w:abstractNumId="37">
    <w:nsid w:val="749ABB43"/>
    <w:multiLevelType w:val="hybridMultilevel"/>
    <w:lvl w:ilvl="0">
      <w:lvlJc w:val="left"/>
      <w:lvlText w:val="%1."/>
      <w:numFmt w:val="decimal"/>
      <w:start w:val="18"/>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decimal"/>
      <w:start w:val="5"/>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decimal"/>
      <w:start w:val="6"/>
    </w:lvl>
  </w:abstractNum>
  <w:abstractNum w:abstractNumId="45">
    <w:nsid w:val="374A3FE6"/>
    <w:multiLevelType w:val="hybridMultilevel"/>
    <w:lvl w:ilvl="0">
      <w:lvlJc w:val="left"/>
      <w:lvlText w:val="%1."/>
      <w:numFmt w:val="decimal"/>
      <w:start w:val="7"/>
    </w:lvl>
  </w:abstractNum>
  <w:abstractNum w:abstractNumId="46">
    <w:nsid w:val="4F4EF005"/>
    <w:multiLevelType w:val="hybridMultilevel"/>
    <w:lvl w:ilvl="0">
      <w:lvlJc w:val="left"/>
      <w:lvlText w:val="%1."/>
      <w:numFmt w:val="decimal"/>
      <w:start w:val="8"/>
    </w:lvl>
  </w:abstractNum>
  <w:abstractNum w:abstractNumId="47">
    <w:nsid w:val="23F9C13C"/>
    <w:multiLevelType w:val="hybridMultilevel"/>
    <w:lvl w:ilvl="0">
      <w:lvlJc w:val="left"/>
      <w:lvlText w:val="%1."/>
      <w:numFmt w:val="decimal"/>
      <w:start w:val="9"/>
    </w:lvl>
  </w:abstractNum>
  <w:abstractNum w:abstractNumId="48">
    <w:nsid w:val="649BB77C"/>
    <w:multiLevelType w:val="hybridMultilevel"/>
    <w:lvl w:ilvl="0">
      <w:lvlJc w:val="left"/>
      <w:lvlText w:val="(%1)"/>
      <w:numFmt w:val="upperLetter"/>
      <w:start w:val="2"/>
    </w:lvl>
  </w:abstractNum>
  <w:abstractNum w:abstractNumId="49">
    <w:nsid w:val="275AC794"/>
    <w:multiLevelType w:val="hybridMultilevel"/>
    <w:lvl w:ilvl="0">
      <w:lvlJc w:val="left"/>
      <w:lvlText w:val="%1."/>
      <w:numFmt w:val="decimal"/>
      <w:start w:val="10"/>
    </w:lvl>
  </w:abstractNum>
  <w:abstractNum w:abstractNumId="50">
    <w:nsid w:val="39386575"/>
    <w:multiLevelType w:val="hybridMultilevel"/>
    <w:lvl w:ilvl="0">
      <w:lvlJc w:val="left"/>
      <w:lvlText w:val="%1."/>
      <w:numFmt w:val="decimal"/>
      <w:start w:val="11"/>
    </w:lvl>
  </w:abstractNum>
  <w:abstractNum w:abstractNumId="51">
    <w:nsid w:val="1CF10FD8"/>
    <w:multiLevelType w:val="hybridMultilevel"/>
    <w:lvl w:ilvl="0">
      <w:lvlJc w:val="left"/>
      <w:lvlText w:val="%1."/>
      <w:numFmt w:val="decimal"/>
      <w:start w:val="12"/>
    </w:lvl>
  </w:abstractNum>
  <w:abstractNum w:abstractNumId="52">
    <w:nsid w:val="180115BE"/>
    <w:multiLevelType w:val="hybridMultilevel"/>
    <w:lvl w:ilvl="0">
      <w:lvlJc w:val="left"/>
      <w:lvlText w:val="%1."/>
      <w:numFmt w:val="decimal"/>
      <w:start w:val="13"/>
    </w:lvl>
  </w:abstractNum>
  <w:abstractNum w:abstractNumId="53">
    <w:nsid w:val="235BA861"/>
    <w:multiLevelType w:val="hybridMultilevel"/>
    <w:lvl w:ilvl="0">
      <w:lvlJc w:val="left"/>
      <w:lvlText w:val="%1."/>
      <w:numFmt w:val="decimal"/>
      <w:start w:val="14"/>
    </w:lvl>
  </w:abstractNum>
  <w:abstractNum w:abstractNumId="54">
    <w:nsid w:val="47398C89"/>
    <w:multiLevelType w:val="hybridMultilevel"/>
    <w:lvl w:ilvl="0">
      <w:lvlJc w:val="left"/>
      <w:lvlText w:val="%1."/>
      <w:numFmt w:val="decimal"/>
      <w:start w:val="15"/>
    </w:lvl>
  </w:abstractNum>
  <w:abstractNum w:abstractNumId="55">
    <w:nsid w:val="354FE9F9"/>
    <w:multiLevelType w:val="hybridMultilevel"/>
    <w:lvl w:ilvl="0">
      <w:lvlJc w:val="left"/>
      <w:lvlText w:val="%1."/>
      <w:numFmt w:val="decimal"/>
      <w:start w:val="16"/>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8"/>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5"/>
    </w:lvl>
  </w:abstractNum>
  <w:abstractNum w:abstractNumId="61">
    <w:nsid w:val="6157409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2019-12-11T20:39:27Z</dcterms:created>
  <dcterms:modified xsi:type="dcterms:W3CDTF">2019-12-11T20:39:27Z</dcterms:modified>
</cp:coreProperties>
</file>