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__)</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779"/>
        <w:spacing w:after="0"/>
        <w:rPr>
          <w:sz w:val="20"/>
          <w:szCs w:val="20"/>
          <w:color w:val="auto"/>
        </w:rPr>
      </w:pPr>
      <w:r>
        <w:rPr>
          <w:rFonts w:ascii="Courier New" w:cs="Courier New" w:eastAsia="Courier New" w:hAnsi="Courier New"/>
          <w:sz w:val="18"/>
          <w:szCs w:val="18"/>
          <w:color w:val="auto"/>
        </w:rPr>
        <w:t>CUSIP Number 94106L109</w:t>
      </w:r>
    </w:p>
    <w:p>
      <w:pPr>
        <w:spacing w:after="0" w:line="200"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December 31, 2003</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 X</w:t>
        <w:tab/>
        <w:t>]</w:t>
      </w:r>
      <w:r>
        <w:rPr>
          <w:sz w:val="20"/>
          <w:szCs w:val="20"/>
          <w:color w:val="auto"/>
        </w:rPr>
        <w:tab/>
      </w:r>
      <w:r>
        <w:rPr>
          <w:rFonts w:ascii="Courier New" w:cs="Courier New" w:eastAsia="Courier New" w:hAnsi="Courier New"/>
          <w:sz w:val="16"/>
          <w:szCs w:val="16"/>
          <w:color w:val="auto"/>
        </w:rPr>
        <w:t>Rule 13d-1(b)</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1580" w:hanging="624"/>
        <w:spacing w:after="0" w:line="238" w:lineRule="auto"/>
        <w:tabs>
          <w:tab w:leader="none" w:pos="1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580" w:hanging="624"/>
        <w:spacing w:after="0"/>
        <w:tabs>
          <w:tab w:leader="none" w:pos="15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Funds Management, Inc.</w:t>
      </w:r>
    </w:p>
    <w:p>
      <w:pPr>
        <w:ind w:left="1580"/>
        <w:spacing w:after="0"/>
        <w:rPr>
          <w:sz w:val="20"/>
          <w:szCs w:val="20"/>
          <w:color w:val="auto"/>
        </w:rPr>
      </w:pPr>
      <w:r>
        <w:rPr>
          <w:rFonts w:ascii="Courier New" w:cs="Courier New" w:eastAsia="Courier New" w:hAnsi="Courier New"/>
          <w:sz w:val="18"/>
          <w:szCs w:val="18"/>
          <w:color w:val="auto"/>
        </w:rPr>
        <w:t>Tax Identification No.:</w:t>
      </w:r>
    </w:p>
    <w:p>
      <w:pPr>
        <w:ind w:left="1900"/>
        <w:spacing w:after="0" w:line="237" w:lineRule="auto"/>
        <w:rPr>
          <w:sz w:val="20"/>
          <w:szCs w:val="20"/>
          <w:color w:val="auto"/>
        </w:rPr>
      </w:pPr>
      <w:r>
        <w:rPr>
          <w:rFonts w:ascii="Courier New" w:cs="Courier New" w:eastAsia="Courier New" w:hAnsi="Courier New"/>
          <w:sz w:val="18"/>
          <w:szCs w:val="18"/>
          <w:color w:val="auto"/>
        </w:rPr>
        <w:t>52-2268681</w:t>
      </w:r>
    </w:p>
    <w:p>
      <w:pPr>
        <w:spacing w:after="0" w:line="202" w:lineRule="exact"/>
        <w:rPr>
          <w:sz w:val="24"/>
          <w:szCs w:val="24"/>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20,520,802</w:t>
            </w:r>
          </w:p>
        </w:tc>
      </w:tr>
    </w:tbl>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20,520,802</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20,520,802</w:t>
      </w:r>
    </w:p>
    <w:p>
      <w:pPr>
        <w:spacing w:after="0" w:line="208" w:lineRule="exact"/>
        <w:rPr>
          <w:rFonts w:ascii="Courier New" w:cs="Courier New" w:eastAsia="Courier New" w:hAnsi="Courier New"/>
          <w:sz w:val="18"/>
          <w:szCs w:val="18"/>
          <w:color w:val="auto"/>
        </w:rPr>
      </w:pPr>
    </w:p>
    <w:p>
      <w:pPr>
        <w:ind w:left="1900" w:right="1779" w:hanging="944"/>
        <w:spacing w:after="0" w:line="235" w:lineRule="auto"/>
        <w:tabs>
          <w:tab w:leader="none" w:pos="16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3.52</w:t>
      </w:r>
    </w:p>
    <w:p>
      <w:pPr>
        <w:spacing w:after="0" w:line="207" w:lineRule="exact"/>
        <w:rPr>
          <w:sz w:val="24"/>
          <w:szCs w:val="24"/>
          <w:color w:val="auto"/>
        </w:rPr>
      </w:pPr>
    </w:p>
    <w:p>
      <w:pPr>
        <w:ind w:left="1900" w:right="5899" w:hanging="944"/>
        <w:spacing w:after="0" w:line="235" w:lineRule="auto"/>
        <w:tabs>
          <w:tab w:leader="none" w:pos="168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900"/>
        <w:spacing w:after="0" w:line="238" w:lineRule="auto"/>
        <w:rPr>
          <w:sz w:val="20"/>
          <w:szCs w:val="20"/>
          <w:color w:val="auto"/>
        </w:rPr>
      </w:pPr>
      <w:r>
        <w:rPr>
          <w:rFonts w:ascii="Courier New" w:cs="Courier New" w:eastAsia="Courier New" w:hAnsi="Courier New"/>
          <w:sz w:val="18"/>
          <w:szCs w:val="18"/>
          <w:color w:val="auto"/>
        </w:rPr>
        <w:t>Legg Mason Capital Management,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2000"/>
        <w:spacing w:after="0" w:line="237" w:lineRule="auto"/>
        <w:rPr>
          <w:sz w:val="20"/>
          <w:szCs w:val="20"/>
          <w:color w:val="auto"/>
        </w:rPr>
      </w:pPr>
      <w:r>
        <w:rPr>
          <w:rFonts w:ascii="Courier New" w:cs="Courier New" w:eastAsia="Courier New" w:hAnsi="Courier New"/>
          <w:sz w:val="18"/>
          <w:szCs w:val="18"/>
          <w:color w:val="auto"/>
        </w:rPr>
        <w:t>52-1268629</w:t>
      </w:r>
    </w:p>
    <w:p>
      <w:pPr>
        <w:spacing w:after="0" w:line="202" w:lineRule="exact"/>
        <w:rPr>
          <w:sz w:val="24"/>
          <w:szCs w:val="24"/>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736"/>
        <w:spacing w:after="0" w:line="238"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ind w:left="190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5)</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- 0 -</w:t>
            </w:r>
          </w:p>
        </w:tc>
      </w:tr>
      <w:tr>
        <w:trPr>
          <w:trHeight w:val="203"/>
        </w:trPr>
        <w:tc>
          <w:tcPr>
            <w:tcW w:w="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3"/>
              </w:rPr>
              <w:t>6)</w:t>
            </w: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10,144,600</w:t>
            </w:r>
          </w:p>
        </w:tc>
      </w:tr>
    </w:tbl>
    <w:p>
      <w:pPr>
        <w:ind w:left="1700" w:hanging="744"/>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r>
        <w:rPr>
          <w:rFonts w:ascii="Courier New" w:cs="Courier New" w:eastAsia="Courier New" w:hAnsi="Courier New"/>
          <w:sz w:val="16"/>
          <w:szCs w:val="16"/>
          <w:color w:val="auto"/>
        </w:rPr>
        <w:t>- 0 -</w:t>
      </w:r>
    </w:p>
    <w:p>
      <w:pPr>
        <w:ind w:left="1700" w:hanging="744"/>
        <w:spacing w:after="0" w:line="238"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10,144,600</w:t>
      </w:r>
    </w:p>
    <w:p>
      <w:pPr>
        <w:spacing w:after="0" w:line="207" w:lineRule="exact"/>
        <w:rPr>
          <w:rFonts w:ascii="Courier New" w:cs="Courier New" w:eastAsia="Courier New" w:hAnsi="Courier New"/>
          <w:sz w:val="18"/>
          <w:szCs w:val="18"/>
          <w:color w:val="auto"/>
        </w:rPr>
      </w:pPr>
    </w:p>
    <w:p>
      <w:pPr>
        <w:ind w:left="1900" w:right="2099" w:hanging="944"/>
        <w:spacing w:after="0" w:line="235" w:lineRule="auto"/>
        <w:tabs>
          <w:tab w:leader="none" w:pos="168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10,144,600</w:t>
      </w:r>
    </w:p>
    <w:p>
      <w:pPr>
        <w:sectPr>
          <w:pgSz w:w="11900" w:h="16838" w:orient="portrait"/>
          <w:cols w:equalWidth="0" w:num="1">
            <w:col w:w="10219"/>
          </w:cols>
          <w:pgMar w:left="240" w:top="244" w:right="1440" w:bottom="0" w:gutter="0" w:footer="0" w:header="0"/>
        </w:sectPr>
      </w:pPr>
    </w:p>
    <w:bookmarkStart w:id="1" w:name="page2"/>
    <w:bookmarkEnd w:id="1"/>
    <w:p>
      <w:pPr>
        <w:ind w:left="1900" w:right="1779" w:hanging="944"/>
        <w:spacing w:after="0" w:line="235" w:lineRule="auto"/>
        <w:tabs>
          <w:tab w:leader="none" w:pos="168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1900"/>
        <w:spacing w:after="0" w:line="238" w:lineRule="auto"/>
        <w:rPr>
          <w:sz w:val="20"/>
          <w:szCs w:val="20"/>
          <w:color w:val="auto"/>
        </w:rPr>
      </w:pPr>
      <w:r>
        <w:rPr>
          <w:rFonts w:ascii="Courier New" w:cs="Courier New" w:eastAsia="Courier New" w:hAnsi="Courier New"/>
          <w:sz w:val="18"/>
          <w:szCs w:val="18"/>
          <w:color w:val="auto"/>
        </w:rPr>
        <w:t>1.74%</w:t>
      </w:r>
    </w:p>
    <w:p>
      <w:pPr>
        <w:spacing w:after="0" w:line="207" w:lineRule="exact"/>
        <w:rPr>
          <w:sz w:val="20"/>
          <w:szCs w:val="20"/>
          <w:color w:val="auto"/>
        </w:rPr>
      </w:pPr>
    </w:p>
    <w:p>
      <w:pPr>
        <w:ind w:left="1900" w:right="5899" w:hanging="944"/>
        <w:spacing w:after="0" w:line="235" w:lineRule="auto"/>
        <w:tabs>
          <w:tab w:leader="none" w:pos="168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9410L109</w:t>
      </w:r>
    </w:p>
    <w:p>
      <w:pPr>
        <w:spacing w:after="0" w:line="201" w:lineRule="exact"/>
        <w:rPr>
          <w:sz w:val="20"/>
          <w:szCs w:val="20"/>
          <w:color w:val="auto"/>
        </w:rPr>
      </w:pPr>
    </w:p>
    <w:p>
      <w:pPr>
        <w:ind w:left="1480" w:hanging="524"/>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1700"/>
        <w:spacing w:after="0" w:line="238" w:lineRule="auto"/>
        <w:rPr>
          <w:sz w:val="20"/>
          <w:szCs w:val="20"/>
          <w:color w:val="auto"/>
        </w:rPr>
      </w:pPr>
      <w:r>
        <w:rPr>
          <w:rFonts w:ascii="Courier New" w:cs="Courier New" w:eastAsia="Courier New" w:hAnsi="Courier New"/>
          <w:sz w:val="18"/>
          <w:szCs w:val="18"/>
          <w:color w:val="auto"/>
        </w:rPr>
        <w:t>Legg Mason Focus Capital,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1700"/>
        <w:spacing w:after="0" w:line="237" w:lineRule="auto"/>
        <w:rPr>
          <w:sz w:val="20"/>
          <w:szCs w:val="20"/>
          <w:color w:val="auto"/>
        </w:rPr>
      </w:pPr>
      <w:r>
        <w:rPr>
          <w:rFonts w:ascii="Courier New" w:cs="Courier New" w:eastAsia="Courier New" w:hAnsi="Courier New"/>
          <w:sz w:val="18"/>
          <w:szCs w:val="18"/>
          <w:color w:val="auto"/>
        </w:rPr>
        <w:t>52-2311719</w:t>
      </w:r>
    </w:p>
    <w:p>
      <w:pPr>
        <w:spacing w:after="0" w:line="202" w:lineRule="exact"/>
        <w:rPr>
          <w:sz w:val="20"/>
          <w:szCs w:val="20"/>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640" w:hanging="630"/>
        <w:spacing w:after="0" w:line="238" w:lineRule="auto"/>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960" w:type="dxa"/>
        <w:tblCellMar>
          <w:top w:w="0" w:type="dxa"/>
          <w:left w:w="0" w:type="dxa"/>
          <w:bottom w:w="0" w:type="dxa"/>
          <w:right w:w="0" w:type="dxa"/>
        </w:tblCellMar>
      </w:tblP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5)</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6)</w:t>
            </w: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7,593</w:t>
            </w:r>
          </w:p>
        </w:tc>
      </w:tr>
      <w:tr>
        <w:trPr>
          <w:trHeight w:val="203"/>
        </w:trPr>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83"/>
              </w:rPr>
              <w:t>7)</w:t>
            </w:r>
          </w:p>
        </w:tc>
        <w:tc>
          <w:tcPr>
            <w:tcW w:w="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r>
        <w:rPr>
          <w:rFonts w:ascii="Courier New" w:cs="Courier New" w:eastAsia="Courier New" w:hAnsi="Courier New"/>
          <w:sz w:val="16"/>
          <w:szCs w:val="16"/>
          <w:color w:val="auto"/>
        </w:rPr>
        <w:t>7,593</w:t>
      </w:r>
    </w:p>
    <w:p>
      <w:pPr>
        <w:spacing w:after="0" w:line="207" w:lineRule="exact"/>
        <w:rPr>
          <w:rFonts w:ascii="Courier New" w:cs="Courier New" w:eastAsia="Courier New" w:hAnsi="Courier New"/>
          <w:sz w:val="18"/>
          <w:szCs w:val="18"/>
          <w:color w:val="auto"/>
        </w:rPr>
      </w:pPr>
    </w:p>
    <w:p>
      <w:pPr>
        <w:ind w:left="1900" w:right="2319" w:hanging="944"/>
        <w:spacing w:after="0" w:line="235" w:lineRule="auto"/>
        <w:tabs>
          <w:tab w:leader="none" w:pos="147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7,593</w:t>
      </w:r>
    </w:p>
    <w:p>
      <w:pPr>
        <w:spacing w:after="0" w:line="208" w:lineRule="exact"/>
        <w:rPr>
          <w:rFonts w:ascii="Courier New" w:cs="Courier New" w:eastAsia="Courier New" w:hAnsi="Courier New"/>
          <w:sz w:val="18"/>
          <w:szCs w:val="18"/>
          <w:color w:val="auto"/>
        </w:rPr>
      </w:pPr>
    </w:p>
    <w:p>
      <w:pPr>
        <w:ind w:left="2120" w:right="2199" w:hanging="1164"/>
        <w:spacing w:after="0" w:line="235"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aggregate amount in row (9) excludes certain shares: n/a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2000"/>
        <w:spacing w:after="0" w:line="238" w:lineRule="auto"/>
        <w:rPr>
          <w:sz w:val="20"/>
          <w:szCs w:val="20"/>
          <w:color w:val="auto"/>
        </w:rPr>
      </w:pPr>
      <w:r>
        <w:rPr>
          <w:rFonts w:ascii="Courier New" w:cs="Courier New" w:eastAsia="Courier New" w:hAnsi="Courier New"/>
          <w:sz w:val="18"/>
          <w:szCs w:val="18"/>
          <w:color w:val="auto"/>
        </w:rPr>
        <w:t>0.00%</w:t>
      </w:r>
    </w:p>
    <w:p>
      <w:pPr>
        <w:spacing w:after="0" w:line="207" w:lineRule="exact"/>
        <w:rPr>
          <w:sz w:val="20"/>
          <w:szCs w:val="20"/>
          <w:color w:val="auto"/>
        </w:rPr>
      </w:pPr>
    </w:p>
    <w:p>
      <w:pPr>
        <w:ind w:left="2120" w:right="5999" w:hanging="1164"/>
        <w:spacing w:after="0" w:line="235" w:lineRule="auto"/>
        <w:tabs>
          <w:tab w:leader="none" w:pos="1593"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IA,CO</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16" w:lineRule="exact"/>
        <w:rPr>
          <w:rFonts w:ascii="Courier New" w:cs="Courier New" w:eastAsia="Courier New" w:hAnsi="Courier New"/>
          <w:sz w:val="16"/>
          <w:szCs w:val="16"/>
          <w:color w:val="auto"/>
        </w:rPr>
      </w:pPr>
    </w:p>
    <w:p>
      <w:pPr>
        <w:ind w:left="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1a)</w:t>
      </w:r>
      <w:r>
        <w:rPr>
          <w:rFonts w:ascii="Courier New" w:cs="Courier New" w:eastAsia="Courier New" w:hAnsi="Courier New"/>
          <w:sz w:val="16"/>
          <w:szCs w:val="16"/>
          <w:color w:val="auto"/>
        </w:rPr>
        <w:t>Name of issuer:</w:t>
      </w:r>
    </w:p>
    <w:p>
      <w:pPr>
        <w:ind w:left="28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2860"/>
        <w:spacing w:after="0" w:line="238" w:lineRule="auto"/>
        <w:rPr>
          <w:sz w:val="20"/>
          <w:szCs w:val="20"/>
          <w:color w:val="auto"/>
        </w:rPr>
      </w:pPr>
      <w:r>
        <w:rPr>
          <w:rFonts w:ascii="Courier New" w:cs="Courier New" w:eastAsia="Courier New" w:hAnsi="Courier New"/>
          <w:sz w:val="18"/>
          <w:szCs w:val="18"/>
          <w:color w:val="auto"/>
        </w:rPr>
        <w:t>1001 Fannie Street, Ste. 4000</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60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Name of person filing:</w:t>
            </w:r>
          </w:p>
        </w:tc>
        <w:tc>
          <w:tcPr>
            <w:tcW w:w="19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Capital Management, Inc.</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Focus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Inc.</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203"/>
        </w:trPr>
        <w:tc>
          <w:tcPr>
            <w:tcW w:w="1040" w:type="dxa"/>
            <w:vAlign w:val="bottom"/>
          </w:tcPr>
          <w:p>
            <w:pPr>
              <w:spacing w:after="0"/>
              <w:rPr>
                <w:sz w:val="17"/>
                <w:szCs w:val="17"/>
                <w:color w:val="auto"/>
              </w:rPr>
            </w:pPr>
          </w:p>
        </w:tc>
        <w:tc>
          <w:tcPr>
            <w:tcW w:w="26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100 Light Street</w:t>
            </w:r>
          </w:p>
        </w:tc>
        <w:tc>
          <w:tcPr>
            <w:tcW w:w="19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Baltimore,</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MD  21202</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Citizenship:</w:t>
            </w:r>
          </w:p>
        </w:tc>
        <w:tc>
          <w:tcPr>
            <w:tcW w:w="6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Funds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Management,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Capital Management,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203"/>
        </w:trPr>
        <w:tc>
          <w:tcPr>
            <w:tcW w:w="1040" w:type="dxa"/>
            <w:vAlign w:val="bottom"/>
          </w:tcPr>
          <w:p>
            <w:pPr>
              <w:spacing w:after="0"/>
              <w:rPr>
                <w:sz w:val="17"/>
                <w:szCs w:val="17"/>
                <w:color w:val="auto"/>
              </w:rPr>
            </w:pPr>
          </w:p>
        </w:tc>
        <w:tc>
          <w:tcPr>
            <w:tcW w:w="19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9"/>
              </w:rPr>
              <w:t>Legg Mason</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Focus</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Inc.</w:t>
            </w:r>
          </w:p>
        </w:tc>
      </w:tr>
      <w:tr>
        <w:trPr>
          <w:trHeight w:val="203"/>
        </w:trPr>
        <w:tc>
          <w:tcPr>
            <w:tcW w:w="1040" w:type="dxa"/>
            <w:vAlign w:val="bottom"/>
          </w:tcPr>
          <w:p>
            <w:pPr>
              <w:spacing w:after="0"/>
              <w:rPr>
                <w:sz w:val="17"/>
                <w:szCs w:val="17"/>
                <w:color w:val="auto"/>
              </w:rPr>
            </w:pPr>
          </w:p>
        </w:tc>
        <w:tc>
          <w:tcPr>
            <w:tcW w:w="4540" w:type="dxa"/>
            <w:vAlign w:val="bottom"/>
            <w:gridSpan w:val="3"/>
          </w:tcPr>
          <w:p>
            <w:pPr>
              <w:ind w:left="1800"/>
              <w:spacing w:after="0" w:line="203" w:lineRule="exact"/>
              <w:rPr>
                <w:sz w:val="20"/>
                <w:szCs w:val="20"/>
                <w:color w:val="auto"/>
              </w:rPr>
            </w:pPr>
            <w:r>
              <w:rPr>
                <w:rFonts w:ascii="Courier New" w:cs="Courier New" w:eastAsia="Courier New" w:hAnsi="Courier New"/>
                <w:sz w:val="18"/>
                <w:szCs w:val="18"/>
                <w:color w:val="auto"/>
              </w:rPr>
              <w:t>Maryland corporation</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54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1040" w:type="dxa"/>
            <w:vAlign w:val="bottom"/>
          </w:tcPr>
          <w:p>
            <w:pPr>
              <w:spacing w:after="0"/>
              <w:rPr>
                <w:sz w:val="17"/>
                <w:szCs w:val="17"/>
                <w:color w:val="auto"/>
              </w:rPr>
            </w:pPr>
          </w:p>
        </w:tc>
        <w:tc>
          <w:tcPr>
            <w:tcW w:w="26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Common Stock</w:t>
            </w:r>
          </w:p>
        </w:tc>
        <w:tc>
          <w:tcPr>
            <w:tcW w:w="1940" w:type="dxa"/>
            <w:vAlign w:val="bottom"/>
          </w:tcPr>
          <w:p>
            <w:pPr>
              <w:spacing w:after="0"/>
              <w:rPr>
                <w:sz w:val="17"/>
                <w:szCs w:val="17"/>
                <w:color w:val="auto"/>
              </w:rPr>
            </w:pP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CUSIP number:</w:t>
            </w:r>
          </w:p>
        </w:tc>
        <w:tc>
          <w:tcPr>
            <w:tcW w:w="2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94106L109</w:t>
            </w:r>
          </w:p>
        </w:tc>
      </w:tr>
    </w:tbl>
    <w:p>
      <w:pPr>
        <w:spacing w:after="0" w:line="201" w:lineRule="exact"/>
        <w:rPr>
          <w:sz w:val="20"/>
          <w:szCs w:val="20"/>
          <w:color w:val="auto"/>
        </w:rPr>
      </w:pPr>
    </w:p>
    <w:p>
      <w:pPr>
        <w:jc w:val="center"/>
        <w:ind w:right="1459"/>
        <w:spacing w:after="0"/>
        <w:tabs>
          <w:tab w:leader="none" w:pos="1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900"/>
        <w:spacing w:after="0" w:line="238" w:lineRule="auto"/>
        <w:rPr>
          <w:sz w:val="20"/>
          <w:szCs w:val="20"/>
          <w:color w:val="auto"/>
        </w:rPr>
      </w:pPr>
      <w:r>
        <w:rPr>
          <w:rFonts w:ascii="Courier New" w:cs="Courier New" w:eastAsia="Courier New" w:hAnsi="Courier New"/>
          <w:sz w:val="18"/>
          <w:szCs w:val="18"/>
          <w:color w:val="auto"/>
        </w:rPr>
        <w:t>13d-2(b), check whether the person filing is a:</w:t>
      </w:r>
    </w:p>
    <w:p>
      <w:pPr>
        <w:ind w:left="960"/>
        <w:spacing w:after="0"/>
        <w:rPr>
          <w:sz w:val="20"/>
          <w:szCs w:val="20"/>
          <w:color w:val="auto"/>
        </w:rPr>
      </w:pPr>
      <w:r>
        <w:rPr>
          <w:rFonts w:ascii="Courier New" w:cs="Courier New" w:eastAsia="Courier New" w:hAnsi="Courier New"/>
          <w:sz w:val="18"/>
          <w:szCs w:val="18"/>
          <w:color w:val="auto"/>
        </w:rPr>
        <w:t>(a)[ ]Broker or dealer under Section 15 of the Act.</w:t>
      </w:r>
    </w:p>
    <w:p>
      <w:pPr>
        <w:ind w:left="960"/>
        <w:spacing w:after="0" w:line="237" w:lineRule="auto"/>
        <w:rPr>
          <w:sz w:val="20"/>
          <w:szCs w:val="20"/>
          <w:color w:val="auto"/>
        </w:rPr>
      </w:pPr>
      <w:r>
        <w:rPr>
          <w:rFonts w:ascii="Courier New" w:cs="Courier New" w:eastAsia="Courier New" w:hAnsi="Courier New"/>
          <w:sz w:val="18"/>
          <w:szCs w:val="18"/>
          <w:color w:val="auto"/>
        </w:rPr>
        <w:t>(b)[ ]Bank as defined in Section 3(a)(6) of the Act.</w:t>
      </w:r>
    </w:p>
    <w:p>
      <w:pPr>
        <w:spacing w:after="0" w:line="5" w:lineRule="exact"/>
        <w:rPr>
          <w:sz w:val="20"/>
          <w:szCs w:val="20"/>
          <w:color w:val="auto"/>
        </w:rPr>
      </w:pPr>
    </w:p>
    <w:p>
      <w:pPr>
        <w:ind w:left="960" w:right="1999"/>
        <w:spacing w:after="0" w:line="268" w:lineRule="auto"/>
        <w:rPr>
          <w:sz w:val="20"/>
          <w:szCs w:val="20"/>
          <w:color w:val="auto"/>
        </w:rPr>
      </w:pPr>
      <w:r>
        <w:rPr>
          <w:rFonts w:ascii="Courier New" w:cs="Courier New" w:eastAsia="Courier New" w:hAnsi="Courier New"/>
          <w:sz w:val="16"/>
          <w:szCs w:val="16"/>
          <w:color w:val="auto"/>
        </w:rPr>
        <w:t>(c)[ ]Insurance Company as defined in Section 3(a)(6) of the Act. (d)[ ]Investment Company registered under Section 8 of the Investment</w:t>
      </w:r>
    </w:p>
    <w:p>
      <w:pPr>
        <w:ind w:left="1580"/>
        <w:spacing w:after="0" w:line="233" w:lineRule="auto"/>
        <w:rPr>
          <w:sz w:val="20"/>
          <w:szCs w:val="20"/>
          <w:color w:val="auto"/>
        </w:rPr>
      </w:pPr>
      <w:r>
        <w:rPr>
          <w:rFonts w:ascii="Courier New" w:cs="Courier New" w:eastAsia="Courier New" w:hAnsi="Courier New"/>
          <w:sz w:val="18"/>
          <w:szCs w:val="18"/>
          <w:color w:val="auto"/>
        </w:rPr>
        <w:t>Company Act.</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(e)[ ]Investment Adviser registered under Section 203 of the Investment</w:t>
      </w:r>
    </w:p>
    <w:p>
      <w:pPr>
        <w:sectPr>
          <w:pgSz w:w="11900" w:h="16838" w:orient="portrait"/>
          <w:cols w:equalWidth="0" w:num="1">
            <w:col w:w="10219"/>
          </w:cols>
          <w:pgMar w:left="240" w:top="142" w:right="1440" w:bottom="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8"/>
          <w:szCs w:val="18"/>
          <w:color w:val="auto"/>
        </w:rPr>
        <w:t>Advisers Act of 1940.</w:t>
      </w:r>
    </w:p>
    <w:p>
      <w:pPr>
        <w:spacing w:after="0" w:line="4" w:lineRule="exact"/>
        <w:rPr>
          <w:sz w:val="20"/>
          <w:szCs w:val="20"/>
          <w:color w:val="auto"/>
        </w:rPr>
      </w:pPr>
    </w:p>
    <w:p>
      <w:pPr>
        <w:ind w:left="1580" w:right="1879" w:hanging="631"/>
        <w:spacing w:after="0" w:line="235" w:lineRule="auto"/>
        <w:rPr>
          <w:sz w:val="20"/>
          <w:szCs w:val="20"/>
          <w:color w:val="auto"/>
        </w:rPr>
      </w:pPr>
      <w:r>
        <w:rPr>
          <w:rFonts w:ascii="Courier New" w:cs="Courier New" w:eastAsia="Courier New" w:hAnsi="Courier New"/>
          <w:sz w:val="18"/>
          <w:szCs w:val="18"/>
          <w:color w:val="auto"/>
        </w:rPr>
        <w:t>(f)[ ]Employee Benefit Plan, Pension Fund which is subject to ERISA of 1974 or Endowment Funds; see 240.13d-1(b)(ii)(F).</w:t>
      </w:r>
    </w:p>
    <w:p>
      <w:pPr>
        <w:spacing w:after="0" w:line="6"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(g)[ ]Parent holding company, in accordance with 240.13d-1(b)(ii)(G), (h)[X]Group, in accordance with 240.13d-1(b)(1)(ii)(J).</w:t>
      </w:r>
    </w:p>
    <w:p>
      <w:pPr>
        <w:sectPr>
          <w:pgSz w:w="11900" w:h="16838" w:orient="portrait"/>
          <w:cols w:equalWidth="0" w:num="1">
            <w:col w:w="10219"/>
          </w:cols>
          <w:pgMar w:left="240" w:top="136" w:right="1440" w:bottom="0" w:gutter="0" w:footer="0" w:header="0"/>
        </w:sectPr>
      </w:pPr>
    </w:p>
    <w:p>
      <w:pPr>
        <w:spacing w:after="0" w:line="170"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700" w:space="420"/>
            <w:col w:w="8099"/>
          </w:cols>
          <w:pgMar w:left="240" w:top="136" w:right="1440" w:bottom="0" w:gutter="0" w:footer="0" w:header="0"/>
          <w:type w:val="continuous"/>
        </w:sectPr>
      </w:pPr>
    </w:p>
    <w:p>
      <w:pPr>
        <w:spacing w:after="0" w:line="24"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30,672,995</w:t>
      </w:r>
    </w:p>
    <w:p>
      <w:pPr>
        <w:spacing w:after="0" w:line="200" w:lineRule="exact"/>
        <w:rPr>
          <w:sz w:val="20"/>
          <w:szCs w:val="20"/>
          <w:color w:val="auto"/>
        </w:rPr>
      </w:pPr>
    </w:p>
    <w:p>
      <w:pPr>
        <w:sectPr>
          <w:pgSz w:w="11900" w:h="16838" w:orient="portrait"/>
          <w:cols w:equalWidth="0" w:num="2">
            <w:col w:w="5180" w:space="720"/>
            <w:col w:w="4319"/>
          </w:cols>
          <w:pgMar w:left="240" w:top="136" w:right="1440" w:bottom="0" w:gutter="0" w:footer="0" w:header="0"/>
          <w:type w:val="continuous"/>
        </w:sectPr>
      </w:pPr>
    </w:p>
    <w:p>
      <w:pPr>
        <w:spacing w:after="0" w:line="18"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w:t>
      </w:r>
      <w:r>
        <w:rPr>
          <w:rFonts w:ascii="Courier New" w:cs="Courier New" w:eastAsia="Courier New" w:hAnsi="Courier New"/>
          <w:sz w:val="16"/>
          <w:szCs w:val="16"/>
          <w:color w:val="auto"/>
        </w:rPr>
        <w:t>Percent of Class:  5.26%</w:t>
      </w:r>
    </w:p>
    <w:p>
      <w:pPr>
        <w:spacing w:after="0" w:line="201" w:lineRule="exact"/>
        <w:rPr>
          <w:rFonts w:ascii="Courier New" w:cs="Courier New" w:eastAsia="Courier New" w:hAnsi="Courier New"/>
          <w:sz w:val="18"/>
          <w:szCs w:val="18"/>
          <w:color w:val="auto"/>
        </w:rPr>
      </w:pPr>
    </w:p>
    <w:p>
      <w:pPr>
        <w:ind w:left="1800" w:hanging="844"/>
        <w:spacing w:after="0"/>
        <w:tabs>
          <w:tab w:leader="none" w:pos="18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740" w:hanging="836"/>
        <w:spacing w:after="0" w:line="238" w:lineRule="auto"/>
        <w:tabs>
          <w:tab w:leader="none" w:pos="274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120" w:hanging="320"/>
        <w:spacing w:after="0" w:line="238" w:lineRule="auto"/>
        <w:tabs>
          <w:tab w:leader="none" w:pos="41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2939" w:hanging="1896"/>
        <w:spacing w:after="0" w:line="235" w:lineRule="auto"/>
        <w:tabs>
          <w:tab w:leader="none" w:pos="2747"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30,672,995</w:t>
      </w:r>
    </w:p>
    <w:p>
      <w:pPr>
        <w:spacing w:after="0" w:line="5" w:lineRule="exact"/>
        <w:rPr>
          <w:rFonts w:ascii="Courier New" w:cs="Courier New" w:eastAsia="Courier New" w:hAnsi="Courier New"/>
          <w:sz w:val="18"/>
          <w:szCs w:val="18"/>
          <w:color w:val="auto"/>
        </w:rPr>
      </w:pPr>
    </w:p>
    <w:p>
      <w:pPr>
        <w:ind w:left="2740" w:hanging="836"/>
        <w:spacing w:after="0"/>
        <w:tabs>
          <w:tab w:leader="none" w:pos="2740" w:val="left"/>
        </w:tabs>
        <w:numPr>
          <w:ilvl w:val="2"/>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w:t>
      </w:r>
    </w:p>
    <w:p>
      <w:pPr>
        <w:spacing w:after="0" w:line="16" w:lineRule="exact"/>
        <w:rPr>
          <w:rFonts w:ascii="Courier New" w:cs="Courier New" w:eastAsia="Courier New" w:hAnsi="Courier New"/>
          <w:sz w:val="16"/>
          <w:szCs w:val="16"/>
          <w:color w:val="auto"/>
        </w:rPr>
      </w:pPr>
    </w:p>
    <w:p>
      <w:pPr>
        <w:ind w:left="4020" w:hanging="220"/>
        <w:spacing w:after="0" w:line="238" w:lineRule="auto"/>
        <w:tabs>
          <w:tab w:leader="none" w:pos="4020" w:val="left"/>
        </w:tabs>
        <w:numPr>
          <w:ilvl w:val="3"/>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w:t>
      </w:r>
    </w:p>
    <w:p>
      <w:pPr>
        <w:spacing w:after="0" w:line="4" w:lineRule="exact"/>
        <w:rPr>
          <w:rFonts w:ascii="Courier New" w:cs="Courier New" w:eastAsia="Courier New" w:hAnsi="Courier New"/>
          <w:sz w:val="18"/>
          <w:szCs w:val="18"/>
          <w:color w:val="auto"/>
        </w:rPr>
      </w:pPr>
    </w:p>
    <w:p>
      <w:pPr>
        <w:ind w:left="3800" w:right="1779" w:hanging="1896"/>
        <w:spacing w:after="0" w:line="235" w:lineRule="auto"/>
        <w:tabs>
          <w:tab w:leader="none" w:pos="2641"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30,672,995</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8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900" w:right="241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pacing w:after="0" w:line="208"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Various accounts managed by the investment advisers identified in Item 8 have the right to receive or the power to direct the receipt of dividends from, or the proceeds from the sale of shares of the issuer. No such account holds more than 5% of the shares outstanding.</w:t>
      </w:r>
    </w:p>
    <w:p>
      <w:pPr>
        <w:spacing w:after="0" w:line="209" w:lineRule="exact"/>
        <w:rPr>
          <w:sz w:val="20"/>
          <w:szCs w:val="20"/>
          <w:color w:val="auto"/>
        </w:rPr>
      </w:pPr>
    </w:p>
    <w:p>
      <w:pPr>
        <w:ind w:left="1900" w:right="18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2640"/>
        <w:spacing w:after="0" w:line="238" w:lineRule="auto"/>
        <w:rPr>
          <w:sz w:val="20"/>
          <w:szCs w:val="20"/>
          <w:color w:val="auto"/>
        </w:rPr>
      </w:pPr>
      <w:r>
        <w:rPr>
          <w:rFonts w:ascii="Courier New" w:cs="Courier New" w:eastAsia="Courier New" w:hAnsi="Courier New"/>
          <w:sz w:val="18"/>
          <w:szCs w:val="18"/>
          <w:color w:val="auto"/>
        </w:rPr>
        <w:t>Legg Mason Funds Management, Inc.-investment adviser</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Legg Mason Capital Management, Inc.-investment adviser</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Legg Mason Focus Capital, Inc.-investment adviser</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26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Date - February 13, 2004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Funds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Jennifer Murphy,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Capital Management, Inc.</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By___________________________________________</w:t>
      </w:r>
    </w:p>
    <w:p>
      <w:pPr>
        <w:ind w:left="1480"/>
        <w:spacing w:after="0" w:line="238" w:lineRule="auto"/>
        <w:rPr>
          <w:sz w:val="20"/>
          <w:szCs w:val="20"/>
          <w:color w:val="auto"/>
        </w:rPr>
      </w:pPr>
      <w:r>
        <w:rPr>
          <w:rFonts w:ascii="Courier New" w:cs="Courier New" w:eastAsia="Courier New" w:hAnsi="Courier New"/>
          <w:sz w:val="18"/>
          <w:szCs w:val="18"/>
          <w:color w:val="auto"/>
        </w:rPr>
        <w:t>Andrew J. Bowden, Senior Vice President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Legg Mason Focus Capital, Inc.</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By____________________________________________</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Robert G. Hagstrom, President</w:t>
      </w:r>
    </w:p>
    <w:sectPr>
      <w:pgSz w:w="11900" w:h="16838" w:orient="portrait"/>
      <w:cols w:equalWidth="0" w:num="1">
        <w:col w:w="9259"/>
      </w:cols>
      <w:pgMar w:left="120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7"/>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lvl w:ilvl="1">
      <w:lvlJc w:val="left"/>
      <w:lvlText w:val="%2)"/>
      <w:numFmt w:val="lowerLetter"/>
      <w:start w:val="1"/>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2"/>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2"/>
    </w:lvl>
    <w:lvl w:ilvl="1">
      <w:lvlJc w:val="left"/>
      <w:lvlText w:val="%2)"/>
      <w:numFmt w:val="lowerLetter"/>
      <w:start w:val="1"/>
    </w:lvl>
  </w:abstractNum>
  <w:abstractNum w:abstractNumId="12">
    <w:nsid w:val="DED7263"/>
    <w:multiLevelType w:val="hybridMultilevel"/>
    <w:lvl w:ilvl="0">
      <w:lvlJc w:val="left"/>
      <w:lvlText w:val="%1)"/>
      <w:numFmt w:val="decimal"/>
      <w:start w:val="8"/>
    </w:lvl>
  </w:abstractNum>
  <w:abstractNum w:abstractNumId="13">
    <w:nsid w:val="7FDCC233"/>
    <w:multiLevelType w:val="hybridMultilevel"/>
    <w:lvl w:ilvl="0">
      <w:lvlJc w:val="left"/>
      <w:lvlText w:val="-"/>
      <w:numFmt w:val="bullet"/>
      <w:start w:val="1"/>
    </w:lvl>
    <w:lvl w:ilvl="1">
      <w:lvlJc w:val="left"/>
      <w:lvlText w:val="%2)"/>
      <w:numFmt w:val="decimal"/>
      <w:start w:val="12"/>
    </w:lvl>
  </w:abstractNum>
  <w:abstractNum w:abstractNumId="14">
    <w:nsid w:val="1BEFD79F"/>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2019-12-19T23:44:38Z</dcterms:created>
  <dcterms:modified xsi:type="dcterms:W3CDTF">2019-12-19T23:44:38Z</dcterms:modified>
</cp:coreProperties>
</file>