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1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14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(Amendment No.: 6)*</w:t>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Waste Management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94106L109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2020</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94106L109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701,749</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33,098,766</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1,797,686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34,896,452</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8.26%</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Waste Management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1001 Fannin, Suite 4000</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Houston, Texas 77002</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94106L109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799" w:hanging="127"/>
        <w:spacing w:after="0" w:line="513"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34,896,452</w:t>
      </w:r>
    </w:p>
    <w:p>
      <w:pPr>
        <w:spacing w:after="0" w:line="1" w:lineRule="exact"/>
        <w:rPr>
          <w:rFonts w:ascii="Arial" w:cs="Arial" w:eastAsia="Arial" w:hAnsi="Arial"/>
          <w:sz w:val="17"/>
          <w:szCs w:val="17"/>
          <w:color w:val="auto"/>
        </w:rPr>
      </w:pPr>
    </w:p>
    <w:p>
      <w:pPr>
        <w:ind w:left="340" w:hanging="247"/>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0</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701,749</w:t>
      </w:r>
    </w:p>
    <w:p>
      <w:pPr>
        <w:spacing w:after="0" w:line="223" w:lineRule="exact"/>
        <w:rPr>
          <w:rFonts w:ascii="Arial" w:cs="Arial" w:eastAsia="Arial" w:hAnsi="Arial"/>
          <w:sz w:val="17"/>
          <w:szCs w:val="17"/>
          <w:color w:val="auto"/>
        </w:rPr>
      </w:pPr>
    </w:p>
    <w:p>
      <w:pPr>
        <w:ind w:left="220" w:right="60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33,098,766 (iv) shared power to dispose or to direct the disposition of: 1,797,686</w:t>
      </w: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8, 2021</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9" w:right="379"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Subsidiary:</w:t>
      </w:r>
    </w:p>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Vanguard Asset Management,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Fiduciary Trust Company</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Global Advisors, LLC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Group (Ireland)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Australia Ltd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Canada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Hong Kong Limited</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Vanguard Investments UK, Limited</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auto"/>
        </w:rPr>
        <w:t>*Entity beneficially owns 5% or greater of the outstanding shares of the security class being reported on this Schedule 13G</w:t>
      </w:r>
    </w:p>
    <w:sectPr>
      <w:pgSz w:w="11900" w:h="16838" w:orient="portrait"/>
      <w:cols w:equalWidth="0" w:num="1">
        <w:col w:w="10139"/>
      </w:cols>
      <w:pgMar w:left="320" w:top="6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2021-02-10T09:16:46Z</dcterms:created>
  <dcterms:modified xsi:type="dcterms:W3CDTF">2021-02-10T09:16:46Z</dcterms:modified>
</cp:coreProperties>
</file>