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rPr>
          <w:sz w:val="20"/>
          <w:szCs w:val="20"/>
          <w:color w:val="auto"/>
        </w:rPr>
      </w:pPr>
      <w:r>
        <w:rPr>
          <w:rFonts w:ascii="Courier New" w:cs="Courier New" w:eastAsia="Courier New" w:hAnsi="Courier New"/>
          <w:sz w:val="18"/>
          <w:szCs w:val="18"/>
          <w:color w:val="auto"/>
        </w:rPr>
        <w:t>REGISTRATION NUMBER 333-80063</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w:t>
      </w:r>
    </w:p>
    <w:p>
      <w:pPr>
        <w:spacing w:after="0"/>
        <w:rPr>
          <w:sz w:val="20"/>
          <w:szCs w:val="20"/>
          <w:color w:val="auto"/>
        </w:rPr>
      </w:pPr>
      <w:r>
        <w:rPr>
          <w:rFonts w:ascii="Courier New" w:cs="Courier New" w:eastAsia="Courier New" w:hAnsi="Courier New"/>
          <w:sz w:val="18"/>
          <w:szCs w:val="18"/>
          <w:color w:val="auto"/>
        </w:rPr>
        <w:t>FEBRUARY 14, 2000)</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289,407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April 2, 2001, the last reported sale price of the common stock on the New York Stock Exchange was $24.00 per share.</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will issue the shares directly to certain persons in order to settle litigation and other claims or to satisfy judgments or arbitration awards. The shares will be issued to those persons based upon an agreed dollar value of shares in relation to the closing price of our common stock on the New York Stock Exchange on a specific trading date. We will not receive any proceeds from the issuance of these shares, but will eliminate an actual or potential liability.</w:t>
      </w:r>
    </w:p>
    <w:p>
      <w:pPr>
        <w:spacing w:after="0" w:line="211"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FEBRUARY 14, 2000.</w:t>
      </w:r>
    </w:p>
    <w:p>
      <w:pPr>
        <w:spacing w:after="0" w:line="20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APRIL 4, 2001.</w:t>
      </w:r>
    </w:p>
    <w:p>
      <w:pPr>
        <w:spacing w:after="0" w:line="20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Prospectus Supplement dated April 3, 2001</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2019-12-20T03:48:36Z</dcterms:created>
  <dcterms:modified xsi:type="dcterms:W3CDTF">2019-12-20T03:48:36Z</dcterms:modified>
</cp:coreProperties>
</file>