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October 18,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420"/>
          </w:cols>
          <w:pgMar w:left="240" w:top="733" w:right="239" w:bottom="1440" w:gutter="0" w:footer="0" w:header="0"/>
        </w:sectPr>
      </w:pPr>
    </w:p>
    <w:p>
      <w:pPr>
        <w:spacing w:after="0" w:line="205"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120" w:space="720"/>
            <w:col w:w="3360" w:space="720"/>
            <w:col w:w="2500"/>
          </w:cols>
          <w:pgMar w:left="240" w:top="733" w:right="239" w:bottom="1440" w:gutter="0" w:footer="0" w:header="0"/>
          <w:type w:val="continuous"/>
        </w:sectPr>
      </w:pPr>
    </w:p>
    <w:p>
      <w:pPr>
        <w:spacing w:after="0" w:line="7"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733"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-130175</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509" w:lineRule="auto"/>
        <w:tabs>
          <w:tab w:leader="none" w:pos="65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14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Title of each class</w:t>
            </w:r>
          </w:p>
        </w:tc>
        <w:tc>
          <w:tcPr>
            <w:tcW w:w="364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Trading Symbol(s)</w:t>
            </w:r>
          </w:p>
        </w:tc>
        <w:tc>
          <w:tcPr>
            <w:tcW w:w="36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6"/>
              </w:rPr>
              <w:t>Name of each exchange on which registered</w:t>
            </w:r>
          </w:p>
        </w:tc>
      </w:tr>
      <w:tr>
        <w:trPr>
          <w:trHeight w:val="230"/>
        </w:trPr>
        <w:tc>
          <w:tcPr>
            <w:tcW w:w="41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Common Stock, $0.01 par value</w:t>
            </w:r>
          </w:p>
        </w:tc>
        <w:tc>
          <w:tcPr>
            <w:tcW w:w="364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WM</w:t>
            </w:r>
          </w:p>
        </w:tc>
        <w:tc>
          <w:tcPr>
            <w:tcW w:w="3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New York Stock Exchange</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Waste Management, Inc. (the “Company”) issued a press release this morning announcing its financial results for the third quarter of 2019, a copy of which is attached hereto as Exhibit 99.1. The Company is holding a conference call to discuss these results beginning at 9:00 a.m. Central Time this morning. The call will be webcast live and may be heard by accessing the Investors section of the Company’s website at www.wm.com. The call may also be heard by dialing (877) 710-6139 and entering access code 2572365. A replay of the call will be available on the Company’s website and by telephone until November 6, 2019. To access a replay telephonically, please dial (855) 859-2056 and use the replay conference ID number 2572365.</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financial measures and reconciliations of such measures to their most comparable GAAP financial measures in the notes and tables that accompany the press release.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October 18, 2019, the Company posted its amended and restated Code of Conduct to its website at www.wm.com under Investors – ESG – Corporate Governance. Amendments include aligning the Code of Conduct with the Company’s commitments and values, improving readability and utility, and connecting the Code of Conduct sections to the applicable policies. The amendments did not materially change the responsibilities and obligations that applied previously, and the amendments did not relate to or result in any waiver, explicit or implicit, of any provision of the previous Code of Conduct.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tabs>
          <w:tab w:leader="none" w:pos="11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October 23, 2019</w:t>
        </w:r>
      </w:hyperlink>
    </w:p>
    <w:p>
      <w:pPr>
        <w:spacing w:after="0" w:line="225" w:lineRule="exact"/>
        <w:rPr>
          <w:sz w:val="20"/>
          <w:szCs w:val="20"/>
          <w:color w:val="auto"/>
        </w:rPr>
      </w:pPr>
    </w:p>
    <w:p>
      <w:pPr>
        <w:ind w:left="5660" w:right="4480" w:hanging="5652"/>
        <w:spacing w:after="0" w:line="778" w:lineRule="auto"/>
        <w:tabs>
          <w:tab w:leader="none" w:pos="114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WASTE MANAGEMENT, INC.</w:t>
      </w:r>
    </w:p>
    <w:p>
      <w:pPr>
        <w:spacing w:after="0" w:line="252"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23, 2019</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Charles C. Boettcher</w:t>
      </w:r>
    </w:p>
    <w:p>
      <w:pPr>
        <w:spacing w:after="0" w:line="3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-130175</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Corporate Development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00693C"/>
        </w:rPr>
        <w:t>FOR IMMEDIATE RELEASE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Waste Management Announces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Third Quarter Earnings</w:t>
      </w:r>
    </w:p>
    <w:p>
      <w:pPr>
        <w:sectPr>
          <w:pgSz w:w="11900" w:h="16838" w:orient="portrait"/>
          <w:cols w:equalWidth="0" w:num="1">
            <w:col w:w="11420"/>
          </w:cols>
          <w:pgMar w:left="240" w:top="360" w:right="239" w:bottom="1440" w:gutter="0" w:footer="0" w:header="0"/>
        </w:sectPr>
      </w:pPr>
    </w:p>
    <w:p>
      <w:pPr>
        <w:spacing w:after="0" w:line="195" w:lineRule="exact"/>
        <w:rPr>
          <w:sz w:val="20"/>
          <w:szCs w:val="20"/>
          <w:color w:val="auto"/>
        </w:rPr>
      </w:pPr>
    </w:p>
    <w:p>
      <w:pPr>
        <w:jc w:val="center"/>
        <w:ind w:left="20" w:right="40"/>
        <w:spacing w:after="0" w:line="246" w:lineRule="auto"/>
        <w:rPr>
          <w:sz w:val="20"/>
          <w:szCs w:val="20"/>
          <w:color w:val="auto"/>
        </w:rPr>
      </w:pPr>
      <w:r>
        <w:rPr>
          <w:rFonts w:ascii="Arial" w:cs="Arial" w:eastAsia="Arial" w:hAnsi="Arial"/>
          <w:sz w:val="18"/>
          <w:szCs w:val="18"/>
          <w:color w:val="auto"/>
        </w:rPr>
        <w:t>Net Cash Provided by Operating Activities Grows Nearly 9%, Driven by Strong Organic Revenue Growth in the Collection and Disposal Business</w:t>
      </w:r>
    </w:p>
    <w:p>
      <w:pPr>
        <w:spacing w:after="0" w:line="183" w:lineRule="exact"/>
        <w:rPr>
          <w:sz w:val="20"/>
          <w:szCs w:val="20"/>
          <w:color w:val="auto"/>
        </w:rPr>
      </w:pPr>
    </w:p>
    <w:p>
      <w:pPr>
        <w:jc w:val="center"/>
        <w:spacing w:after="0" w:line="246" w:lineRule="auto"/>
        <w:rPr>
          <w:sz w:val="20"/>
          <w:szCs w:val="20"/>
          <w:color w:val="auto"/>
        </w:rPr>
      </w:pPr>
      <w:r>
        <w:rPr>
          <w:rFonts w:ascii="Arial" w:cs="Arial" w:eastAsia="Arial" w:hAnsi="Arial"/>
          <w:sz w:val="18"/>
          <w:szCs w:val="18"/>
          <w:color w:val="auto"/>
        </w:rPr>
        <w:t>Waste Management Named a Sector Leader on the 2019 North America and World Dow Jones Sustainability Indices</w:t>
      </w:r>
    </w:p>
    <w:p>
      <w:pPr>
        <w:spacing w:after="0" w:line="16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HOUSTON – Oct. 23, 2019 </w:t>
      </w:r>
      <w:r>
        <w:rPr>
          <w:rFonts w:ascii="Arial" w:cs="Arial" w:eastAsia="Arial" w:hAnsi="Arial"/>
          <w:sz w:val="18"/>
          <w:szCs w:val="18"/>
          <w:color w:val="auto"/>
        </w:rPr>
        <w:t>– Waste Management, Inc. (NYSE: WM) today announced financial results for its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September 30, 2019. Revenues for the third quarter of 2019 were $ 3.97 billion compared with $3.82 billion for the same 2018 period. Net income for the quarter was $495 million, or $1.16 per diluted share,</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compared with $ 499 million, also $1.16 per diluted share, for the third quarter of 2018.</w:t>
      </w:r>
      <w:r>
        <w:rPr>
          <w:rFonts w:ascii="Arial" w:cs="Arial" w:eastAsia="Arial" w:hAnsi="Arial"/>
          <w:sz w:val="30"/>
          <w:szCs w:val="30"/>
          <w:color w:val="auto"/>
          <w:vertAlign w:val="superscript"/>
        </w:rPr>
        <w:t>(a)</w:t>
      </w:r>
      <w:r>
        <w:rPr>
          <w:rFonts w:ascii="Arial" w:cs="Arial" w:eastAsia="Arial" w:hAnsi="Arial"/>
          <w:sz w:val="18"/>
          <w:szCs w:val="18"/>
          <w:color w:val="auto"/>
        </w:rPr>
        <w:t xml:space="preserve"> On an adjusted basis net income was $502 million, or $1.19 per diluted share, in the third quarter of 2019, compared with $496 million, or $1.15 per diluted share, in the third quarter of 2018.</w:t>
      </w:r>
      <w:r>
        <w:rPr>
          <w:rFonts w:ascii="Arial" w:cs="Arial" w:eastAsia="Arial" w:hAnsi="Arial"/>
          <w:sz w:val="30"/>
          <w:szCs w:val="30"/>
          <w:color w:val="auto"/>
          <w:vertAlign w:val="superscript"/>
        </w:rPr>
        <w:t>(b)</w:t>
      </w:r>
    </w:p>
    <w:p>
      <w:pPr>
        <w:spacing w:after="0" w:line="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adjusted third quarter 2019 results exclude a $0.03 per diluted share negative impact from costs incurred in connection with the pending acquisition of Advanced Disposal Services, Inc. and our related reduction of common stock repurchases from planned levels.</w:t>
      </w:r>
    </w:p>
    <w:p>
      <w:pPr>
        <w:spacing w:after="0" w:line="18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third quarter we continued to see our collection and disposal lines of business deliver strong revenue and earnings growth, particularly in the segments of our business that reflect the resilience of the consumer,” said Jim Fish, President and Chief Executive Officer of Waste Management. “This strong operational performance led to growth in cash from operations of almost 9%.</w:t>
      </w:r>
    </w:p>
    <w:p>
      <w:pPr>
        <w:spacing w:after="0" w:line="18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“Another accomplishment in the quarter that we are particularly proud of is our recognition as sector leader on the 2019 North America and World Dow Jones Sustainability Indices for the second year in a row,” Fish continued. “This distinction is a reflection of our leadership in sustainability and recognizes the continued strides we are making in this area.”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THIRD QUARTER OF 2019</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Profitability</w:t>
      </w:r>
    </w:p>
    <w:p>
      <w:pPr>
        <w:spacing w:after="0" w:line="216"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Company operating EBITDA was $1.14 billion for the third quarter of 2019, an increase of $60</w:t>
      </w:r>
    </w:p>
    <w:p>
      <w:pPr>
        <w:jc w:val="both"/>
        <w:ind w:left="660"/>
        <w:spacing w:after="0" w:line="221" w:lineRule="auto"/>
        <w:rPr>
          <w:sz w:val="20"/>
          <w:szCs w:val="20"/>
          <w:color w:val="auto"/>
        </w:rPr>
      </w:pPr>
      <w:r>
        <w:rPr>
          <w:rFonts w:ascii="Arial" w:cs="Arial" w:eastAsia="Arial" w:hAnsi="Arial"/>
          <w:sz w:val="18"/>
          <w:szCs w:val="18"/>
          <w:color w:val="auto"/>
        </w:rPr>
        <w:t>million from the third quarter of 2018.</w:t>
      </w:r>
      <w:r>
        <w:rPr>
          <w:rFonts w:ascii="Arial" w:cs="Arial" w:eastAsia="Arial" w:hAnsi="Arial"/>
          <w:sz w:val="30"/>
          <w:szCs w:val="30"/>
          <w:color w:val="auto"/>
          <w:vertAlign w:val="superscript"/>
        </w:rPr>
        <w:t>(c)</w:t>
      </w:r>
      <w:r>
        <w:rPr>
          <w:rFonts w:ascii="Arial" w:cs="Arial" w:eastAsia="Arial" w:hAnsi="Arial"/>
          <w:sz w:val="18"/>
          <w:szCs w:val="18"/>
          <w:color w:val="auto"/>
        </w:rPr>
        <w:t xml:space="preserve"> On an adjusted basis, tot al Company operating EBITDA was $1.14 billion for the third quarter of 2019, an increase of more than $30 million from the third quarter of 2018.</w:t>
      </w:r>
      <w:r>
        <w:rPr>
          <w:rFonts w:ascii="Arial" w:cs="Arial" w:eastAsia="Arial" w:hAnsi="Arial"/>
          <w:sz w:val="30"/>
          <w:szCs w:val="30"/>
          <w:color w:val="auto"/>
          <w:vertAlign w:val="superscript"/>
        </w:rPr>
        <w:t>(b)</w:t>
      </w:r>
    </w:p>
    <w:p>
      <w:pPr>
        <w:spacing w:after="0" w:line="65" w:lineRule="exact"/>
        <w:rPr>
          <w:sz w:val="20"/>
          <w:szCs w:val="20"/>
          <w:color w:val="auto"/>
        </w:rPr>
      </w:pPr>
    </w:p>
    <w:p>
      <w:pPr>
        <w:jc w:val="both"/>
        <w:ind w:left="660" w:hanging="328"/>
        <w:spacing w:after="0" w:line="243" w:lineRule="auto"/>
        <w:tabs>
          <w:tab w:leader="none" w:pos="689"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EBITDA in the Company’s collection and disposal business, adjusted on the same basis as total Company operating EBITDA, increased $94 million, or 7.8%, in the third quarter of 2019 when compared to the third quarter of 2018. As a percentage of revenue, operating EBITDA in the Company’s collection and disposal business increased 50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right="1020"/>
        <w:spacing w:after="0" w:line="302" w:lineRule="auto"/>
        <w:rPr>
          <w:sz w:val="20"/>
          <w:szCs w:val="20"/>
          <w:color w:val="auto"/>
        </w:rPr>
      </w:pPr>
      <w:r>
        <w:rPr>
          <w:rFonts w:ascii="Arial" w:cs="Arial" w:eastAsia="Arial" w:hAnsi="Arial"/>
          <w:sz w:val="17"/>
          <w:szCs w:val="17"/>
          <w:b w:val="1"/>
          <w:bCs w:val="1"/>
          <w:color w:val="00693C"/>
        </w:rPr>
        <w:t>FOR MORE INFORMATION</w:t>
      </w:r>
    </w:p>
    <w:p>
      <w:pPr>
        <w:spacing w:after="0" w:line="116" w:lineRule="exact"/>
        <w:rPr>
          <w:sz w:val="20"/>
          <w:szCs w:val="20"/>
          <w:color w:val="auto"/>
        </w:rPr>
      </w:pPr>
    </w:p>
    <w:p>
      <w:pPr>
        <w:ind w:right="600"/>
        <w:spacing w:after="0" w:line="386" w:lineRule="auto"/>
        <w:rPr>
          <w:sz w:val="20"/>
          <w:szCs w:val="20"/>
          <w:color w:val="auto"/>
        </w:rPr>
      </w:pPr>
      <w:r>
        <w:rPr>
          <w:rFonts w:ascii="Arial" w:cs="Arial" w:eastAsia="Arial" w:hAnsi="Arial"/>
          <w:sz w:val="17"/>
          <w:szCs w:val="17"/>
          <w:b w:val="1"/>
          <w:bCs w:val="1"/>
          <w:color w:val="auto"/>
        </w:rPr>
        <w:t>Waste Management Web site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www.wm.com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8" w:lineRule="exact"/>
        <w:rPr>
          <w:sz w:val="20"/>
          <w:szCs w:val="20"/>
          <w:color w:val="auto"/>
        </w:rPr>
      </w:pPr>
    </w:p>
    <w:p>
      <w:pPr>
        <w:ind w:right="600"/>
        <w:spacing w:after="0" w:line="261" w:lineRule="auto"/>
        <w:rPr>
          <w:sz w:val="20"/>
          <w:szCs w:val="20"/>
          <w:color w:val="auto"/>
        </w:rPr>
      </w:pPr>
      <w:r>
        <w:rPr>
          <w:rFonts w:ascii="Arial" w:cs="Arial" w:eastAsia="Arial" w:hAnsi="Arial"/>
          <w:sz w:val="17"/>
          <w:szCs w:val="17"/>
          <w:color w:val="57584F"/>
        </w:rPr>
        <w:t xml:space="preserve">Andy Izquierdo 832.710.5287 </w:t>
      </w:r>
      <w:r>
        <w:rPr>
          <w:rFonts w:ascii="Arial" w:cs="Arial" w:eastAsia="Arial" w:hAnsi="Arial"/>
          <w:sz w:val="17"/>
          <w:szCs w:val="17"/>
          <w:u w:val="single" w:color="auto"/>
          <w:color w:val="0000FF"/>
        </w:rPr>
        <w:t>aizquierdo@wm.com</w:t>
      </w:r>
    </w:p>
    <w:p>
      <w:pPr>
        <w:sectPr>
          <w:pgSz w:w="11900" w:h="16838" w:orient="portrait"/>
          <w:cols w:equalWidth="0" w:num="2">
            <w:col w:w="8920" w:space="220"/>
            <w:col w:w="2280"/>
          </w:cols>
          <w:pgMar w:left="240" w:top="360" w:right="239" w:bottom="1440" w:gutter="0" w:footer="0" w:header="0"/>
          <w:type w:val="continuous"/>
        </w:sectPr>
      </w:pPr>
    </w:p>
    <w:bookmarkStart w:id="4" w:name="page5"/>
    <w:bookmarkEnd w:id="4"/>
    <w:p>
      <w:pPr>
        <w:ind w:left="324"/>
        <w:spacing w:after="0"/>
        <w:rPr>
          <w:sz w:val="20"/>
          <w:szCs w:val="20"/>
          <w:color w:val="auto"/>
        </w:rPr>
      </w:pPr>
      <w:r>
        <w:rPr>
          <w:rFonts w:ascii="Arial" w:cs="Arial" w:eastAsia="Arial" w:hAnsi="Arial"/>
          <w:sz w:val="18"/>
          <w:szCs w:val="18"/>
          <w:b w:val="1"/>
          <w:bCs w:val="1"/>
          <w:u w:val="single" w:color="auto"/>
          <w:color w:val="auto"/>
        </w:rPr>
        <w:t>Revenue Growth</w:t>
      </w:r>
    </w:p>
    <w:p>
      <w:pPr>
        <w:spacing w:after="0" w:line="220" w:lineRule="exact"/>
        <w:rPr>
          <w:sz w:val="20"/>
          <w:szCs w:val="20"/>
          <w:color w:val="auto"/>
        </w:rPr>
      </w:pPr>
    </w:p>
    <w:p>
      <w:pPr>
        <w:jc w:val="both"/>
        <w:ind w:left="324" w:right="1359" w:hanging="3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third quarter of 2019, organic revenue growth was driven by strong yield and volume growth in the Company’s collection and disposal business, which contributed $198 million of incremental revenue.</w:t>
      </w:r>
    </w:p>
    <w:p>
      <w:pPr>
        <w:spacing w:after="0" w:line="1" w:lineRule="exact"/>
        <w:rPr>
          <w:rFonts w:ascii="Arial" w:cs="Arial" w:eastAsia="Arial" w:hAnsi="Arial"/>
          <w:sz w:val="18"/>
          <w:szCs w:val="18"/>
          <w:color w:val="auto"/>
        </w:rPr>
      </w:pPr>
    </w:p>
    <w:p>
      <w:pPr>
        <w:ind w:left="304" w:hanging="304"/>
        <w:spacing w:after="0" w:line="183" w:lineRule="auto"/>
        <w:tabs>
          <w:tab w:leader="none" w:pos="304" w:val="left"/>
        </w:tabs>
        <w:numPr>
          <w:ilvl w:val="0"/>
          <w:numId w:val="5"/>
        </w:numPr>
        <w:rPr>
          <w:rFonts w:ascii="Arial" w:cs="Arial" w:eastAsia="Arial" w:hAnsi="Arial"/>
          <w:sz w:val="16"/>
          <w:szCs w:val="16"/>
          <w:color w:val="auto"/>
        </w:rPr>
      </w:pPr>
      <w:r>
        <w:rPr>
          <w:rFonts w:ascii="Arial" w:cs="Arial" w:eastAsia="Arial" w:hAnsi="Arial"/>
          <w:sz w:val="16"/>
          <w:szCs w:val="16"/>
          <w:color w:val="auto"/>
        </w:rPr>
        <w:t>Core price for the third quarter of 2019 was 5.3%, compared to 5.4% in the third quarter of 2018.</w:t>
      </w:r>
      <w:r>
        <w:rPr>
          <w:rFonts w:ascii="Arial" w:cs="Arial" w:eastAsia="Arial" w:hAnsi="Arial"/>
          <w:sz w:val="26"/>
          <w:szCs w:val="26"/>
          <w:color w:val="auto"/>
          <w:vertAlign w:val="superscript"/>
        </w:rPr>
        <w:t>(d)</w:t>
      </w:r>
    </w:p>
    <w:p>
      <w:pPr>
        <w:ind w:left="324" w:right="1359" w:hanging="324"/>
        <w:spacing w:after="0" w:line="234" w:lineRule="auto"/>
        <w:tabs>
          <w:tab w:leader="none" w:pos="408"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Internal revenue growth from yield for the collection and disposal business was 2.6% for the third quarter of 2019 versus 2.5% in the third quarter of 2018.</w:t>
      </w:r>
    </w:p>
    <w:p>
      <w:pPr>
        <w:spacing w:after="0" w:line="1" w:lineRule="exact"/>
        <w:rPr>
          <w:rFonts w:ascii="Arial" w:cs="Arial" w:eastAsia="Arial" w:hAnsi="Arial"/>
          <w:sz w:val="18"/>
          <w:szCs w:val="18"/>
          <w:color w:val="auto"/>
        </w:rPr>
      </w:pPr>
    </w:p>
    <w:p>
      <w:pPr>
        <w:jc w:val="both"/>
        <w:ind w:left="324" w:right="1359" w:hanging="324"/>
        <w:spacing w:after="0" w:line="239" w:lineRule="auto"/>
        <w:tabs>
          <w:tab w:leader="none" w:pos="462" w:val="left"/>
        </w:tabs>
        <w:numPr>
          <w:ilvl w:val="0"/>
          <w:numId w:val="5"/>
        </w:numPr>
        <w:rPr>
          <w:rFonts w:ascii="Arial" w:cs="Arial" w:eastAsia="Arial" w:hAnsi="Arial"/>
          <w:sz w:val="18"/>
          <w:szCs w:val="18"/>
          <w:color w:val="auto"/>
        </w:rPr>
      </w:pPr>
      <w:r>
        <w:rPr>
          <w:rFonts w:ascii="Arial" w:cs="Arial" w:eastAsia="Arial" w:hAnsi="Arial"/>
          <w:sz w:val="18"/>
          <w:szCs w:val="18"/>
          <w:color w:val="auto"/>
        </w:rPr>
        <w:t>Collection and disposal business internal revenue growth from volume was 3.3%, or 2.7% on a workday adjusted basis, in the third quarter of 2019. Total Company internal revenue growth from volume, which includes our recycling and other ancillary businesses, was 2.6%, or 1.9% on a workday adjusted basis, in the third quarter.</w:t>
      </w:r>
    </w:p>
    <w:p>
      <w:pPr>
        <w:spacing w:after="0" w:line="166" w:lineRule="exact"/>
        <w:rPr>
          <w:sz w:val="20"/>
          <w:szCs w:val="20"/>
          <w:color w:val="auto"/>
        </w:rPr>
      </w:pPr>
    </w:p>
    <w:p>
      <w:pPr>
        <w:ind w:left="324"/>
        <w:spacing w:after="0"/>
        <w:rPr>
          <w:sz w:val="20"/>
          <w:szCs w:val="20"/>
          <w:color w:val="auto"/>
        </w:rPr>
      </w:pPr>
      <w:r>
        <w:rPr>
          <w:rFonts w:ascii="Arial" w:cs="Arial" w:eastAsia="Arial" w:hAnsi="Arial"/>
          <w:sz w:val="18"/>
          <w:szCs w:val="18"/>
          <w:b w:val="1"/>
          <w:bCs w:val="1"/>
          <w:u w:val="single" w:color="auto"/>
          <w:color w:val="auto"/>
        </w:rPr>
        <w:t>Commodity-Based Businesses</w:t>
      </w:r>
    </w:p>
    <w:p>
      <w:pPr>
        <w:spacing w:after="0" w:line="220" w:lineRule="exact"/>
        <w:rPr>
          <w:sz w:val="20"/>
          <w:szCs w:val="20"/>
          <w:color w:val="auto"/>
        </w:rPr>
      </w:pPr>
    </w:p>
    <w:p>
      <w:pPr>
        <w:jc w:val="both"/>
        <w:ind w:left="324" w:right="1359" w:hanging="324"/>
        <w:spacing w:after="0" w:line="234" w:lineRule="auto"/>
        <w:tabs>
          <w:tab w:leader="none" w:pos="3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continued decline in market values for recycled commodities, which were down 40% year-over-year in the third quarter, drove a revenue decline of $86 million and presented a more significant headwind in the quarter than anticipated. As a result of continued efforts to advance a fee-for-service business model, the operating EBITDA in the Company’s recycling line of business declined by only $7 million when compared to the third quarter of 2018.</w:t>
      </w:r>
    </w:p>
    <w:p>
      <w:pPr>
        <w:spacing w:after="0" w:line="3" w:lineRule="exact"/>
        <w:rPr>
          <w:rFonts w:ascii="Arial" w:cs="Arial" w:eastAsia="Arial" w:hAnsi="Arial"/>
          <w:sz w:val="18"/>
          <w:szCs w:val="18"/>
          <w:color w:val="auto"/>
        </w:rPr>
      </w:pPr>
    </w:p>
    <w:p>
      <w:pPr>
        <w:ind w:left="324" w:right="1359" w:hanging="324"/>
        <w:spacing w:after="0" w:line="234" w:lineRule="auto"/>
        <w:tabs>
          <w:tab w:leader="none" w:pos="43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full year, the Company expects the recycling line of business to be a $0.01 to $0.02 per diluted share headwind.</w:t>
      </w:r>
    </w:p>
    <w:p>
      <w:pPr>
        <w:spacing w:after="0" w:line="1" w:lineRule="exact"/>
        <w:rPr>
          <w:rFonts w:ascii="Arial" w:cs="Arial" w:eastAsia="Arial" w:hAnsi="Arial"/>
          <w:sz w:val="18"/>
          <w:szCs w:val="18"/>
          <w:color w:val="auto"/>
        </w:rPr>
      </w:pPr>
    </w:p>
    <w:p>
      <w:pPr>
        <w:ind w:left="324" w:right="1359" w:hanging="324"/>
        <w:spacing w:after="0" w:line="234" w:lineRule="auto"/>
        <w:tabs>
          <w:tab w:leader="none" w:pos="33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EBITDA from the sale of renewable natural gas credits declined approximately $8 million from the third quarter of 2018 due to lower market values.</w:t>
      </w:r>
    </w:p>
    <w:p>
      <w:pPr>
        <w:spacing w:after="0" w:line="1" w:lineRule="exact"/>
        <w:rPr>
          <w:rFonts w:ascii="Arial" w:cs="Arial" w:eastAsia="Arial" w:hAnsi="Arial"/>
          <w:sz w:val="18"/>
          <w:szCs w:val="18"/>
          <w:color w:val="auto"/>
        </w:rPr>
      </w:pPr>
    </w:p>
    <w:p>
      <w:pPr>
        <w:ind w:left="324" w:right="1359" w:hanging="324"/>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 the full year, the Company expects the sale of its renewable natural gas credits to be a $0.03 to $0.04 per diluted share headwind.</w:t>
      </w:r>
    </w:p>
    <w:p>
      <w:pPr>
        <w:spacing w:after="0" w:line="161" w:lineRule="exact"/>
        <w:rPr>
          <w:rFonts w:ascii="Arial" w:cs="Arial" w:eastAsia="Arial" w:hAnsi="Arial"/>
          <w:sz w:val="18"/>
          <w:szCs w:val="18"/>
          <w:color w:val="auto"/>
        </w:rPr>
      </w:pPr>
    </w:p>
    <w:p>
      <w:pPr>
        <w:ind w:left="324"/>
        <w:spacing w:after="0"/>
        <w:rPr>
          <w:rFonts w:ascii="Arial" w:cs="Arial" w:eastAsia="Arial" w:hAnsi="Arial"/>
          <w:sz w:val="18"/>
          <w:szCs w:val="18"/>
          <w:color w:val="auto"/>
        </w:rPr>
      </w:pPr>
      <w:r>
        <w:rPr>
          <w:rFonts w:ascii="Arial" w:cs="Arial" w:eastAsia="Arial" w:hAnsi="Arial"/>
          <w:sz w:val="18"/>
          <w:szCs w:val="18"/>
          <w:b w:val="1"/>
          <w:bCs w:val="1"/>
          <w:u w:val="single" w:color="auto"/>
          <w:color w:val="auto"/>
        </w:rPr>
        <w:t>Cost Management</w:t>
      </w:r>
    </w:p>
    <w:p>
      <w:pPr>
        <w:spacing w:after="0" w:line="220" w:lineRule="exact"/>
        <w:rPr>
          <w:rFonts w:ascii="Arial" w:cs="Arial" w:eastAsia="Arial" w:hAnsi="Arial"/>
          <w:sz w:val="18"/>
          <w:szCs w:val="18"/>
          <w:color w:val="auto"/>
        </w:rPr>
      </w:pPr>
    </w:p>
    <w:p>
      <w:pPr>
        <w:ind w:left="324" w:right="1359" w:hanging="324"/>
        <w:spacing w:after="0" w:line="242" w:lineRule="auto"/>
        <w:tabs>
          <w:tab w:leader="none" w:pos="38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percentage of revenue, total Company operating expenses were 61.5% in the third quarter of 2019, compared to 62.1% in the third quarter of 2018.</w:t>
      </w:r>
    </w:p>
    <w:p>
      <w:pPr>
        <w:spacing w:after="0" w:line="1" w:lineRule="exact"/>
        <w:rPr>
          <w:rFonts w:ascii="Arial" w:cs="Arial" w:eastAsia="Arial" w:hAnsi="Arial"/>
          <w:sz w:val="18"/>
          <w:szCs w:val="18"/>
          <w:color w:val="auto"/>
        </w:rPr>
      </w:pPr>
    </w:p>
    <w:p>
      <w:pPr>
        <w:jc w:val="both"/>
        <w:ind w:left="324" w:right="1359" w:hanging="324"/>
        <w:spacing w:after="0"/>
        <w:tabs>
          <w:tab w:leader="none" w:pos="381"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percentage of revenue, SG&amp;A expenses were 9.7% in the third quarter of 2019, compared to 9.0% in the third quarter of 2018. The increase in SG&amp;A expenses as a percentage of revenue was driven by the Company’s planned investments in people and technology.</w:t>
      </w:r>
    </w:p>
    <w:p>
      <w:pPr>
        <w:spacing w:after="0" w:line="181" w:lineRule="exact"/>
        <w:rPr>
          <w:sz w:val="20"/>
          <w:szCs w:val="20"/>
          <w:color w:val="auto"/>
        </w:rPr>
      </w:pPr>
    </w:p>
    <w:p>
      <w:pPr>
        <w:ind w:left="324"/>
        <w:spacing w:after="0"/>
        <w:rPr>
          <w:sz w:val="20"/>
          <w:szCs w:val="20"/>
          <w:color w:val="auto"/>
        </w:rPr>
      </w:pPr>
      <w:r>
        <w:rPr>
          <w:rFonts w:ascii="Arial" w:cs="Arial" w:eastAsia="Arial" w:hAnsi="Arial"/>
          <w:sz w:val="18"/>
          <w:szCs w:val="18"/>
          <w:b w:val="1"/>
          <w:bCs w:val="1"/>
          <w:u w:val="single" w:color="auto"/>
          <w:color w:val="auto"/>
        </w:rPr>
        <w:t>Free Cash Flow &amp; Capital Allocation</w:t>
      </w:r>
    </w:p>
    <w:p>
      <w:pPr>
        <w:spacing w:after="0" w:line="220" w:lineRule="exact"/>
        <w:rPr>
          <w:sz w:val="20"/>
          <w:szCs w:val="20"/>
          <w:color w:val="auto"/>
        </w:rPr>
      </w:pPr>
    </w:p>
    <w:p>
      <w:pPr>
        <w:ind w:left="324" w:right="1359" w:hanging="324"/>
        <w:spacing w:after="0" w:line="234" w:lineRule="auto"/>
        <w:tabs>
          <w:tab w:leader="none" w:pos="327"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cash provided by operating activities was $952 million in the third quarter of 2019, an increase of $78 million, or 8.9%, when compared to the third quarter of 2018.</w:t>
      </w:r>
    </w:p>
    <w:p>
      <w:pPr>
        <w:spacing w:after="0" w:line="1" w:lineRule="exact"/>
        <w:rPr>
          <w:rFonts w:ascii="Arial" w:cs="Arial" w:eastAsia="Arial" w:hAnsi="Arial"/>
          <w:sz w:val="18"/>
          <w:szCs w:val="18"/>
          <w:color w:val="auto"/>
        </w:rPr>
      </w:pPr>
    </w:p>
    <w:p>
      <w:pPr>
        <w:jc w:val="both"/>
        <w:ind w:left="324" w:right="1359" w:hanging="324"/>
        <w:spacing w:after="0" w:line="234" w:lineRule="auto"/>
        <w:tabs>
          <w:tab w:leader="none" w:pos="381"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$483 million in the third quarter of 2019, a $79 million increase from the third quarter of 2018, due to an intentional focus on accelerating certain fleet and landfill spending to support the Company’s strong collection and disposal growth.</w:t>
      </w:r>
    </w:p>
    <w:p>
      <w:pPr>
        <w:spacing w:after="0" w:line="2" w:lineRule="exact"/>
        <w:rPr>
          <w:rFonts w:ascii="Arial" w:cs="Arial" w:eastAsia="Arial" w:hAnsi="Arial"/>
          <w:sz w:val="18"/>
          <w:szCs w:val="18"/>
          <w:color w:val="auto"/>
        </w:rPr>
      </w:pPr>
    </w:p>
    <w:p>
      <w:pPr>
        <w:ind w:left="404" w:hanging="404"/>
        <w:spacing w:after="0" w:line="235" w:lineRule="auto"/>
        <w:tabs>
          <w:tab w:leader="none" w:pos="404" w:val="left"/>
        </w:tabs>
        <w:numPr>
          <w:ilvl w:val="0"/>
          <w:numId w:val="7"/>
        </w:numPr>
        <w:rPr>
          <w:rFonts w:ascii="Arial" w:cs="Arial" w:eastAsia="Arial" w:hAnsi="Arial"/>
          <w:sz w:val="18"/>
          <w:szCs w:val="18"/>
          <w:color w:val="auto"/>
        </w:rPr>
      </w:pPr>
      <w:r>
        <w:rPr>
          <w:rFonts w:ascii="Arial" w:cs="Arial" w:eastAsia="Arial" w:hAnsi="Arial"/>
          <w:sz w:val="18"/>
          <w:szCs w:val="18"/>
          <w:color w:val="auto"/>
        </w:rPr>
        <w:t>Free cash flow was $478 million in the third quarter of 2019 compared to $480 million in the third</w:t>
      </w:r>
    </w:p>
    <w:p>
      <w:pPr>
        <w:ind w:left="324"/>
        <w:spacing w:after="0" w:line="181" w:lineRule="auto"/>
        <w:rPr>
          <w:sz w:val="20"/>
          <w:szCs w:val="20"/>
          <w:color w:val="auto"/>
        </w:rPr>
      </w:pPr>
      <w:r>
        <w:rPr>
          <w:rFonts w:ascii="Arial" w:cs="Arial" w:eastAsia="Arial" w:hAnsi="Arial"/>
          <w:sz w:val="17"/>
          <w:szCs w:val="17"/>
          <w:color w:val="auto"/>
        </w:rPr>
        <w:t>quarter of 2018.</w:t>
      </w:r>
      <w:r>
        <w:rPr>
          <w:rFonts w:ascii="Arial" w:cs="Arial" w:eastAsia="Arial" w:hAnsi="Arial"/>
          <w:sz w:val="28"/>
          <w:szCs w:val="28"/>
          <w:color w:val="auto"/>
          <w:vertAlign w:val="superscript"/>
        </w:rPr>
        <w:t>(b)</w:t>
      </w:r>
    </w:p>
    <w:p>
      <w:pPr>
        <w:ind w:left="304" w:hanging="304"/>
        <w:spacing w:after="0" w:line="235" w:lineRule="auto"/>
        <w:tabs>
          <w:tab w:leader="none" w:pos="30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paid $218 million of dividends to shareholders in the third quarter of 2019.</w:t>
      </w:r>
    </w:p>
    <w:p>
      <w:pPr>
        <w:ind w:left="324" w:right="1359" w:hanging="324"/>
        <w:spacing w:after="0" w:line="246" w:lineRule="auto"/>
        <w:tabs>
          <w:tab w:leader="none" w:pos="35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spent $76 million on acquisitions of traditional solid waste businesses during the third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408305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84"/>
          </w:cols>
          <w:pgMar w:left="676" w:top="1130" w:right="1440" w:bottom="1440" w:gutter="0" w:footer="0" w:header="0"/>
        </w:sectPr>
      </w:pPr>
    </w:p>
    <w:bookmarkStart w:id="5" w:name="page6"/>
    <w:bookmarkEnd w:id="5"/>
    <w:p>
      <w:pPr>
        <w:ind w:left="640"/>
        <w:spacing w:after="0"/>
        <w:rPr>
          <w:sz w:val="20"/>
          <w:szCs w:val="20"/>
          <w:color w:val="auto"/>
        </w:rPr>
      </w:pPr>
      <w:r>
        <w:rPr>
          <w:rFonts w:ascii="Arial" w:cs="Arial" w:eastAsia="Arial" w:hAnsi="Arial"/>
          <w:sz w:val="18"/>
          <w:szCs w:val="18"/>
          <w:b w:val="1"/>
          <w:bCs w:val="1"/>
          <w:u w:val="single" w:color="auto"/>
          <w:color w:val="auto"/>
        </w:rPr>
        <w:t>Taxes</w:t>
      </w:r>
    </w:p>
    <w:p>
      <w:pPr>
        <w:spacing w:after="0" w:line="220" w:lineRule="exact"/>
        <w:rPr>
          <w:sz w:val="20"/>
          <w:szCs w:val="20"/>
          <w:color w:val="auto"/>
        </w:rPr>
      </w:pPr>
    </w:p>
    <w:p>
      <w:pPr>
        <w:ind w:left="620" w:hanging="304"/>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Company’s effective tax rate for the third quarter of 2019 was approximately 19.4%.</w:t>
      </w:r>
    </w:p>
    <w:p>
      <w:pPr>
        <w:spacing w:after="0" w:line="198" w:lineRule="exact"/>
        <w:rPr>
          <w:sz w:val="20"/>
          <w:szCs w:val="20"/>
          <w:color w:val="auto"/>
        </w:rPr>
      </w:pPr>
    </w:p>
    <w:p>
      <w:pPr>
        <w:jc w:val="both"/>
        <w:ind w:right="1359"/>
        <w:spacing w:after="0" w:line="261" w:lineRule="auto"/>
        <w:rPr>
          <w:sz w:val="20"/>
          <w:szCs w:val="20"/>
          <w:color w:val="auto"/>
        </w:rPr>
      </w:pPr>
      <w:r>
        <w:rPr>
          <w:rFonts w:ascii="Arial" w:cs="Arial" w:eastAsia="Arial" w:hAnsi="Arial"/>
          <w:sz w:val="17"/>
          <w:szCs w:val="17"/>
          <w:color w:val="auto"/>
        </w:rPr>
        <w:t>Fish concluded, “We are pleased with the performance of our collection and disposal business through the first three quarters of the year, which positions us to achieve our full-year goals. Our original 2019 guidance anticipated significantly higher contributions from our commodity-sensitive businesses than we have seen. The strong results from the collection and disposal business have overcome this impact, and we expect to achieve full-year 2019 results within our guidance range of adjusted operating EBITDA of $4.40 to $4.45 billion, free cash flow of $2.025 to $2.075 billion, and adjusted earnings per diluted share of $4.28 to $4.38.”</w:t>
      </w:r>
      <w:r>
        <w:rPr>
          <w:rFonts w:ascii="Arial" w:cs="Arial" w:eastAsia="Arial" w:hAnsi="Arial"/>
          <w:sz w:val="28"/>
          <w:szCs w:val="28"/>
          <w:color w:val="auto"/>
          <w:vertAlign w:val="superscript"/>
        </w:rPr>
        <w:t>(b)</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 w:lineRule="exact"/>
        <w:rPr>
          <w:sz w:val="20"/>
          <w:szCs w:val="20"/>
          <w:color w:val="auto"/>
        </w:rPr>
      </w:pPr>
    </w:p>
    <w:p>
      <w:pPr>
        <w:ind w:left="640" w:right="1359" w:hanging="324"/>
        <w:spacing w:after="0" w:line="258" w:lineRule="auto"/>
        <w:tabs>
          <w:tab w:leader="none" w:pos="693"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purposes of this press release, all references to “Net income” refer to the financial statement line item “Net income attributable to Waste Management, Inc.”</w:t>
      </w:r>
    </w:p>
    <w:p>
      <w:pPr>
        <w:spacing w:after="0" w:line="140" w:lineRule="exact"/>
        <w:rPr>
          <w:rFonts w:ascii="Arial" w:cs="Arial" w:eastAsia="Arial" w:hAnsi="Arial"/>
          <w:sz w:val="14"/>
          <w:szCs w:val="14"/>
          <w:color w:val="auto"/>
        </w:rPr>
      </w:pPr>
    </w:p>
    <w:p>
      <w:pPr>
        <w:jc w:val="both"/>
        <w:ind w:left="640" w:right="1359" w:hanging="324"/>
        <w:spacing w:after="0" w:line="250" w:lineRule="auto"/>
        <w:tabs>
          <w:tab w:leader="none" w:pos="675"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Adjusted earnings per diluted share, adjusted net income, adjusted operating EBITDA, and free cash flow are non-GAAP measures. Please see “Non-GAAP Financial Measures” below and the reconciliations in the accompanying schedules for more information.</w:t>
      </w:r>
    </w:p>
    <w:p>
      <w:pPr>
        <w:spacing w:after="0" w:line="145" w:lineRule="exact"/>
        <w:rPr>
          <w:rFonts w:ascii="Arial" w:cs="Arial" w:eastAsia="Arial" w:hAnsi="Arial"/>
          <w:sz w:val="14"/>
          <w:szCs w:val="14"/>
          <w:color w:val="auto"/>
        </w:rPr>
      </w:pPr>
    </w:p>
    <w:p>
      <w:pPr>
        <w:ind w:left="640" w:right="1359" w:hanging="324"/>
        <w:spacing w:after="0" w:line="258" w:lineRule="auto"/>
        <w:tabs>
          <w:tab w:leader="none" w:pos="624"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Management defines operating EBITDA as GAAP income from operations before depreciation and amortization; this measure may not be comparable to similarly-titled measures reported by other companies.</w:t>
      </w:r>
    </w:p>
    <w:p>
      <w:pPr>
        <w:spacing w:after="0" w:line="140" w:lineRule="exact"/>
        <w:rPr>
          <w:rFonts w:ascii="Arial" w:cs="Arial" w:eastAsia="Arial" w:hAnsi="Arial"/>
          <w:sz w:val="14"/>
          <w:szCs w:val="14"/>
          <w:color w:val="auto"/>
        </w:rPr>
      </w:pPr>
    </w:p>
    <w:p>
      <w:pPr>
        <w:jc w:val="both"/>
        <w:ind w:left="640" w:right="1359" w:hanging="324"/>
        <w:spacing w:after="0" w:line="246" w:lineRule="auto"/>
        <w:tabs>
          <w:tab w:leader="none" w:pos="642"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Core price consists of price increases net of rollbacks and fees, excluding the Company’s fuel surcharge. It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347" w:lineRule="exact"/>
        <w:rPr>
          <w:sz w:val="20"/>
          <w:szCs w:val="20"/>
          <w:color w:val="auto"/>
        </w:rPr>
      </w:pPr>
    </w:p>
    <w:p>
      <w:pPr>
        <w:jc w:val="both"/>
        <w:ind w:right="1359"/>
        <w:spacing w:after="0"/>
        <w:rPr>
          <w:sz w:val="20"/>
          <w:szCs w:val="20"/>
          <w:color w:val="auto"/>
        </w:rPr>
      </w:pPr>
      <w:r>
        <w:rPr>
          <w:rFonts w:ascii="Arial" w:cs="Arial" w:eastAsia="Arial" w:hAnsi="Arial"/>
          <w:sz w:val="18"/>
          <w:szCs w:val="18"/>
          <w:color w:val="auto"/>
        </w:rPr>
        <w:t>The Company will host a conference call at 10 a.m. (Eastern) today to discuss the third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359"/>
        <w:spacing w:after="0" w:line="238" w:lineRule="auto"/>
        <w:rPr>
          <w:sz w:val="20"/>
          <w:szCs w:val="20"/>
          <w:color w:val="auto"/>
        </w:rPr>
      </w:pPr>
      <w:r>
        <w:rPr>
          <w:rFonts w:ascii="Arial" w:cs="Arial" w:eastAsia="Arial" w:hAnsi="Arial"/>
          <w:sz w:val="18"/>
          <w:szCs w:val="18"/>
          <w:color w:val="auto"/>
        </w:rPr>
        <w:t xml:space="preserve">The conference call will be webcast live from the Investors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2572365 when prompted by the conference call operator.</w:t>
      </w:r>
    </w:p>
    <w:p>
      <w:pPr>
        <w:spacing w:after="0" w:line="189" w:lineRule="exact"/>
        <w:rPr>
          <w:sz w:val="20"/>
          <w:szCs w:val="20"/>
          <w:color w:val="auto"/>
        </w:rPr>
      </w:pPr>
    </w:p>
    <w:p>
      <w:pPr>
        <w:jc w:val="both"/>
        <w:ind w:right="1359"/>
        <w:spacing w:after="0" w:line="239"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today through 5:00 PM (Eastern) on Thursday, November 6, 2019. To access the replay telephonically, please dial (855) 859-2056, or from outside of the United States or Canada dial (404) 537-3406 and use the replay conference ID number 2572365.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8" w:lineRule="exact"/>
        <w:rPr>
          <w:sz w:val="20"/>
          <w:szCs w:val="20"/>
          <w:color w:val="auto"/>
        </w:rPr>
      </w:pPr>
    </w:p>
    <w:p>
      <w:pPr>
        <w:jc w:val="both"/>
        <w:ind w:right="1359"/>
        <w:spacing w:after="0" w:line="237" w:lineRule="auto"/>
        <w:rPr>
          <w:sz w:val="20"/>
          <w:szCs w:val="20"/>
          <w:color w:val="auto"/>
        </w:rPr>
      </w:pPr>
      <w:r>
        <w:rPr>
          <w:rFonts w:ascii="Arial" w:cs="Arial" w:eastAsia="Arial" w:hAnsi="Arial"/>
          <w:sz w:val="18"/>
          <w:szCs w:val="18"/>
          <w:color w:val="auto"/>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jc w:val="both"/>
        <w:ind w:right="1359"/>
        <w:spacing w:after="0" w:line="246" w:lineRule="auto"/>
        <w:rPr>
          <w:sz w:val="20"/>
          <w:szCs w:val="20"/>
          <w:color w:val="auto"/>
        </w:rPr>
      </w:pPr>
      <w:r>
        <w:rPr>
          <w:rFonts w:ascii="Arial" w:cs="Arial" w:eastAsia="Arial" w:hAnsi="Arial"/>
          <w:sz w:val="18"/>
          <w:szCs w:val="18"/>
          <w:color w:val="auto"/>
        </w:rPr>
        <w:t>The Company, from time to time, provides estimates of financial and other data, comments on expectations relating to future periods and makes statements of opinion, view or belief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408305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886" w:right="1440" w:bottom="1440" w:gutter="0" w:footer="0" w:header="0"/>
        </w:sectPr>
      </w:pPr>
    </w:p>
    <w:bookmarkStart w:id="6" w:name="page7"/>
    <w:bookmarkEnd w:id="6"/>
    <w:p>
      <w:pPr>
        <w:jc w:val="both"/>
        <w:ind w:right="1359"/>
        <w:spacing w:after="0" w:line="235" w:lineRule="auto"/>
        <w:rPr>
          <w:sz w:val="20"/>
          <w:szCs w:val="20"/>
          <w:color w:val="auto"/>
        </w:rPr>
      </w:pPr>
      <w:r>
        <w:rPr>
          <w:rFonts w:ascii="Arial" w:cs="Arial" w:eastAsia="Arial" w:hAnsi="Arial"/>
          <w:sz w:val="18"/>
          <w:szCs w:val="18"/>
          <w:color w:val="auto"/>
        </w:rPr>
        <w:t>about current and future events. This press release contains a number of such forward-looking statements, including but not limited to statements regarding 2019 earnings per diluted share; 2019 operating EBITDA; 2019 free cash flow; and all statements regarding future performance of our collection and disposal business, recycling business, renewable energy business or otherwise.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the acquisition of Advanced Disposal Services, Inc. or other acquisitions; failure to obtain the results anticipated from the acquisition of Advanced Disposal Services, Inc. or other acquisitions; environmental and other regulations; commodity price fluctuations; international trade restrictions; disposal alternatives and waste diversion; declining waste volumes; failure to develop and protect new technology; failure of technology to perform as expected; preventing, detecting and addressing cybersecurity incidents;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as updated by our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jc w:val="both"/>
        <w:ind w:right="1359"/>
        <w:spacing w:after="0" w:line="236" w:lineRule="auto"/>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earnings per diluted share, adjusted net income, adjusted operating EBTIDA, adjusted SG&amp;A expenses and free cash flow, as well as projections of adjusted earnings per diluted share, adjusted operating EBITDA, adjusted SG&amp;A expenses as a percentage of revenue, adjusted tax rate, and free cash flow; these are non-GAAP financial measures, as defined in Regulation G of the Securities Exchange Act of 1934, as amended. The Company reports its financial results in compliance with GAAP but believes that also discussing non-GAAP measures provides investors with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93" w:lineRule="exact"/>
        <w:rPr>
          <w:sz w:val="20"/>
          <w:szCs w:val="20"/>
          <w:color w:val="auto"/>
        </w:rPr>
      </w:pPr>
    </w:p>
    <w:p>
      <w:pPr>
        <w:jc w:val="both"/>
        <w:ind w:right="1359"/>
        <w:spacing w:after="0" w:line="236" w:lineRule="auto"/>
        <w:rPr>
          <w:sz w:val="20"/>
          <w:szCs w:val="20"/>
          <w:color w:val="auto"/>
        </w:rPr>
      </w:pPr>
      <w:r>
        <w:rPr>
          <w:rFonts w:ascii="Arial" w:cs="Arial" w:eastAsia="Arial" w:hAnsi="Arial"/>
          <w:sz w:val="18"/>
          <w:szCs w:val="18"/>
          <w:color w:val="auto"/>
        </w:rPr>
        <w:t>The Company’s non-GAAP results and projections exclude the impact of costs incurred in connection with the pending acquisition of Advanced Disposal Services, Inc. and our related reduction of common stock repurchases from planned levels. In addition, the Company’s projected full year 2019 earnings per diluted share, SG&amp;A expenses as a percentage of revenue, operating EBITDA and tax rate are anticipated to exclude the effects of other events or circumstances in 2019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projections to the comparable GAAP measures.</w:t>
      </w:r>
    </w:p>
    <w:p>
      <w:pPr>
        <w:spacing w:after="0" w:line="193" w:lineRule="exact"/>
        <w:rPr>
          <w:sz w:val="20"/>
          <w:szCs w:val="20"/>
          <w:color w:val="auto"/>
        </w:rPr>
      </w:pPr>
    </w:p>
    <w:p>
      <w:pPr>
        <w:jc w:val="both"/>
        <w:ind w:right="1359"/>
        <w:spacing w:after="0" w:line="239" w:lineRule="auto"/>
        <w:rPr>
          <w:sz w:val="20"/>
          <w:szCs w:val="20"/>
          <w:color w:val="auto"/>
        </w:rPr>
      </w:pPr>
      <w:r>
        <w:rPr>
          <w:rFonts w:ascii="Arial" w:cs="Arial" w:eastAsia="Arial" w:hAnsi="Arial"/>
          <w:sz w:val="18"/>
          <w:szCs w:val="18"/>
          <w:color w:val="auto"/>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437515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949" w:right="1440" w:bottom="1440" w:gutter="0" w:footer="0" w:header="0"/>
        </w:sectPr>
      </w:pPr>
    </w:p>
    <w:bookmarkStart w:id="7" w:name="page8"/>
    <w:bookmarkEnd w:id="7"/>
    <w:p>
      <w:pPr>
        <w:jc w:val="both"/>
        <w:ind w:right="1359"/>
        <w:spacing w:after="0" w:line="237" w:lineRule="auto"/>
        <w:rPr>
          <w:sz w:val="20"/>
          <w:szCs w:val="20"/>
          <w:color w:val="auto"/>
        </w:rPr>
      </w:pPr>
      <w:r>
        <w:rPr>
          <w:rFonts w:ascii="Arial" w:cs="Arial" w:eastAsia="Arial" w:hAnsi="Arial"/>
          <w:sz w:val="18"/>
          <w:szCs w:val="18"/>
          <w:color w:val="auto"/>
        </w:rPr>
        <w:t>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0" w:lineRule="exact"/>
        <w:rPr>
          <w:sz w:val="20"/>
          <w:szCs w:val="20"/>
          <w:color w:val="auto"/>
        </w:rPr>
      </w:pPr>
    </w:p>
    <w:p>
      <w:pPr>
        <w:jc w:val="both"/>
        <w:ind w:right="1359"/>
        <w:spacing w:after="0" w:line="239" w:lineRule="auto"/>
        <w:rPr>
          <w:sz w:val="20"/>
          <w:szCs w:val="20"/>
          <w:color w:val="auto"/>
        </w:rPr>
      </w:pPr>
      <w:r>
        <w:rPr>
          <w:rFonts w:ascii="Arial" w:cs="Arial" w:eastAsia="Arial" w:hAnsi="Arial"/>
          <w:sz w:val="18"/>
          <w:szCs w:val="18"/>
          <w:color w:val="auto"/>
        </w:rPr>
        <w:t>The quantitative reconciliations of non-GAAP measures used herein to the most comparable GAAP measures are included in the accompanying schedules, with the exception of projected earnings per diluted share, projected SG&amp;A expenses, projected operating EBITDA, and projected tax rate. Non-GAAP measures should not be considered a substitute for financial measures presented in accordance with GAAP.</w:t>
      </w:r>
    </w:p>
    <w:p>
      <w:pPr>
        <w:spacing w:after="0" w:line="188"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443865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99"/>
          </w:cols>
          <w:pgMar w:left="360" w:top="949"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5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6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5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560" w:type="dxa"/>
            <w:vAlign w:val="bottom"/>
            <w:vMerge w:val="restart"/>
          </w:tcPr>
          <w:p>
            <w:pPr>
              <w:spacing w:after="0"/>
              <w:rPr>
                <w:sz w:val="20"/>
                <w:szCs w:val="20"/>
                <w:color w:val="auto"/>
              </w:rPr>
            </w:pPr>
            <w:r>
              <w:rPr>
                <w:rFonts w:ascii="Arial" w:cs="Arial" w:eastAsia="Arial" w:hAnsi="Arial"/>
                <w:sz w:val="18"/>
                <w:szCs w:val="18"/>
                <w:color w:val="auto"/>
              </w:rPr>
              <w:t>Operating revenues</w:t>
            </w:r>
          </w:p>
        </w:tc>
        <w:tc>
          <w:tcPr>
            <w:tcW w:w="13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60" w:type="dxa"/>
            <w:vAlign w:val="bottom"/>
          </w:tcPr>
          <w:p>
            <w:pPr>
              <w:spacing w:after="0" w:line="195" w:lineRule="exact"/>
              <w:rPr>
                <w:sz w:val="20"/>
                <w:szCs w:val="20"/>
                <w:color w:val="auto"/>
              </w:rPr>
            </w:pPr>
            <w:r>
              <w:rPr>
                <w:rFonts w:ascii="Arial" w:cs="Arial" w:eastAsia="Arial" w:hAnsi="Arial"/>
                <w:sz w:val="18"/>
                <w:szCs w:val="18"/>
                <w:color w:val="auto"/>
              </w:rPr>
              <w:t>Costs and expenses:</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7,182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Restructuring</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(Gain) loss from divestitures, asset impairments and unusual items, net</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65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1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60" w:type="dxa"/>
            <w:vAlign w:val="bottom"/>
          </w:tcPr>
          <w:p>
            <w:pPr>
              <w:spacing w:after="0" w:line="195" w:lineRule="exact"/>
              <w:rPr>
                <w:sz w:val="20"/>
                <w:szCs w:val="20"/>
                <w:color w:val="auto"/>
              </w:rPr>
            </w:pPr>
            <w:r>
              <w:rPr>
                <w:rFonts w:ascii="Arial" w:cs="Arial" w:eastAsia="Arial" w:hAnsi="Arial"/>
                <w:sz w:val="18"/>
                <w:szCs w:val="18"/>
                <w:color w:val="auto"/>
              </w:rPr>
              <w:t>Other income (expense):</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60" w:type="dxa"/>
            <w:vAlign w:val="bottom"/>
          </w:tcPr>
          <w:p>
            <w:pPr>
              <w:ind w:left="120"/>
              <w:spacing w:after="0"/>
              <w:rPr>
                <w:sz w:val="20"/>
                <w:szCs w:val="20"/>
                <w:color w:val="auto"/>
              </w:rPr>
            </w:pPr>
            <w:r>
              <w:rPr>
                <w:rFonts w:ascii="Arial" w:cs="Arial" w:eastAsia="Arial" w:hAnsi="Arial"/>
                <w:sz w:val="18"/>
                <w:szCs w:val="18"/>
                <w:color w:val="auto"/>
              </w:rPr>
              <w:t>Equity in net losses of unconsolidated entities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vMerge w:val="restart"/>
          </w:tcPr>
          <w:p>
            <w:pPr>
              <w:spacing w:after="0"/>
              <w:rPr>
                <w:sz w:val="20"/>
                <w:szCs w:val="20"/>
                <w:color w:val="auto"/>
              </w:rPr>
            </w:pPr>
            <w:r>
              <w:rPr>
                <w:rFonts w:ascii="Arial" w:cs="Arial" w:eastAsia="Arial" w:hAnsi="Arial"/>
                <w:sz w:val="18"/>
                <w:szCs w:val="18"/>
                <w:color w:val="auto"/>
              </w:rPr>
              <w:t>Income before income taxes</w:t>
            </w:r>
          </w:p>
        </w:tc>
        <w:tc>
          <w:tcPr>
            <w:tcW w:w="1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560" w:type="dxa"/>
            <w:vAlign w:val="bottom"/>
            <w:vMerge w:val="continue"/>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615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597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1,574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1,717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Income tax expense</w:t>
            </w:r>
          </w:p>
        </w:tc>
        <w:tc>
          <w:tcPr>
            <w:tcW w:w="1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656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495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1,224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1,392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120"/>
              <w:spacing w:after="0"/>
              <w:rPr>
                <w:sz w:val="20"/>
                <w:szCs w:val="20"/>
                <w:color w:val="auto"/>
              </w:rPr>
            </w:pPr>
            <w:r>
              <w:rPr>
                <w:rFonts w:ascii="Arial" w:cs="Arial" w:eastAsia="Arial" w:hAnsi="Arial"/>
                <w:sz w:val="18"/>
                <w:szCs w:val="18"/>
                <w:color w:val="auto"/>
              </w:rPr>
              <w:t>Less: Net income (loss) attributable to noncontrolling interests</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56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Weighted average basic common shares outstanding</w:t>
            </w: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427.9</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65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3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7380" w:type="dxa"/>
            <w:vAlign w:val="bottom"/>
            <w:vMerge w:val="restart"/>
          </w:tcPr>
          <w:p>
            <w:pPr>
              <w:ind w:left="4120"/>
              <w:spacing w:after="0"/>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5"/>
        </w:trPr>
        <w:tc>
          <w:tcPr>
            <w:tcW w:w="7380" w:type="dxa"/>
            <w:vAlign w:val="bottom"/>
            <w:vMerge w:val="continue"/>
          </w:tcPr>
          <w:p>
            <w:pPr>
              <w:spacing w:after="0"/>
              <w:rPr>
                <w:sz w:val="16"/>
                <w:szCs w:val="16"/>
                <w:color w:val="auto"/>
              </w:rPr>
            </w:pP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0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2,915</w:t>
            </w:r>
          </w:p>
        </w:tc>
        <w:tc>
          <w:tcPr>
            <w:tcW w:w="200" w:type="dxa"/>
            <w:vAlign w:val="bottom"/>
          </w:tcPr>
          <w:p>
            <w:pPr>
              <w:spacing w:after="0"/>
              <w:rPr>
                <w:sz w:val="18"/>
                <w:szCs w:val="18"/>
                <w:color w:val="auto"/>
              </w:rPr>
            </w:pPr>
          </w:p>
        </w:tc>
        <w:tc>
          <w:tcPr>
            <w:tcW w:w="2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Receivables, net</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95"/>
        </w:trPr>
        <w:tc>
          <w:tcPr>
            <w:tcW w:w="7380" w:type="dxa"/>
            <w:vAlign w:val="bottom"/>
          </w:tcPr>
          <w:p>
            <w:pPr>
              <w:ind w:left="220"/>
              <w:spacing w:after="0" w:line="195" w:lineRule="exact"/>
              <w:rPr>
                <w:sz w:val="20"/>
                <w:szCs w:val="20"/>
                <w:color w:val="auto"/>
              </w:rPr>
            </w:pPr>
            <w:r>
              <w:rPr>
                <w:rFonts w:ascii="Arial" w:cs="Arial" w:eastAsia="Arial" w:hAnsi="Arial"/>
                <w:sz w:val="18"/>
                <w:szCs w:val="18"/>
                <w:color w:val="auto"/>
              </w:rPr>
              <w:t>Total current assets</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5,560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12,805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11,942</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Goodwill</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7"/>
        </w:trPr>
        <w:tc>
          <w:tcPr>
            <w:tcW w:w="73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78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202"/>
        </w:trPr>
        <w:tc>
          <w:tcPr>
            <w:tcW w:w="7380" w:type="dxa"/>
            <w:vAlign w:val="bottom"/>
          </w:tcPr>
          <w:p>
            <w:pPr>
              <w:ind w:left="3320"/>
              <w:spacing w:after="0" w:line="201" w:lineRule="exact"/>
              <w:rPr>
                <w:sz w:val="20"/>
                <w:szCs w:val="20"/>
                <w:color w:val="auto"/>
              </w:rPr>
            </w:pPr>
            <w:r>
              <w:rPr>
                <w:rFonts w:ascii="Arial" w:cs="Arial" w:eastAsia="Arial" w:hAnsi="Arial"/>
                <w:sz w:val="18"/>
                <w:szCs w:val="18"/>
                <w:b w:val="1"/>
                <w:bCs w:val="1"/>
                <w:color w:val="auto"/>
              </w:rPr>
              <w:t>LIABILITIES AND EQUITY</w:t>
            </w:r>
          </w:p>
        </w:tc>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Accounts payable, accrued liabilities and deferred revenues</w:t>
            </w:r>
          </w:p>
        </w:tc>
        <w:tc>
          <w:tcPr>
            <w:tcW w:w="200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2,778</w:t>
            </w:r>
          </w:p>
        </w:tc>
        <w:tc>
          <w:tcPr>
            <w:tcW w:w="200" w:type="dxa"/>
            <w:vAlign w:val="bottom"/>
          </w:tcPr>
          <w:p>
            <w:pPr>
              <w:spacing w:after="0"/>
              <w:rPr>
                <w:sz w:val="18"/>
                <w:szCs w:val="18"/>
                <w:color w:val="auto"/>
              </w:rPr>
            </w:pPr>
          </w:p>
        </w:tc>
        <w:tc>
          <w:tcPr>
            <w:tcW w:w="2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2,676</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rPr>
                <w:sz w:val="20"/>
                <w:szCs w:val="20"/>
                <w:color w:val="auto"/>
              </w:rPr>
            </w:pPr>
            <w:r>
              <w:rPr>
                <w:rFonts w:ascii="Arial" w:cs="Arial" w:eastAsia="Arial" w:hAnsi="Arial"/>
                <w:sz w:val="18"/>
                <w:szCs w:val="18"/>
                <w:color w:val="auto"/>
              </w:rPr>
              <w:t>Current portion of long-term debt</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195"/>
        </w:trPr>
        <w:tc>
          <w:tcPr>
            <w:tcW w:w="7380" w:type="dxa"/>
            <w:vAlign w:val="bottom"/>
          </w:tcPr>
          <w:p>
            <w:pPr>
              <w:ind w:left="220"/>
              <w:spacing w:after="0" w:line="195" w:lineRule="exact"/>
              <w:rPr>
                <w:sz w:val="20"/>
                <w:szCs w:val="20"/>
                <w:color w:val="auto"/>
              </w:rPr>
            </w:pPr>
            <w:r>
              <w:rPr>
                <w:rFonts w:ascii="Arial" w:cs="Arial" w:eastAsia="Arial" w:hAnsi="Arial"/>
                <w:sz w:val="18"/>
                <w:szCs w:val="18"/>
                <w:color w:val="auto"/>
              </w:rPr>
              <w:t>Total current liabilities</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2,989</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13,147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0" w:type="dxa"/>
            <w:vAlign w:val="bottom"/>
          </w:tcPr>
          <w:p>
            <w:pPr>
              <w:spacing w:after="0"/>
              <w:rPr>
                <w:sz w:val="1"/>
                <w:szCs w:val="1"/>
                <w:color w:val="auto"/>
              </w:rPr>
            </w:pPr>
          </w:p>
        </w:tc>
      </w:tr>
      <w:tr>
        <w:trPr>
          <w:trHeight w:val="210"/>
        </w:trPr>
        <w:tc>
          <w:tcPr>
            <w:tcW w:w="73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w:t>
            </w:r>
          </w:p>
        </w:tc>
        <w:tc>
          <w:tcPr>
            <w:tcW w:w="0" w:type="dxa"/>
            <w:vAlign w:val="bottom"/>
          </w:tcPr>
          <w:p>
            <w:pPr>
              <w:spacing w:after="0"/>
              <w:rPr>
                <w:sz w:val="1"/>
                <w:szCs w:val="1"/>
                <w:color w:val="auto"/>
              </w:rPr>
            </w:pPr>
          </w:p>
        </w:tc>
      </w:tr>
      <w:tr>
        <w:trPr>
          <w:trHeight w:val="195"/>
        </w:trPr>
        <w:tc>
          <w:tcPr>
            <w:tcW w:w="7380" w:type="dxa"/>
            <w:vAlign w:val="bottom"/>
          </w:tcPr>
          <w:p>
            <w:pPr>
              <w:spacing w:after="0" w:line="195" w:lineRule="exact"/>
              <w:rPr>
                <w:sz w:val="20"/>
                <w:szCs w:val="20"/>
                <w:color w:val="auto"/>
              </w:rPr>
            </w:pPr>
            <w:r>
              <w:rPr>
                <w:rFonts w:ascii="Arial" w:cs="Arial" w:eastAsia="Arial" w:hAnsi="Arial"/>
                <w:sz w:val="18"/>
                <w:szCs w:val="18"/>
                <w:color w:val="auto"/>
              </w:rPr>
              <w:t>Equity:</w:t>
            </w:r>
          </w:p>
        </w:tc>
        <w:tc>
          <w:tcPr>
            <w:tcW w:w="1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0"/>
              <w:spacing w:after="0"/>
              <w:rPr>
                <w:sz w:val="20"/>
                <w:szCs w:val="20"/>
                <w:color w:val="auto"/>
              </w:rPr>
            </w:pPr>
            <w:r>
              <w:rPr>
                <w:rFonts w:ascii="Arial" w:cs="Arial" w:eastAsia="Arial" w:hAnsi="Arial"/>
                <w:sz w:val="18"/>
                <w:szCs w:val="18"/>
                <w:color w:val="auto"/>
              </w:rPr>
              <w:t>Waste Management, Inc. stockholders’ equity</w:t>
            </w: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6,275</w:t>
            </w:r>
          </w:p>
        </w:tc>
        <w:tc>
          <w:tcPr>
            <w:tcW w:w="0" w:type="dxa"/>
            <w:vAlign w:val="bottom"/>
          </w:tcPr>
          <w:p>
            <w:pPr>
              <w:spacing w:after="0"/>
              <w:rPr>
                <w:sz w:val="1"/>
                <w:szCs w:val="1"/>
                <w:color w:val="auto"/>
              </w:rPr>
            </w:pPr>
          </w:p>
        </w:tc>
      </w:tr>
      <w:tr>
        <w:trPr>
          <w:trHeight w:val="230"/>
        </w:trPr>
        <w:tc>
          <w:tcPr>
            <w:tcW w:w="7380" w:type="dxa"/>
            <w:vAlign w:val="bottom"/>
          </w:tcPr>
          <w:p>
            <w:pPr>
              <w:ind w:left="120"/>
              <w:spacing w:after="0"/>
              <w:rPr>
                <w:sz w:val="20"/>
                <w:szCs w:val="20"/>
                <w:color w:val="auto"/>
              </w:rPr>
            </w:pPr>
            <w:r>
              <w:rPr>
                <w:rFonts w:ascii="Arial" w:cs="Arial" w:eastAsia="Arial" w:hAnsi="Arial"/>
                <w:sz w:val="18"/>
                <w:szCs w:val="18"/>
                <w:color w:val="auto"/>
              </w:rPr>
              <w:t>Noncontrolling interests</w:t>
            </w:r>
          </w:p>
        </w:tc>
        <w:tc>
          <w:tcPr>
            <w:tcW w:w="1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380" w:type="dxa"/>
            <w:vAlign w:val="bottom"/>
          </w:tcPr>
          <w:p>
            <w:pPr>
              <w:ind w:left="220"/>
              <w:spacing w:after="0"/>
              <w:rPr>
                <w:sz w:val="20"/>
                <w:szCs w:val="20"/>
                <w:color w:val="auto"/>
              </w:rPr>
            </w:pPr>
            <w:r>
              <w:rPr>
                <w:rFonts w:ascii="Arial" w:cs="Arial" w:eastAsia="Arial" w:hAnsi="Arial"/>
                <w:sz w:val="18"/>
                <w:szCs w:val="18"/>
                <w:color w:val="auto"/>
              </w:rPr>
              <w:t>Total equity</w:t>
            </w:r>
          </w:p>
        </w:tc>
        <w:tc>
          <w:tcPr>
            <w:tcW w:w="1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17"/>
        </w:trPr>
        <w:tc>
          <w:tcPr>
            <w:tcW w:w="7380" w:type="dxa"/>
            <w:vAlign w:val="bottom"/>
          </w:tcPr>
          <w:p>
            <w:pPr>
              <w:ind w:left="220"/>
              <w:spacing w:after="0"/>
              <w:rPr>
                <w:sz w:val="20"/>
                <w:szCs w:val="20"/>
                <w:color w:val="auto"/>
              </w:rPr>
            </w:pPr>
            <w:r>
              <w:rPr>
                <w:rFonts w:ascii="Arial" w:cs="Arial" w:eastAsia="Arial" w:hAnsi="Arial"/>
                <w:sz w:val="18"/>
                <w:szCs w:val="18"/>
                <w:color w:val="auto"/>
              </w:rPr>
              <w:t>Total liabilities and equity</w:t>
            </w:r>
          </w:p>
        </w:tc>
        <w:tc>
          <w:tcPr>
            <w:tcW w:w="1780" w:type="dxa"/>
            <w:vAlign w:val="bottom"/>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0" w:type="dxa"/>
            <w:vAlign w:val="bottom"/>
          </w:tcPr>
          <w:p>
            <w:pPr>
              <w:spacing w:after="0"/>
              <w:rPr>
                <w:sz w:val="1"/>
                <w:szCs w:val="1"/>
                <w:color w:val="auto"/>
              </w:rPr>
            </w:pPr>
          </w:p>
        </w:tc>
      </w:tr>
      <w:tr>
        <w:trPr>
          <w:trHeight w:val="432"/>
        </w:trPr>
        <w:tc>
          <w:tcPr>
            <w:tcW w:w="73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90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left="372"/>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02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90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Loss on early extinguishment of debt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2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20" w:type="dxa"/>
            <w:vAlign w:val="bottom"/>
          </w:tcPr>
          <w:p>
            <w:pPr>
              <w:spacing w:after="0" w:line="195" w:lineRule="exact"/>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Acquisitions of businesses, net of cash acquired</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20" w:type="dxa"/>
            <w:vAlign w:val="bottom"/>
          </w:tcPr>
          <w:p>
            <w:pPr>
              <w:spacing w:after="0" w:line="195" w:lineRule="exact"/>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New borrowings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Debt repayments</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Premiums paid on early extinguishment of debt</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Net commercial paper borrowings (repayments)</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Common stock repurchase program</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Cash dividends</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Exercise of common stock options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tcPr>
          <w:p>
            <w:pPr>
              <w:ind w:left="1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2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2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 and cash equivalents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20" w:type="dxa"/>
            <w:vAlign w:val="bottom"/>
          </w:tcPr>
          <w:p>
            <w:pPr>
              <w:spacing w:after="0" w:line="195" w:lineRule="exact"/>
              <w:rPr>
                <w:sz w:val="20"/>
                <w:szCs w:val="20"/>
                <w:color w:val="auto"/>
              </w:rPr>
            </w:pPr>
            <w:r>
              <w:rPr>
                <w:rFonts w:ascii="Arial" w:cs="Arial" w:eastAsia="Arial" w:hAnsi="Arial"/>
                <w:sz w:val="18"/>
                <w:szCs w:val="18"/>
                <w:color w:val="auto"/>
              </w:rPr>
              <w:t>Increase (decrease) in cash, cash equivalents and restricted cash and cash equivalents</w:t>
            </w:r>
          </w:p>
        </w:tc>
        <w:tc>
          <w:tcPr>
            <w:tcW w:w="240" w:type="dxa"/>
            <w:vAlign w:val="bottom"/>
          </w:tcPr>
          <w:p>
            <w:pPr>
              <w:spacing w:after="0"/>
              <w:rPr>
                <w:sz w:val="16"/>
                <w:szCs w:val="16"/>
                <w:color w:val="auto"/>
              </w:rPr>
            </w:pP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2,837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line="195"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902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3,020</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Revenues by Line of Business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12"/>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580" w:type="dxa"/>
            <w:vAlign w:val="bottom"/>
            <w:gridSpan w:val="10"/>
          </w:tcPr>
          <w:p>
            <w:pPr>
              <w:jc w:val="right"/>
              <w:ind w:right="139"/>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10"/>
          </w:tcPr>
          <w:p>
            <w:pPr>
              <w:jc w:val="right"/>
              <w:ind w:right="339"/>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10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bottom w:val="single" w:sz="8" w:color="auto"/>
            </w:tcBorders>
            <w:gridSpan w:val="4"/>
          </w:tcPr>
          <w:p>
            <w:pPr>
              <w:jc w:val="right"/>
              <w:ind w:right="189"/>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560" w:type="dxa"/>
            <w:vAlign w:val="bottom"/>
            <w:tcBorders>
              <w:bottom w:val="single" w:sz="8" w:color="auto"/>
            </w:tcBorders>
            <w:gridSpan w:val="4"/>
          </w:tcPr>
          <w:p>
            <w:pPr>
              <w:ind w:left="260"/>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94"/>
              </w:rPr>
              <w:t>1,069</w:t>
            </w:r>
          </w:p>
        </w:tc>
        <w:tc>
          <w:tcPr>
            <w:tcW w:w="12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1,007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3,147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2,948</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Residential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661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639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1,956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Industrial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766</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723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2,190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2,068</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117</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361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192"/>
        </w:trPr>
        <w:tc>
          <w:tcPr>
            <w:tcW w:w="3100" w:type="dxa"/>
            <w:vAlign w:val="bottom"/>
          </w:tcPr>
          <w:p>
            <w:pPr>
              <w:ind w:left="120"/>
              <w:spacing w:after="0"/>
              <w:rPr>
                <w:sz w:val="20"/>
                <w:szCs w:val="20"/>
                <w:color w:val="auto"/>
              </w:rPr>
            </w:pPr>
            <w:r>
              <w:rPr>
                <w:rFonts w:ascii="Arial" w:cs="Arial" w:eastAsia="Arial" w:hAnsi="Arial"/>
                <w:sz w:val="16"/>
                <w:szCs w:val="16"/>
                <w:color w:val="auto"/>
              </w:rPr>
              <w:t>Total collection</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w w:val="94"/>
              </w:rPr>
              <w:t>2,626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w w:val="89"/>
              </w:rPr>
              <w:t>2,486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7,654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7,234</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Landfill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993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926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2,880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2,646</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Transfer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445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1,357</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Recycling</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337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800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469</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6"/>
                <w:szCs w:val="16"/>
                <w:color w:val="auto"/>
              </w:rPr>
              <w:t>430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rPr>
                <w:sz w:val="20"/>
                <w:szCs w:val="20"/>
                <w:color w:val="auto"/>
              </w:rPr>
            </w:pPr>
            <w:r>
              <w:rPr>
                <w:rFonts w:ascii="Arial" w:cs="Arial" w:eastAsia="Arial" w:hAnsi="Arial"/>
                <w:sz w:val="16"/>
                <w:szCs w:val="16"/>
                <w:color w:val="auto"/>
              </w:rPr>
              <w:t>1,345</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Intercompany (a)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6"/>
                <w:szCs w:val="16"/>
                <w:color w:val="auto"/>
              </w:rPr>
              <w:t>(837)</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gridSpan w:val="5"/>
          </w:tcPr>
          <w:p>
            <w:pPr>
              <w:jc w:val="right"/>
              <w:ind w:right="100"/>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17"/>
                <w:szCs w:val="17"/>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6"/>
                <w:szCs w:val="16"/>
                <w:color w:val="auto"/>
              </w:rPr>
              <w:t>(2,427)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(2,315)</w:t>
            </w: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94"/>
              </w:rPr>
              <w:t>3,967</w:t>
            </w: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w w:val="89"/>
              </w:rPr>
              <w:t>3,822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6"/>
                <w:szCs w:val="16"/>
                <w:color w:val="auto"/>
              </w:rPr>
              <w:t>11,609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rPr>
              <w:t>11,072</w:t>
            </w:r>
          </w:p>
        </w:tc>
        <w:tc>
          <w:tcPr>
            <w:tcW w:w="0" w:type="dxa"/>
            <w:vAlign w:val="bottom"/>
          </w:tcPr>
          <w:p>
            <w:pPr>
              <w:spacing w:after="0"/>
              <w:rPr>
                <w:sz w:val="1"/>
                <w:szCs w:val="1"/>
                <w:color w:val="auto"/>
              </w:rPr>
            </w:pPr>
          </w:p>
        </w:tc>
      </w:tr>
      <w:tr>
        <w:trPr>
          <w:trHeight w:val="399"/>
        </w:trPr>
        <w:tc>
          <w:tcPr>
            <w:tcW w:w="3100" w:type="dxa"/>
            <w:vAlign w:val="bottom"/>
          </w:tcPr>
          <w:p>
            <w:pPr>
              <w:spacing w:after="0"/>
              <w:rPr>
                <w:sz w:val="20"/>
                <w:szCs w:val="20"/>
                <w:color w:val="auto"/>
              </w:rPr>
            </w:pPr>
            <w:r>
              <w:rPr>
                <w:rFonts w:ascii="Arial" w:cs="Arial" w:eastAsia="Arial" w:hAnsi="Arial"/>
                <w:sz w:val="16"/>
                <w:szCs w:val="16"/>
                <w:b w:val="1"/>
                <w:bCs w:val="1"/>
                <w:color w:val="auto"/>
              </w:rPr>
              <w:t>Internal Revenue Growth</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3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20" w:type="dxa"/>
            <w:vAlign w:val="bottom"/>
            <w:gridSpan w:val="15"/>
          </w:tcPr>
          <w:p>
            <w:pPr>
              <w:ind w:left="40"/>
              <w:spacing w:after="0"/>
              <w:rPr>
                <w:sz w:val="20"/>
                <w:szCs w:val="20"/>
                <w:color w:val="auto"/>
              </w:rPr>
            </w:pPr>
            <w:r>
              <w:rPr>
                <w:rFonts w:ascii="Arial" w:cs="Arial" w:eastAsia="Arial" w:hAnsi="Arial"/>
                <w:sz w:val="14"/>
                <w:szCs w:val="14"/>
                <w:b w:val="1"/>
                <w:bCs w:val="1"/>
                <w:color w:val="auto"/>
              </w:rPr>
              <w:t>Period-to-Period Change for the Three Months  Ended</w:t>
            </w:r>
          </w:p>
        </w:tc>
        <w:tc>
          <w:tcPr>
            <w:tcW w:w="120" w:type="dxa"/>
            <w:vAlign w:val="bottom"/>
          </w:tcPr>
          <w:p>
            <w:pPr>
              <w:spacing w:after="0"/>
              <w:rPr>
                <w:sz w:val="24"/>
                <w:szCs w:val="24"/>
                <w:color w:val="auto"/>
              </w:rPr>
            </w:pPr>
          </w:p>
        </w:tc>
        <w:tc>
          <w:tcPr>
            <w:tcW w:w="2980" w:type="dxa"/>
            <w:vAlign w:val="bottom"/>
            <w:gridSpan w:val="21"/>
          </w:tcPr>
          <w:p>
            <w:pPr>
              <w:jc w:val="center"/>
              <w:spacing w:after="0"/>
              <w:rPr>
                <w:sz w:val="20"/>
                <w:szCs w:val="20"/>
                <w:color w:val="auto"/>
              </w:rPr>
            </w:pPr>
            <w:r>
              <w:rPr>
                <w:rFonts w:ascii="Arial" w:cs="Arial" w:eastAsia="Arial" w:hAnsi="Arial"/>
                <w:sz w:val="14"/>
                <w:szCs w:val="14"/>
                <w:b w:val="1"/>
                <w:bCs w:val="1"/>
                <w:color w:val="auto"/>
                <w:w w:val="93"/>
              </w:rPr>
              <w:t>Period-to-Period Change for the Nine Months</w:t>
            </w:r>
          </w:p>
        </w:tc>
        <w:tc>
          <w:tcPr>
            <w:tcW w:w="66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w w:val="98"/>
              </w:rPr>
              <w:t>Ended</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w w:val="95"/>
              </w:rPr>
              <w:t>September 30, 2019 vs. 2018</w:t>
            </w: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3"/>
          </w:tcPr>
          <w:p>
            <w:pPr>
              <w:jc w:val="right"/>
              <w:spacing w:after="0"/>
              <w:rPr>
                <w:sz w:val="20"/>
                <w:szCs w:val="20"/>
                <w:color w:val="auto"/>
              </w:rPr>
            </w:pPr>
            <w:r>
              <w:rPr>
                <w:rFonts w:ascii="Arial" w:cs="Arial" w:eastAsia="Arial" w:hAnsi="Arial"/>
                <w:sz w:val="14"/>
                <w:szCs w:val="14"/>
                <w:b w:val="1"/>
                <w:bCs w:val="1"/>
                <w:color w:val="auto"/>
              </w:rPr>
              <w:t>September 30, 2019 vs. 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4"/>
          </w:tcPr>
          <w:p>
            <w:pPr>
              <w:jc w:val="center"/>
              <w:ind w:right="144"/>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gridSpan w:val="4"/>
          </w:tcPr>
          <w:p>
            <w:pPr>
              <w:jc w:val="center"/>
              <w:ind w:left="89"/>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6"/>
          </w:tcPr>
          <w:p>
            <w:pPr>
              <w:jc w:val="center"/>
              <w:ind w:right="39"/>
              <w:spacing w:after="0" w:line="119" w:lineRule="exact"/>
              <w:rPr>
                <w:sz w:val="20"/>
                <w:szCs w:val="20"/>
                <w:color w:val="auto"/>
              </w:rPr>
            </w:pPr>
            <w:r>
              <w:rPr>
                <w:rFonts w:ascii="Arial" w:cs="Arial" w:eastAsia="Arial" w:hAnsi="Arial"/>
                <w:sz w:val="13"/>
                <w:szCs w:val="13"/>
                <w:b w:val="1"/>
                <w:bCs w:val="1"/>
                <w:color w:val="auto"/>
              </w:rPr>
              <w:t>As a %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260" w:type="dxa"/>
            <w:vAlign w:val="bottom"/>
            <w:gridSpan w:val="4"/>
          </w:tcPr>
          <w:p>
            <w:pPr>
              <w:jc w:val="center"/>
              <w:ind w:right="144"/>
              <w:spacing w:after="0" w:line="149" w:lineRule="exact"/>
              <w:rPr>
                <w:sz w:val="20"/>
                <w:szCs w:val="20"/>
                <w:color w:val="auto"/>
              </w:rPr>
            </w:pPr>
            <w:r>
              <w:rPr>
                <w:rFonts w:ascii="Arial" w:cs="Arial" w:eastAsia="Arial" w:hAnsi="Arial"/>
                <w:sz w:val="14"/>
                <w:szCs w:val="14"/>
                <w:b w:val="1"/>
                <w:bCs w:val="1"/>
                <w:color w:val="auto"/>
                <w:w w:val="94"/>
              </w:rPr>
              <w:t>Related</w:t>
            </w:r>
          </w:p>
        </w:tc>
        <w:tc>
          <w:tcPr>
            <w:tcW w:w="100" w:type="dxa"/>
            <w:vAlign w:val="bottom"/>
          </w:tcPr>
          <w:p>
            <w:pPr>
              <w:spacing w:after="0"/>
              <w:rPr>
                <w:sz w:val="12"/>
                <w:szCs w:val="12"/>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4"/>
          </w:tcPr>
          <w:p>
            <w:pPr>
              <w:jc w:val="center"/>
              <w:ind w:right="279"/>
              <w:spacing w:after="0" w:line="149" w:lineRule="exact"/>
              <w:rPr>
                <w:sz w:val="20"/>
                <w:szCs w:val="20"/>
                <w:color w:val="auto"/>
              </w:rPr>
            </w:pPr>
            <w:r>
              <w:rPr>
                <w:rFonts w:ascii="Arial" w:cs="Arial" w:eastAsia="Arial" w:hAnsi="Arial"/>
                <w:sz w:val="14"/>
                <w:szCs w:val="14"/>
                <w:b w:val="1"/>
                <w:bCs w:val="1"/>
                <w:color w:val="auto"/>
                <w:w w:val="89"/>
              </w:rPr>
              <w:t>Total</w:t>
            </w:r>
          </w:p>
        </w:tc>
        <w:tc>
          <w:tcPr>
            <w:tcW w:w="6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880" w:type="dxa"/>
            <w:vAlign w:val="bottom"/>
            <w:gridSpan w:val="4"/>
          </w:tcPr>
          <w:p>
            <w:pPr>
              <w:jc w:val="center"/>
              <w:ind w:left="89"/>
              <w:spacing w:after="0" w:line="149" w:lineRule="exact"/>
              <w:rPr>
                <w:sz w:val="20"/>
                <w:szCs w:val="20"/>
                <w:color w:val="auto"/>
              </w:rPr>
            </w:pPr>
            <w:r>
              <w:rPr>
                <w:rFonts w:ascii="Arial" w:cs="Arial" w:eastAsia="Arial" w:hAnsi="Arial"/>
                <w:sz w:val="14"/>
                <w:szCs w:val="14"/>
                <w:b w:val="1"/>
                <w:bCs w:val="1"/>
                <w:color w:val="auto"/>
                <w:w w:val="94"/>
              </w:rPr>
              <w:t>Related</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5"/>
          </w:tcPr>
          <w:p>
            <w:pPr>
              <w:jc w:val="center"/>
              <w:ind w:right="379"/>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60" w:type="dxa"/>
            <w:vAlign w:val="bottom"/>
            <w:gridSpan w:val="4"/>
          </w:tcPr>
          <w:p>
            <w:pPr>
              <w:jc w:val="center"/>
              <w:ind w:right="164"/>
              <w:spacing w:after="0"/>
              <w:rPr>
                <w:sz w:val="20"/>
                <w:szCs w:val="20"/>
                <w:color w:val="auto"/>
              </w:rPr>
            </w:pPr>
            <w:r>
              <w:rPr>
                <w:rFonts w:ascii="Arial" w:cs="Arial" w:eastAsia="Arial" w:hAnsi="Arial"/>
                <w:sz w:val="14"/>
                <w:szCs w:val="14"/>
                <w:b w:val="1"/>
                <w:bCs w:val="1"/>
                <w:color w:val="auto"/>
                <w:w w:val="87"/>
              </w:rPr>
              <w:t>Business(b)</w:t>
            </w:r>
          </w:p>
        </w:tc>
        <w:tc>
          <w:tcPr>
            <w:tcW w:w="100" w:type="dxa"/>
            <w:vAlign w:val="bottom"/>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1140" w:type="dxa"/>
            <w:vAlign w:val="bottom"/>
            <w:gridSpan w:val="4"/>
          </w:tcPr>
          <w:p>
            <w:pPr>
              <w:jc w:val="center"/>
              <w:ind w:right="299"/>
              <w:spacing w:after="0"/>
              <w:rPr>
                <w:sz w:val="20"/>
                <w:szCs w:val="20"/>
                <w:color w:val="auto"/>
              </w:rPr>
            </w:pPr>
            <w:r>
              <w:rPr>
                <w:rFonts w:ascii="Arial" w:cs="Arial" w:eastAsia="Arial" w:hAnsi="Arial"/>
                <w:sz w:val="14"/>
                <w:szCs w:val="14"/>
                <w:b w:val="1"/>
                <w:bCs w:val="1"/>
                <w:color w:val="auto"/>
                <w:w w:val="93"/>
              </w:rPr>
              <w:t>Company(c)</w:t>
            </w:r>
          </w:p>
        </w:tc>
        <w:tc>
          <w:tcPr>
            <w:tcW w:w="6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jc w:val="center"/>
              <w:ind w:left="89"/>
              <w:spacing w:after="0"/>
              <w:rPr>
                <w:sz w:val="20"/>
                <w:szCs w:val="20"/>
                <w:color w:val="auto"/>
              </w:rPr>
            </w:pPr>
            <w:r>
              <w:rPr>
                <w:rFonts w:ascii="Arial" w:cs="Arial" w:eastAsia="Arial" w:hAnsi="Arial"/>
                <w:sz w:val="14"/>
                <w:szCs w:val="14"/>
                <w:b w:val="1"/>
                <w:bCs w:val="1"/>
                <w:color w:val="auto"/>
                <w:w w:val="89"/>
              </w:rPr>
              <w:t>Business(b)</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6"/>
            <w:vMerge w:val="continue"/>
          </w:tcPr>
          <w:p>
            <w:pPr>
              <w:spacing w:after="0"/>
              <w:rPr>
                <w:sz w:val="14"/>
                <w:szCs w:val="14"/>
                <w:color w:val="auto"/>
              </w:rPr>
            </w:pPr>
          </w:p>
        </w:tc>
        <w:tc>
          <w:tcPr>
            <w:tcW w:w="1020" w:type="dxa"/>
            <w:vAlign w:val="bottom"/>
            <w:gridSpan w:val="7"/>
          </w:tcPr>
          <w:p>
            <w:pPr>
              <w:jc w:val="center"/>
              <w:ind w:right="179"/>
              <w:spacing w:after="0"/>
              <w:rPr>
                <w:sz w:val="20"/>
                <w:szCs w:val="20"/>
                <w:color w:val="auto"/>
              </w:rPr>
            </w:pPr>
            <w:r>
              <w:rPr>
                <w:rFonts w:ascii="Arial" w:cs="Arial" w:eastAsia="Arial" w:hAnsi="Arial"/>
                <w:sz w:val="14"/>
                <w:szCs w:val="14"/>
                <w:b w:val="1"/>
                <w:bCs w:val="1"/>
                <w:color w:val="auto"/>
                <w:w w:val="93"/>
              </w:rPr>
              <w:t>Company(c)</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20"/>
                <w:szCs w:val="20"/>
                <w:color w:val="auto"/>
              </w:rPr>
            </w:pPr>
            <w:r>
              <w:rPr>
                <w:rFonts w:ascii="Arial" w:cs="Arial" w:eastAsia="Arial" w:hAnsi="Arial"/>
                <w:sz w:val="16"/>
                <w:szCs w:val="16"/>
                <w:color w:val="auto"/>
              </w:rPr>
              <w:t>Collection and disposal</w:t>
            </w:r>
          </w:p>
        </w:tc>
        <w:tc>
          <w:tcPr>
            <w:tcW w:w="6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6"/>
                <w:szCs w:val="16"/>
                <w:color w:val="auto"/>
              </w:rPr>
            </w:pPr>
          </w:p>
        </w:tc>
        <w:tc>
          <w:tcPr>
            <w:tcW w:w="10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2.6</w:t>
            </w:r>
          </w:p>
        </w:tc>
        <w:tc>
          <w:tcPr>
            <w:tcW w:w="220" w:type="dxa"/>
            <w:vAlign w:val="bottom"/>
          </w:tcPr>
          <w:p>
            <w:pPr>
              <w:jc w:val="right"/>
              <w:ind w:right="24"/>
              <w:spacing w:after="0"/>
              <w:rPr>
                <w:sz w:val="20"/>
                <w:szCs w:val="20"/>
                <w:color w:val="auto"/>
              </w:rPr>
            </w:pPr>
            <w:r>
              <w:rPr>
                <w:rFonts w:ascii="Arial" w:cs="Arial" w:eastAsia="Arial" w:hAnsi="Arial"/>
                <w:sz w:val="15"/>
                <w:szCs w:val="15"/>
                <w:color w:val="auto"/>
                <w:w w:val="74"/>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  256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2.7</w:t>
            </w:r>
          </w:p>
        </w:tc>
        <w:tc>
          <w:tcPr>
            <w:tcW w:w="240" w:type="dxa"/>
            <w:vAlign w:val="bottom"/>
            <w:gridSpan w:val="2"/>
          </w:tcPr>
          <w:p>
            <w:pPr>
              <w:jc w:val="right"/>
              <w:ind w:right="120"/>
              <w:spacing w:after="0"/>
              <w:rPr>
                <w:sz w:val="20"/>
                <w:szCs w:val="20"/>
                <w:color w:val="auto"/>
              </w:rPr>
            </w:pPr>
            <w:r>
              <w:rPr>
                <w:rFonts w:ascii="Arial" w:cs="Arial" w:eastAsia="Arial" w:hAnsi="Arial"/>
                <w:sz w:val="15"/>
                <w:szCs w:val="15"/>
                <w:color w:val="auto"/>
                <w:w w:val="74"/>
              </w:rPr>
              <w:t>%</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Recycling commodities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(73)</w:t>
            </w:r>
          </w:p>
        </w:tc>
        <w:tc>
          <w:tcPr>
            <w:tcW w:w="1260" w:type="dxa"/>
            <w:vAlign w:val="bottom"/>
            <w:gridSpan w:val="4"/>
          </w:tcPr>
          <w:p>
            <w:pPr>
              <w:jc w:val="right"/>
              <w:ind w:right="144"/>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6"/>
                <w:szCs w:val="16"/>
                <w:color w:val="auto"/>
              </w:rPr>
              <w:t>(139)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(15.3)</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Fuel surcharges and mandated fees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(10)</w:t>
            </w:r>
          </w:p>
        </w:tc>
        <w:tc>
          <w:tcPr>
            <w:tcW w:w="1260" w:type="dxa"/>
            <w:vAlign w:val="bottom"/>
            <w:gridSpan w:val="4"/>
          </w:tcPr>
          <w:p>
            <w:pPr>
              <w:jc w:val="right"/>
              <w:ind w:right="144"/>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4"/>
          </w:tcPr>
          <w:p>
            <w:pPr>
              <w:jc w:val="right"/>
              <w:ind w:right="40"/>
              <w:spacing w:after="0"/>
              <w:rPr>
                <w:sz w:val="20"/>
                <w:szCs w:val="20"/>
                <w:color w:val="auto"/>
              </w:rPr>
            </w:pPr>
            <w:r>
              <w:rPr>
                <w:rFonts w:ascii="Arial" w:cs="Arial" w:eastAsia="Arial" w:hAnsi="Arial"/>
                <w:sz w:val="16"/>
                <w:szCs w:val="16"/>
                <w:color w:val="auto"/>
              </w:rPr>
              <w:t>(3)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(0.7)</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20"/>
              <w:spacing w:after="0"/>
              <w:rPr>
                <w:sz w:val="20"/>
                <w:szCs w:val="20"/>
                <w:color w:val="auto"/>
              </w:rPr>
            </w:pPr>
            <w:r>
              <w:rPr>
                <w:rFonts w:ascii="Arial" w:cs="Arial" w:eastAsia="Arial" w:hAnsi="Arial"/>
                <w:sz w:val="16"/>
                <w:szCs w:val="16"/>
                <w:color w:val="auto"/>
              </w:rPr>
              <w:t>Total average yield (d)</w:t>
            </w:r>
          </w:p>
        </w:tc>
        <w:tc>
          <w:tcPr>
            <w:tcW w:w="6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4"/>
          </w:tcPr>
          <w:p>
            <w:pPr>
              <w:jc w:val="right"/>
              <w:ind w:right="19"/>
              <w:spacing w:after="0"/>
              <w:rPr>
                <w:sz w:val="20"/>
                <w:szCs w:val="20"/>
                <w:color w:val="auto"/>
              </w:rPr>
            </w:pPr>
            <w:r>
              <w:rPr>
                <w:rFonts w:ascii="Arial" w:cs="Arial" w:eastAsia="Arial" w:hAnsi="Arial"/>
                <w:sz w:val="16"/>
                <w:szCs w:val="16"/>
                <w:color w:val="auto"/>
              </w:rPr>
              <w:t>0.1 %</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gridSpan w:val="5"/>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6"/>
        </w:trPr>
        <w:tc>
          <w:tcPr>
            <w:tcW w:w="3100" w:type="dxa"/>
            <w:vAlign w:val="bottom"/>
          </w:tcPr>
          <w:p>
            <w:pPr>
              <w:ind w:left="120"/>
              <w:spacing w:after="0"/>
              <w:rPr>
                <w:sz w:val="20"/>
                <w:szCs w:val="20"/>
                <w:color w:val="auto"/>
              </w:rPr>
            </w:pPr>
            <w:r>
              <w:rPr>
                <w:rFonts w:ascii="Arial" w:cs="Arial" w:eastAsia="Arial" w:hAnsi="Arial"/>
                <w:sz w:val="16"/>
                <w:szCs w:val="16"/>
                <w:color w:val="auto"/>
              </w:rPr>
              <w:t>Volume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361</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3100" w:type="dxa"/>
            <w:vAlign w:val="bottom"/>
          </w:tcPr>
          <w:p>
            <w:pPr>
              <w:ind w:left="120"/>
              <w:spacing w:after="0"/>
              <w:rPr>
                <w:sz w:val="20"/>
                <w:szCs w:val="20"/>
                <w:color w:val="auto"/>
              </w:rPr>
            </w:pPr>
            <w:r>
              <w:rPr>
                <w:rFonts w:ascii="Arial" w:cs="Arial" w:eastAsia="Arial" w:hAnsi="Arial"/>
                <w:sz w:val="16"/>
                <w:szCs w:val="16"/>
                <w:color w:val="auto"/>
              </w:rPr>
              <w:t>Internal revenue growth</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102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475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20"/>
              <w:spacing w:after="0"/>
              <w:rPr>
                <w:sz w:val="20"/>
                <w:szCs w:val="20"/>
                <w:color w:val="auto"/>
              </w:rPr>
            </w:pPr>
            <w:r>
              <w:rPr>
                <w:rFonts w:ascii="Arial" w:cs="Arial" w:eastAsia="Arial" w:hAnsi="Arial"/>
                <w:sz w:val="16"/>
                <w:szCs w:val="16"/>
                <w:color w:val="auto"/>
              </w:rPr>
              <w:t>Acquisitions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173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ind w:left="120"/>
              <w:spacing w:after="0"/>
              <w:rPr>
                <w:sz w:val="20"/>
                <w:szCs w:val="20"/>
                <w:color w:val="auto"/>
              </w:rPr>
            </w:pPr>
            <w:r>
              <w:rPr>
                <w:rFonts w:ascii="Arial" w:cs="Arial" w:eastAsia="Arial" w:hAnsi="Arial"/>
                <w:sz w:val="16"/>
                <w:szCs w:val="16"/>
                <w:color w:val="auto"/>
              </w:rPr>
              <w:t>Divestitures</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(12)</w:t>
            </w:r>
          </w:p>
        </w:tc>
        <w:tc>
          <w:tcPr>
            <w:tcW w:w="120" w:type="dxa"/>
            <w:vAlign w:val="bottom"/>
          </w:tcPr>
          <w:p>
            <w:pPr>
              <w:spacing w:after="0"/>
              <w:rPr>
                <w:sz w:val="17"/>
                <w:szCs w:val="17"/>
                <w:color w:val="auto"/>
              </w:rPr>
            </w:pPr>
          </w:p>
        </w:tc>
        <w:tc>
          <w:tcPr>
            <w:tcW w:w="1140" w:type="dxa"/>
            <w:vAlign w:val="bottom"/>
            <w:gridSpan w:val="4"/>
          </w:tcPr>
          <w:p>
            <w:pPr>
              <w:jc w:val="right"/>
              <w:ind w:right="15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5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06"/>
        </w:trPr>
        <w:tc>
          <w:tcPr>
            <w:tcW w:w="3100" w:type="dxa"/>
            <w:vAlign w:val="bottom"/>
          </w:tcPr>
          <w:p>
            <w:pPr>
              <w:ind w:left="120"/>
              <w:spacing w:after="0"/>
              <w:rPr>
                <w:sz w:val="20"/>
                <w:szCs w:val="20"/>
                <w:color w:val="auto"/>
              </w:rPr>
            </w:pPr>
            <w:r>
              <w:rPr>
                <w:rFonts w:ascii="Arial" w:cs="Arial" w:eastAsia="Arial" w:hAnsi="Arial"/>
                <w:sz w:val="16"/>
                <w:szCs w:val="16"/>
                <w:color w:val="auto"/>
              </w:rPr>
              <w:t>Foreign currency translation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140" w:type="dxa"/>
            <w:vAlign w:val="bottom"/>
            <w:gridSpan w:val="4"/>
          </w:tcPr>
          <w:p>
            <w:pPr>
              <w:jc w:val="right"/>
              <w:ind w:right="15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ind w:right="5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9"/>
        </w:trPr>
        <w:tc>
          <w:tcPr>
            <w:tcW w:w="3100" w:type="dxa"/>
            <w:vAlign w:val="bottom"/>
          </w:tcPr>
          <w:p>
            <w:pPr>
              <w:ind w:left="220"/>
              <w:spacing w:after="0"/>
              <w:rPr>
                <w:sz w:val="20"/>
                <w:szCs w:val="20"/>
                <w:color w:val="auto"/>
              </w:rPr>
            </w:pPr>
            <w:r>
              <w:rPr>
                <w:rFonts w:ascii="Arial" w:cs="Arial" w:eastAsia="Arial" w:hAnsi="Arial"/>
                <w:sz w:val="16"/>
                <w:szCs w:val="16"/>
                <w:color w:val="auto"/>
              </w:rPr>
              <w:t>Total</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145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3.8</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w w:val="84"/>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537</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477"/>
        </w:trPr>
        <w:tc>
          <w:tcPr>
            <w:tcW w:w="3100" w:type="dxa"/>
            <w:vAlign w:val="bottom"/>
          </w:tcPr>
          <w:p>
            <w:pPr>
              <w:spacing w:after="0"/>
              <w:rPr>
                <w:sz w:val="24"/>
                <w:szCs w:val="24"/>
                <w:color w:val="auto"/>
              </w:rPr>
            </w:pPr>
          </w:p>
        </w:tc>
        <w:tc>
          <w:tcPr>
            <w:tcW w:w="3420" w:type="dxa"/>
            <w:vAlign w:val="bottom"/>
            <w:gridSpan w:val="13"/>
          </w:tcPr>
          <w:p>
            <w:pPr>
              <w:jc w:val="center"/>
              <w:ind w:left="408"/>
              <w:spacing w:after="0"/>
              <w:rPr>
                <w:sz w:val="20"/>
                <w:szCs w:val="20"/>
                <w:color w:val="auto"/>
              </w:rPr>
            </w:pPr>
            <w:r>
              <w:rPr>
                <w:rFonts w:ascii="Arial" w:cs="Arial" w:eastAsia="Arial" w:hAnsi="Arial"/>
                <w:sz w:val="14"/>
                <w:szCs w:val="14"/>
                <w:b w:val="1"/>
                <w:bCs w:val="1"/>
                <w:color w:val="auto"/>
                <w:w w:val="94"/>
              </w:rPr>
              <w:t>Period-to-Period Change for the Three Months</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1"/>
          </w:tcPr>
          <w:p>
            <w:pPr>
              <w:jc w:val="center"/>
              <w:spacing w:after="0"/>
              <w:rPr>
                <w:sz w:val="20"/>
                <w:szCs w:val="20"/>
                <w:color w:val="auto"/>
              </w:rPr>
            </w:pPr>
            <w:r>
              <w:rPr>
                <w:rFonts w:ascii="Arial" w:cs="Arial" w:eastAsia="Arial" w:hAnsi="Arial"/>
                <w:sz w:val="14"/>
                <w:szCs w:val="14"/>
                <w:b w:val="1"/>
                <w:bCs w:val="1"/>
                <w:color w:val="auto"/>
                <w:w w:val="93"/>
              </w:rPr>
              <w:t>Period-to-Period Change for the Nine Months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1"/>
          </w:tcPr>
          <w:p>
            <w:pPr>
              <w:jc w:val="center"/>
              <w:ind w:right="240"/>
              <w:spacing w:after="0"/>
              <w:rPr>
                <w:sz w:val="20"/>
                <w:szCs w:val="20"/>
                <w:color w:val="auto"/>
              </w:rPr>
            </w:pPr>
            <w:r>
              <w:rPr>
                <w:rFonts w:ascii="Arial" w:cs="Arial" w:eastAsia="Arial" w:hAnsi="Arial"/>
                <w:sz w:val="14"/>
                <w:szCs w:val="14"/>
                <w:b w:val="1"/>
                <w:bCs w:val="1"/>
                <w:color w:val="auto"/>
                <w:w w:val="91"/>
              </w:rPr>
              <w:t>Ended September 30, 2019 vs. 2018</w:t>
            </w: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16"/>
          </w:tcPr>
          <w:p>
            <w:pPr>
              <w:jc w:val="center"/>
              <w:ind w:left="187"/>
              <w:spacing w:after="0"/>
              <w:rPr>
                <w:sz w:val="20"/>
                <w:szCs w:val="20"/>
                <w:color w:val="auto"/>
              </w:rPr>
            </w:pPr>
            <w:r>
              <w:rPr>
                <w:rFonts w:ascii="Arial" w:cs="Arial" w:eastAsia="Arial" w:hAnsi="Arial"/>
                <w:sz w:val="14"/>
                <w:szCs w:val="14"/>
                <w:b w:val="1"/>
                <w:bCs w:val="1"/>
                <w:color w:val="auto"/>
                <w:w w:val="91"/>
              </w:rPr>
              <w:t>Ended September 30, 2019 vs. 2018</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8"/>
          </w:tcPr>
          <w:p>
            <w:pPr>
              <w:jc w:val="center"/>
              <w:ind w:left="204"/>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13"/>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As a % of Related Business(b)</w:t>
            </w:r>
          </w:p>
        </w:tc>
        <w:tc>
          <w:tcPr>
            <w:tcW w:w="1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00" w:type="dxa"/>
            <w:vAlign w:val="bottom"/>
            <w:vMerge w:val="restart"/>
          </w:tcPr>
          <w:p>
            <w:pPr>
              <w:spacing w:after="0"/>
              <w:rPr>
                <w:sz w:val="20"/>
                <w:szCs w:val="20"/>
                <w:color w:val="auto"/>
              </w:rPr>
            </w:pPr>
            <w:r>
              <w:rPr>
                <w:rFonts w:ascii="Arial" w:cs="Arial" w:eastAsia="Arial" w:hAnsi="Arial"/>
                <w:sz w:val="16"/>
                <w:szCs w:val="16"/>
                <w:color w:val="auto"/>
              </w:rPr>
              <w:t>Commercial</w:t>
            </w: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Yield</w:t>
            </w:r>
          </w:p>
        </w:tc>
        <w:tc>
          <w:tcPr>
            <w:tcW w:w="560" w:type="dxa"/>
            <w:vAlign w:val="bottom"/>
            <w:tcBorders>
              <w:bottom w:val="single" w:sz="8" w:color="auto"/>
            </w:tcBorders>
          </w:tcPr>
          <w:p>
            <w:pPr>
              <w:spacing w:after="0"/>
              <w:rPr>
                <w:sz w:val="12"/>
                <w:szCs w:val="12"/>
                <w:color w:val="auto"/>
              </w:rPr>
            </w:pP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84"/>
              </w:rPr>
              <w:t>%</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ind w:left="40"/>
              <w:spacing w:after="0" w:line="142" w:lineRule="exact"/>
              <w:rPr>
                <w:sz w:val="20"/>
                <w:szCs w:val="20"/>
                <w:color w:val="auto"/>
              </w:rPr>
            </w:pPr>
            <w:r>
              <w:rPr>
                <w:rFonts w:ascii="Arial" w:cs="Arial" w:eastAsia="Arial" w:hAnsi="Arial"/>
                <w:sz w:val="14"/>
                <w:szCs w:val="14"/>
                <w:b w:val="1"/>
                <w:bCs w:val="1"/>
                <w:color w:val="auto"/>
              </w:rPr>
              <w:t>Volume(e)</w:t>
            </w:r>
          </w:p>
        </w:tc>
        <w:tc>
          <w:tcPr>
            <w:tcW w:w="480" w:type="dxa"/>
            <w:vAlign w:val="bottom"/>
            <w:tcBorders>
              <w:bottom w:val="single" w:sz="8" w:color="auto"/>
            </w:tcBorders>
          </w:tcPr>
          <w:p>
            <w:pPr>
              <w:spacing w:after="0"/>
              <w:rPr>
                <w:sz w:val="12"/>
                <w:szCs w:val="12"/>
                <w:color w:val="auto"/>
              </w:rPr>
            </w:pPr>
          </w:p>
        </w:tc>
        <w:tc>
          <w:tcPr>
            <w:tcW w:w="340" w:type="dxa"/>
            <w:vAlign w:val="bottom"/>
            <w:vMerge w:val="restart"/>
          </w:tcPr>
          <w:p>
            <w:pPr>
              <w:jc w:val="right"/>
              <w:ind w:right="119"/>
              <w:spacing w:after="0"/>
              <w:rPr>
                <w:sz w:val="20"/>
                <w:szCs w:val="20"/>
                <w:color w:val="auto"/>
              </w:rPr>
            </w:pPr>
            <w:r>
              <w:rPr>
                <w:rFonts w:ascii="Arial" w:cs="Arial" w:eastAsia="Arial" w:hAnsi="Arial"/>
                <w:sz w:val="16"/>
                <w:szCs w:val="16"/>
                <w:color w:val="auto"/>
                <w:w w:val="84"/>
              </w:rPr>
              <w:t>%</w:t>
            </w: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5"/>
          </w:tcPr>
          <w:p>
            <w:pPr>
              <w:jc w:val="right"/>
              <w:ind w:right="400"/>
              <w:spacing w:after="0" w:line="142" w:lineRule="exact"/>
              <w:rPr>
                <w:sz w:val="20"/>
                <w:szCs w:val="20"/>
                <w:color w:val="auto"/>
              </w:rPr>
            </w:pPr>
            <w:r>
              <w:rPr>
                <w:rFonts w:ascii="Arial" w:cs="Arial" w:eastAsia="Arial" w:hAnsi="Arial"/>
                <w:sz w:val="14"/>
                <w:szCs w:val="14"/>
                <w:b w:val="1"/>
                <w:bCs w:val="1"/>
                <w:color w:val="auto"/>
              </w:rPr>
              <w:t>Yield</w:t>
            </w:r>
          </w:p>
        </w:tc>
        <w:tc>
          <w:tcPr>
            <w:tcW w:w="340" w:type="dxa"/>
            <w:vAlign w:val="bottom"/>
            <w:tcBorders>
              <w:bottom w:val="single" w:sz="8" w:color="auto"/>
            </w:tcBorders>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6"/>
                <w:szCs w:val="16"/>
                <w:color w:val="auto"/>
                <w:w w:val="84"/>
              </w:rPr>
              <w:t>%</w:t>
            </w: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5"/>
          </w:tcPr>
          <w:p>
            <w:pPr>
              <w:jc w:val="right"/>
              <w:ind w:right="60"/>
              <w:spacing w:after="0" w:line="142" w:lineRule="exact"/>
              <w:rPr>
                <w:sz w:val="20"/>
                <w:szCs w:val="20"/>
                <w:color w:val="auto"/>
              </w:rPr>
            </w:pPr>
            <w:r>
              <w:rPr>
                <w:rFonts w:ascii="Arial" w:cs="Arial" w:eastAsia="Arial" w:hAnsi="Arial"/>
                <w:sz w:val="14"/>
                <w:szCs w:val="14"/>
                <w:b w:val="1"/>
                <w:bCs w:val="1"/>
                <w:color w:val="auto"/>
              </w:rPr>
              <w:t>Volume</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10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2.5</w:t>
            </w:r>
          </w:p>
        </w:tc>
        <w:tc>
          <w:tcPr>
            <w:tcW w:w="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3.2</w:t>
            </w:r>
          </w:p>
        </w:tc>
        <w:tc>
          <w:tcPr>
            <w:tcW w:w="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2.4</w:t>
            </w:r>
          </w:p>
        </w:tc>
        <w:tc>
          <w:tcPr>
            <w:tcW w:w="2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2.8</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Industrial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3.8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Residential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259"/>
              <w:spacing w:after="0"/>
              <w:rPr>
                <w:sz w:val="20"/>
                <w:szCs w:val="20"/>
                <w:color w:val="auto"/>
              </w:rPr>
            </w:pPr>
            <w:r>
              <w:rPr>
                <w:rFonts w:ascii="Arial" w:cs="Arial" w:eastAsia="Arial" w:hAnsi="Arial"/>
                <w:sz w:val="16"/>
                <w:szCs w:val="16"/>
                <w:color w:val="auto"/>
              </w:rPr>
              <w:t>(0.5)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Total collection</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2.9</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MSW</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3.7</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1.9</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tcPr>
          <w:p>
            <w:pPr>
              <w:spacing w:after="0"/>
              <w:rPr>
                <w:sz w:val="20"/>
                <w:szCs w:val="20"/>
                <w:color w:val="auto"/>
              </w:rPr>
            </w:pPr>
            <w:r>
              <w:rPr>
                <w:rFonts w:ascii="Arial" w:cs="Arial" w:eastAsia="Arial" w:hAnsi="Arial"/>
                <w:sz w:val="16"/>
                <w:szCs w:val="16"/>
                <w:color w:val="auto"/>
              </w:rPr>
              <w:t>Transfer</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300"/>
              <w:spacing w:after="0"/>
              <w:rPr>
                <w:sz w:val="20"/>
                <w:szCs w:val="20"/>
                <w:color w:val="auto"/>
              </w:rPr>
            </w:pPr>
            <w:r>
              <w:rPr>
                <w:rFonts w:ascii="Arial" w:cs="Arial" w:eastAsia="Arial" w:hAnsi="Arial"/>
                <w:sz w:val="16"/>
                <w:szCs w:val="16"/>
                <w:color w:val="auto"/>
              </w:rPr>
              <w:t>3.3</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ind w:left="80"/>
              <w:spacing w:after="0"/>
              <w:rPr>
                <w:sz w:val="20"/>
                <w:szCs w:val="20"/>
                <w:color w:val="auto"/>
              </w:rPr>
            </w:pPr>
            <w:r>
              <w:rPr>
                <w:rFonts w:ascii="Arial" w:cs="Arial" w:eastAsia="Arial" w:hAnsi="Arial"/>
                <w:sz w:val="16"/>
                <w:szCs w:val="16"/>
                <w:color w:val="auto"/>
              </w:rPr>
              <w:t>3.1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spacing w:after="0"/>
              <w:rPr>
                <w:sz w:val="20"/>
                <w:szCs w:val="20"/>
                <w:color w:val="auto"/>
              </w:rPr>
            </w:pPr>
            <w:r>
              <w:rPr>
                <w:rFonts w:ascii="Arial" w:cs="Arial" w:eastAsia="Arial" w:hAnsi="Arial"/>
                <w:sz w:val="16"/>
                <w:szCs w:val="16"/>
                <w:color w:val="auto"/>
              </w:rPr>
              <w:t>Total collection and disposal</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300"/>
              <w:spacing w:after="0"/>
              <w:rPr>
                <w:sz w:val="20"/>
                <w:szCs w:val="20"/>
                <w:color w:val="auto"/>
              </w:rPr>
            </w:pPr>
            <w:r>
              <w:rPr>
                <w:rFonts w:ascii="Arial" w:cs="Arial" w:eastAsia="Arial" w:hAnsi="Arial"/>
                <w:sz w:val="16"/>
                <w:szCs w:val="16"/>
                <w:color w:val="auto"/>
              </w:rPr>
              <w:t>2.6 %</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19"/>
              <w:spacing w:after="0"/>
              <w:rPr>
                <w:sz w:val="20"/>
                <w:szCs w:val="20"/>
                <w:color w:val="auto"/>
              </w:rPr>
            </w:pPr>
            <w:r>
              <w:rPr>
                <w:rFonts w:ascii="Arial" w:cs="Arial" w:eastAsia="Arial" w:hAnsi="Arial"/>
                <w:sz w:val="16"/>
                <w:szCs w:val="16"/>
                <w:color w:val="auto"/>
              </w:rPr>
              <w:t>2.7 %</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gridSpan w:val="3"/>
          </w:tcPr>
          <w:p>
            <w:pPr>
              <w:ind w:left="80"/>
              <w:spacing w:after="0"/>
              <w:rPr>
                <w:sz w:val="20"/>
                <w:szCs w:val="20"/>
                <w:color w:val="auto"/>
              </w:rPr>
            </w:pPr>
            <w:r>
              <w:rPr>
                <w:rFonts w:ascii="Arial" w:cs="Arial" w:eastAsia="Arial" w:hAnsi="Arial"/>
                <w:sz w:val="16"/>
                <w:szCs w:val="16"/>
                <w:color w:val="auto"/>
              </w:rPr>
              <w:t>2.7 %</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097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5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in the Condensed Consolidated Financial Statements included herein.</w:t>
      </w:r>
    </w:p>
    <w:p>
      <w:pPr>
        <w:spacing w:after="0" w:line="22" w:lineRule="exact"/>
        <w:rPr>
          <w:rFonts w:ascii="Arial" w:cs="Arial" w:eastAsia="Arial" w:hAnsi="Arial"/>
          <w:sz w:val="16"/>
          <w:szCs w:val="16"/>
          <w:color w:val="auto"/>
        </w:rPr>
      </w:pPr>
    </w:p>
    <w:p>
      <w:pPr>
        <w:ind w:left="340" w:hanging="332"/>
        <w:spacing w:after="0" w:line="26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by dividing the increase or decrease for the current year period by the prior year period’s related business revenue adjusted to exclude the impacts of divestitures for the current year period.</w:t>
      </w:r>
    </w:p>
    <w:p>
      <w:pPr>
        <w:ind w:left="340" w:hanging="332"/>
        <w:spacing w:after="0" w:line="264"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Calculated by dividing the increase or decrease for the current year period by the prior year period’s total Company revenue adjusted to exclude the impacts of divestitures for the current year period.</w:t>
      </w: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w:t>
      </w:r>
    </w:p>
    <w:p>
      <w:pPr>
        <w:spacing w:after="0" w:line="18" w:lineRule="exact"/>
        <w:rPr>
          <w:rFonts w:ascii="Arial" w:cs="Arial" w:eastAsia="Arial" w:hAnsi="Arial"/>
          <w:sz w:val="16"/>
          <w:szCs w:val="16"/>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290195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(a)</w:t>
      </w:r>
    </w:p>
    <w:p>
      <w:pPr>
        <w:spacing w:after="0" w:line="200" w:lineRule="exact"/>
        <w:rPr>
          <w:sz w:val="20"/>
          <w:szCs w:val="20"/>
          <w:color w:val="auto"/>
        </w:rPr>
      </w:pPr>
    </w:p>
    <w:tbl>
      <w:tblPr>
        <w:tblLayout w:type="fixed"/>
        <w:tblInd w:w="6320" w:type="dxa"/>
        <w:tblCellMar>
          <w:top w:w="0" w:type="dxa"/>
          <w:left w:w="0" w:type="dxa"/>
          <w:bottom w:w="0" w:type="dxa"/>
          <w:right w:w="0" w:type="dxa"/>
        </w:tblCellMar>
      </w:tblPr>
      <w:tr>
        <w:trPr>
          <w:trHeight w:val="161"/>
        </w:trPr>
        <w:tc>
          <w:tcPr>
            <w:tcW w:w="26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760" w:type="dxa"/>
            <w:vAlign w:val="bottom"/>
          </w:tcPr>
          <w:p>
            <w:pPr>
              <w:spacing w:after="0"/>
              <w:rPr>
                <w:sz w:val="14"/>
                <w:szCs w:val="14"/>
                <w:color w:val="auto"/>
              </w:rPr>
            </w:pPr>
          </w:p>
        </w:tc>
        <w:tc>
          <w:tcPr>
            <w:tcW w:w="18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4"/>
                <w:szCs w:val="14"/>
                <w:color w:val="auto"/>
              </w:rPr>
            </w:pPr>
          </w:p>
        </w:tc>
        <w:tc>
          <w:tcPr>
            <w:tcW w:w="1700" w:type="dxa"/>
            <w:vAlign w:val="bottom"/>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7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700" w:type="dxa"/>
            <w:vAlign w:val="bottom"/>
            <w:tcBorders>
              <w:top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0</wp:posOffset>
            </wp:positionV>
            <wp:extent cx="15608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19" w:lineRule="exact"/>
        <w:rPr>
          <w:sz w:val="20"/>
          <w:szCs w:val="20"/>
          <w:color w:val="auto"/>
        </w:rPr>
      </w:pPr>
    </w:p>
    <w:p>
      <w:pPr>
        <w:ind w:right="500"/>
        <w:spacing w:after="0" w:line="323" w:lineRule="auto"/>
        <w:rPr>
          <w:sz w:val="20"/>
          <w:szCs w:val="20"/>
          <w:color w:val="auto"/>
        </w:rPr>
      </w:pPr>
      <w:r>
        <w:rPr>
          <w:rFonts w:ascii="Arial" w:cs="Arial" w:eastAsia="Arial" w:hAnsi="Arial"/>
          <w:sz w:val="16"/>
          <w:szCs w:val="16"/>
          <w:color w:val="auto"/>
        </w:rPr>
        <w:t>Proceeds from divestitures of businesses and other assets (net of cash divested) Free cash flow</w:t>
      </w:r>
    </w:p>
    <w:p>
      <w:pPr>
        <w:spacing w:after="0" w:line="20" w:lineRule="exact"/>
        <w:rPr>
          <w:sz w:val="20"/>
          <w:szCs w:val="20"/>
          <w:color w:val="auto"/>
        </w:rPr>
      </w:pPr>
      <w:r>
        <w:rPr>
          <w:sz w:val="20"/>
          <w:szCs w:val="20"/>
          <w:color w:val="auto"/>
        </w:rPr>
        <w:br w:type="column"/>
      </w:r>
    </w:p>
    <w:p>
      <w:pPr>
        <w:spacing w:after="0"/>
        <w:tabs>
          <w:tab w:leader="none" w:pos="720" w:val="left"/>
          <w:tab w:leader="none" w:pos="1300" w:val="left"/>
          <w:tab w:leader="none" w:pos="2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952</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874</w:t>
      </w:r>
    </w:p>
    <w:p>
      <w:pPr>
        <w:spacing w:after="0" w:line="22" w:lineRule="exact"/>
        <w:rPr>
          <w:sz w:val="20"/>
          <w:szCs w:val="20"/>
          <w:color w:val="auto"/>
        </w:rPr>
      </w:pPr>
    </w:p>
    <w:p>
      <w:pPr>
        <w:ind w:left="2000" w:hanging="1316"/>
        <w:spacing w:after="0"/>
        <w:tabs>
          <w:tab w:leader="none" w:pos="20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(404)</w:t>
      </w:r>
    </w:p>
    <w:p>
      <w:pPr>
        <w:spacing w:after="0" w:line="42" w:lineRule="exact"/>
        <w:rPr>
          <w:sz w:val="20"/>
          <w:szCs w:val="20"/>
          <w:color w:val="auto"/>
        </w:rPr>
      </w:pPr>
    </w:p>
    <w:p>
      <w:pPr>
        <w:ind w:left="2120" w:hanging="1220"/>
        <w:spacing w:after="0"/>
        <w:tabs>
          <w:tab w:leader="none" w:pos="2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wp:posOffset>
            </wp:positionV>
            <wp:extent cx="15608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8" w:lineRule="exact"/>
        <w:rPr>
          <w:sz w:val="20"/>
          <w:szCs w:val="20"/>
          <w:color w:val="auto"/>
        </w:rPr>
      </w:pPr>
    </w:p>
    <w:p>
      <w:pPr>
        <w:spacing w:after="0"/>
        <w:tabs>
          <w:tab w:leader="none" w:pos="720" w:val="left"/>
          <w:tab w:leader="none" w:pos="1300" w:val="left"/>
          <w:tab w:leader="none" w:pos="20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478</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17780</wp:posOffset>
            </wp:positionV>
            <wp:extent cx="15608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830"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34925</wp:posOffset>
            </wp:positionV>
            <wp:extent cx="1560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29"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39"/>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wp:posOffset>
            </wp:positionV>
            <wp:extent cx="15608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400"/>
        <w:spacing w:after="0" w:line="233" w:lineRule="auto"/>
        <w:tabs>
          <w:tab w:leader="none" w:pos="16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2,852</w:t>
            </w:r>
          </w:p>
        </w:tc>
        <w:tc>
          <w:tcPr>
            <w:tcW w:w="180" w:type="dxa"/>
            <w:vAlign w:val="bottom"/>
          </w:tcPr>
          <w:p>
            <w:pPr>
              <w:spacing w:after="0"/>
              <w:rPr>
                <w:sz w:val="16"/>
                <w:szCs w:val="16"/>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2,658</w:t>
            </w:r>
          </w:p>
        </w:tc>
      </w:tr>
      <w:tr>
        <w:trPr>
          <w:trHeight w:val="203"/>
        </w:trPr>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(1,532)</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(1,240)</w:t>
            </w:r>
          </w:p>
        </w:tc>
      </w:tr>
      <w:tr>
        <w:trPr>
          <w:trHeight w:val="209"/>
        </w:trPr>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106</w:t>
            </w:r>
          </w:p>
        </w:tc>
      </w:tr>
      <w:tr>
        <w:trPr>
          <w:trHeight w:val="199"/>
        </w:trPr>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1,349</w:t>
            </w:r>
          </w:p>
        </w:tc>
        <w:tc>
          <w:tcPr>
            <w:tcW w:w="1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1,524</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15608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440"/>
        <w:spacing w:after="0" w:line="233" w:lineRule="auto"/>
        <w:tabs>
          <w:tab w:leader="none" w:pos="17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3">
            <w:col w:w="5640" w:space="720"/>
            <w:col w:w="2340" w:space="260"/>
            <w:col w:w="246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6"/>
                <w:szCs w:val="16"/>
                <w:b w:val="1"/>
                <w:bCs w:val="1"/>
                <w:color w:val="auto"/>
              </w:rPr>
              <w:t>Supplemental Data</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320" w:type="dxa"/>
            <w:vAlign w:val="bottom"/>
          </w:tcPr>
          <w:p>
            <w:pPr>
              <w:spacing w:after="0"/>
              <w:rPr>
                <w:sz w:val="20"/>
                <w:szCs w:val="20"/>
                <w:color w:val="auto"/>
              </w:rPr>
            </w:pPr>
            <w:r>
              <w:rPr>
                <w:rFonts w:ascii="Arial" w:cs="Arial" w:eastAsia="Arial" w:hAnsi="Arial"/>
                <w:sz w:val="16"/>
                <w:szCs w:val="16"/>
                <w:color w:val="auto"/>
              </w:rPr>
              <w:t>Internalization of waste, based on disposal costs</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65.9%</w:t>
            </w: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Arial" w:cs="Arial" w:eastAsia="Arial" w:hAnsi="Arial"/>
                <w:sz w:val="16"/>
                <w:szCs w:val="16"/>
                <w:color w:val="auto"/>
              </w:rPr>
              <w:t>Landfill amortizable tons (in millions)</w:t>
            </w:r>
          </w:p>
        </w:tc>
        <w:tc>
          <w:tcPr>
            <w:tcW w:w="28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30.1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91.6</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Arial" w:cs="Arial" w:eastAsia="Arial" w:hAnsi="Arial"/>
                <w:sz w:val="16"/>
                <w:szCs w:val="16"/>
                <w:b w:val="1"/>
                <w:bCs w:val="1"/>
                <w:color w:val="auto"/>
              </w:rPr>
              <w:t>Acquisition Summary (b)</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Arial" w:cs="Arial" w:eastAsia="Arial" w:hAnsi="Arial"/>
                <w:sz w:val="16"/>
                <w:szCs w:val="16"/>
                <w:color w:val="auto"/>
              </w:rPr>
              <w:t>Gross annualized revenue acquired</w:t>
            </w:r>
          </w:p>
        </w:tc>
        <w:tc>
          <w:tcPr>
            <w:tcW w:w="28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51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47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170</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405"/>
        </w:trPr>
        <w:tc>
          <w:tcPr>
            <w:tcW w:w="6320" w:type="dxa"/>
            <w:vAlign w:val="bottom"/>
          </w:tcPr>
          <w:p>
            <w:pPr>
              <w:spacing w:after="0"/>
              <w:rPr>
                <w:sz w:val="20"/>
                <w:szCs w:val="20"/>
                <w:color w:val="auto"/>
              </w:rPr>
            </w:pPr>
            <w:r>
              <w:rPr>
                <w:rFonts w:ascii="Arial" w:cs="Arial" w:eastAsia="Arial" w:hAnsi="Arial"/>
                <w:sz w:val="16"/>
                <w:szCs w:val="16"/>
                <w:color w:val="auto"/>
              </w:rPr>
              <w:t>Total consideration , net of cash acquired</w:t>
            </w:r>
          </w:p>
        </w:tc>
        <w:tc>
          <w:tcPr>
            <w:tcW w:w="28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78</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84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513</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419"/>
        </w:trPr>
        <w:tc>
          <w:tcPr>
            <w:tcW w:w="6320" w:type="dxa"/>
            <w:vAlign w:val="bottom"/>
          </w:tcPr>
          <w:p>
            <w:pPr>
              <w:spacing w:after="0"/>
              <w:rPr>
                <w:sz w:val="20"/>
                <w:szCs w:val="20"/>
                <w:color w:val="auto"/>
              </w:rPr>
            </w:pPr>
            <w:r>
              <w:rPr>
                <w:rFonts w:ascii="Arial" w:cs="Arial" w:eastAsia="Arial" w:hAnsi="Arial"/>
                <w:sz w:val="16"/>
                <w:szCs w:val="16"/>
                <w:color w:val="auto"/>
              </w:rPr>
              <w:t>Cash paid for acquisitions consummated during the period, net of cash acquired</w:t>
            </w:r>
          </w:p>
        </w:tc>
        <w:tc>
          <w:tcPr>
            <w:tcW w:w="280" w:type="dxa"/>
            <w:vAlign w:val="bottom"/>
          </w:tcPr>
          <w:p>
            <w:pPr>
              <w:spacing w:after="0"/>
              <w:rPr>
                <w:sz w:val="24"/>
                <w:szCs w:val="24"/>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504</w:t>
            </w: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336</w:t>
            </w:r>
          </w:p>
        </w:tc>
        <w:tc>
          <w:tcPr>
            <w:tcW w:w="0" w:type="dxa"/>
            <w:vAlign w:val="bottom"/>
          </w:tcPr>
          <w:p>
            <w:pPr>
              <w:spacing w:after="0"/>
              <w:rPr>
                <w:sz w:val="1"/>
                <w:szCs w:val="1"/>
                <w:color w:val="auto"/>
              </w:rPr>
            </w:pPr>
          </w:p>
        </w:tc>
      </w:tr>
      <w:tr>
        <w:trPr>
          <w:trHeight w:val="401"/>
        </w:trPr>
        <w:tc>
          <w:tcPr>
            <w:tcW w:w="6320" w:type="dxa"/>
            <w:vAlign w:val="bottom"/>
          </w:tcPr>
          <w:p>
            <w:pPr>
              <w:spacing w:after="0"/>
              <w:rPr>
                <w:sz w:val="20"/>
                <w:szCs w:val="20"/>
                <w:color w:val="auto"/>
              </w:rPr>
            </w:pPr>
            <w:r>
              <w:rPr>
                <w:rFonts w:ascii="Arial" w:cs="Arial" w:eastAsia="Arial" w:hAnsi="Arial"/>
                <w:sz w:val="16"/>
                <w:szCs w:val="16"/>
                <w:color w:val="auto"/>
              </w:rPr>
              <w:t>Cash paid for acquisitions including contingent consideration and other items from prior</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320" w:type="dxa"/>
            <w:vAlign w:val="bottom"/>
          </w:tcPr>
          <w:p>
            <w:pPr>
              <w:ind w:left="260"/>
              <w:spacing w:after="0"/>
              <w:rPr>
                <w:sz w:val="20"/>
                <w:szCs w:val="20"/>
                <w:color w:val="auto"/>
              </w:rPr>
            </w:pPr>
            <w:r>
              <w:rPr>
                <w:rFonts w:ascii="Arial" w:cs="Arial" w:eastAsia="Arial" w:hAnsi="Arial"/>
                <w:sz w:val="16"/>
                <w:szCs w:val="16"/>
                <w:color w:val="auto"/>
              </w:rPr>
              <w:t>periods, net of cash acquired</w:t>
            </w:r>
          </w:p>
        </w:tc>
        <w:tc>
          <w:tcPr>
            <w:tcW w:w="280" w:type="dxa"/>
            <w:vAlign w:val="bottom"/>
          </w:tcPr>
          <w:p>
            <w:pPr>
              <w:spacing w:after="0"/>
              <w:rPr>
                <w:sz w:val="17"/>
                <w:szCs w:val="17"/>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518</w:t>
            </w: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34"/>
        </w:trPr>
        <w:tc>
          <w:tcPr>
            <w:tcW w:w="6320" w:type="dxa"/>
            <w:vAlign w:val="bottom"/>
          </w:tcPr>
          <w:p>
            <w:pPr>
              <w:spacing w:after="0"/>
              <w:rPr>
                <w:sz w:val="20"/>
                <w:szCs w:val="20"/>
                <w:color w:val="auto"/>
              </w:rPr>
            </w:pPr>
            <w:r>
              <w:rPr>
                <w:rFonts w:ascii="Arial" w:cs="Arial" w:eastAsia="Arial" w:hAnsi="Arial"/>
                <w:sz w:val="14"/>
                <w:szCs w:val="14"/>
                <w:b w:val="1"/>
                <w:bCs w:val="1"/>
                <w:color w:val="auto"/>
              </w:rPr>
              <w:t>Amortization, Accretion and Other Expenses for Landfills:</w:t>
            </w:r>
          </w:p>
        </w:tc>
        <w:tc>
          <w:tcPr>
            <w:tcW w:w="280" w:type="dxa"/>
            <w:vAlign w:val="bottom"/>
          </w:tcPr>
          <w:p>
            <w:pPr>
              <w:spacing w:after="0"/>
              <w:rPr>
                <w:sz w:val="24"/>
                <w:szCs w:val="2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24"/>
                <w:szCs w:val="2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vMerge w:val="restart"/>
          </w:tcPr>
          <w:p>
            <w:pPr>
              <w:spacing w:after="0"/>
              <w:rPr>
                <w:sz w:val="20"/>
                <w:szCs w:val="20"/>
                <w:color w:val="auto"/>
              </w:rPr>
            </w:pPr>
            <w:r>
              <w:rPr>
                <w:rFonts w:ascii="Arial" w:cs="Arial" w:eastAsia="Arial" w:hAnsi="Arial"/>
                <w:sz w:val="16"/>
                <w:szCs w:val="16"/>
                <w:color w:val="auto"/>
              </w:rPr>
              <w:t>Landfill amortization expense:</w:t>
            </w: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6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4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40"/>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6"/>
        </w:trPr>
        <w:tc>
          <w:tcPr>
            <w:tcW w:w="6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20" w:type="dxa"/>
            <w:vAlign w:val="bottom"/>
          </w:tcPr>
          <w:p>
            <w:pPr>
              <w:ind w:left="180"/>
              <w:spacing w:after="0"/>
              <w:rPr>
                <w:sz w:val="20"/>
                <w:szCs w:val="20"/>
                <w:color w:val="auto"/>
              </w:rPr>
            </w:pPr>
            <w:r>
              <w:rPr>
                <w:rFonts w:ascii="Arial" w:cs="Arial" w:eastAsia="Arial" w:hAnsi="Arial"/>
                <w:sz w:val="16"/>
                <w:szCs w:val="16"/>
                <w:color w:val="auto"/>
              </w:rPr>
              <w:t>Cost basis of landfill assets</w:t>
            </w:r>
          </w:p>
        </w:tc>
        <w:tc>
          <w:tcPr>
            <w:tcW w:w="2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129</w:t>
            </w:r>
          </w:p>
        </w:tc>
        <w:tc>
          <w:tcPr>
            <w:tcW w:w="160" w:type="dxa"/>
            <w:vAlign w:val="bottom"/>
          </w:tcPr>
          <w:p>
            <w:pPr>
              <w:spacing w:after="0"/>
              <w:rPr>
                <w:sz w:val="17"/>
                <w:szCs w:val="17"/>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114</w:t>
            </w:r>
          </w:p>
        </w:tc>
        <w:tc>
          <w:tcPr>
            <w:tcW w:w="180" w:type="dxa"/>
            <w:vAlign w:val="bottom"/>
          </w:tcPr>
          <w:p>
            <w:pPr>
              <w:spacing w:after="0"/>
              <w:rPr>
                <w:sz w:val="17"/>
                <w:szCs w:val="17"/>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372</w:t>
            </w:r>
          </w:p>
        </w:tc>
        <w:tc>
          <w:tcPr>
            <w:tcW w:w="180" w:type="dxa"/>
            <w:vAlign w:val="bottom"/>
          </w:tcPr>
          <w:p>
            <w:pPr>
              <w:spacing w:after="0"/>
              <w:rPr>
                <w:sz w:val="17"/>
                <w:szCs w:val="17"/>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6"/>
        </w:trPr>
        <w:tc>
          <w:tcPr>
            <w:tcW w:w="6320" w:type="dxa"/>
            <w:vAlign w:val="bottom"/>
          </w:tcPr>
          <w:p>
            <w:pPr>
              <w:ind w:left="180"/>
              <w:spacing w:after="0"/>
              <w:rPr>
                <w:sz w:val="20"/>
                <w:szCs w:val="20"/>
                <w:color w:val="auto"/>
              </w:rPr>
            </w:pPr>
            <w:r>
              <w:rPr>
                <w:rFonts w:ascii="Arial" w:cs="Arial" w:eastAsia="Arial" w:hAnsi="Arial"/>
                <w:sz w:val="16"/>
                <w:szCs w:val="16"/>
                <w:color w:val="auto"/>
              </w:rPr>
              <w:t>Asset retirement costs</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2"/>
        </w:trPr>
        <w:tc>
          <w:tcPr>
            <w:tcW w:w="6320" w:type="dxa"/>
            <w:vAlign w:val="bottom"/>
          </w:tcPr>
          <w:p>
            <w:pPr>
              <w:ind w:left="340"/>
              <w:spacing w:after="0"/>
              <w:rPr>
                <w:sz w:val="20"/>
                <w:szCs w:val="20"/>
                <w:color w:val="auto"/>
              </w:rPr>
            </w:pPr>
            <w:r>
              <w:rPr>
                <w:rFonts w:ascii="Arial" w:cs="Arial" w:eastAsia="Arial" w:hAnsi="Arial"/>
                <w:sz w:val="16"/>
                <w:szCs w:val="16"/>
                <w:color w:val="auto"/>
              </w:rPr>
              <w:t>Total landfill amortization expense</w:t>
            </w:r>
          </w:p>
        </w:tc>
        <w:tc>
          <w:tcPr>
            <w:tcW w:w="280" w:type="dxa"/>
            <w:vAlign w:val="bottom"/>
          </w:tcPr>
          <w:p>
            <w:pPr>
              <w:spacing w:after="0"/>
              <w:rPr>
                <w:sz w:val="16"/>
                <w:szCs w:val="16"/>
                <w:color w:val="auto"/>
              </w:rPr>
            </w:pPr>
          </w:p>
        </w:tc>
        <w:tc>
          <w:tcPr>
            <w:tcW w:w="880" w:type="dxa"/>
            <w:vAlign w:val="bottom"/>
          </w:tcPr>
          <w:p>
            <w:pPr>
              <w:jc w:val="right"/>
              <w:ind w:right="61"/>
              <w:spacing w:after="0"/>
              <w:rPr>
                <w:sz w:val="20"/>
                <w:szCs w:val="20"/>
                <w:color w:val="auto"/>
              </w:rPr>
            </w:pPr>
            <w:r>
              <w:rPr>
                <w:rFonts w:ascii="Arial" w:cs="Arial" w:eastAsia="Arial" w:hAnsi="Arial"/>
                <w:sz w:val="16"/>
                <w:szCs w:val="16"/>
                <w:color w:val="auto"/>
              </w:rPr>
              <w:t>152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41"/>
              <w:spacing w:after="0"/>
              <w:rPr>
                <w:sz w:val="20"/>
                <w:szCs w:val="20"/>
                <w:color w:val="auto"/>
              </w:rPr>
            </w:pPr>
            <w:r>
              <w:rPr>
                <w:rFonts w:ascii="Arial" w:cs="Arial" w:eastAsia="Arial" w:hAnsi="Arial"/>
                <w:sz w:val="16"/>
                <w:szCs w:val="16"/>
                <w:color w:val="auto"/>
              </w:rPr>
              <w:t>440</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6"/>
        </w:trPr>
        <w:tc>
          <w:tcPr>
            <w:tcW w:w="6320" w:type="dxa"/>
            <w:vAlign w:val="bottom"/>
          </w:tcPr>
          <w:p>
            <w:pPr>
              <w:spacing w:after="0"/>
              <w:rPr>
                <w:sz w:val="20"/>
                <w:szCs w:val="20"/>
                <w:color w:val="auto"/>
              </w:rPr>
            </w:pPr>
            <w:r>
              <w:rPr>
                <w:rFonts w:ascii="Arial" w:cs="Arial" w:eastAsia="Arial" w:hAnsi="Arial"/>
                <w:sz w:val="16"/>
                <w:szCs w:val="16"/>
                <w:color w:val="auto"/>
              </w:rPr>
              <w:t>Accretion and other related expense</w:t>
            </w: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26</w:t>
            </w:r>
          </w:p>
        </w:tc>
        <w:tc>
          <w:tcPr>
            <w:tcW w:w="1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2"/>
        </w:trPr>
        <w:tc>
          <w:tcPr>
            <w:tcW w:w="6320" w:type="dxa"/>
            <w:vAlign w:val="bottom"/>
          </w:tcPr>
          <w:p>
            <w:pPr>
              <w:ind w:left="180"/>
              <w:spacing w:after="0"/>
              <w:rPr>
                <w:sz w:val="20"/>
                <w:szCs w:val="20"/>
                <w:color w:val="auto"/>
              </w:rPr>
            </w:pPr>
            <w:r>
              <w:rPr>
                <w:rFonts w:ascii="Arial" w:cs="Arial" w:eastAsia="Arial" w:hAnsi="Arial"/>
                <w:sz w:val="16"/>
                <w:szCs w:val="16"/>
                <w:color w:val="auto"/>
              </w:rPr>
              <w:t>Landfill amortization, accretion and other related expense</w:t>
            </w:r>
          </w:p>
        </w:tc>
        <w:tc>
          <w:tcPr>
            <w:tcW w:w="2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178</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168</w:t>
            </w:r>
          </w:p>
        </w:tc>
        <w:tc>
          <w:tcPr>
            <w:tcW w:w="180" w:type="dxa"/>
            <w:vAlign w:val="bottom"/>
          </w:tcPr>
          <w:p>
            <w:pPr>
              <w:spacing w:after="0"/>
              <w:rPr>
                <w:sz w:val="17"/>
                <w:szCs w:val="17"/>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516</w:t>
            </w:r>
          </w:p>
        </w:tc>
        <w:tc>
          <w:tcPr>
            <w:tcW w:w="180" w:type="dxa"/>
            <w:vAlign w:val="bottom"/>
          </w:tcPr>
          <w:p>
            <w:pPr>
              <w:spacing w:after="0"/>
              <w:rPr>
                <w:sz w:val="17"/>
                <w:szCs w:val="17"/>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483</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left="340" w:right="600" w:hanging="332"/>
        <w:spacing w:after="0" w:line="278" w:lineRule="auto"/>
        <w:tabs>
          <w:tab w:leader="none" w:pos="3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0" w:lineRule="exact"/>
        <w:rPr>
          <w:rFonts w:ascii="Arial" w:cs="Arial" w:eastAsia="Arial" w:hAnsi="Arial"/>
          <w:sz w:val="16"/>
          <w:szCs w:val="16"/>
          <w:b w:val="1"/>
          <w:bCs w:val="1"/>
          <w:color w:val="auto"/>
        </w:rPr>
      </w:pPr>
    </w:p>
    <w:p>
      <w:pPr>
        <w:ind w:left="340" w:hanging="332"/>
        <w:spacing w:after="0"/>
        <w:tabs>
          <w:tab w:leader="none" w:pos="3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Represents amounts associated with business acquisitions consummated during the applicable period except where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283845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70"/>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center"/>
              <w:ind w:right="89"/>
              <w:spacing w:after="0"/>
              <w:rPr>
                <w:sz w:val="20"/>
                <w:szCs w:val="20"/>
                <w:color w:val="auto"/>
              </w:rPr>
            </w:pPr>
            <w:r>
              <w:rPr>
                <w:rFonts w:ascii="Arial" w:cs="Arial" w:eastAsia="Arial" w:hAnsi="Arial"/>
                <w:sz w:val="14"/>
                <w:szCs w:val="14"/>
                <w:b w:val="1"/>
                <w:bCs w:val="1"/>
                <w:color w:val="auto"/>
                <w:w w:val="97"/>
              </w:rPr>
              <w:t>Diluted Per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restart"/>
          </w:tcPr>
          <w:p>
            <w:pPr>
              <w:jc w:val="right"/>
              <w:ind w:right="109"/>
              <w:spacing w:after="0"/>
              <w:rPr>
                <w:sz w:val="20"/>
                <w:szCs w:val="20"/>
                <w:color w:val="auto"/>
              </w:rPr>
            </w:pPr>
            <w:r>
              <w:rPr>
                <w:rFonts w:ascii="Arial" w:cs="Arial" w:eastAsia="Arial" w:hAnsi="Arial"/>
                <w:sz w:val="14"/>
                <w:szCs w:val="14"/>
                <w:b w:val="1"/>
                <w:bCs w:val="1"/>
                <w:color w:val="auto"/>
                <w:w w:val="97"/>
              </w:rPr>
              <w:t>Income from</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89"/>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Tax Expense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9"/>
              <w:spacing w:after="0" w:line="149" w:lineRule="exact"/>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140" w:type="dxa"/>
            <w:vAlign w:val="bottom"/>
          </w:tcPr>
          <w:p>
            <w:pPr>
              <w:spacing w:after="0"/>
              <w:rPr>
                <w:sz w:val="14"/>
                <w:szCs w:val="14"/>
                <w:color w:val="auto"/>
              </w:rPr>
            </w:pPr>
          </w:p>
        </w:tc>
        <w:tc>
          <w:tcPr>
            <w:tcW w:w="1020" w:type="dxa"/>
            <w:vAlign w:val="bottom"/>
          </w:tcPr>
          <w:p>
            <w:pPr>
              <w:jc w:val="right"/>
              <w:ind w:right="169"/>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6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Income (a)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center"/>
              <w:ind w:right="89"/>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19"/>
        </w:trPr>
        <w:tc>
          <w:tcPr>
            <w:tcW w:w="4020" w:type="dxa"/>
            <w:vAlign w:val="bottom"/>
            <w:vMerge w:val="continue"/>
          </w:tcPr>
          <w:p>
            <w:pPr>
              <w:spacing w:after="0"/>
              <w:rPr>
                <w:sz w:val="10"/>
                <w:szCs w:val="10"/>
                <w:color w:val="auto"/>
              </w:rPr>
            </w:pPr>
          </w:p>
        </w:tc>
        <w:tc>
          <w:tcPr>
            <w:tcW w:w="1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734</w:t>
            </w:r>
          </w:p>
        </w:tc>
        <w:tc>
          <w:tcPr>
            <w:tcW w:w="120" w:type="dxa"/>
            <w:vAlign w:val="bottom"/>
          </w:tcPr>
          <w:p>
            <w:pPr>
              <w:spacing w:after="0"/>
              <w:rPr>
                <w:sz w:val="10"/>
                <w:szCs w:val="10"/>
                <w:color w:val="auto"/>
              </w:rPr>
            </w:pPr>
          </w:p>
        </w:tc>
        <w:tc>
          <w:tcPr>
            <w:tcW w:w="24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615</w:t>
            </w:r>
          </w:p>
        </w:tc>
        <w:tc>
          <w:tcPr>
            <w:tcW w:w="120" w:type="dxa"/>
            <w:vAlign w:val="bottom"/>
          </w:tcPr>
          <w:p>
            <w:pPr>
              <w:spacing w:after="0"/>
              <w:rPr>
                <w:sz w:val="10"/>
                <w:szCs w:val="10"/>
                <w:color w:val="auto"/>
              </w:rPr>
            </w:pPr>
          </w:p>
        </w:tc>
        <w:tc>
          <w:tcPr>
            <w:tcW w:w="1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120</w:t>
            </w:r>
          </w:p>
        </w:tc>
        <w:tc>
          <w:tcPr>
            <w:tcW w:w="100" w:type="dxa"/>
            <w:vAlign w:val="bottom"/>
          </w:tcPr>
          <w:p>
            <w:pPr>
              <w:spacing w:after="0"/>
              <w:rPr>
                <w:sz w:val="10"/>
                <w:szCs w:val="10"/>
                <w:color w:val="auto"/>
              </w:rPr>
            </w:pPr>
          </w:p>
        </w:tc>
        <w:tc>
          <w:tcPr>
            <w:tcW w:w="1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495</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50"/>
              <w:spacing w:after="0" w:line="119" w:lineRule="exact"/>
              <w:rPr>
                <w:sz w:val="20"/>
                <w:szCs w:val="20"/>
                <w:color w:val="auto"/>
              </w:rPr>
            </w:pPr>
            <w:r>
              <w:rPr>
                <w:rFonts w:ascii="Arial" w:cs="Arial" w:eastAsia="Arial" w:hAnsi="Arial"/>
                <w:sz w:val="13"/>
                <w:szCs w:val="13"/>
                <w:b w:val="1"/>
                <w:bCs w:val="1"/>
                <w:color w:val="auto"/>
              </w:rPr>
              <w:t>427.4</w:t>
            </w:r>
          </w:p>
        </w:tc>
        <w:tc>
          <w:tcPr>
            <w:tcW w:w="100" w:type="dxa"/>
            <w:vAlign w:val="bottom"/>
          </w:tcPr>
          <w:p>
            <w:pPr>
              <w:spacing w:after="0"/>
              <w:rPr>
                <w:sz w:val="10"/>
                <w:szCs w:val="10"/>
                <w:color w:val="auto"/>
              </w:rPr>
            </w:pPr>
          </w:p>
        </w:tc>
        <w:tc>
          <w:tcPr>
            <w:tcW w:w="1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tcBorders>
          </w:tcPr>
          <w:p>
            <w:pPr>
              <w:jc w:val="right"/>
              <w:ind w:right="29"/>
              <w:spacing w:after="0" w:line="119" w:lineRule="exact"/>
              <w:rPr>
                <w:sz w:val="20"/>
                <w:szCs w:val="20"/>
                <w:color w:val="auto"/>
              </w:rPr>
            </w:pPr>
            <w:r>
              <w:rPr>
                <w:rFonts w:ascii="Arial" w:cs="Arial" w:eastAsia="Arial" w:hAnsi="Arial"/>
                <w:sz w:val="13"/>
                <w:szCs w:val="13"/>
                <w:b w:val="1"/>
                <w:bCs w:val="1"/>
                <w:color w:val="auto"/>
              </w:rPr>
              <w:t>1.16</w:t>
            </w:r>
          </w:p>
        </w:tc>
        <w:tc>
          <w:tcPr>
            <w:tcW w:w="0" w:type="dxa"/>
            <w:vAlign w:val="bottom"/>
          </w:tcPr>
          <w:p>
            <w:pPr>
              <w:spacing w:after="0"/>
              <w:rPr>
                <w:sz w:val="1"/>
                <w:szCs w:val="1"/>
                <w:color w:val="auto"/>
              </w:rPr>
            </w:pPr>
          </w:p>
        </w:tc>
      </w:tr>
      <w:tr>
        <w:trPr>
          <w:trHeight w:val="149"/>
        </w:trPr>
        <w:tc>
          <w:tcPr>
            <w:tcW w:w="4020" w:type="dxa"/>
            <w:vAlign w:val="bottom"/>
          </w:tcPr>
          <w:p>
            <w:pPr>
              <w:spacing w:after="0" w:line="149" w:lineRule="exact"/>
              <w:rPr>
                <w:sz w:val="20"/>
                <w:szCs w:val="20"/>
                <w:color w:val="auto"/>
              </w:rPr>
            </w:pPr>
            <w:r>
              <w:rPr>
                <w:rFonts w:ascii="Arial" w:cs="Arial" w:eastAsia="Arial" w:hAnsi="Arial"/>
                <w:sz w:val="14"/>
                <w:szCs w:val="14"/>
                <w:b w:val="1"/>
                <w:bCs w:val="1"/>
                <w:color w:val="auto"/>
              </w:rPr>
              <w:t>Adjustments in connection with pending acquisition of</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20" w:type="dxa"/>
            <w:vAlign w:val="bottom"/>
          </w:tcPr>
          <w:p>
            <w:pPr>
              <w:spacing w:after="0" w:line="153" w:lineRule="exact"/>
              <w:rPr>
                <w:sz w:val="20"/>
                <w:szCs w:val="20"/>
                <w:color w:val="auto"/>
              </w:rPr>
            </w:pPr>
            <w:r>
              <w:rPr>
                <w:rFonts w:ascii="Arial" w:cs="Arial" w:eastAsia="Arial" w:hAnsi="Arial"/>
                <w:sz w:val="14"/>
                <w:szCs w:val="14"/>
                <w:b w:val="1"/>
                <w:bCs w:val="1"/>
                <w:color w:val="auto"/>
              </w:rPr>
              <w:t>Advanced Disposal Services, Inc. ("ADS"):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Acquisition-related costs</w:t>
            </w:r>
          </w:p>
        </w:tc>
        <w:tc>
          <w:tcPr>
            <w:tcW w:w="14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Impact of reduced common stock repurchases from planned</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180"/>
              <w:spacing w:after="0"/>
              <w:rPr>
                <w:sz w:val="20"/>
                <w:szCs w:val="20"/>
                <w:color w:val="auto"/>
              </w:rPr>
            </w:pPr>
            <w:r>
              <w:rPr>
                <w:rFonts w:ascii="Arial" w:cs="Arial" w:eastAsia="Arial" w:hAnsi="Arial"/>
                <w:sz w:val="14"/>
                <w:szCs w:val="14"/>
                <w:color w:val="auto"/>
              </w:rPr>
              <w:t>levels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As adjusted amounts</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9"/>
              <w:spacing w:after="0" w:line="142" w:lineRule="exact"/>
              <w:rPr>
                <w:sz w:val="20"/>
                <w:szCs w:val="20"/>
                <w:color w:val="auto"/>
              </w:rPr>
            </w:pPr>
            <w:r>
              <w:rPr>
                <w:rFonts w:ascii="Arial" w:cs="Arial" w:eastAsia="Arial" w:hAnsi="Arial"/>
                <w:sz w:val="14"/>
                <w:szCs w:val="14"/>
                <w:b w:val="1"/>
                <w:bCs w:val="1"/>
                <w:color w:val="auto"/>
              </w:rPr>
              <w:t>737</w:t>
            </w:r>
          </w:p>
        </w:tc>
        <w:tc>
          <w:tcPr>
            <w:tcW w:w="120" w:type="dxa"/>
            <w:vAlign w:val="bottom"/>
          </w:tcPr>
          <w:p>
            <w:pPr>
              <w:spacing w:after="0"/>
              <w:rPr>
                <w:sz w:val="12"/>
                <w:szCs w:val="12"/>
                <w:color w:val="auto"/>
              </w:rPr>
            </w:pPr>
          </w:p>
        </w:tc>
        <w:tc>
          <w:tcPr>
            <w:tcW w:w="240" w:type="dxa"/>
            <w:vAlign w:val="bottom"/>
            <w:tcBorders>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623</w:t>
            </w:r>
          </w:p>
        </w:tc>
        <w:tc>
          <w:tcPr>
            <w:tcW w:w="12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502</w:t>
            </w: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422.2</w:t>
            </w:r>
          </w:p>
        </w:tc>
        <w:tc>
          <w:tcPr>
            <w:tcW w:w="100" w:type="dxa"/>
            <w:vAlign w:val="bottom"/>
          </w:tcPr>
          <w:p>
            <w:pPr>
              <w:spacing w:after="0"/>
              <w:rPr>
                <w:sz w:val="12"/>
                <w:szCs w:val="12"/>
                <w:color w:val="auto"/>
              </w:rPr>
            </w:pP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1.19</w:t>
            </w:r>
          </w:p>
        </w:tc>
        <w:tc>
          <w:tcPr>
            <w:tcW w:w="0" w:type="dxa"/>
            <w:vAlign w:val="bottom"/>
          </w:tcPr>
          <w:p>
            <w:pPr>
              <w:spacing w:after="0"/>
              <w:rPr>
                <w:sz w:val="1"/>
                <w:szCs w:val="1"/>
                <w:color w:val="auto"/>
              </w:rPr>
            </w:pPr>
          </w:p>
        </w:tc>
      </w:tr>
      <w:tr>
        <w:trPr>
          <w:trHeight w:val="20"/>
        </w:trPr>
        <w:tc>
          <w:tcPr>
            <w:tcW w:w="4020" w:type="dxa"/>
            <w:vAlign w:val="bottom"/>
            <w:vMerge w:val="restart"/>
          </w:tcPr>
          <w:p>
            <w:pPr>
              <w:ind w:left="18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line="20" w:lineRule="exact"/>
              <w:rPr>
                <w:sz w:val="1"/>
                <w:szCs w:val="1"/>
                <w:color w:val="auto"/>
              </w:rPr>
            </w:pPr>
          </w:p>
        </w:tc>
        <w:tc>
          <w:tcPr>
            <w:tcW w:w="1020" w:type="dxa"/>
            <w:vAlign w:val="bottom"/>
            <w:vMerge w:val="restart"/>
          </w:tcPr>
          <w:p>
            <w:pPr>
              <w:jc w:val="right"/>
              <w:ind w:right="49"/>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20" w:type="dxa"/>
            <w:vAlign w:val="bottom"/>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Adjusted operating EBITDA</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1,141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8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4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gridSpan w:val="4"/>
            <w:vMerge w:val="continue"/>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2018</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right"/>
              <w:ind w:right="49"/>
              <w:spacing w:after="0" w:line="119" w:lineRule="exact"/>
              <w:rPr>
                <w:sz w:val="20"/>
                <w:szCs w:val="20"/>
                <w:color w:val="auto"/>
              </w:rPr>
            </w:pPr>
            <w:r>
              <w:rPr>
                <w:rFonts w:ascii="Arial" w:cs="Arial" w:eastAsia="Arial" w:hAnsi="Arial"/>
                <w:sz w:val="13"/>
                <w:szCs w:val="13"/>
                <w:b w:val="1"/>
                <w:bCs w:val="1"/>
                <w:color w:val="auto"/>
              </w:rPr>
              <w:t>Income from</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ind w:right="209"/>
              <w:spacing w:after="0" w:line="119" w:lineRule="exact"/>
              <w:rPr>
                <w:sz w:val="20"/>
                <w:szCs w:val="20"/>
                <w:color w:val="auto"/>
              </w:rPr>
            </w:pPr>
            <w:r>
              <w:rPr>
                <w:rFonts w:ascii="Arial" w:cs="Arial" w:eastAsia="Arial" w:hAnsi="Arial"/>
                <w:sz w:val="13"/>
                <w:szCs w:val="13"/>
                <w:b w:val="1"/>
                <w:bCs w:val="1"/>
                <w:color w:val="auto"/>
              </w:rPr>
              <w:t>Pre-tax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Tax Expense</w:t>
            </w:r>
          </w:p>
        </w:tc>
        <w:tc>
          <w:tcPr>
            <w:tcW w:w="180" w:type="dxa"/>
            <w:vAlign w:val="bottom"/>
          </w:tcPr>
          <w:p>
            <w:pPr>
              <w:spacing w:after="0"/>
              <w:rPr>
                <w:sz w:val="10"/>
                <w:szCs w:val="10"/>
                <w:color w:val="auto"/>
              </w:rPr>
            </w:pPr>
          </w:p>
        </w:tc>
        <w:tc>
          <w:tcPr>
            <w:tcW w:w="9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Net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right"/>
              <w:ind w:right="90"/>
              <w:spacing w:after="0" w:line="119" w:lineRule="exact"/>
              <w:rPr>
                <w:sz w:val="20"/>
                <w:szCs w:val="20"/>
                <w:color w:val="auto"/>
              </w:rPr>
            </w:pPr>
            <w:r>
              <w:rPr>
                <w:rFonts w:ascii="Arial" w:cs="Arial" w:eastAsia="Arial" w:hAnsi="Arial"/>
                <w:sz w:val="13"/>
                <w:szCs w:val="13"/>
                <w:b w:val="1"/>
                <w:bCs w:val="1"/>
                <w:color w:val="auto"/>
              </w:rPr>
              <w:t>Diluted Per</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As reported amounts</w:t>
            </w:r>
          </w:p>
        </w:tc>
        <w:tc>
          <w:tcPr>
            <w:tcW w:w="14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Arial" w:cs="Arial" w:eastAsia="Arial" w:hAnsi="Arial"/>
                <w:sz w:val="14"/>
                <w:szCs w:val="14"/>
                <w:b w:val="1"/>
                <w:bCs w:val="1"/>
                <w:color w:val="auto"/>
              </w:rPr>
              <w:t>Operations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ind w:right="209"/>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Income (a)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6"/>
              </w:rPr>
              <w:t>Share Amount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vMerge w:val="continue"/>
          </w:tcPr>
          <w:p>
            <w:pPr>
              <w:spacing w:after="0"/>
              <w:rPr>
                <w:sz w:val="10"/>
                <w:szCs w:val="10"/>
                <w:color w:val="auto"/>
              </w:rPr>
            </w:pPr>
          </w:p>
        </w:tc>
        <w:tc>
          <w:tcPr>
            <w:tcW w:w="1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699</w:t>
            </w:r>
          </w:p>
        </w:tc>
        <w:tc>
          <w:tcPr>
            <w:tcW w:w="120" w:type="dxa"/>
            <w:vAlign w:val="bottom"/>
          </w:tcPr>
          <w:p>
            <w:pPr>
              <w:spacing w:after="0"/>
              <w:rPr>
                <w:sz w:val="10"/>
                <w:szCs w:val="10"/>
                <w:color w:val="auto"/>
              </w:rPr>
            </w:pPr>
          </w:p>
        </w:tc>
        <w:tc>
          <w:tcPr>
            <w:tcW w:w="240" w:type="dxa"/>
            <w:vAlign w:val="bottom"/>
            <w:tcBorders>
              <w:top w:val="single" w:sz="8" w:color="auto"/>
            </w:tcBorders>
          </w:tcPr>
          <w:p>
            <w:pPr>
              <w:jc w:val="right"/>
              <w:ind w:right="51"/>
              <w:spacing w:after="0" w:line="119" w:lineRule="exact"/>
              <w:rPr>
                <w:sz w:val="20"/>
                <w:szCs w:val="20"/>
                <w:color w:val="auto"/>
              </w:rPr>
            </w:pPr>
            <w:r>
              <w:rPr>
                <w:rFonts w:ascii="Arial" w:cs="Arial" w:eastAsia="Arial" w:hAnsi="Arial"/>
                <w:sz w:val="13"/>
                <w:szCs w:val="13"/>
                <w:b w:val="1"/>
                <w:bCs w:val="1"/>
                <w:color w:val="auto"/>
              </w:rPr>
              <w:t>$</w:t>
            </w:r>
          </w:p>
        </w:tc>
        <w:tc>
          <w:tcPr>
            <w:tcW w:w="92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597</w:t>
            </w:r>
          </w:p>
        </w:tc>
        <w:tc>
          <w:tcPr>
            <w:tcW w:w="120" w:type="dxa"/>
            <w:vAlign w:val="bottom"/>
          </w:tcPr>
          <w:p>
            <w:pPr>
              <w:spacing w:after="0"/>
              <w:rPr>
                <w:sz w:val="10"/>
                <w:szCs w:val="10"/>
                <w:color w:val="auto"/>
              </w:rPr>
            </w:pPr>
          </w:p>
        </w:tc>
        <w:tc>
          <w:tcPr>
            <w:tcW w:w="1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jc w:val="right"/>
              <w:ind w:right="49"/>
              <w:spacing w:after="0" w:line="119" w:lineRule="exact"/>
              <w:rPr>
                <w:sz w:val="20"/>
                <w:szCs w:val="20"/>
                <w:color w:val="auto"/>
              </w:rPr>
            </w:pPr>
            <w:r>
              <w:rPr>
                <w:rFonts w:ascii="Arial" w:cs="Arial" w:eastAsia="Arial" w:hAnsi="Arial"/>
                <w:sz w:val="13"/>
                <w:szCs w:val="13"/>
                <w:b w:val="1"/>
                <w:bCs w:val="1"/>
                <w:color w:val="auto"/>
              </w:rPr>
              <w:t>99</w:t>
            </w:r>
          </w:p>
        </w:tc>
        <w:tc>
          <w:tcPr>
            <w:tcW w:w="100" w:type="dxa"/>
            <w:vAlign w:val="bottom"/>
          </w:tcPr>
          <w:p>
            <w:pPr>
              <w:spacing w:after="0"/>
              <w:rPr>
                <w:sz w:val="10"/>
                <w:szCs w:val="10"/>
                <w:color w:val="auto"/>
              </w:rPr>
            </w:pPr>
          </w:p>
        </w:tc>
        <w:tc>
          <w:tcPr>
            <w:tcW w:w="180" w:type="dxa"/>
            <w:vAlign w:val="bottom"/>
            <w:tcBorders>
              <w:top w:val="single" w:sz="8" w:color="auto"/>
            </w:tcBorders>
          </w:tcPr>
          <w:p>
            <w:pPr>
              <w:jc w:val="right"/>
              <w:ind w:right="11"/>
              <w:spacing w:after="0" w:line="119" w:lineRule="exact"/>
              <w:rPr>
                <w:sz w:val="20"/>
                <w:szCs w:val="20"/>
                <w:color w:val="auto"/>
              </w:rPr>
            </w:pPr>
            <w:r>
              <w:rPr>
                <w:rFonts w:ascii="Arial" w:cs="Arial" w:eastAsia="Arial" w:hAnsi="Arial"/>
                <w:sz w:val="13"/>
                <w:szCs w:val="13"/>
                <w:b w:val="1"/>
                <w:bCs w:val="1"/>
                <w:color w:val="auto"/>
              </w:rPr>
              <w:t>$</w:t>
            </w:r>
          </w:p>
        </w:tc>
        <w:tc>
          <w:tcPr>
            <w:tcW w:w="9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499</w:t>
            </w:r>
          </w:p>
        </w:tc>
        <w:tc>
          <w:tcPr>
            <w:tcW w:w="120" w:type="dxa"/>
            <w:vAlign w:val="bottom"/>
          </w:tcPr>
          <w:p>
            <w:pPr>
              <w:spacing w:after="0"/>
              <w:rPr>
                <w:sz w:val="10"/>
                <w:szCs w:val="10"/>
                <w:color w:val="auto"/>
              </w:rPr>
            </w:pPr>
          </w:p>
        </w:tc>
        <w:tc>
          <w:tcPr>
            <w:tcW w:w="1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tcBorders>
          </w:tcPr>
          <w:p>
            <w:pPr>
              <w:jc w:val="right"/>
              <w:ind w:right="50"/>
              <w:spacing w:after="0" w:line="119" w:lineRule="exact"/>
              <w:rPr>
                <w:sz w:val="20"/>
                <w:szCs w:val="20"/>
                <w:color w:val="auto"/>
              </w:rPr>
            </w:pPr>
            <w:r>
              <w:rPr>
                <w:rFonts w:ascii="Arial" w:cs="Arial" w:eastAsia="Arial" w:hAnsi="Arial"/>
                <w:sz w:val="13"/>
                <w:szCs w:val="13"/>
                <w:b w:val="1"/>
                <w:bCs w:val="1"/>
                <w:color w:val="auto"/>
              </w:rPr>
              <w:t>1.16</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020" w:type="dxa"/>
            <w:vAlign w:val="bottom"/>
          </w:tcPr>
          <w:p>
            <w:pPr>
              <w:spacing w:after="0" w:line="153" w:lineRule="exact"/>
              <w:rPr>
                <w:sz w:val="20"/>
                <w:szCs w:val="20"/>
                <w:color w:val="auto"/>
              </w:rPr>
            </w:pPr>
            <w:r>
              <w:rPr>
                <w:rFonts w:ascii="Arial" w:cs="Arial" w:eastAsia="Arial" w:hAnsi="Arial"/>
                <w:sz w:val="14"/>
                <w:szCs w:val="14"/>
                <w:b w:val="1"/>
                <w:bCs w:val="1"/>
                <w:color w:val="auto"/>
              </w:rPr>
              <w:t>Adjustments:</w:t>
            </w: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Benefit primarily related to favorable adjustments from tax</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reform and changes in state tax laws</w:t>
            </w:r>
          </w:p>
        </w:tc>
        <w:tc>
          <w:tcPr>
            <w:tcW w:w="140" w:type="dxa"/>
            <w:vAlign w:val="bottom"/>
          </w:tcPr>
          <w:p>
            <w:pPr>
              <w:spacing w:after="0"/>
              <w:rPr>
                <w:sz w:val="12"/>
                <w:szCs w:val="12"/>
                <w:color w:val="auto"/>
              </w:rPr>
            </w:pPr>
          </w:p>
        </w:tc>
        <w:tc>
          <w:tcPr>
            <w:tcW w:w="10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right"/>
              <w:ind w:right="49"/>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w w:val="97"/>
              </w:rPr>
              <w:t>Impairment of a disposal asset and multiemployer pension plan</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020" w:type="dxa"/>
            <w:vAlign w:val="bottom"/>
          </w:tcPr>
          <w:p>
            <w:pPr>
              <w:ind w:left="180"/>
              <w:spacing w:after="0"/>
              <w:rPr>
                <w:sz w:val="20"/>
                <w:szCs w:val="20"/>
                <w:color w:val="auto"/>
              </w:rPr>
            </w:pPr>
            <w:r>
              <w:rPr>
                <w:rFonts w:ascii="Arial" w:cs="Arial" w:eastAsia="Arial" w:hAnsi="Arial"/>
                <w:sz w:val="14"/>
                <w:szCs w:val="14"/>
                <w:color w:val="auto"/>
              </w:rPr>
              <w:t>accrual</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As adjusted amounts</w:t>
            </w:r>
          </w:p>
        </w:tc>
        <w:tc>
          <w:tcPr>
            <w:tcW w:w="1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49"/>
              <w:spacing w:after="0" w:line="142" w:lineRule="exact"/>
              <w:rPr>
                <w:sz w:val="20"/>
                <w:szCs w:val="20"/>
                <w:color w:val="auto"/>
              </w:rPr>
            </w:pPr>
            <w:r>
              <w:rPr>
                <w:rFonts w:ascii="Arial" w:cs="Arial" w:eastAsia="Arial" w:hAnsi="Arial"/>
                <w:sz w:val="14"/>
                <w:szCs w:val="14"/>
                <w:b w:val="1"/>
                <w:bCs w:val="1"/>
                <w:color w:val="auto"/>
              </w:rPr>
              <w:t>731</w:t>
            </w:r>
          </w:p>
        </w:tc>
        <w:tc>
          <w:tcPr>
            <w:tcW w:w="120" w:type="dxa"/>
            <w:vAlign w:val="bottom"/>
          </w:tcPr>
          <w:p>
            <w:pPr>
              <w:spacing w:after="0"/>
              <w:rPr>
                <w:sz w:val="12"/>
                <w:szCs w:val="12"/>
                <w:color w:val="auto"/>
              </w:rPr>
            </w:pPr>
          </w:p>
        </w:tc>
        <w:tc>
          <w:tcPr>
            <w:tcW w:w="24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9"/>
              <w:spacing w:after="0" w:line="142" w:lineRule="exact"/>
              <w:rPr>
                <w:sz w:val="20"/>
                <w:szCs w:val="20"/>
                <w:color w:val="auto"/>
              </w:rPr>
            </w:pPr>
            <w:r>
              <w:rPr>
                <w:rFonts w:ascii="Arial" w:cs="Arial" w:eastAsia="Arial" w:hAnsi="Arial"/>
                <w:sz w:val="14"/>
                <w:szCs w:val="14"/>
                <w:b w:val="1"/>
                <w:bCs w:val="1"/>
                <w:color w:val="auto"/>
              </w:rPr>
              <w:t>629</w:t>
            </w:r>
          </w:p>
        </w:tc>
        <w:tc>
          <w:tcPr>
            <w:tcW w:w="120" w:type="dxa"/>
            <w:vAlign w:val="bottom"/>
          </w:tcPr>
          <w:p>
            <w:pPr>
              <w:spacing w:after="0"/>
              <w:rPr>
                <w:sz w:val="12"/>
                <w:szCs w:val="12"/>
                <w:color w:val="auto"/>
              </w:rPr>
            </w:pPr>
          </w:p>
        </w:tc>
        <w:tc>
          <w:tcPr>
            <w:tcW w:w="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9"/>
              <w:spacing w:after="0" w:line="142" w:lineRule="exact"/>
              <w:rPr>
                <w:sz w:val="20"/>
                <w:szCs w:val="20"/>
                <w:color w:val="auto"/>
              </w:rPr>
            </w:pPr>
            <w:r>
              <w:rPr>
                <w:rFonts w:ascii="Arial" w:cs="Arial" w:eastAsia="Arial" w:hAnsi="Arial"/>
                <w:sz w:val="14"/>
                <w:szCs w:val="14"/>
                <w:b w:val="1"/>
                <w:bCs w:val="1"/>
                <w:color w:val="auto"/>
              </w:rPr>
              <w:t>134</w:t>
            </w:r>
          </w:p>
        </w:tc>
        <w:tc>
          <w:tcPr>
            <w:tcW w:w="100" w:type="dxa"/>
            <w:vAlign w:val="bottom"/>
          </w:tcPr>
          <w:p>
            <w:pPr>
              <w:spacing w:after="0"/>
              <w:rPr>
                <w:sz w:val="12"/>
                <w:szCs w:val="12"/>
                <w:color w:val="auto"/>
              </w:rPr>
            </w:pPr>
          </w:p>
        </w:tc>
        <w:tc>
          <w:tcPr>
            <w:tcW w:w="180" w:type="dxa"/>
            <w:vAlign w:val="bottom"/>
          </w:tcPr>
          <w:p>
            <w:pPr>
              <w:jc w:val="right"/>
              <w:ind w:right="11"/>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496</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50"/>
              <w:spacing w:after="0" w:line="142" w:lineRule="exact"/>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20" w:type="dxa"/>
            <w:vAlign w:val="bottom"/>
          </w:tcPr>
          <w:p>
            <w:pPr>
              <w:ind w:left="180"/>
              <w:spacing w:after="0" w:line="149" w:lineRule="exact"/>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9"/>
              <w:spacing w:after="0" w:line="149" w:lineRule="exact"/>
              <w:rPr>
                <w:sz w:val="20"/>
                <w:szCs w:val="20"/>
                <w:color w:val="auto"/>
              </w:rPr>
            </w:pPr>
            <w:r>
              <w:rPr>
                <w:rFonts w:ascii="Arial" w:cs="Arial" w:eastAsia="Arial" w:hAnsi="Arial"/>
                <w:sz w:val="14"/>
                <w:szCs w:val="14"/>
                <w:color w:val="auto"/>
              </w:rPr>
              <w:t>376</w:t>
            </w: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line="142" w:lineRule="exact"/>
              <w:rPr>
                <w:sz w:val="20"/>
                <w:szCs w:val="20"/>
                <w:color w:val="auto"/>
              </w:rPr>
            </w:pPr>
            <w:r>
              <w:rPr>
                <w:rFonts w:ascii="Arial" w:cs="Arial" w:eastAsia="Arial" w:hAnsi="Arial"/>
                <w:sz w:val="14"/>
                <w:szCs w:val="14"/>
                <w:b w:val="1"/>
                <w:bCs w:val="1"/>
                <w:color w:val="auto"/>
              </w:rPr>
              <w:t>Adjusted operating EBITDA</w:t>
            </w: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49"/>
              <w:spacing w:after="0" w:line="142" w:lineRule="exact"/>
              <w:rPr>
                <w:sz w:val="20"/>
                <w:szCs w:val="20"/>
                <w:color w:val="auto"/>
              </w:rPr>
            </w:pPr>
            <w:r>
              <w:rPr>
                <w:rFonts w:ascii="Arial" w:cs="Arial" w:eastAsia="Arial" w:hAnsi="Arial"/>
                <w:sz w:val="14"/>
                <w:szCs w:val="14"/>
                <w:b w:val="1"/>
                <w:bCs w:val="1"/>
                <w:color w:val="auto"/>
              </w:rPr>
              <w:t>1,107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1166495</wp:posOffset>
            </wp:positionV>
            <wp:extent cx="18097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For purposes of this press release table, all references to "Net income" refer to the financial statement line item "Net income attributable to 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Operating Expenses and Adjusted Operating</w:t>
            </w:r>
          </w:p>
        </w:tc>
        <w:tc>
          <w:tcPr>
            <w:tcW w:w="160" w:type="dxa"/>
            <w:vAlign w:val="bottom"/>
          </w:tcPr>
          <w:p>
            <w:pPr>
              <w:spacing w:after="0"/>
              <w:rPr>
                <w:sz w:val="12"/>
                <w:szCs w:val="12"/>
                <w:color w:val="auto"/>
              </w:rPr>
            </w:pPr>
          </w:p>
        </w:tc>
        <w:tc>
          <w:tcPr>
            <w:tcW w:w="2540" w:type="dxa"/>
            <w:vAlign w:val="bottom"/>
            <w:gridSpan w:val="6"/>
          </w:tcPr>
          <w:p>
            <w:pPr>
              <w:jc w:val="right"/>
              <w:ind w:right="908"/>
              <w:spacing w:after="0" w:line="142" w:lineRule="exact"/>
              <w:rPr>
                <w:sz w:val="20"/>
                <w:szCs w:val="20"/>
                <w:color w:val="auto"/>
              </w:rPr>
            </w:pPr>
            <w:r>
              <w:rPr>
                <w:rFonts w:ascii="Arial" w:cs="Arial" w:eastAsia="Arial" w:hAnsi="Arial"/>
                <w:sz w:val="14"/>
                <w:szCs w:val="14"/>
                <w:b w:val="1"/>
                <w:bCs w:val="1"/>
                <w:color w:val="auto"/>
              </w:rPr>
              <w:t>September 30, 2019</w:t>
            </w:r>
          </w:p>
        </w:tc>
        <w:tc>
          <w:tcPr>
            <w:tcW w:w="2180" w:type="dxa"/>
            <w:vAlign w:val="bottom"/>
            <w:gridSpan w:val="3"/>
          </w:tcPr>
          <w:p>
            <w:pPr>
              <w:jc w:val="right"/>
              <w:ind w:right="531"/>
              <w:spacing w:after="0" w:line="142" w:lineRule="exact"/>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19"/>
        </w:trPr>
        <w:tc>
          <w:tcPr>
            <w:tcW w:w="6540" w:type="dxa"/>
            <w:vAlign w:val="bottom"/>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top w:val="single" w:sz="8" w:color="auto"/>
            </w:tcBorders>
            <w:vMerge w:val="restart"/>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09"/>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11"/>
              <w:spacing w:after="0" w:line="119" w:lineRule="exact"/>
              <w:rPr>
                <w:sz w:val="20"/>
                <w:szCs w:val="20"/>
                <w:color w:val="auto"/>
              </w:rPr>
            </w:pPr>
            <w:r>
              <w:rPr>
                <w:rFonts w:ascii="Arial" w:cs="Arial" w:eastAsia="Arial" w:hAnsi="Arial"/>
                <w:sz w:val="13"/>
                <w:szCs w:val="13"/>
                <w:b w:val="1"/>
                <w:bCs w:val="1"/>
                <w:color w:val="auto"/>
              </w:rPr>
              <w:t>As a % of</w:t>
            </w:r>
          </w:p>
        </w:tc>
        <w:tc>
          <w:tcPr>
            <w:tcW w:w="0" w:type="dxa"/>
            <w:vAlign w:val="bottom"/>
          </w:tcPr>
          <w:p>
            <w:pPr>
              <w:spacing w:after="0"/>
              <w:rPr>
                <w:sz w:val="1"/>
                <w:szCs w:val="1"/>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Expenses Margin</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306"/>
        </w:trPr>
        <w:tc>
          <w:tcPr>
            <w:tcW w:w="654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3,967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3,822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40" w:type="dxa"/>
            <w:vAlign w:val="bottom"/>
          </w:tcPr>
          <w:p>
            <w:pPr>
              <w:ind w:left="180"/>
              <w:spacing w:after="0"/>
              <w:rPr>
                <w:sz w:val="20"/>
                <w:szCs w:val="20"/>
                <w:color w:val="auto"/>
              </w:rPr>
            </w:pPr>
            <w:r>
              <w:rPr>
                <w:rFonts w:ascii="Arial" w:cs="Arial" w:eastAsia="Arial" w:hAnsi="Arial"/>
                <w:sz w:val="14"/>
                <w:szCs w:val="14"/>
                <w:b w:val="1"/>
                <w:bCs w:val="1"/>
                <w:color w:val="auto"/>
              </w:rPr>
              <w:t>Operating expenses, as reported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2,441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61.5%  $</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2,373</w:t>
            </w: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62.1%</w:t>
            </w:r>
          </w:p>
        </w:tc>
        <w:tc>
          <w:tcPr>
            <w:tcW w:w="0" w:type="dxa"/>
            <w:vAlign w:val="bottom"/>
          </w:tcPr>
          <w:p>
            <w:pPr>
              <w:spacing w:after="0"/>
              <w:rPr>
                <w:sz w:val="1"/>
                <w:szCs w:val="1"/>
                <w:color w:val="auto"/>
              </w:rPr>
            </w:pPr>
          </w:p>
        </w:tc>
      </w:tr>
      <w:tr>
        <w:trPr>
          <w:trHeight w:val="153"/>
        </w:trPr>
        <w:tc>
          <w:tcPr>
            <w:tcW w:w="65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40" w:type="dxa"/>
            <w:vAlign w:val="bottom"/>
          </w:tcPr>
          <w:p>
            <w:pPr>
              <w:ind w:left="340"/>
              <w:spacing w:after="0"/>
              <w:rPr>
                <w:sz w:val="20"/>
                <w:szCs w:val="20"/>
                <w:color w:val="auto"/>
              </w:rPr>
            </w:pPr>
            <w:r>
              <w:rPr>
                <w:rFonts w:ascii="Arial" w:cs="Arial" w:eastAsia="Arial" w:hAnsi="Arial"/>
                <w:sz w:val="14"/>
                <w:szCs w:val="14"/>
                <w:color w:val="auto"/>
              </w:rPr>
              <w:t>Charges related to multiemployer pension plans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Adjusted operating expenses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2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2,370</w:t>
            </w:r>
          </w:p>
        </w:tc>
        <w:tc>
          <w:tcPr>
            <w:tcW w:w="12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62.0%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6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6"/>
          </w:tcPr>
          <w:p>
            <w:pPr>
              <w:jc w:val="right"/>
              <w:ind w:right="768"/>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Adjusted Selling, General &amp; Administrative (SG&amp;A)</w:t>
            </w:r>
          </w:p>
        </w:tc>
        <w:tc>
          <w:tcPr>
            <w:tcW w:w="160" w:type="dxa"/>
            <w:vAlign w:val="bottom"/>
          </w:tcPr>
          <w:p>
            <w:pPr>
              <w:spacing w:after="0"/>
              <w:rPr>
                <w:sz w:val="14"/>
                <w:szCs w:val="14"/>
                <w:color w:val="auto"/>
              </w:rPr>
            </w:pPr>
          </w:p>
        </w:tc>
        <w:tc>
          <w:tcPr>
            <w:tcW w:w="2540" w:type="dxa"/>
            <w:vAlign w:val="bottom"/>
            <w:gridSpan w:val="6"/>
          </w:tcPr>
          <w:p>
            <w:pPr>
              <w:jc w:val="right"/>
              <w:ind w:right="788"/>
              <w:spacing w:after="0"/>
              <w:rPr>
                <w:sz w:val="20"/>
                <w:szCs w:val="20"/>
                <w:color w:val="auto"/>
              </w:rPr>
            </w:pPr>
            <w:r>
              <w:rPr>
                <w:rFonts w:ascii="Arial" w:cs="Arial" w:eastAsia="Arial" w:hAnsi="Arial"/>
                <w:sz w:val="14"/>
                <w:szCs w:val="14"/>
                <w:b w:val="1"/>
                <w:bCs w:val="1"/>
                <w:color w:val="auto"/>
              </w:rPr>
              <w:t>September 30, 2019</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vMerge w:val="continue"/>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09"/>
              <w:spacing w:after="0" w:line="119" w:lineRule="exact"/>
              <w:rPr>
                <w:sz w:val="20"/>
                <w:szCs w:val="20"/>
                <w:color w:val="auto"/>
              </w:rPr>
            </w:pPr>
            <w:r>
              <w:rPr>
                <w:rFonts w:ascii="Arial" w:cs="Arial" w:eastAsia="Arial" w:hAnsi="Arial"/>
                <w:sz w:val="13"/>
                <w:szCs w:val="13"/>
                <w:b w:val="1"/>
                <w:bCs w:val="1"/>
                <w:color w:val="auto"/>
              </w:rPr>
              <w:t>As a %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20"/>
                <w:szCs w:val="20"/>
                <w:color w:val="auto"/>
              </w:rPr>
            </w:pPr>
            <w:r>
              <w:rPr>
                <w:rFonts w:ascii="Arial" w:cs="Arial" w:eastAsia="Arial" w:hAnsi="Arial"/>
                <w:sz w:val="14"/>
                <w:szCs w:val="14"/>
                <w:b w:val="1"/>
                <w:bCs w:val="1"/>
                <w:i w:val="1"/>
                <w:iCs w:val="1"/>
                <w:color w:val="auto"/>
              </w:rPr>
              <w:t>Expenses and Adjusted SG&amp;A Margin</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428"/>
              <w:spacing w:after="0"/>
              <w:rPr>
                <w:sz w:val="20"/>
                <w:szCs w:val="20"/>
                <w:color w:val="auto"/>
              </w:rPr>
            </w:pPr>
            <w:r>
              <w:rPr>
                <w:rFonts w:ascii="Arial" w:cs="Arial" w:eastAsia="Arial" w:hAnsi="Arial"/>
                <w:sz w:val="14"/>
                <w:szCs w:val="14"/>
                <w:b w:val="1"/>
                <w:bCs w:val="1"/>
                <w:color w:val="auto"/>
                <w:w w:val="90"/>
              </w:rPr>
              <w:t>Revenues</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6"/>
        </w:trPr>
        <w:tc>
          <w:tcPr>
            <w:tcW w:w="6540" w:type="dxa"/>
            <w:vAlign w:val="bottom"/>
          </w:tcPr>
          <w:p>
            <w:pPr>
              <w:ind w:left="180"/>
              <w:spacing w:after="0"/>
              <w:rPr>
                <w:sz w:val="20"/>
                <w:szCs w:val="20"/>
                <w:color w:val="auto"/>
              </w:rPr>
            </w:pPr>
            <w:r>
              <w:rPr>
                <w:rFonts w:ascii="Arial" w:cs="Arial" w:eastAsia="Arial" w:hAnsi="Arial"/>
                <w:sz w:val="14"/>
                <w:szCs w:val="14"/>
                <w:b w:val="1"/>
                <w:bCs w:val="1"/>
                <w:color w:val="auto"/>
              </w:rPr>
              <w:t>Operating revenues, as reported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11,609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6540" w:type="dxa"/>
            <w:vAlign w:val="bottom"/>
          </w:tcPr>
          <w:p>
            <w:pPr>
              <w:ind w:left="180"/>
              <w:spacing w:after="0"/>
              <w:rPr>
                <w:sz w:val="20"/>
                <w:szCs w:val="20"/>
                <w:color w:val="auto"/>
              </w:rPr>
            </w:pPr>
            <w:r>
              <w:rPr>
                <w:rFonts w:ascii="Arial" w:cs="Arial" w:eastAsia="Arial" w:hAnsi="Arial"/>
                <w:sz w:val="14"/>
                <w:szCs w:val="14"/>
                <w:b w:val="1"/>
                <w:bCs w:val="1"/>
                <w:color w:val="auto"/>
              </w:rPr>
              <w:t>SG&amp;A expenses, as reported</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b w:val="1"/>
                <w:bCs w:val="1"/>
                <w:color w:val="auto"/>
              </w:rPr>
              <w:t>1,186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10.2%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65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Adjustment:</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6540" w:type="dxa"/>
            <w:vAlign w:val="bottom"/>
          </w:tcPr>
          <w:p>
            <w:pPr>
              <w:ind w:left="340"/>
              <w:spacing w:after="0"/>
              <w:rPr>
                <w:sz w:val="20"/>
                <w:szCs w:val="20"/>
                <w:color w:val="auto"/>
              </w:rPr>
            </w:pPr>
            <w:r>
              <w:rPr>
                <w:rFonts w:ascii="Arial" w:cs="Arial" w:eastAsia="Arial" w:hAnsi="Arial"/>
                <w:sz w:val="14"/>
                <w:szCs w:val="14"/>
                <w:color w:val="auto"/>
              </w:rPr>
              <w:t>ADS acquisition-related costs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Adjusted SG&amp;A expenses</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1,177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10.1%</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2019 Projected Free Cash Flow Reconciliation (a)</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65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Scenario 1</w:t>
            </w:r>
          </w:p>
        </w:tc>
        <w:tc>
          <w:tcPr>
            <w:tcW w:w="180" w:type="dxa"/>
            <w:vAlign w:val="bottom"/>
          </w:tcPr>
          <w:p>
            <w:pPr>
              <w:spacing w:after="0"/>
              <w:rPr>
                <w:sz w:val="24"/>
                <w:szCs w:val="24"/>
                <w:color w:val="auto"/>
              </w:rPr>
            </w:pPr>
          </w:p>
        </w:tc>
        <w:tc>
          <w:tcPr>
            <w:tcW w:w="1300" w:type="dxa"/>
            <w:vAlign w:val="bottom"/>
            <w:gridSpan w:val="3"/>
            <w:vMerge w:val="restart"/>
          </w:tcPr>
          <w:p>
            <w:pPr>
              <w:jc w:val="center"/>
              <w:ind w:right="428"/>
              <w:spacing w:after="0"/>
              <w:rPr>
                <w:sz w:val="20"/>
                <w:szCs w:val="20"/>
                <w:color w:val="auto"/>
              </w:rPr>
            </w:pPr>
            <w:r>
              <w:rPr>
                <w:rFonts w:ascii="Arial" w:cs="Arial" w:eastAsia="Arial" w:hAnsi="Arial"/>
                <w:sz w:val="14"/>
                <w:szCs w:val="14"/>
                <w:b w:val="1"/>
                <w:bCs w:val="1"/>
                <w:color w:val="auto"/>
                <w:w w:val="90"/>
              </w:rPr>
              <w:t>Scenario 2</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540" w:type="dxa"/>
            <w:vAlign w:val="bottom"/>
            <w:vMerge w:val="restart"/>
          </w:tcPr>
          <w:p>
            <w:pPr>
              <w:ind w:left="340"/>
              <w:spacing w:after="0"/>
              <w:rPr>
                <w:sz w:val="20"/>
                <w:szCs w:val="20"/>
                <w:color w:val="auto"/>
              </w:rPr>
            </w:pPr>
            <w:r>
              <w:rPr>
                <w:rFonts w:ascii="Arial" w:cs="Arial" w:eastAsia="Arial" w:hAnsi="Arial"/>
                <w:sz w:val="14"/>
                <w:szCs w:val="14"/>
                <w:color w:val="auto"/>
              </w:rPr>
              <w:t>Net cash provided by operating activities (b)</w:t>
            </w:r>
          </w:p>
        </w:tc>
        <w:tc>
          <w:tcPr>
            <w:tcW w:w="16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6540" w:type="dxa"/>
            <w:vAlign w:val="bottom"/>
            <w:vMerge w:val="continue"/>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3,750</w:t>
            </w:r>
          </w:p>
        </w:tc>
        <w:tc>
          <w:tcPr>
            <w:tcW w:w="100" w:type="dxa"/>
            <w:vAlign w:val="bottom"/>
          </w:tcPr>
          <w:p>
            <w:pPr>
              <w:spacing w:after="0"/>
              <w:rPr>
                <w:sz w:val="10"/>
                <w:szCs w:val="10"/>
                <w:color w:val="auto"/>
              </w:rPr>
            </w:pPr>
          </w:p>
        </w:tc>
        <w:tc>
          <w:tcPr>
            <w:tcW w:w="18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ind w:right="69"/>
              <w:spacing w:after="0" w:line="123" w:lineRule="exact"/>
              <w:rPr>
                <w:sz w:val="20"/>
                <w:szCs w:val="20"/>
                <w:color w:val="auto"/>
              </w:rPr>
            </w:pPr>
            <w:r>
              <w:rPr>
                <w:rFonts w:ascii="Arial" w:cs="Arial" w:eastAsia="Arial" w:hAnsi="Arial"/>
                <w:sz w:val="14"/>
                <w:szCs w:val="14"/>
                <w:color w:val="auto"/>
              </w:rPr>
              <w:t>3,850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40" w:type="dxa"/>
            <w:vAlign w:val="bottom"/>
          </w:tcPr>
          <w:p>
            <w:pPr>
              <w:ind w:left="340"/>
              <w:spacing w:after="0" w:line="149" w:lineRule="exact"/>
              <w:rPr>
                <w:sz w:val="20"/>
                <w:szCs w:val="20"/>
                <w:color w:val="auto"/>
              </w:rPr>
            </w:pPr>
            <w:r>
              <w:rPr>
                <w:rFonts w:ascii="Arial" w:cs="Arial" w:eastAsia="Arial" w:hAnsi="Arial"/>
                <w:sz w:val="14"/>
                <w:szCs w:val="14"/>
                <w:color w:val="auto"/>
              </w:rPr>
              <w:t>Capital expenditures (c)</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(1,775)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(1,825)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40" w:type="dxa"/>
            <w:vAlign w:val="bottom"/>
          </w:tcPr>
          <w:p>
            <w:pPr>
              <w:ind w:left="340"/>
              <w:spacing w:after="0"/>
              <w:rPr>
                <w:sz w:val="20"/>
                <w:szCs w:val="20"/>
                <w:color w:val="auto"/>
              </w:rPr>
            </w:pPr>
            <w:r>
              <w:rPr>
                <w:rFonts w:ascii="Arial" w:cs="Arial" w:eastAsia="Arial" w:hAnsi="Arial"/>
                <w:sz w:val="14"/>
                <w:szCs w:val="14"/>
                <w:color w:val="auto"/>
              </w:rPr>
              <w:t>Proceeds from divestitures of businesses and other assets (net of cash divested)</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rPr>
              <w:t>Free cash flow</w:t>
            </w:r>
          </w:p>
        </w:tc>
        <w:tc>
          <w:tcPr>
            <w:tcW w:w="1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2"/>
                <w:szCs w:val="12"/>
                <w:color w:val="auto"/>
              </w:rPr>
            </w:pPr>
          </w:p>
        </w:tc>
        <w:tc>
          <w:tcPr>
            <w:tcW w:w="18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69"/>
              <w:spacing w:after="0" w:line="142" w:lineRule="exact"/>
              <w:rPr>
                <w:sz w:val="20"/>
                <w:szCs w:val="20"/>
                <w:color w:val="auto"/>
              </w:rPr>
            </w:pPr>
            <w:r>
              <w:rPr>
                <w:rFonts w:ascii="Arial" w:cs="Arial" w:eastAsia="Arial" w:hAnsi="Arial"/>
                <w:sz w:val="14"/>
                <w:szCs w:val="14"/>
                <w:b w:val="1"/>
                <w:bCs w:val="1"/>
                <w:color w:val="auto"/>
              </w:rPr>
              <w:t>2,075</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18097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00" w:right="40" w:hanging="492"/>
        <w:spacing w:after="0" w:line="253" w:lineRule="auto"/>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The reconciliation includes two scenarios that illustrate our projected free cash flow range for 2019. The amounts used in the reconciliation are subject to many variables, some of which are not under our control and, therefore, are not necessarily indicative of actual results.</w:t>
      </w:r>
    </w:p>
    <w:p>
      <w:pPr>
        <w:spacing w:after="0" w:line="173" w:lineRule="exact"/>
        <w:rPr>
          <w:rFonts w:ascii="Arial" w:cs="Arial" w:eastAsia="Arial" w:hAnsi="Arial"/>
          <w:sz w:val="14"/>
          <w:szCs w:val="14"/>
          <w:b w:val="1"/>
          <w:bCs w:val="1"/>
          <w:color w:val="auto"/>
        </w:rPr>
      </w:pPr>
    </w:p>
    <w:p>
      <w:pPr>
        <w:ind w:left="500" w:hanging="492"/>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Excludes approximately $25 million of cash interest associated with financing the ADS acquisition, which is expected to be paid in the fourth quarter of 2019.</w:t>
      </w:r>
    </w:p>
    <w:p>
      <w:pPr>
        <w:spacing w:after="0" w:line="203" w:lineRule="exact"/>
        <w:rPr>
          <w:rFonts w:ascii="Arial" w:cs="Arial" w:eastAsia="Arial" w:hAnsi="Arial"/>
          <w:sz w:val="14"/>
          <w:szCs w:val="14"/>
          <w:b w:val="1"/>
          <w:bCs w:val="1"/>
          <w:color w:val="auto"/>
        </w:rPr>
      </w:pPr>
    </w:p>
    <w:p>
      <w:pPr>
        <w:ind w:left="500" w:hanging="492"/>
        <w:spacing w:after="0"/>
        <w:tabs>
          <w:tab w:leader="none" w:pos="50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Excludes approximately $35 - $40 million of capital investment in renewable natural gas plants for the full year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decimal"/>
      <w:start w:val="483"/>
    </w:lvl>
  </w:abstractNum>
  <w:abstractNum w:abstractNumId="12">
    <w:nsid w:val="7FDCC233"/>
    <w:multiLevelType w:val="hybridMultilevel"/>
    <w:lvl w:ilvl="0">
      <w:lvlJc w:val="left"/>
      <w:lvlText w:val="9"/>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2019-12-28T04:44:21Z</dcterms:created>
  <dcterms:modified xsi:type="dcterms:W3CDTF">2019-12-28T04:44:21Z</dcterms:modified>
</cp:coreProperties>
</file>