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ind w:left="7860"/>
        <w:spacing w:after="0"/>
        <w:rPr>
          <w:sz w:val="20"/>
          <w:szCs w:val="20"/>
          <w:color w:val="auto"/>
        </w:rPr>
      </w:pPr>
      <w:r>
        <w:rPr>
          <w:rFonts w:ascii="Times New Roman" w:cs="Times New Roman" w:eastAsia="Times New Roman" w:hAnsi="Times New Roman"/>
          <w:sz w:val="17"/>
          <w:szCs w:val="17"/>
          <w:b w:val="1"/>
          <w:bCs w:val="1"/>
          <w:color w:val="auto"/>
        </w:rPr>
        <w:t> Filed Pursuant to Rule 424(b)(5)​</w:t>
      </w:r>
    </w:p>
    <w:p>
      <w:pPr>
        <w:spacing w:after="0" w:line="48" w:lineRule="exact"/>
        <w:rPr>
          <w:sz w:val="24"/>
          <w:szCs w:val="24"/>
          <w:color w:val="auto"/>
        </w:rPr>
      </w:pPr>
    </w:p>
    <w:p>
      <w:pPr>
        <w:ind w:left="7840"/>
        <w:spacing w:after="0"/>
        <w:rPr>
          <w:sz w:val="20"/>
          <w:szCs w:val="20"/>
          <w:color w:val="auto"/>
        </w:rPr>
      </w:pPr>
      <w:r>
        <w:rPr>
          <w:rFonts w:ascii="Times New Roman" w:cs="Times New Roman" w:eastAsia="Times New Roman" w:hAnsi="Times New Roman"/>
          <w:sz w:val="17"/>
          <w:szCs w:val="17"/>
          <w:b w:val="1"/>
          <w:bCs w:val="1"/>
          <w:color w:val="auto"/>
        </w:rPr>
        <w:t> Registration File No. 333-264493​</w:t>
      </w:r>
    </w:p>
    <w:p>
      <w:pPr>
        <w:spacing w:after="0" w:line="23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(To Prospectus dated April 26, 2022)</w:t>
      </w:r>
    </w:p>
    <w:p>
      <w:pPr>
        <w:spacing w:after="0" w:line="7"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$1,250,000,000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2291715</wp:posOffset>
            </wp:positionH>
            <wp:positionV relativeFrom="paragraph">
              <wp:posOffset>134620</wp:posOffset>
            </wp:positionV>
            <wp:extent cx="222885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885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25"/>
          <w:szCs w:val="25"/>
          <w:b w:val="1"/>
          <w:bCs w:val="1"/>
          <w:color w:val="auto"/>
        </w:rPr>
        <w:t>$750,000,000 4.625% Senior Notes due 2030</w:t>
      </w:r>
    </w:p>
    <w:p>
      <w:pPr>
        <w:spacing w:after="0" w:line="47"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25"/>
          <w:szCs w:val="25"/>
          <w:b w:val="1"/>
          <w:bCs w:val="1"/>
          <w:color w:val="auto"/>
        </w:rPr>
        <w:t>$500,000,000 4.625% Senior Notes due 2033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120650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6" w:lineRule="exact"/>
        <w:rPr>
          <w:sz w:val="24"/>
          <w:szCs w:val="24"/>
          <w:color w:val="auto"/>
        </w:rPr>
      </w:pPr>
    </w:p>
    <w:p>
      <w:pPr>
        <w:ind w:left="500" w:right="140" w:firstLine="360"/>
        <w:spacing w:after="0" w:line="247" w:lineRule="auto"/>
        <w:rPr>
          <w:sz w:val="20"/>
          <w:szCs w:val="20"/>
          <w:color w:val="auto"/>
        </w:rPr>
      </w:pPr>
      <w:r>
        <w:rPr>
          <w:rFonts w:ascii="Times New Roman" w:cs="Times New Roman" w:eastAsia="Times New Roman" w:hAnsi="Times New Roman"/>
          <w:sz w:val="18"/>
          <w:szCs w:val="18"/>
          <w:color w:val="auto"/>
        </w:rPr>
        <w:t>We are offering $1,250,000,000 of our senior notes, consisting of $750,000,000 of our 4.625% senior notes due 2030 (the “2030 notes”) and $500,000,000 of our 4.625% senior notes due 2033 (the “2033 notes” and, together with the 2030 notes, the “notes”). Interest on the notes will accrue from February 15, 2023 and will be payable on February 15 and August 15 of each year, beginning August 15, 2023. The 2030 notes will mature on February 15, 2030 and the 2033 notes will mature on February 15, 2033.</w:t>
      </w:r>
    </w:p>
    <w:p>
      <w:pPr>
        <w:spacing w:after="0" w:line="214" w:lineRule="exact"/>
        <w:rPr>
          <w:sz w:val="24"/>
          <w:szCs w:val="24"/>
          <w:color w:val="auto"/>
        </w:rPr>
      </w:pPr>
    </w:p>
    <w:p>
      <w:pPr>
        <w:ind w:left="500" w:right="120" w:firstLine="360"/>
        <w:spacing w:after="0" w:line="250" w:lineRule="auto"/>
        <w:rPr>
          <w:sz w:val="20"/>
          <w:szCs w:val="20"/>
          <w:color w:val="auto"/>
        </w:rPr>
      </w:pPr>
      <w:r>
        <w:rPr>
          <w:rFonts w:ascii="Times New Roman" w:cs="Times New Roman" w:eastAsia="Times New Roman" w:hAnsi="Times New Roman"/>
          <w:sz w:val="18"/>
          <w:szCs w:val="18"/>
          <w:color w:val="auto"/>
        </w:rPr>
        <w:t>The notes of each series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2" w:lineRule="exact"/>
        <w:rPr>
          <w:sz w:val="24"/>
          <w:szCs w:val="24"/>
          <w:color w:val="auto"/>
        </w:rPr>
      </w:pPr>
    </w:p>
    <w:p>
      <w:pPr>
        <w:jc w:val="both"/>
        <w:ind w:left="500" w:right="320" w:firstLine="360"/>
        <w:spacing w:after="0" w:line="254" w:lineRule="auto"/>
        <w:rPr>
          <w:sz w:val="20"/>
          <w:szCs w:val="20"/>
          <w:color w:val="auto"/>
        </w:rPr>
      </w:pPr>
      <w:r>
        <w:rPr>
          <w:rFonts w:ascii="Times New Roman" w:cs="Times New Roman" w:eastAsia="Times New Roman" w:hAnsi="Times New Roman"/>
          <w:sz w:val="18"/>
          <w:szCs w:val="18"/>
          <w:color w:val="auto"/>
        </w:rPr>
        <w:t>We may redeem each series of the notes, in whole or in part, at any time at the redemption prices described beginning on page S-12. If a change of control triggering event as described beginning on page S-15 occurs, we may be required to offer to purchase the notes of each series from holders.</w:t>
      </w:r>
    </w:p>
    <w:p>
      <w:pPr>
        <w:ind w:left="500" w:right="220"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Investing in the notes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S-5</w:t>
      </w:r>
      <w:r>
        <w:rPr>
          <w:rFonts w:ascii="Times New Roman" w:cs="Times New Roman" w:eastAsia="Times New Roman" w:hAnsi="Times New Roman"/>
          <w:sz w:val="18"/>
          <w:szCs w:val="18"/>
          <w:b w:val="1"/>
          <w:bCs w:val="1"/>
          <w:color w:val="auto"/>
        </w:rPr>
        <w:t xml:space="preserve"> of this prospectus supplement and page 8 of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77470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1" w:lineRule="exact"/>
        <w:rPr>
          <w:sz w:val="24"/>
          <w:szCs w:val="24"/>
          <w:color w:val="auto"/>
        </w:rPr>
      </w:pPr>
    </w:p>
    <w:p>
      <w:pPr>
        <w:ind w:left="500" w:right="400"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88900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63" w:lineRule="exact"/>
        <w:rPr>
          <w:sz w:val="24"/>
          <w:szCs w:val="24"/>
          <w:color w:val="auto"/>
        </w:rPr>
      </w:pPr>
    </w:p>
    <w:tbl>
      <w:tblPr>
        <w:tblLayout w:type="fixed"/>
        <w:tblInd w:w="500" w:type="dxa"/>
        <w:tblCellMar>
          <w:top w:w="0" w:type="dxa"/>
          <w:left w:w="0" w:type="dxa"/>
          <w:bottom w:w="0" w:type="dxa"/>
          <w:right w:w="0" w:type="dxa"/>
        </w:tblCellMar>
      </w:tblPr>
      <w:tr>
        <w:trPr>
          <w:trHeight w:val="214"/>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2030 Notes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2033 Notes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ind w:left="4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Per Note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Per Note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Public Offering Price</w:t>
            </w:r>
            <w:r>
              <w:rPr>
                <w:rFonts w:ascii="Times New Roman" w:cs="Times New Roman" w:eastAsia="Times New Roman" w:hAnsi="Times New Roman"/>
                <w:sz w:val="23"/>
                <w:szCs w:val="23"/>
                <w:color w:val="auto"/>
                <w:vertAlign w:val="superscript"/>
              </w:rPr>
              <w:t>(1)</w:t>
            </w:r>
          </w:p>
        </w:tc>
        <w:tc>
          <w:tcPr>
            <w:tcW w:w="1660" w:type="dxa"/>
            <w:vAlign w:val="bottom"/>
            <w:gridSpan w:val="2"/>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vMerge w:val="continue"/>
            <w:shd w:val="clear" w:color="auto" w:fill="CCEEFF"/>
          </w:tcPr>
          <w:p>
            <w:pPr>
              <w:spacing w:after="0"/>
              <w:rPr>
                <w:sz w:val="20"/>
                <w:szCs w:val="20"/>
                <w:color w:val="auto"/>
              </w:rPr>
            </w:pPr>
          </w:p>
        </w:tc>
        <w:tc>
          <w:tcPr>
            <w:tcW w:w="2360" w:type="dxa"/>
            <w:vAlign w:val="bottom"/>
            <w:gridSpan w:val="4"/>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99.858​​%</w:t>
            </w:r>
          </w:p>
        </w:tc>
        <w:tc>
          <w:tcPr>
            <w:tcW w:w="1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​​$748,935,000​​</w:t>
            </w:r>
          </w:p>
        </w:tc>
        <w:tc>
          <w:tcPr>
            <w:tcW w:w="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99.826​​%</w:t>
            </w:r>
          </w:p>
        </w:tc>
        <w:tc>
          <w:tcPr>
            <w:tcW w:w="1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​​$499,130,000​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2360" w:type="dxa"/>
            <w:vAlign w:val="bottom"/>
            <w:gridSpan w:val="4"/>
          </w:tcPr>
          <w:p>
            <w:pPr>
              <w:ind w:left="15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0.400​​%</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0.650​​%</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3,250,000​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(excluding expenses)</w:t>
            </w:r>
          </w:p>
        </w:tc>
        <w:tc>
          <w:tcPr>
            <w:tcW w:w="2360" w:type="dxa"/>
            <w:vAlign w:val="bottom"/>
            <w:gridSpan w:val="4"/>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99.458​​%</w:t>
            </w:r>
          </w:p>
        </w:tc>
        <w:tc>
          <w:tcPr>
            <w:tcW w:w="1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​​$745,935,000​​</w:t>
            </w:r>
          </w:p>
        </w:tc>
        <w:tc>
          <w:tcPr>
            <w:tcW w:w="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99.176​​%</w:t>
            </w:r>
          </w:p>
        </w:tc>
        <w:tc>
          <w:tcPr>
            <w:tcW w:w="1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​​$495,880,000​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5711825</wp:posOffset>
            </wp:positionH>
            <wp:positionV relativeFrom="paragraph">
              <wp:posOffset>-436245</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-436245</wp:posOffset>
            </wp:positionV>
            <wp:extent cx="5048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4888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137160</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4"/>
          <w:szCs w:val="24"/>
          <w:color w:val="auto"/>
        </w:rPr>
      </w:pPr>
    </w:p>
    <w:p>
      <w:pPr>
        <w:ind w:left="860" w:hanging="368"/>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accrued interest from February 15, 2023, if delivery occurs after that date.</w:t>
      </w:r>
    </w:p>
    <w:p>
      <w:pPr>
        <w:spacing w:after="0" w:line="36"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not be listed on any securities exchange. Currently, there is no public market for the notes.</w:t>
      </w:r>
    </w:p>
    <w:p>
      <w:pPr>
        <w:spacing w:after="0" w:line="50" w:lineRule="exact"/>
        <w:rPr>
          <w:sz w:val="24"/>
          <w:szCs w:val="24"/>
          <w:color w:val="auto"/>
        </w:rPr>
      </w:pPr>
    </w:p>
    <w:p>
      <w:pPr>
        <w:ind w:left="500" w:right="60" w:firstLine="360"/>
        <w:spacing w:after="0" w:line="252" w:lineRule="auto"/>
        <w:rPr>
          <w:sz w:val="20"/>
          <w:szCs w:val="20"/>
          <w:color w:val="auto"/>
        </w:rPr>
      </w:pPr>
      <w:r>
        <w:rPr>
          <w:rFonts w:ascii="Times New Roman" w:cs="Times New Roman" w:eastAsia="Times New Roman" w:hAnsi="Times New Roman"/>
          <w:sz w:val="18"/>
          <w:szCs w:val="18"/>
          <w:color w:val="auto"/>
        </w:rPr>
        <w:t>The underwriters expect to deliver the notes to investors on or about February 15, 2023 only in book -entry form through the facilities of The Depository Trust Company and its participants, including Clearstream Banking S.A. and Euroclear Bank SA/​ NV, as operator of the Euroclear System.</w:t>
      </w:r>
    </w:p>
    <w:p>
      <w:pPr>
        <w:spacing w:after="0" w:line="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42" w:lineRule="exact"/>
        <w:rPr>
          <w:sz w:val="24"/>
          <w:szCs w:val="24"/>
          <w:color w:val="auto"/>
        </w:rPr>
      </w:pPr>
    </w:p>
    <w:p>
      <w:pPr>
        <w:ind w:left="500"/>
        <w:spacing w:after="0"/>
        <w:tabs>
          <w:tab w:leader="none" w:pos="2940" w:val="left"/>
          <w:tab w:leader="none" w:pos="4700" w:val="left"/>
          <w:tab w:leader="none" w:pos="7640" w:val="left"/>
        </w:tabs>
        <w:rPr>
          <w:sz w:val="20"/>
          <w:szCs w:val="20"/>
          <w:color w:val="auto"/>
        </w:rPr>
      </w:pPr>
      <w:r>
        <w:rPr>
          <w:rFonts w:ascii="Times New Roman" w:cs="Times New Roman" w:eastAsia="Times New Roman" w:hAnsi="Times New Roman"/>
          <w:sz w:val="25"/>
          <w:szCs w:val="25"/>
          <w:b w:val="1"/>
          <w:bCs w:val="1"/>
          <w:color w:val="auto"/>
        </w:rPr>
        <w:t>J​.P. Morgan​ ​</w:t>
      </w:r>
      <w:r>
        <w:rPr>
          <w:sz w:val="20"/>
          <w:szCs w:val="20"/>
          <w:color w:val="auto"/>
        </w:rPr>
        <w:tab/>
      </w:r>
      <w:r>
        <w:rPr>
          <w:rFonts w:ascii="Times New Roman" w:cs="Times New Roman" w:eastAsia="Times New Roman" w:hAnsi="Times New Roman"/>
          <w:sz w:val="25"/>
          <w:szCs w:val="25"/>
          <w:b w:val="1"/>
          <w:bCs w:val="1"/>
          <w:color w:val="auto"/>
        </w:rPr>
        <w:t>Mizuho</w:t>
      </w:r>
      <w:r>
        <w:rPr>
          <w:sz w:val="20"/>
          <w:szCs w:val="20"/>
          <w:color w:val="auto"/>
        </w:rPr>
        <w:tab/>
      </w:r>
      <w:r>
        <w:rPr>
          <w:rFonts w:ascii="Times New Roman" w:cs="Times New Roman" w:eastAsia="Times New Roman" w:hAnsi="Times New Roman"/>
          <w:sz w:val="25"/>
          <w:szCs w:val="25"/>
          <w:b w:val="1"/>
          <w:bCs w:val="1"/>
          <w:color w:val="auto"/>
        </w:rPr>
        <w:t>​ ​ SMBC Nikko</w:t>
      </w:r>
      <w:r>
        <w:rPr>
          <w:sz w:val="20"/>
          <w:szCs w:val="20"/>
          <w:color w:val="auto"/>
        </w:rPr>
        <w:tab/>
      </w:r>
      <w:r>
        <w:rPr>
          <w:rFonts w:ascii="Times New Roman" w:cs="Times New Roman" w:eastAsia="Times New Roman" w:hAnsi="Times New Roman"/>
          <w:sz w:val="25"/>
          <w:szCs w:val="25"/>
          <w:b w:val="1"/>
          <w:bCs w:val="1"/>
          <w:color w:val="auto"/>
        </w:rPr>
        <w:t>​ ​ Wells Fargo Securities​</w:t>
      </w:r>
    </w:p>
    <w:p>
      <w:pPr>
        <w:spacing w:after="0" w:line="145" w:lineRule="exact"/>
        <w:rPr>
          <w:sz w:val="24"/>
          <w:szCs w:val="24"/>
          <w:color w:val="auto"/>
        </w:rPr>
      </w:pPr>
    </w:p>
    <w:p>
      <w:pPr>
        <w:jc w:val="center"/>
        <w:ind w:right="-459"/>
        <w:spacing w:after="0"/>
        <w:tabs>
          <w:tab w:leader="none" w:pos="240" w:val="left"/>
          <w:tab w:leader="none" w:pos="280" w:val="left"/>
          <w:tab w:leader="none" w:pos="300" w:val="left"/>
          <w:tab w:leader="none" w:pos="320" w:val="left"/>
        </w:tabs>
        <w:rPr>
          <w:sz w:val="20"/>
          <w:szCs w:val="20"/>
          <w:color w:val="auto"/>
        </w:rPr>
      </w:pPr>
      <w:r>
        <w:rPr>
          <w:rFonts w:ascii="Times New Roman" w:cs="Times New Roman" w:eastAsia="Times New Roman" w:hAnsi="Times New Roman"/>
          <w:sz w:val="25"/>
          <w:szCs w:val="25"/>
          <w:b w:val="1"/>
          <w:bCs w:val="1"/>
          <w:color w:val="auto"/>
        </w:rPr>
        <w:t>Barclays</w:t>
        <w:tab/>
        <w:t>BofA Securities</w:t>
        <w:tab/>
        <w:t>Deutsche Bank Securities</w:t>
        <w:tab/>
        <w:t>RBC Capital Markets</w:t>
      </w:r>
      <w:r>
        <w:rPr>
          <w:sz w:val="20"/>
          <w:szCs w:val="20"/>
          <w:color w:val="auto"/>
        </w:rPr>
        <w:tab/>
      </w:r>
      <w:r>
        <w:rPr>
          <w:rFonts w:ascii="Times New Roman" w:cs="Times New Roman" w:eastAsia="Times New Roman" w:hAnsi="Times New Roman"/>
          <w:sz w:val="24"/>
          <w:szCs w:val="24"/>
          <w:b w:val="1"/>
          <w:bCs w:val="1"/>
          <w:color w:val="auto"/>
        </w:rPr>
        <w:t>Scotiabank</w:t>
      </w:r>
    </w:p>
    <w:p>
      <w:pPr>
        <w:spacing w:after="0" w:line="47"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Co-Managers</w:t>
      </w:r>
    </w:p>
    <w:p>
      <w:pPr>
        <w:spacing w:after="0" w:line="64" w:lineRule="exact"/>
        <w:rPr>
          <w:sz w:val="24"/>
          <w:szCs w:val="24"/>
          <w:color w:val="auto"/>
        </w:rPr>
      </w:pPr>
    </w:p>
    <w:p>
      <w:pPr>
        <w:ind w:left="500"/>
        <w:spacing w:after="0"/>
        <w:tabs>
          <w:tab w:leader="none" w:pos="2040" w:val="left"/>
          <w:tab w:leader="none" w:pos="3500" w:val="left"/>
          <w:tab w:leader="none" w:pos="5480" w:val="left"/>
          <w:tab w:leader="none" w:pos="6540" w:val="left"/>
          <w:tab w:leader="none" w:pos="8920" w:val="left"/>
        </w:tabs>
        <w:rPr>
          <w:sz w:val="20"/>
          <w:szCs w:val="20"/>
          <w:color w:val="auto"/>
        </w:rPr>
      </w:pPr>
      <w:r>
        <w:rPr>
          <w:rFonts w:ascii="Times New Roman" w:cs="Times New Roman" w:eastAsia="Times New Roman" w:hAnsi="Times New Roman"/>
          <w:sz w:val="22"/>
          <w:szCs w:val="22"/>
          <w:b w:val="1"/>
          <w:bCs w:val="1"/>
          <w:color w:val="auto"/>
        </w:rPr>
        <w:t>​BNP PARIBAS</w:t>
        <w:tab/>
        <w:t>​ ​</w:t>
      </w:r>
      <w:r>
        <w:rPr>
          <w:sz w:val="20"/>
          <w:szCs w:val="20"/>
          <w:color w:val="auto"/>
        </w:rPr>
        <w:tab/>
      </w:r>
      <w:r>
        <w:rPr>
          <w:rFonts w:ascii="Times New Roman" w:cs="Times New Roman" w:eastAsia="Times New Roman" w:hAnsi="Times New Roman"/>
          <w:sz w:val="22"/>
          <w:szCs w:val="22"/>
          <w:b w:val="1"/>
          <w:bCs w:val="1"/>
          <w:color w:val="auto"/>
        </w:rPr>
        <w:t>MUFG</w:t>
      </w:r>
      <w:r>
        <w:rPr>
          <w:sz w:val="20"/>
          <w:szCs w:val="20"/>
          <w:color w:val="auto"/>
        </w:rPr>
        <w:tab/>
      </w:r>
      <w:r>
        <w:rPr>
          <w:rFonts w:ascii="Times New Roman" w:cs="Times New Roman" w:eastAsia="Times New Roman" w:hAnsi="Times New Roman"/>
          <w:sz w:val="22"/>
          <w:szCs w:val="22"/>
          <w:b w:val="1"/>
          <w:bCs w:val="1"/>
          <w:color w:val="auto"/>
        </w:rPr>
        <w:t>​ ​</w:t>
      </w:r>
      <w:r>
        <w:rPr>
          <w:sz w:val="20"/>
          <w:szCs w:val="20"/>
          <w:color w:val="auto"/>
        </w:rPr>
        <w:tab/>
      </w:r>
      <w:r>
        <w:rPr>
          <w:rFonts w:ascii="Times New Roman" w:cs="Times New Roman" w:eastAsia="Times New Roman" w:hAnsi="Times New Roman"/>
          <w:sz w:val="22"/>
          <w:szCs w:val="22"/>
          <w:b w:val="1"/>
          <w:bCs w:val="1"/>
          <w:color w:val="auto"/>
        </w:rPr>
        <w:t>Truist Securities</w:t>
      </w:r>
      <w:r>
        <w:rPr>
          <w:sz w:val="20"/>
          <w:szCs w:val="20"/>
          <w:color w:val="auto"/>
        </w:rPr>
        <w:tab/>
      </w:r>
      <w:r>
        <w:rPr>
          <w:rFonts w:ascii="Times New Roman" w:cs="Times New Roman" w:eastAsia="Times New Roman" w:hAnsi="Times New Roman"/>
          <w:sz w:val="22"/>
          <w:szCs w:val="22"/>
          <w:b w:val="1"/>
          <w:bCs w:val="1"/>
          <w:color w:val="auto"/>
        </w:rPr>
        <w:t>​ ​US Bancorp​</w:t>
      </w:r>
    </w:p>
    <w:p>
      <w:pPr>
        <w:spacing w:after="0" w:line="13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​Academy Securities ​ ​Loop Capital Markets ​ ​MFR Securities, Inc. ​ ​Mischler Financial ​ ​Siebert Williams ​</w:t>
      </w:r>
    </w:p>
    <w:p>
      <w:pPr>
        <w:spacing w:after="0" w:line="32" w:lineRule="exact"/>
        <w:rPr>
          <w:sz w:val="24"/>
          <w:szCs w:val="24"/>
          <w:color w:val="auto"/>
        </w:rPr>
      </w:pPr>
    </w:p>
    <w:p>
      <w:pPr>
        <w:ind w:left="7120"/>
        <w:spacing w:after="0"/>
        <w:tabs>
          <w:tab w:leader="none" w:pos="9160" w:val="left"/>
        </w:tabs>
        <w:rPr>
          <w:sz w:val="20"/>
          <w:szCs w:val="20"/>
          <w:color w:val="auto"/>
        </w:rPr>
      </w:pPr>
      <w:r>
        <w:rPr>
          <w:rFonts w:ascii="Times New Roman" w:cs="Times New Roman" w:eastAsia="Times New Roman" w:hAnsi="Times New Roman"/>
          <w:sz w:val="22"/>
          <w:szCs w:val="22"/>
          <w:b w:val="1"/>
          <w:bCs w:val="1"/>
          <w:color w:val="auto"/>
        </w:rPr>
        <w:t>Group, Inc.</w:t>
      </w:r>
      <w:r>
        <w:rPr>
          <w:sz w:val="20"/>
          <w:szCs w:val="20"/>
          <w:color w:val="auto"/>
        </w:rPr>
        <w:tab/>
      </w:r>
      <w:r>
        <w:rPr>
          <w:rFonts w:ascii="Times New Roman" w:cs="Times New Roman" w:eastAsia="Times New Roman" w:hAnsi="Times New Roman"/>
          <w:sz w:val="21"/>
          <w:szCs w:val="21"/>
          <w:b w:val="1"/>
          <w:bCs w:val="1"/>
          <w:color w:val="auto"/>
        </w:rPr>
        <w:t>Shank</w:t>
      </w:r>
    </w:p>
    <w:p>
      <w:pPr>
        <w:sectPr>
          <w:pgSz w:w="11900" w:h="16838" w:orient="portrait"/>
          <w:cols w:equalWidth="0" w:num="1">
            <w:col w:w="10280"/>
          </w:cols>
          <w:pgMar w:left="580" w:top="205" w:right="1039" w:bottom="1440" w:gutter="0" w:footer="0" w:header="0"/>
        </w:sectPr>
      </w:pPr>
    </w:p>
    <w:p>
      <w:pPr>
        <w:spacing w:after="0" w:line="205"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February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3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Neither we nor the underwriters have authorized anyone to provide any information or to make any representations other than those contained in, or incorporated by reference into, this prospectus supplement, the accompanying base prospectus and any free writing prospectus prepared by or on behalf of us. We and the underwriters take no responsibility for, and can provide no assurance as to the reliability of, any other information that others may give you. We are not, and the underwriters are not, making an offer of these securities in any jurisdiction where the offer is not permitted. You should not assume that the information contained in this prospectus supplement, the accompanying prospectus and any related free writing prospectus is accurate as of any date other than the respective dates of those documents, or that the information we previously filed with the Securities and Exchange Commission (“SEC”) and incorporated by reference into this prospectus supplement, the accompanying prospectus and any related free writing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108585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ectPr>
          <w:pgSz w:w="11900" w:h="16838" w:orient="portrait"/>
          <w:cols w:equalWidth="0" w:num="1">
            <w:col w:w="9879"/>
          </w:cols>
          <w:pgMar w:left="580" w:top="97" w:right="1440" w:bottom="1440" w:gutter="0" w:footer="0" w:header="0"/>
        </w:sectPr>
      </w:pP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SUMMARY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NOTES</w:t>
      </w:r>
    </w:p>
    <w:p>
      <w:pPr>
        <w:spacing w:after="0" w:line="63" w:lineRule="exact"/>
        <w:rPr>
          <w:sz w:val="20"/>
          <w:szCs w:val="20"/>
          <w:color w:val="auto"/>
        </w:rPr>
      </w:pPr>
    </w:p>
    <w:p>
      <w:pPr>
        <w:ind w:left="1260" w:right="640"/>
        <w:spacing w:after="0" w:line="358" w:lineRule="auto"/>
        <w:rPr>
          <w:sz w:val="20"/>
          <w:szCs w:val="20"/>
          <w:color w:val="auto"/>
        </w:rPr>
      </w:pPr>
      <w:r>
        <w:rPr>
          <w:rFonts w:ascii="Times New Roman" w:cs="Times New Roman" w:eastAsia="Times New Roman" w:hAnsi="Times New Roman"/>
          <w:sz w:val="18"/>
          <w:szCs w:val="18"/>
          <w:u w:val="single" w:color="auto"/>
          <w:color w:val="0000EE"/>
        </w:rPr>
        <w:t>CERTAIN U.S. FEDERAL TAX CONSIDERATIONS FOR NON-U.S. HOLDERS UNDERWRITING (CONFLICTS OF INTEREST) 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-242570</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99695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INCORPORATION OF CERTAIN DOCUMENTS BY REFERENCE</w:t>
      </w:r>
    </w:p>
    <w:p>
      <w:pPr>
        <w:spacing w:after="0" w:line="2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FORWARD-LOOKING STATEMENTS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right="1680"/>
        <w:spacing w:after="0" w:line="305" w:lineRule="auto"/>
        <w:rPr>
          <w:sz w:val="20"/>
          <w:szCs w:val="20"/>
          <w:color w:val="auto"/>
        </w:rPr>
      </w:pPr>
      <w:r>
        <w:rPr>
          <w:rFonts w:ascii="Times New Roman" w:cs="Times New Roman" w:eastAsia="Times New Roman" w:hAnsi="Times New Roman"/>
          <w:sz w:val="18"/>
          <w:szCs w:val="18"/>
          <w:u w:val="single" w:color="auto"/>
          <w:color w:val="0000EE"/>
        </w:rPr>
        <w:t>INCORPORATION OF CERTAIN DOCUMENTS BY REFERENCE 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-21590</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GUARANTEES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OTHER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SELLING SECURITYHOLDERS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S-5</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S-8</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S-9</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ectPr>
          <w:pgSz w:w="11900" w:h="16838" w:orient="portrait"/>
          <w:cols w:equalWidth="0" w:num="2">
            <w:col w:w="8160" w:space="720"/>
            <w:col w:w="999"/>
          </w:cols>
          <w:pgMar w:left="580" w:top="97" w:right="1440" w:bottom="1440" w:gutter="0" w:footer="0" w:header="0"/>
          <w:type w:val="continuous"/>
        </w:sectPr>
      </w:pPr>
    </w:p>
    <w:p>
      <w:pPr>
        <w:spacing w:after="0" w:line="20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ind w:left="1280" w:right="4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supplement, the accompanying prospectus and any free writing prospectus prepared by us or on behalf of us, but does not contain all information that may be important to you. This prospectus supplement, the accompanying prospectus and any related free writing prospectus include specific terms of the offering of the notes, information about our business and financial data. We encourage you to read this prospectus supplement, the accompanying prospectus and any related free writing prospectus, together with the documents incorporated by reference, in their entirety before making an investment decision.</w:t>
      </w:r>
    </w:p>
    <w:p>
      <w:pPr>
        <w:spacing w:after="0" w:line="115" w:lineRule="exact"/>
        <w:rPr>
          <w:sz w:val="20"/>
          <w:szCs w:val="20"/>
          <w:color w:val="auto"/>
        </w:rPr>
      </w:pPr>
    </w:p>
    <w:p>
      <w:pPr>
        <w:ind w:left="1280" w:right="4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As used in this prospectus supplement, the terms “we,” “us” or “our” refer to Waste Management, Inc. and its consolidated subsidiaries and consolidated variable interest entities, taken as a whole, unless the context clearly indicates otherwise.</w:t>
      </w:r>
    </w:p>
    <w:p>
      <w:pPr>
        <w:spacing w:after="0" w:line="17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48" w:lineRule="exact"/>
        <w:rPr>
          <w:sz w:val="20"/>
          <w:szCs w:val="20"/>
          <w:color w:val="auto"/>
        </w:rPr>
      </w:pPr>
    </w:p>
    <w:p>
      <w:pPr>
        <w:ind w:left="1280" w:right="439" w:firstLine="360"/>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including our WM Renewable Energy business, we are also a leading developer, operator and owner of landfill gas-to-energy facilities in the U.S. that produce renewable natural gas, which is a significant source of fuel for our natural gas fleet.</w:t>
      </w:r>
    </w:p>
    <w:p>
      <w:pPr>
        <w:spacing w:after="0" w:line="121" w:lineRule="exact"/>
        <w:rPr>
          <w:sz w:val="20"/>
          <w:szCs w:val="20"/>
          <w:color w:val="auto"/>
        </w:rPr>
      </w:pPr>
    </w:p>
    <w:p>
      <w:pPr>
        <w:ind w:left="128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800 Capitol Street, Suite 3000, Houston, Texas 77002. Our telephone number is (713) 512-6200. Our website address is </w:t>
      </w:r>
      <w:r>
        <w:rPr>
          <w:rFonts w:ascii="Times New Roman" w:cs="Times New Roman" w:eastAsia="Times New Roman" w:hAnsi="Times New Roman"/>
          <w:sz w:val="18"/>
          <w:szCs w:val="18"/>
          <w:i w:val="1"/>
          <w:iCs w:val="1"/>
          <w:color w:val="auto"/>
        </w:rPr>
        <w:t>www.wm.com</w:t>
      </w:r>
      <w:r>
        <w:rPr>
          <w:rFonts w:ascii="Times New Roman" w:cs="Times New Roman" w:eastAsia="Times New Roman" w:hAnsi="Times New Roman"/>
          <w:sz w:val="18"/>
          <w:szCs w:val="18"/>
          <w:color w:val="auto"/>
        </w:rPr>
        <w:t>. Our annual reports on Form 10-K, quarterly reports on Form 10-Q and current reports on Form 8-K are all available, free of charge, on our website as soon as practicable after we file the reports with the SEC. Information contained on, or that can be accessed through, our website is not incorporated by reference into this prospectus supplement and does not constitute a part of this prospectus supplement. Our common stock is traded on the New York Stock Exchange under the symbol “WM.”</w:t>
      </w:r>
    </w:p>
    <w:p>
      <w:pPr>
        <w:spacing w:after="0" w:line="18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Waste Management Holdings, Inc.</w:t>
      </w:r>
    </w:p>
    <w:p>
      <w:pPr>
        <w:spacing w:after="0" w:line="162" w:lineRule="exact"/>
        <w:rPr>
          <w:sz w:val="20"/>
          <w:szCs w:val="20"/>
          <w:color w:val="auto"/>
        </w:rPr>
      </w:pPr>
    </w:p>
    <w:p>
      <w:pPr>
        <w:ind w:left="1280" w:right="879" w:firstLine="360"/>
        <w:spacing w:after="0" w:line="266" w:lineRule="auto"/>
        <w:rPr>
          <w:sz w:val="20"/>
          <w:szCs w:val="20"/>
          <w:color w:val="auto"/>
        </w:rPr>
      </w:pPr>
      <w:r>
        <w:rPr>
          <w:rFonts w:ascii="Times New Roman" w:cs="Times New Roman" w:eastAsia="Times New Roman" w:hAnsi="Times New Roman"/>
          <w:sz w:val="18"/>
          <w:szCs w:val="18"/>
          <w:color w:val="auto"/>
        </w:rPr>
        <w:t>Waste Management Holdings, Inc., which we refer to in this prospectus supplement as “WM Holdings,” is a direct wholly owned subsidiary of Waste Management, Inc. WM Holdings is a holding company and all operations are conducted by subsidiaries.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0" w:lineRule="exact"/>
        <w:rPr>
          <w:sz w:val="20"/>
          <w:szCs w:val="20"/>
          <w:color w:val="auto"/>
        </w:rPr>
      </w:pPr>
    </w:p>
    <w:p>
      <w:pPr>
        <w:ind w:left="128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68"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Waste Management, Inc.</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Securities Offered</w:t>
      </w:r>
      <w:r>
        <w:rPr>
          <w:sz w:val="20"/>
          <w:szCs w:val="20"/>
          <w:color w:val="auto"/>
        </w:rPr>
        <w:tab/>
      </w:r>
      <w:r>
        <w:rPr>
          <w:rFonts w:ascii="Times New Roman" w:cs="Times New Roman" w:eastAsia="Times New Roman" w:hAnsi="Times New Roman"/>
          <w:sz w:val="18"/>
          <w:szCs w:val="18"/>
          <w:color w:val="auto"/>
        </w:rPr>
        <w:t>$1,250,000,000 aggregate principal amount of notes, consisting of</w:t>
      </w:r>
    </w:p>
    <w:p>
      <w:pPr>
        <w:spacing w:after="0" w:line="2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the following series:</w:t>
      </w:r>
    </w:p>
    <w:p>
      <w:pPr>
        <w:spacing w:after="0" w:line="13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$750,000,000 aggregate principal amount of 4.625% Senior</w:t>
      </w:r>
    </w:p>
    <w:p>
      <w:pPr>
        <w:spacing w:after="0" w:line="1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Notes due 2030</w:t>
      </w:r>
    </w:p>
    <w:p>
      <w:pPr>
        <w:spacing w:after="0" w:line="12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$500,000,000 aggregate principal amount of 4.625% Senior</w:t>
      </w:r>
    </w:p>
    <w:p>
      <w:pPr>
        <w:spacing w:after="0" w:line="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Notes due 2033</w:t>
      </w:r>
    </w:p>
    <w:p>
      <w:pPr>
        <w:spacing w:after="0" w:line="85"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Subsidiary Guarantees</w:t>
      </w:r>
      <w:r>
        <w:rPr>
          <w:sz w:val="20"/>
          <w:szCs w:val="20"/>
          <w:color w:val="auto"/>
        </w:rPr>
        <w:tab/>
      </w:r>
      <w:r>
        <w:rPr>
          <w:rFonts w:ascii="Times New Roman" w:cs="Times New Roman" w:eastAsia="Times New Roman" w:hAnsi="Times New Roman"/>
          <w:sz w:val="18"/>
          <w:szCs w:val="18"/>
          <w:color w:val="auto"/>
        </w:rPr>
        <w:t>WM Holdings will fully and unconditionally guarantee, on a senior</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unsecured basis, the full and prompt payment of the principal and</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any premium and interest on the notes of each series, when and as</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they become due and payable, whether at maturity or otherwise.</w:t>
      </w:r>
    </w:p>
    <w:p>
      <w:pPr>
        <w:spacing w:after="0" w:line="99"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Maturity Date</w:t>
      </w:r>
      <w:r>
        <w:rPr>
          <w:sz w:val="20"/>
          <w:szCs w:val="20"/>
          <w:color w:val="auto"/>
        </w:rPr>
        <w:tab/>
      </w:r>
      <w:r>
        <w:rPr>
          <w:rFonts w:ascii="Times New Roman" w:cs="Times New Roman" w:eastAsia="Times New Roman" w:hAnsi="Times New Roman"/>
          <w:sz w:val="18"/>
          <w:szCs w:val="18"/>
          <w:color w:val="auto"/>
        </w:rPr>
        <w:t>2030 notes — February 15, 2030</w:t>
      </w:r>
    </w:p>
    <w:p>
      <w:pPr>
        <w:spacing w:after="0" w:line="15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2033 notes — February 15, 2033</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Interest Rate</w:t>
      </w:r>
      <w:r>
        <w:rPr>
          <w:sz w:val="20"/>
          <w:szCs w:val="20"/>
          <w:color w:val="auto"/>
        </w:rPr>
        <w:tab/>
      </w:r>
      <w:r>
        <w:rPr>
          <w:rFonts w:ascii="Times New Roman" w:cs="Times New Roman" w:eastAsia="Times New Roman" w:hAnsi="Times New Roman"/>
          <w:sz w:val="18"/>
          <w:szCs w:val="18"/>
          <w:color w:val="auto"/>
        </w:rPr>
        <w:t>2030 notes — 4.625% per year</w:t>
      </w:r>
    </w:p>
    <w:p>
      <w:pPr>
        <w:spacing w:after="0" w:line="1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2033 notes — 4.625% per year</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Interest Payment Dates</w:t>
      </w:r>
      <w:r>
        <w:rPr>
          <w:sz w:val="20"/>
          <w:szCs w:val="20"/>
          <w:color w:val="auto"/>
        </w:rPr>
        <w:tab/>
      </w:r>
      <w:r>
        <w:rPr>
          <w:rFonts w:ascii="Times New Roman" w:cs="Times New Roman" w:eastAsia="Times New Roman" w:hAnsi="Times New Roman"/>
          <w:sz w:val="18"/>
          <w:szCs w:val="18"/>
          <w:color w:val="auto"/>
        </w:rPr>
        <w:t>February 15 and August 15 of each year, beginning August 15,</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2023.</w:t>
      </w:r>
    </w:p>
    <w:p>
      <w:pPr>
        <w:spacing w:after="0" w:line="99" w:lineRule="exact"/>
        <w:rPr>
          <w:sz w:val="20"/>
          <w:szCs w:val="20"/>
          <w:color w:val="auto"/>
        </w:rPr>
      </w:pPr>
    </w:p>
    <w:p>
      <w:pPr>
        <w:jc w:val="right"/>
        <w:ind w:right="399"/>
        <w:spacing w:after="0"/>
        <w:tabs>
          <w:tab w:leader="none" w:pos="5160" w:val="left"/>
        </w:tabs>
        <w:rPr>
          <w:sz w:val="20"/>
          <w:szCs w:val="20"/>
          <w:color w:val="auto"/>
        </w:rPr>
      </w:pPr>
      <w:r>
        <w:rPr>
          <w:rFonts w:ascii="Times New Roman" w:cs="Times New Roman" w:eastAsia="Times New Roman" w:hAnsi="Times New Roman"/>
          <w:sz w:val="18"/>
          <w:szCs w:val="18"/>
          <w:color w:val="auto"/>
        </w:rPr>
        <w:t>Optional Redemption</w:t>
      </w:r>
      <w:r>
        <w:rPr>
          <w:sz w:val="20"/>
          <w:szCs w:val="20"/>
          <w:color w:val="auto"/>
        </w:rPr>
        <w:tab/>
      </w:r>
      <w:r>
        <w:rPr>
          <w:rFonts w:ascii="Times New Roman" w:cs="Times New Roman" w:eastAsia="Times New Roman" w:hAnsi="Times New Roman"/>
          <w:sz w:val="18"/>
          <w:szCs w:val="18"/>
          <w:color w:val="auto"/>
        </w:rPr>
        <w:t>We may elect to redeem and repay any or all of the notes at any time</w:t>
      </w:r>
    </w:p>
    <w:p>
      <w:pPr>
        <w:spacing w:after="0" w:line="27" w:lineRule="exact"/>
        <w:rPr>
          <w:sz w:val="20"/>
          <w:szCs w:val="20"/>
          <w:color w:val="auto"/>
        </w:rPr>
      </w:pPr>
    </w:p>
    <w:p>
      <w:pPr>
        <w:ind w:left="4300" w:right="579"/>
        <w:spacing w:after="0" w:line="260" w:lineRule="auto"/>
        <w:rPr>
          <w:sz w:val="20"/>
          <w:szCs w:val="20"/>
          <w:color w:val="auto"/>
        </w:rPr>
      </w:pPr>
      <w:r>
        <w:rPr>
          <w:rFonts w:ascii="Times New Roman" w:cs="Times New Roman" w:eastAsia="Times New Roman" w:hAnsi="Times New Roman"/>
          <w:sz w:val="18"/>
          <w:szCs w:val="18"/>
          <w:color w:val="auto"/>
        </w:rPr>
        <w:t>and from time to time in minimum principal amounts of $2,000 or any integral multiple of $1,000 in excess thereof.</w:t>
      </w:r>
    </w:p>
    <w:p>
      <w:pPr>
        <w:spacing w:after="0" w:line="11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2030 notes — Prior to December 15, 2029, we may redeem the 2030</w:t>
      </w:r>
    </w:p>
    <w:p>
      <w:pPr>
        <w:spacing w:after="0" w:line="1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notes at our option, in whole or in part, at any time and from time to</w:t>
      </w:r>
    </w:p>
    <w:p>
      <w:pPr>
        <w:spacing w:after="0" w:line="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time, at a redemption price equal to the greater of: (1) (a) the sum of</w:t>
      </w:r>
    </w:p>
    <w:p>
      <w:pPr>
        <w:ind w:left="4300"/>
        <w:spacing w:after="0" w:line="234" w:lineRule="auto"/>
        <w:rPr>
          <w:sz w:val="20"/>
          <w:szCs w:val="20"/>
          <w:color w:val="auto"/>
        </w:rPr>
      </w:pPr>
      <w:r>
        <w:rPr>
          <w:rFonts w:ascii="Times New Roman" w:cs="Times New Roman" w:eastAsia="Times New Roman" w:hAnsi="Times New Roman"/>
          <w:sz w:val="18"/>
          <w:szCs w:val="18"/>
          <w:color w:val="auto"/>
        </w:rPr>
        <w:t>the present values of the remaining scheduled payments of principal</w:t>
      </w:r>
    </w:p>
    <w:p>
      <w:pPr>
        <w:spacing w:after="0" w:line="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and interest thereon discounted to the redemption date (assuming</w:t>
      </w:r>
    </w:p>
    <w:p>
      <w:pPr>
        <w:spacing w:after="0" w:line="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the 2030 notes matured on the applicable Par Call Date (as defined</w:t>
      </w:r>
    </w:p>
    <w:p>
      <w:pPr>
        <w:ind w:left="4300"/>
        <w:spacing w:after="0" w:line="234" w:lineRule="auto"/>
        <w:rPr>
          <w:sz w:val="20"/>
          <w:szCs w:val="20"/>
          <w:color w:val="auto"/>
        </w:rPr>
      </w:pPr>
      <w:r>
        <w:rPr>
          <w:rFonts w:ascii="Times New Roman" w:cs="Times New Roman" w:eastAsia="Times New Roman" w:hAnsi="Times New Roman"/>
          <w:sz w:val="18"/>
          <w:szCs w:val="18"/>
          <w:color w:val="auto"/>
        </w:rPr>
        <w:t>under “Description of Notes — Optional Redemption”)) on a semi-</w:t>
      </w:r>
    </w:p>
    <w:p>
      <w:pPr>
        <w:spacing w:after="0" w:line="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annual basis (assuming a 360-day year consisting of twelve 30-</w:t>
      </w:r>
    </w:p>
    <w:p>
      <w:pPr>
        <w:spacing w:after="0" w:line="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day months) at the Treasury Rate (as defined under “Description of</w:t>
      </w:r>
    </w:p>
    <w:p>
      <w:pPr>
        <w:ind w:left="4300"/>
        <w:spacing w:after="0" w:line="234" w:lineRule="auto"/>
        <w:rPr>
          <w:sz w:val="20"/>
          <w:szCs w:val="20"/>
          <w:color w:val="auto"/>
        </w:rPr>
      </w:pPr>
      <w:r>
        <w:rPr>
          <w:rFonts w:ascii="Times New Roman" w:cs="Times New Roman" w:eastAsia="Times New Roman" w:hAnsi="Times New Roman"/>
          <w:sz w:val="18"/>
          <w:szCs w:val="18"/>
          <w:color w:val="auto"/>
        </w:rPr>
        <w:t>Notes — Optional Redemption”) plus 15 basis points, less</w:t>
      </w:r>
    </w:p>
    <w:p>
      <w:pPr>
        <w:spacing w:after="0" w:line="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 interest accrued to the redemption date, and (2) 100% of the</w:t>
      </w:r>
    </w:p>
    <w:p>
      <w:pPr>
        <w:spacing w:after="0" w:line="7" w:lineRule="exact"/>
        <w:rPr>
          <w:sz w:val="20"/>
          <w:szCs w:val="20"/>
          <w:color w:val="auto"/>
        </w:rPr>
      </w:pPr>
    </w:p>
    <w:p>
      <w:pPr>
        <w:ind w:left="4300" w:right="619"/>
        <w:spacing w:after="0" w:line="245" w:lineRule="auto"/>
        <w:rPr>
          <w:sz w:val="20"/>
          <w:szCs w:val="20"/>
          <w:color w:val="auto"/>
        </w:rPr>
      </w:pPr>
      <w:r>
        <w:rPr>
          <w:rFonts w:ascii="Times New Roman" w:cs="Times New Roman" w:eastAsia="Times New Roman" w:hAnsi="Times New Roman"/>
          <w:sz w:val="18"/>
          <w:szCs w:val="18"/>
          <w:color w:val="auto"/>
        </w:rPr>
        <w:t>principal amount of the 2030 notes to be redeemed, plus, in either case, accrued and unpaid interest thereon to the redemption date.</w:t>
      </w:r>
    </w:p>
    <w:p>
      <w:pPr>
        <w:spacing w:after="0" w:line="113" w:lineRule="exact"/>
        <w:rPr>
          <w:sz w:val="20"/>
          <w:szCs w:val="20"/>
          <w:color w:val="auto"/>
        </w:rPr>
      </w:pPr>
    </w:p>
    <w:p>
      <w:pPr>
        <w:ind w:left="4300" w:right="439"/>
        <w:spacing w:after="0" w:line="253" w:lineRule="auto"/>
        <w:rPr>
          <w:sz w:val="20"/>
          <w:szCs w:val="20"/>
          <w:color w:val="auto"/>
        </w:rPr>
      </w:pPr>
      <w:r>
        <w:rPr>
          <w:rFonts w:ascii="Times New Roman" w:cs="Times New Roman" w:eastAsia="Times New Roman" w:hAnsi="Times New Roman"/>
          <w:sz w:val="18"/>
          <w:szCs w:val="18"/>
          <w:color w:val="auto"/>
        </w:rPr>
        <w:t>On or after December 15, 2029, we may redeem the 2030 notes at our option, in whole or in part, at any time and from time to time, at</w:t>
      </w:r>
    </w:p>
    <w:p>
      <w:pPr>
        <w:ind w:left="4300" w:right="419"/>
        <w:spacing w:after="0"/>
        <w:rPr>
          <w:sz w:val="20"/>
          <w:szCs w:val="20"/>
          <w:color w:val="auto"/>
        </w:rPr>
      </w:pPr>
      <w:r>
        <w:rPr>
          <w:rFonts w:ascii="Times New Roman" w:cs="Times New Roman" w:eastAsia="Times New Roman" w:hAnsi="Times New Roman"/>
          <w:sz w:val="18"/>
          <w:szCs w:val="18"/>
          <w:color w:val="auto"/>
        </w:rPr>
        <w:t>a redemption price equal to 100% of the principal amount of the 2030 notes to be redeemed, plus accrued and unpaid interest thereon to the redemption date.</w:t>
      </w:r>
    </w:p>
    <w:p>
      <w:pPr>
        <w:spacing w:after="0" w:line="1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2033 notes — Prior to November 15, 2032, we may redeem the</w:t>
      </w:r>
    </w:p>
    <w:p>
      <w:pPr>
        <w:spacing w:after="0" w:line="27" w:lineRule="exact"/>
        <w:rPr>
          <w:sz w:val="20"/>
          <w:szCs w:val="20"/>
          <w:color w:val="auto"/>
        </w:rPr>
      </w:pPr>
    </w:p>
    <w:p>
      <w:pPr>
        <w:ind w:left="4300" w:right="399"/>
        <w:spacing w:after="0"/>
        <w:rPr>
          <w:sz w:val="20"/>
          <w:szCs w:val="20"/>
          <w:color w:val="auto"/>
        </w:rPr>
      </w:pPr>
      <w:r>
        <w:rPr>
          <w:rFonts w:ascii="Times New Roman" w:cs="Times New Roman" w:eastAsia="Times New Roman" w:hAnsi="Times New Roman"/>
          <w:sz w:val="18"/>
          <w:szCs w:val="18"/>
          <w:color w:val="auto"/>
        </w:rPr>
        <w:t>2033 notes at our option, in whole or in part, at any time and from time to time, at a redemption price equal to the greater of: (1) (a) the sum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of the present values of the remaining scheduled payments of</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principal and interest thereon discounted to the redemption date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(assuming the 2033 notes matured on the applicable Par Call Date)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on a semi-annual basis (assuming a 360-day year consisting of</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twelve 30-day months) at the Treasury Rate plus 15 basis points,</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less (b) interest accrued to the redemption date, and (2) 100% of the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principal amount of the 2033 notes to be redeemed, plus, in either</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case, accrued and unpaid interest thereon to the redemption date.</w:t>
            </w:r>
          </w:p>
        </w:tc>
      </w:tr>
      <w:tr>
        <w:trPr>
          <w:trHeight w:val="346"/>
        </w:trPr>
        <w:tc>
          <w:tcPr>
            <w:tcW w:w="2440" w:type="dxa"/>
            <w:vAlign w:val="bottom"/>
          </w:tcPr>
          <w:p>
            <w:pPr>
              <w:spacing w:after="0"/>
              <w:rPr>
                <w:sz w:val="24"/>
                <w:szCs w:val="24"/>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On or after November 15, 2032, we may redeem the 2033 notes at</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our option, in whole or in part, at any time and from time to time, at</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 redemption price equal to 100% of the principal amount of the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2033 notes to be redeemed, plus accrued and unpaid interest thereon</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 the redemption date.</w:t>
            </w:r>
          </w:p>
        </w:tc>
      </w:tr>
      <w:tr>
        <w:trPr>
          <w:trHeight w:val="346"/>
        </w:trPr>
        <w:tc>
          <w:tcPr>
            <w:tcW w:w="2440" w:type="dxa"/>
            <w:vAlign w:val="bottom"/>
          </w:tcPr>
          <w:p>
            <w:pPr>
              <w:spacing w:after="0"/>
              <w:rPr>
                <w:sz w:val="24"/>
                <w:szCs w:val="24"/>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See “Description of Notes — Optional Redemption” in this</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Offer</w:t>
            </w: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If a change of control triggering event occurs, holders of the notes</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of each series may require us to purchase all or a portion of such</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holders’ notes at a price equal to 101% of the principal amount, plus</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accrued interest, if any, to the date of purchase. See “Description of</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Notes — Change of Control Offer” in this prospectus supplement.</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The notes and the guarantees will constitute the senior unsecured</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debt of Waste Management, Inc. and WM Holdings, respectively,</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and will rank equally with all of our and its other existing and future</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senior obligations from time to time outstanding.</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Covenants</w:t>
            </w: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We will issue the notes under an indenture containing covenants for</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your benefit. These covenants restrict our ability, with certain</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exceptions, to:</w:t>
            </w:r>
          </w:p>
        </w:tc>
      </w:tr>
      <w:tr>
        <w:trPr>
          <w:trHeight w:val="365"/>
        </w:trPr>
        <w:tc>
          <w:tcPr>
            <w:tcW w:w="2440" w:type="dxa"/>
            <w:vAlign w:val="bottom"/>
          </w:tcPr>
          <w:p>
            <w:pPr>
              <w:spacing w:after="0"/>
              <w:rPr>
                <w:sz w:val="24"/>
                <w:szCs w:val="24"/>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create, incur or assume debt secured by liens;</w:t>
            </w:r>
          </w:p>
        </w:tc>
      </w:tr>
      <w:tr>
        <w:trPr>
          <w:trHeight w:val="351"/>
        </w:trPr>
        <w:tc>
          <w:tcPr>
            <w:tcW w:w="2440" w:type="dxa"/>
            <w:vAlign w:val="bottom"/>
          </w:tcPr>
          <w:p>
            <w:pPr>
              <w:spacing w:after="0"/>
              <w:rPr>
                <w:sz w:val="24"/>
                <w:szCs w:val="24"/>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engage in sale and leaseback transactions; and</w:t>
            </w:r>
          </w:p>
        </w:tc>
      </w:tr>
      <w:tr>
        <w:trPr>
          <w:trHeight w:val="346"/>
        </w:trPr>
        <w:tc>
          <w:tcPr>
            <w:tcW w:w="2440" w:type="dxa"/>
            <w:vAlign w:val="bottom"/>
          </w:tcPr>
          <w:p>
            <w:pPr>
              <w:spacing w:after="0"/>
              <w:rPr>
                <w:sz w:val="24"/>
                <w:szCs w:val="24"/>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 consolidate or transfer all or substantially all of our</w:t>
            </w:r>
          </w:p>
        </w:tc>
      </w:tr>
      <w:tr>
        <w:trPr>
          <w:trHeight w:val="234"/>
        </w:trPr>
        <w:tc>
          <w:tcPr>
            <w:tcW w:w="2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We expect the net proceeds from the offering of the notes to be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$1.239 billion, after deducting the underwriting discounts and</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estimated expenses of the offering that we will pay.</w:t>
            </w:r>
          </w:p>
        </w:tc>
      </w:tr>
      <w:tr>
        <w:trPr>
          <w:trHeight w:val="346"/>
        </w:trPr>
        <w:tc>
          <w:tcPr>
            <w:tcW w:w="2440" w:type="dxa"/>
            <w:vAlign w:val="bottom"/>
          </w:tcPr>
          <w:p>
            <w:pPr>
              <w:spacing w:after="0"/>
              <w:rPr>
                <w:sz w:val="24"/>
                <w:szCs w:val="24"/>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We intend to use the net proceeds from the offering of the notes</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 to repay borrowings under our commercial paper program used</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for working capital, which is fully supported by our $3.5 billion</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revolving credit facility, (ii) to repay $500 million aggregate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principal amount of our outstanding 2.40% Senior Notes when they</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mature in May 2023 and (iii) for general corporate purposes.</w:t>
            </w:r>
          </w:p>
        </w:tc>
      </w:tr>
      <w:tr>
        <w:trPr>
          <w:trHeight w:val="351"/>
        </w:trPr>
        <w:tc>
          <w:tcPr>
            <w:tcW w:w="2440" w:type="dxa"/>
            <w:vAlign w:val="bottom"/>
          </w:tcPr>
          <w:p>
            <w:pPr>
              <w:spacing w:after="0"/>
              <w:rPr>
                <w:sz w:val="24"/>
                <w:szCs w:val="24"/>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See “Use of Proceeds” in this prospectus supplement.</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Conflicts of Interest</w:t>
            </w: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Certain underwriters or their respective affiliates in this offering are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lenders to us under our $3.5 billion revolving credit facility and may</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receive 5% or more of the net proceeds of this offering by reason of</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the repayment of amounts outstanding under our commercial paper</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program, which is fully supported by such credit facility.</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Accordingly, such underwriters are deemed to have a “conflict of</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interest” within the meaning of Rule 5121 of the Financial Industry</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Regulatory Authority, Inc. (“FINRA Rule 5121”), and this offering</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will be conducted in accordance with FINRA Rule 5121, which</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requires prominent disclosure of the nature of the conflict of interest</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in the prospectus supplement. Pursuant to FINRA Rule 5121(a)(1)</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 the appointment of a “qualified independent underwriter” is not</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necessary in connection with this offering as the notes offered</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hereby are “investment grade rated” (as​ defined in FINRA</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Rule 5121). See “Underwriting (Conflicts of Interest) — Conflicts</w:t>
            </w:r>
          </w:p>
        </w:tc>
      </w:tr>
      <w:tr>
        <w:trPr>
          <w:trHeight w:val="234"/>
        </w:trPr>
        <w:tc>
          <w:tcPr>
            <w:tcW w:w="2180" w:type="dxa"/>
            <w:vAlign w:val="bottom"/>
          </w:tcPr>
          <w:p>
            <w:pPr>
              <w:spacing w:after="0"/>
              <w:rPr>
                <w:sz w:val="20"/>
                <w:szCs w:val="20"/>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of Interest” in this prospectus supplement.</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The Bank of New York Mellon Trust Company, N.A.</w:t>
            </w:r>
          </w:p>
        </w:tc>
      </w:tr>
      <w:tr>
        <w:trPr>
          <w:trHeight w:val="30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Further Issuances</w:t>
            </w: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We may create and issue additional notes of each series ranking</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equally and ratably with the notes of such series offered by this</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prospectus supplement in all respects, so that such additional notes</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will be consolidated and form a single series with the notes of such</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series offered by this prospectus supplement and will have the same</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terms, as to status, redemption or otherwise except for the issue</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date, the initial interest payment date, if applicable, and the payment</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of interest accruing prior to the issue date of such additional notes;</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provided, however, that a separate CUSIP or ISIN will be issued for</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the additional notes unless the notes and the additional notes are</w:t>
            </w:r>
          </w:p>
        </w:tc>
      </w:tr>
      <w:tr>
        <w:trPr>
          <w:trHeight w:val="234"/>
        </w:trPr>
        <w:tc>
          <w:tcPr>
            <w:tcW w:w="2180" w:type="dxa"/>
            <w:vAlign w:val="bottom"/>
          </w:tcPr>
          <w:p>
            <w:pPr>
              <w:spacing w:after="0"/>
              <w:rPr>
                <w:sz w:val="20"/>
                <w:szCs w:val="20"/>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fungible for U.S. federal income tax purposes.</w:t>
            </w:r>
          </w:p>
        </w:tc>
      </w:t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color w:val="0000EE"/>
              </w:rPr>
              <w:t>S-5</w:t>
            </w:r>
            <w:r>
              <w:rPr>
                <w:rFonts w:ascii="Times New Roman" w:cs="Times New Roman" w:eastAsia="Times New Roman" w:hAnsi="Times New Roman"/>
                <w:sz w:val="18"/>
                <w:szCs w:val="18"/>
                <w:color w:val="auto"/>
              </w:rPr>
              <w:t xml:space="preserve"> of this prospectus supplement and page 8 of the</w:t>
            </w:r>
          </w:p>
        </w:tc>
      </w:tr>
      <w:tr>
        <w:trPr>
          <w:trHeight w:val="20"/>
        </w:trPr>
        <w:tc>
          <w:tcPr>
            <w:tcW w:w="2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18"/>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accompanying prospectus for a discussion of the risks you should</w:t>
            </w:r>
          </w:p>
        </w:tc>
      </w:tr>
      <w:tr>
        <w:trPr>
          <w:trHeight w:val="234"/>
        </w:trPr>
        <w:tc>
          <w:tcPr>
            <w:tcW w:w="2180" w:type="dxa"/>
            <w:vAlign w:val="bottom"/>
          </w:tcPr>
          <w:p>
            <w:pPr>
              <w:spacing w:after="0"/>
              <w:rPr>
                <w:sz w:val="20"/>
                <w:szCs w:val="20"/>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consider before investing in the notes.</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identified in Part I, Item 1A., “Risk Factors,” of our Annual Report on Form 10-K for the year ended December 31, 2022 and the risks identified in our other filings with the SEC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2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12"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impair our financial condition and our ability to fulfill our debt obligations, including our obligations under the notes.</w:t>
      </w:r>
    </w:p>
    <w:p>
      <w:pPr>
        <w:spacing w:after="0" w:line="7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We have substantial indebtedness. At December 31, 2022, our ratio of total debt to total capitalization was 68.6%, and we had $14.984 billion of total debt. In addition, as of December 31, 2022, we had approximately $966 million of total letters of credit outstanding under our various facilities and certain bi-lateral agreements, including $166 million of such outstanding letters of credit that were issued under and supported by our $3.5 billion revolving credit facility. Our indebtedness that bears interest at a floating rate makes us vulnerable to changes in interest rates. As of December 31, 2022, we had approximately</w:t>
      </w:r>
    </w:p>
    <w:p>
      <w:pPr>
        <w:spacing w:after="0" w:line="3"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$3.1 billion of debt maturing within the next 12 months, including: (i) $1.7 billion of short-term borrowings (net of related discount on issuance) under our commercial paper program; (ii) $725 million of tax-exempt bonds with term interest rate periods that expire within the next 12 months, which is prior to their scheduled maturities; (iii) $500 million of 2.40% senior notes that mature in May 2023; and (iv) $192 million of other debt with scheduled maturities within the next 12 months, including $65 million of tax-exempt bonds. Our level of indebtedness and the covenants contained in the agreements governing our debt could have important consequences, including:</w:t>
      </w:r>
    </w:p>
    <w:p>
      <w:pPr>
        <w:spacing w:after="0" w:line="79" w:lineRule="exact"/>
        <w:rPr>
          <w:sz w:val="20"/>
          <w:szCs w:val="20"/>
          <w:color w:val="auto"/>
        </w:rPr>
      </w:pPr>
    </w:p>
    <w:p>
      <w:pPr>
        <w:ind w:left="1800" w:right="83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40"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for working capital, capital expenditures, acquisitions, general corporate purposes or other purposes;</w:t>
      </w:r>
    </w:p>
    <w:p>
      <w:pPr>
        <w:spacing w:after="0" w:line="26" w:lineRule="exact"/>
        <w:rPr>
          <w:rFonts w:ascii="Times New Roman" w:cs="Times New Roman" w:eastAsia="Times New Roman" w:hAnsi="Times New Roman"/>
          <w:sz w:val="18"/>
          <w:szCs w:val="18"/>
          <w:color w:val="auto"/>
        </w:rPr>
      </w:pPr>
    </w:p>
    <w:p>
      <w:pPr>
        <w:jc w:val="both"/>
        <w:ind w:left="1800" w:right="103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54"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 and</w:t>
      </w:r>
    </w:p>
    <w:p>
      <w:pPr>
        <w:spacing w:after="0" w:line="26"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proportionately less debt.</w:t>
      </w:r>
    </w:p>
    <w:p>
      <w:pPr>
        <w:spacing w:after="0" w:line="9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are not prohibited under the indenture governing the notes from incurring additional indebtedness. Although our $3.5 billion revolving credit facility and our $1.0 billion, two-year, U.S. term credit agreement (“Term Loan”) require us to maintain a specified ratio of Total Debt to EBITDA (as defined in each of our $3.5 billion revolving credit facility and Term Loan), following this offering of notes and the use of proceeds contemplated hereby, we expect to have the ability to incur additional indebtedness while remaining in compliance with this covenant. Our incurrence of additional indebtedness would exacerbate the negative consequences mentioned above, and could adversely affect our ability to service and repay the notes.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we depend upon cash distributions from our subsidiaries to service our debt.</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As a holding company, we conduct our operations through our operating subsidiaries, and our only significant assets are the capital stock of our subsidiaries. Accordingly, our ability to meet our cash</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effectively subordinated to certain of our subsidiaries’ debt and our secured debt.</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While the notes of each series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each series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notes payable associated with our investment in federal low-income housing tax credits. The balance on such notes payable as of December 31, 2022 was $295 million. As of December 31, 2022, our operating subsidiaries had $2.128 billion of indebtedness and WM Holdings had $ 223 million of long-term debt (excluding guarantees of $8.403 billion of our senior debt), in each case excluding intercompany loans. For a description of the ranking of the notes, see “Description of Notes — Ranking” in this prospectus supplement.</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Fraudulent transfer statutes may limit your rights under the guarantees of the notes.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Our obligations under the notes will be guaranteed by our wholly owned subsidiary, WM Holdings. The guarantees may be subject to review under various laws for the protection of creditors. It is possible that the creditors of WM Holdings may challenge the guarantees as fraudulent transfers under relevant federal and state laws. Under certain circumstances, including a 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notes may be limited. Different jurisdictions define “insolvency” differently, and we cannot assure you as to what standard a court would apply to determine whether WM Holdings was insolvent. If a court determined that WM Holdings was insolvent on the date the guarantees of the notes were issued, or that the guarantees constituted a fraudulent transfer on another ground, the claims of creditors of WM Holdings would effectively have priority with respect to WM Holdings’ assets and earnings over the claims of the holders of the notes.</w:t>
      </w:r>
    </w:p>
    <w:p>
      <w:pPr>
        <w:spacing w:after="0" w:line="186" w:lineRule="exact"/>
        <w:rPr>
          <w:sz w:val="20"/>
          <w:szCs w:val="20"/>
          <w:color w:val="auto"/>
        </w:rPr>
      </w:pPr>
    </w:p>
    <w:p>
      <w:pPr>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91"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Holders of the notes may require us to purchase their notes upon a “change of control triggering event” as defined under “Description of Notes —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then-existing debt.</w:t>
      </w:r>
    </w:p>
    <w:p>
      <w:pPr>
        <w:spacing w:after="0" w:line="10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not be able to sell the notes for a profit or at all.</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notes of each series will be a new issue of securities. There is no existing active trading market for the notes of either series, and a market may never develop. We do not currently intend to apply for listing of either series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include increases in then prevailing interest rates, a decline in our credit worthiness based on our business, operating results or financial condition, weakness in the markets for similar securities and declining general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We expect the net proceeds from the offering of the notes to be $1.239 billion, after deducting the underwriting discounts and estimated expenses of the offering that we will pay.</w:t>
      </w:r>
    </w:p>
    <w:p>
      <w:pPr>
        <w:spacing w:after="0" w:line="94"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the offering of the notes (i) to repay borrowings under our commercial paper program used for working capital, which is fully supported by our $3.5 billion revolving credit facility, (ii) to repay $500 million aggregate principal amount of our outstanding 2.40% Senior Notes when they mature in May 2023 and (iii) for general corporate purposes.</w:t>
      </w:r>
    </w:p>
    <w:p>
      <w:pPr>
        <w:spacing w:after="0" w:line="9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Certain underwriters or their respective affiliates in this offering are lenders to us under our $3.5 billion revolving credit facility and may receive 5% or more of the net proceeds of this offering by reason of the repayment of amounts outstanding under our commercial paper program, which is fully supported by such credit facility. Accordingly, such underwriters are deemed to have a “conflict of interest” within the meaning of FINRA Rule 5121, and this offering will be conducted in accordance with FINRA</w:t>
      </w:r>
    </w:p>
    <w:p>
      <w:pPr>
        <w:spacing w:after="0" w:line="3" w:lineRule="exact"/>
        <w:rPr>
          <w:sz w:val="20"/>
          <w:szCs w:val="20"/>
          <w:color w:val="auto"/>
        </w:rPr>
      </w:pPr>
    </w:p>
    <w:p>
      <w:pPr>
        <w:ind w:left="1260" w:right="659"/>
        <w:spacing w:after="0" w:line="253" w:lineRule="auto"/>
        <w:rPr>
          <w:sz w:val="20"/>
          <w:szCs w:val="20"/>
          <w:color w:val="auto"/>
        </w:rPr>
      </w:pPr>
      <w:r>
        <w:rPr>
          <w:rFonts w:ascii="Times New Roman" w:cs="Times New Roman" w:eastAsia="Times New Roman" w:hAnsi="Times New Roman"/>
          <w:sz w:val="18"/>
          <w:szCs w:val="18"/>
          <w:color w:val="auto"/>
        </w:rPr>
        <w:t>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 See “Underwriting (Conflicts of Interest) — Conflicts of Interest” in this prospectus supplement.</w:t>
      </w:r>
    </w:p>
    <w:p>
      <w:pPr>
        <w:spacing w:after="0" w:line="18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Commercial Paper Program</w:t>
      </w:r>
    </w:p>
    <w:p>
      <w:pPr>
        <w:spacing w:after="0" w:line="162"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Our commercial paper program enables us to borrow up to $3.5 billion, which capacity is reduced by the aggregate amount of borrowings outstanding under our $3.5 billion revolving credit facility, for up to 397 days at competitive interest rates. As of February 6, 2023, we had $2.0 billion of outstanding borrowings under our commercial paper program with a weighted average interest rate of 4.9% and a weighted average maturity of 36 days. The proceeds of our commercial paper program were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consolidated cash and cash equivalents and consolidated capitalization as of December 31, 2022 on an actual basis and as adjusted to give effect to the offering of the notes and the repayment of borrowings under our commercial paper program but not any other use of proceeds of the offering of the notes.</w:t>
      </w:r>
    </w:p>
    <w:p>
      <w:pPr>
        <w:spacing w:after="0" w:line="11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6"/>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Actual</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6"/>
              </w:rPr>
              <w:t>As Adjusted</w:t>
            </w:r>
            <w:r>
              <w:rPr>
                <w:rFonts w:ascii="Times New Roman" w:cs="Times New Roman" w:eastAsia="Times New Roman" w:hAnsi="Times New Roman"/>
                <w:sz w:val="17"/>
                <w:szCs w:val="17"/>
                <w:b w:val="1"/>
                <w:bCs w:val="1"/>
                <w:color w:val="auto"/>
                <w:w w:val="96"/>
                <w:vertAlign w:val="superscript"/>
              </w:rPr>
              <w:t>(a)</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9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60" w:type="dxa"/>
            <w:vAlign w:val="bottom"/>
            <w:tcBorders>
              <w:right w:val="single" w:sz="8" w:color="auto"/>
            </w:tcBorders>
            <w:gridSpan w:val="7"/>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p>
        </w:tc>
        <w:tc>
          <w:tcPr>
            <w:tcW w:w="1920" w:type="dxa"/>
            <w:vAlign w:val="bottom"/>
            <w:gridSpan w:val="8"/>
          </w:tcPr>
          <w:p>
            <w:pPr>
              <w:spacing w:after="0" w:line="236" w:lineRule="exact"/>
              <w:rPr>
                <w:sz w:val="20"/>
                <w:szCs w:val="20"/>
                <w:color w:val="auto"/>
              </w:rPr>
            </w:pPr>
            <w:r>
              <w:rPr>
                <w:rFonts w:ascii="Times New Roman" w:cs="Times New Roman" w:eastAsia="Times New Roman" w:hAnsi="Times New Roman"/>
                <w:sz w:val="14"/>
                <w:szCs w:val="14"/>
                <w:b w:val="1"/>
                <w:bCs w:val="1"/>
                <w:color w:val="auto"/>
                <w:w w:val="98"/>
              </w:rPr>
              <w:t xml:space="preserve">(Unaudited, Dollars in millions) </w:t>
            </w:r>
            <w:r>
              <w:rPr>
                <w:rFonts w:ascii="Times New Roman" w:cs="Times New Roman" w:eastAsia="Times New Roman" w:hAnsi="Times New Roman"/>
                <w:sz w:val="27"/>
                <w:szCs w:val="27"/>
                <w:b w:val="1"/>
                <w:bCs w:val="1"/>
                <w:color w:val="auto"/>
                <w:w w:val="98"/>
                <w:vertAlign w:val="subscript"/>
              </w:rPr>
              <w:t>​</w:t>
            </w:r>
          </w:p>
        </w:tc>
      </w:tr>
      <w:tr>
        <w:trPr>
          <w:trHeight w:val="270"/>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right w:val="single" w:sz="8" w:color="CCEEFF"/>
            </w:tcBorders>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40" w:type="dxa"/>
            <w:vAlign w:val="bottom"/>
          </w:tcPr>
          <w:p>
            <w:pPr>
              <w:spacing w:after="0"/>
              <w:rPr>
                <w:sz w:val="21"/>
                <w:szCs w:val="21"/>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4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Pr>
          <w:p>
            <w:pPr>
              <w:spacing w:after="0"/>
              <w:rPr>
                <w:sz w:val="21"/>
                <w:szCs w:val="21"/>
                <w:color w:val="auto"/>
              </w:rPr>
            </w:pPr>
          </w:p>
        </w:tc>
        <w:tc>
          <w:tcPr>
            <w:tcW w:w="120" w:type="dxa"/>
            <w:vAlign w:val="bottom"/>
          </w:tcPr>
          <w:p>
            <w:pPr>
              <w:jc w:val="right"/>
              <w:ind w:right="9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 program</w:t>
            </w:r>
            <w:r>
              <w:rPr>
                <w:rFonts w:ascii="Times New Roman" w:cs="Times New Roman" w:eastAsia="Times New Roman" w:hAnsi="Times New Roman"/>
                <w:sz w:val="23"/>
                <w:szCs w:val="23"/>
                <w:color w:val="auto"/>
                <w:vertAlign w:val="superscript"/>
              </w:rPr>
              <w:t>(b)</w:t>
            </w:r>
          </w:p>
        </w:tc>
        <w:tc>
          <w:tcPr>
            <w:tcW w:w="40" w:type="dxa"/>
            <w:vAlign w:val="bottom"/>
            <w:shd w:val="clear" w:color="auto" w:fill="CCEEFF"/>
          </w:tcPr>
          <w:p>
            <w:pPr>
              <w:spacing w:after="0"/>
              <w:rPr>
                <w:sz w:val="24"/>
                <w:szCs w:val="24"/>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Borders>
              <w:right w:val="single" w:sz="8" w:color="CCEEFF"/>
            </w:tcBorders>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$3.5 billion revolving credit facility</w:t>
            </w:r>
            <w:r>
              <w:rPr>
                <w:rFonts w:ascii="Times New Roman" w:cs="Times New Roman" w:eastAsia="Times New Roman" w:hAnsi="Times New Roman"/>
                <w:sz w:val="23"/>
                <w:szCs w:val="23"/>
                <w:color w:val="auto"/>
                <w:vertAlign w:val="superscript"/>
              </w:rPr>
              <w:t>(b)</w:t>
            </w:r>
          </w:p>
        </w:tc>
        <w:tc>
          <w:tcPr>
            <w:tcW w:w="40" w:type="dxa"/>
            <w:vAlign w:val="bottom"/>
          </w:tcPr>
          <w:p>
            <w:pPr>
              <w:spacing w:after="0"/>
              <w:rPr>
                <w:sz w:val="24"/>
                <w:szCs w:val="24"/>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notes, maturing through 2050</w:t>
            </w:r>
          </w:p>
        </w:tc>
        <w:tc>
          <w:tcPr>
            <w:tcW w:w="40" w:type="dxa"/>
            <w:vAlign w:val="bottom"/>
            <w:shd w:val="clear" w:color="auto" w:fill="CCEEFF"/>
          </w:tcPr>
          <w:p>
            <w:pPr>
              <w:spacing w:after="0"/>
              <w:rPr>
                <w:sz w:val="22"/>
                <w:szCs w:val="22"/>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120" w:type="dxa"/>
            <w:vAlign w:val="bottom"/>
            <w:tcBorders>
              <w:right w:val="single" w:sz="8" w:color="CCEEFF"/>
            </w:tcBorders>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Term Loan</w:t>
            </w:r>
            <w:r>
              <w:rPr>
                <w:rFonts w:ascii="Times New Roman" w:cs="Times New Roman" w:eastAsia="Times New Roman" w:hAnsi="Times New Roman"/>
                <w:sz w:val="23"/>
                <w:szCs w:val="23"/>
                <w:color w:val="auto"/>
                <w:vertAlign w:val="superscript"/>
              </w:rPr>
              <w:t>(c)</w:t>
            </w:r>
          </w:p>
        </w:tc>
        <w:tc>
          <w:tcPr>
            <w:tcW w:w="40" w:type="dxa"/>
            <w:vAlign w:val="bottom"/>
          </w:tcPr>
          <w:p>
            <w:pPr>
              <w:spacing w:after="0"/>
              <w:rPr>
                <w:sz w:val="24"/>
                <w:szCs w:val="24"/>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Canadian senior notes, C$500 million maturing September 2026</w:t>
            </w:r>
            <w:r>
              <w:rPr>
                <w:rFonts w:ascii="Times New Roman" w:cs="Times New Roman" w:eastAsia="Times New Roman" w:hAnsi="Times New Roman"/>
                <w:sz w:val="23"/>
                <w:szCs w:val="23"/>
                <w:color w:val="auto"/>
                <w:vertAlign w:val="superscript"/>
              </w:rPr>
              <w:t>(d)</w:t>
            </w:r>
          </w:p>
        </w:tc>
        <w:tc>
          <w:tcPr>
            <w:tcW w:w="40" w:type="dxa"/>
            <w:vAlign w:val="bottom"/>
            <w:shd w:val="clear" w:color="auto" w:fill="CCEEFF"/>
          </w:tcPr>
          <w:p>
            <w:pPr>
              <w:spacing w:after="0"/>
              <w:rPr>
                <w:sz w:val="24"/>
                <w:szCs w:val="24"/>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right w:val="single" w:sz="8" w:color="CCEEFF"/>
            </w:tcBorders>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4.625% Senior Notes due 2030 offered hereby (including unamortized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discount)</w:t>
            </w:r>
          </w:p>
        </w:tc>
        <w:tc>
          <w:tcPr>
            <w:tcW w:w="40" w:type="dxa"/>
            <w:vAlign w:val="bottom"/>
          </w:tcPr>
          <w:p>
            <w:pPr>
              <w:spacing w:after="0"/>
              <w:rPr>
                <w:sz w:val="21"/>
                <w:szCs w:val="21"/>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4.625% Senior Notes due 2033 offered hereby (including unamortized</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6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discount)</w:t>
            </w:r>
          </w:p>
        </w:tc>
        <w:tc>
          <w:tcPr>
            <w:tcW w:w="40" w:type="dxa"/>
            <w:vAlign w:val="bottom"/>
            <w:shd w:val="clear" w:color="auto" w:fill="CCEEFF"/>
          </w:tcPr>
          <w:p>
            <w:pPr>
              <w:spacing w:after="0"/>
              <w:rPr>
                <w:sz w:val="21"/>
                <w:szCs w:val="21"/>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Tax-exempt bonds, maturing through 2048</w:t>
            </w:r>
            <w:r>
              <w:rPr>
                <w:rFonts w:ascii="Times New Roman" w:cs="Times New Roman" w:eastAsia="Times New Roman" w:hAnsi="Times New Roman"/>
                <w:sz w:val="23"/>
                <w:szCs w:val="23"/>
                <w:color w:val="auto"/>
                <w:vertAlign w:val="superscript"/>
              </w:rPr>
              <w:t>(e)</w:t>
            </w:r>
          </w:p>
        </w:tc>
        <w:tc>
          <w:tcPr>
            <w:tcW w:w="40" w:type="dxa"/>
            <w:vAlign w:val="bottom"/>
          </w:tcPr>
          <w:p>
            <w:pPr>
              <w:spacing w:after="0"/>
              <w:rPr>
                <w:sz w:val="24"/>
                <w:szCs w:val="24"/>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leases and other, maturing through 2071</w:t>
            </w:r>
          </w:p>
        </w:tc>
        <w:tc>
          <w:tcPr>
            <w:tcW w:w="40" w:type="dxa"/>
            <w:vAlign w:val="bottom"/>
            <w:shd w:val="clear" w:color="auto" w:fill="CCEEFF"/>
          </w:tcPr>
          <w:p>
            <w:pPr>
              <w:spacing w:after="0"/>
              <w:rPr>
                <w:sz w:val="22"/>
                <w:szCs w:val="22"/>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Borders>
              <w:right w:val="single" w:sz="8" w:color="CCEEFF"/>
            </w:tcBorders>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Debt issuance costs, discounts and other</w:t>
            </w:r>
            <w:r>
              <w:rPr>
                <w:rFonts w:ascii="Times New Roman" w:cs="Times New Roman" w:eastAsia="Times New Roman" w:hAnsi="Times New Roman"/>
                <w:sz w:val="23"/>
                <w:szCs w:val="23"/>
                <w:color w:val="auto"/>
                <w:vertAlign w:val="superscript"/>
              </w:rPr>
              <w:t>(f)</w:t>
            </w:r>
          </w:p>
        </w:tc>
        <w:tc>
          <w:tcPr>
            <w:tcW w:w="40" w:type="dxa"/>
            <w:vAlign w:val="bottom"/>
          </w:tcPr>
          <w:p>
            <w:pPr>
              <w:spacing w:after="0"/>
              <w:rPr>
                <w:sz w:val="24"/>
                <w:szCs w:val="24"/>
                <w:color w:val="auto"/>
              </w:rPr>
            </w:pPr>
          </w:p>
        </w:tc>
        <w:tc>
          <w:tcPr>
            <w:tcW w:w="420" w:type="dxa"/>
            <w:vAlign w:val="bottom"/>
            <w:gridSpan w:val="3"/>
          </w:tcPr>
          <w:p>
            <w:pPr>
              <w:spacing w:after="0" w:line="297" w:lineRule="exact"/>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34"/>
                <w:szCs w:val="34"/>
                <w:color w:val="auto"/>
                <w:vertAlign w:val="superscript"/>
              </w:rPr>
              <w:t>​</w:t>
            </w:r>
          </w:p>
        </w:tc>
        <w:tc>
          <w:tcPr>
            <w:tcW w:w="740" w:type="dxa"/>
            <w:vAlign w:val="bottom"/>
            <w:gridSpan w:val="2"/>
          </w:tcPr>
          <w:p>
            <w:pPr>
              <w:jc w:val="right"/>
              <w:spacing w:after="0" w:line="297" w:lineRule="exact"/>
              <w:rPr>
                <w:sz w:val="20"/>
                <w:szCs w:val="20"/>
                <w:color w:val="auto"/>
              </w:rPr>
            </w:pPr>
            <w:r>
              <w:rPr>
                <w:rFonts w:ascii="Times New Roman" w:cs="Times New Roman" w:eastAsia="Times New Roman" w:hAnsi="Times New Roman"/>
                <w:sz w:val="18"/>
                <w:szCs w:val="18"/>
                <w:color w:val="auto"/>
              </w:rPr>
              <w:t>(88)</w:t>
            </w:r>
            <w:r>
              <w:rPr>
                <w:rFonts w:ascii="Times New Roman" w:cs="Times New Roman" w:eastAsia="Times New Roman" w:hAnsi="Times New Roman"/>
                <w:sz w:val="34"/>
                <w:szCs w:val="34"/>
                <w:color w:val="auto"/>
                <w:vertAlign w:val="subscript"/>
              </w:rPr>
              <w:t>​​ ​</w:t>
            </w:r>
          </w:p>
        </w:tc>
        <w:tc>
          <w:tcPr>
            <w:tcW w:w="140" w:type="dxa"/>
            <w:vAlign w:val="bottom"/>
          </w:tcPr>
          <w:p>
            <w:pPr>
              <w:spacing w:after="0"/>
              <w:rPr>
                <w:sz w:val="24"/>
                <w:szCs w:val="24"/>
                <w:color w:val="auto"/>
              </w:rPr>
            </w:pPr>
          </w:p>
        </w:tc>
        <w:tc>
          <w:tcPr>
            <w:tcW w:w="180" w:type="dxa"/>
            <w:vAlign w:val="bottom"/>
          </w:tcPr>
          <w:p>
            <w:pPr>
              <w:spacing w:after="0" w:line="297"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8"/>
                <w:szCs w:val="18"/>
                <w:color w:val="auto"/>
              </w:rPr>
              <w:t xml:space="preserve"> ​</w:t>
            </w:r>
          </w:p>
        </w:tc>
        <w:tc>
          <w:tcPr>
            <w:tcW w:w="60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40" w:type="dxa"/>
            <w:vAlign w:val="bottom"/>
            <w:shd w:val="clear" w:color="auto" w:fill="CCEEFF"/>
          </w:tcPr>
          <w:p>
            <w:pPr>
              <w:spacing w:after="0"/>
              <w:rPr>
                <w:sz w:val="22"/>
                <w:szCs w:val="22"/>
                <w:color w:val="auto"/>
              </w:rPr>
            </w:pPr>
          </w:p>
        </w:tc>
        <w:tc>
          <w:tcPr>
            <w:tcW w:w="1160" w:type="dxa"/>
            <w:vAlign w:val="bottom"/>
            <w:gridSpan w:val="5"/>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 xml:space="preserve"> ​14,984 </w:t>
            </w:r>
            <w:r>
              <w:rPr>
                <w:rFonts w:ascii="Times New Roman" w:cs="Times New Roman" w:eastAsia="Times New Roman" w:hAnsi="Times New Roman"/>
                <w:sz w:val="30"/>
                <w:szCs w:val="30"/>
                <w:color w:val="auto"/>
                <w:vertAlign w:val="subscript"/>
              </w:rPr>
              <w:t>​​ ​</w:t>
            </w:r>
          </w:p>
        </w:tc>
        <w:tc>
          <w:tcPr>
            <w:tcW w:w="140" w:type="dxa"/>
            <w:vAlign w:val="bottom"/>
            <w:tcBorders>
              <w:right w:val="single" w:sz="8" w:color="CCEEFF"/>
            </w:tcBorders>
            <w:shd w:val="clear" w:color="auto" w:fill="CCEEFF"/>
          </w:tcPr>
          <w:p>
            <w:pPr>
              <w:spacing w:after="0"/>
              <w:rPr>
                <w:sz w:val="22"/>
                <w:szCs w:val="22"/>
                <w:color w:val="auto"/>
              </w:rPr>
            </w:pPr>
          </w:p>
        </w:tc>
        <w:tc>
          <w:tcPr>
            <w:tcW w:w="780" w:type="dxa"/>
            <w:vAlign w:val="bottom"/>
            <w:tcBorders>
              <w:right w:val="single" w:sz="8" w:color="CCEEFF"/>
            </w:tcBorders>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​14,995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0" w:type="dxa"/>
            <w:vAlign w:val="bottom"/>
          </w:tcPr>
          <w:p>
            <w:pPr>
              <w:spacing w:after="0"/>
              <w:rPr>
                <w:sz w:val="21"/>
                <w:szCs w:val="21"/>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4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Pr>
          <w:p>
            <w:pPr>
              <w:spacing w:after="0"/>
              <w:rPr>
                <w:sz w:val="21"/>
                <w:szCs w:val="21"/>
                <w:color w:val="auto"/>
              </w:rPr>
            </w:pPr>
          </w:p>
        </w:tc>
        <w:tc>
          <w:tcPr>
            <w:tcW w:w="120" w:type="dxa"/>
            <w:vAlign w:val="bottom"/>
          </w:tcPr>
          <w:p>
            <w:pPr>
              <w:jc w:val="right"/>
              <w:ind w:right="9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Waste Management, Inc. Stockholders’ Equity:</w:t>
            </w:r>
          </w:p>
        </w:tc>
        <w:tc>
          <w:tcPr>
            <w:tcW w:w="40" w:type="dxa"/>
            <w:vAlign w:val="bottom"/>
            <w:shd w:val="clear" w:color="auto" w:fill="CCEEFF"/>
          </w:tcPr>
          <w:p>
            <w:pPr>
              <w:spacing w:after="0"/>
              <w:rPr>
                <w:sz w:val="22"/>
                <w:szCs w:val="22"/>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$0.01 par value; 1,500,000,000 shares authorized;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630,282,461 shares issued</w:t>
            </w:r>
          </w:p>
        </w:tc>
        <w:tc>
          <w:tcPr>
            <w:tcW w:w="40" w:type="dxa"/>
            <w:vAlign w:val="bottom"/>
          </w:tcPr>
          <w:p>
            <w:pPr>
              <w:spacing w:after="0"/>
              <w:rPr>
                <w:sz w:val="21"/>
                <w:szCs w:val="21"/>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 w:type="dxa"/>
            <w:vAlign w:val="bottom"/>
            <w:shd w:val="clear" w:color="auto" w:fill="CCEEFF"/>
          </w:tcPr>
          <w:p>
            <w:pPr>
              <w:spacing w:after="0"/>
              <w:rPr>
                <w:sz w:val="22"/>
                <w:szCs w:val="22"/>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20" w:type="dxa"/>
            <w:vAlign w:val="bottom"/>
            <w:tcBorders>
              <w:right w:val="single" w:sz="8" w:color="CCEEFF"/>
            </w:tcBorders>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40" w:type="dxa"/>
            <w:vAlign w:val="bottom"/>
          </w:tcPr>
          <w:p>
            <w:pPr>
              <w:spacing w:after="0"/>
              <w:rPr>
                <w:sz w:val="22"/>
                <w:szCs w:val="22"/>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 ​13,167 ​​ ​</w:t>
            </w:r>
          </w:p>
        </w:tc>
        <w:tc>
          <w:tcPr>
            <w:tcW w:w="140" w:type="dxa"/>
            <w:vAlign w:val="bottom"/>
          </w:tcPr>
          <w:p>
            <w:pPr>
              <w:spacing w:after="0"/>
              <w:rPr>
                <w:sz w:val="22"/>
                <w:szCs w:val="22"/>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​13,167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0" w:type="dxa"/>
            <w:vAlign w:val="bottom"/>
            <w:shd w:val="clear" w:color="auto" w:fill="CCEEFF"/>
          </w:tcPr>
          <w:p>
            <w:pPr>
              <w:spacing w:after="0"/>
              <w:rPr>
                <w:sz w:val="22"/>
                <w:szCs w:val="22"/>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4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stock at cost, 222,396,166 shares</w:t>
            </w:r>
          </w:p>
        </w:tc>
        <w:tc>
          <w:tcPr>
            <w:tcW w:w="40" w:type="dxa"/>
            <w:vAlign w:val="bottom"/>
          </w:tcPr>
          <w:p>
            <w:pPr>
              <w:spacing w:after="0"/>
              <w:rPr>
                <w:sz w:val="23"/>
                <w:szCs w:val="23"/>
                <w:color w:val="auto"/>
              </w:rPr>
            </w:pPr>
          </w:p>
        </w:tc>
        <w:tc>
          <w:tcPr>
            <w:tcW w:w="1160" w:type="dxa"/>
            <w:vAlign w:val="bottom"/>
            <w:gridSpan w:val="5"/>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​(11,569)</w:t>
            </w:r>
            <w:r>
              <w:rPr>
                <w:rFonts w:ascii="Times New Roman" w:cs="Times New Roman" w:eastAsia="Times New Roman" w:hAnsi="Times New Roman"/>
                <w:sz w:val="31"/>
                <w:szCs w:val="31"/>
                <w:color w:val="auto"/>
                <w:vertAlign w:val="subscript"/>
              </w:rPr>
              <w:t>​​ ​</w:t>
            </w:r>
          </w:p>
        </w:tc>
        <w:tc>
          <w:tcPr>
            <w:tcW w:w="140" w:type="dxa"/>
            <w:vAlign w:val="bottom"/>
          </w:tcPr>
          <w:p>
            <w:pPr>
              <w:spacing w:after="0"/>
              <w:rPr>
                <w:sz w:val="23"/>
                <w:szCs w:val="23"/>
                <w:color w:val="auto"/>
              </w:rPr>
            </w:pPr>
          </w:p>
        </w:tc>
        <w:tc>
          <w:tcPr>
            <w:tcW w:w="7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​(11,569)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Waste Management, Inc. stockholders’ equity</w:t>
            </w:r>
          </w:p>
        </w:tc>
        <w:tc>
          <w:tcPr>
            <w:tcW w:w="40" w:type="dxa"/>
            <w:vAlign w:val="bottom"/>
            <w:shd w:val="clear" w:color="auto" w:fill="CCEEFF"/>
          </w:tcPr>
          <w:p>
            <w:pPr>
              <w:spacing w:after="0"/>
              <w:rPr>
                <w:sz w:val="21"/>
                <w:szCs w:val="21"/>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2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 w:type="dxa"/>
            <w:vAlign w:val="bottom"/>
          </w:tcPr>
          <w:p>
            <w:pPr>
              <w:spacing w:after="0"/>
              <w:rPr>
                <w:sz w:val="23"/>
                <w:szCs w:val="23"/>
                <w:color w:val="auto"/>
              </w:rPr>
            </w:pPr>
          </w:p>
        </w:tc>
        <w:tc>
          <w:tcPr>
            <w:tcW w:w="420" w:type="dxa"/>
            <w:vAlign w:val="bottom"/>
            <w:gridSpan w:val="3"/>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3"/>
                <w:szCs w:val="23"/>
                <w:color w:val="auto"/>
              </w:rPr>
            </w:pPr>
          </w:p>
        </w:tc>
        <w:tc>
          <w:tcPr>
            <w:tcW w:w="18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40" w:type="dxa"/>
            <w:vAlign w:val="bottom"/>
            <w:shd w:val="clear" w:color="auto" w:fill="CCEEFF"/>
          </w:tcPr>
          <w:p>
            <w:pPr>
              <w:spacing w:after="0"/>
              <w:rPr>
                <w:sz w:val="22"/>
                <w:szCs w:val="22"/>
                <w:color w:val="auto"/>
              </w:rPr>
            </w:pPr>
          </w:p>
        </w:tc>
        <w:tc>
          <w:tcPr>
            <w:tcW w:w="42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30"/>
                <w:szCs w:val="30"/>
                <w:color w:val="auto"/>
                <w:vertAlign w:val="superscript"/>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20" w:type="dxa"/>
            <w:vAlign w:val="bottom"/>
            <w:tcBorders>
              <w:right w:val="single" w:sz="8" w:color="CCEEFF"/>
            </w:tcBorders>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debt and equity</w:t>
            </w:r>
          </w:p>
        </w:tc>
        <w:tc>
          <w:tcPr>
            <w:tcW w:w="40" w:type="dxa"/>
            <w:vAlign w:val="bottom"/>
          </w:tcPr>
          <w:p>
            <w:pPr>
              <w:spacing w:after="0"/>
              <w:rPr>
                <w:sz w:val="22"/>
                <w:szCs w:val="22"/>
                <w:color w:val="auto"/>
              </w:rPr>
            </w:pPr>
          </w:p>
        </w:tc>
        <w:tc>
          <w:tcPr>
            <w:tcW w:w="1160" w:type="dxa"/>
            <w:vAlign w:val="bottom"/>
            <w:gridSpan w:val="5"/>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$ 21,848 </w:t>
            </w:r>
            <w:r>
              <w:rPr>
                <w:rFonts w:ascii="Times New Roman" w:cs="Times New Roman" w:eastAsia="Times New Roman" w:hAnsi="Times New Roman"/>
                <w:sz w:val="28"/>
                <w:szCs w:val="28"/>
                <w:color w:val="auto"/>
                <w:vertAlign w:val="subscript"/>
              </w:rPr>
              <w:t>​​ ​</w:t>
            </w:r>
          </w:p>
        </w:tc>
        <w:tc>
          <w:tcPr>
            <w:tcW w:w="140" w:type="dxa"/>
            <w:vAlign w:val="bottom"/>
          </w:tcPr>
          <w:p>
            <w:pPr>
              <w:spacing w:after="0"/>
              <w:rPr>
                <w:sz w:val="22"/>
                <w:szCs w:val="22"/>
                <w:color w:val="auto"/>
              </w:rPr>
            </w:pPr>
          </w:p>
        </w:tc>
        <w:tc>
          <w:tcPr>
            <w:tcW w:w="78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$ 21,859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-471170</wp:posOffset>
            </wp:positionV>
            <wp:extent cx="52120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-814070</wp:posOffset>
            </wp:positionV>
            <wp:extent cx="52120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-2287905</wp:posOffset>
            </wp:positionV>
            <wp:extent cx="52120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-4808220</wp:posOffset>
            </wp:positionV>
            <wp:extent cx="137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620" w:right="579" w:hanging="360"/>
        <w:spacing w:after="0" w:line="256" w:lineRule="auto"/>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 Adjusted column gives effect to the offering of the notes and the repayment of borrowings under our commercial paper program but does not give effect to any other use of proceeds of the offering of the notes. After giving effect to the repayment of $500 million aggregate principal amount of our outstanding 2.40% Senior Notes when they mature in May 2023, As Adjusted Cash and Cash Equivalents would be $100 million, the As Adjusted Commercial paper program would be $740 million, and As Adjusted Senior notes, maturing through 2050, would be $8.1 billion.</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hanging="360"/>
        <w:spacing w:after="0" w:line="255"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$3.5 billion revolving credit facility expires in May 2027 and provides us with credit capacity to be used for cash borrowings, including borrowings in Canadian dollars up to the U.S. dollar equivalent of $375 million, to support letters of credit and to support our commercial paper program. Our remaining uncommitted letter of credit capacity is provided under facilities with terms extending through</w:t>
      </w:r>
    </w:p>
    <w:p>
      <w:pPr>
        <w:spacing w:after="0" w:line="2"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2024.</w:t>
      </w:r>
    </w:p>
    <w:p>
      <w:pPr>
        <w:spacing w:after="0" w:line="31" w:lineRule="exact"/>
        <w:rPr>
          <w:rFonts w:ascii="Times New Roman" w:cs="Times New Roman" w:eastAsia="Times New Roman" w:hAnsi="Times New Roman"/>
          <w:sz w:val="18"/>
          <w:szCs w:val="18"/>
          <w:color w:val="auto"/>
        </w:rPr>
      </w:pPr>
    </w:p>
    <w:p>
      <w:pPr>
        <w:ind w:left="1620" w:right="4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we pay on outstanding U.S. or Canadian loans are based on a secured overnight financing rate administered by the Federal Reserve Bank of New York (“SOFR”) or the Canadian Dollar Offered Rate (“CDOR”), respectively, plus a spread depending on our senior public debt rating assigned by Moody’s Investors Service, Inc. and Standard and Poor’s Global Ratings. The spread above SOFR or CDOR can range from 0.585% to 1.025% per annum, plus a credit adjustment spread of</w:t>
      </w:r>
    </w:p>
    <w:p>
      <w:pPr>
        <w:spacing w:after="0" w:line="3" w:lineRule="exact"/>
        <w:rPr>
          <w:rFonts w:ascii="Times New Roman" w:cs="Times New Roman" w:eastAsia="Times New Roman" w:hAnsi="Times New Roman"/>
          <w:sz w:val="18"/>
          <w:szCs w:val="18"/>
          <w:color w:val="auto"/>
        </w:rPr>
      </w:pPr>
    </w:p>
    <w:p>
      <w:pPr>
        <w:ind w:left="1620" w:right="6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0.10% per annum on SOFR-based rates (the “SOFR Credit Adjustment Spread”) to account for the transition from the use of LIBOR to SOFR in such rate calculations. WM Holdings guarantees all of the obligations under our $3.5 billion revolving credit facility.</w:t>
      </w:r>
    </w:p>
    <w:p>
      <w:pPr>
        <w:spacing w:after="0" w:line="10" w:lineRule="exact"/>
        <w:rPr>
          <w:rFonts w:ascii="Times New Roman" w:cs="Times New Roman" w:eastAsia="Times New Roman" w:hAnsi="Times New Roman"/>
          <w:sz w:val="18"/>
          <w:szCs w:val="18"/>
          <w:color w:val="auto"/>
        </w:rPr>
      </w:pPr>
    </w:p>
    <w:p>
      <w:pPr>
        <w:ind w:left="1620" w:right="5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we had $1.7 billion of outstanding borrowings (net of related discount on issuance) under our commercial paper program, which is fully supported by our $3.5 billion revolving credit facility. Additionally, as of December 31, 2022, we had no borrowings under, and $166 million of letters of credit issued under and supported by, our $3.5 billion revolving credit facility, leaving unused and available credit capacity under this facility of $1.6 billion. As of February 6, 2023, we had $2.0 billion of outstanding borrowings under our commercial paper program, which were used for general corporate purposes.</w:t>
      </w:r>
    </w:p>
    <w:p>
      <w:pPr>
        <w:spacing w:after="0" w:line="40" w:lineRule="exact"/>
        <w:rPr>
          <w:rFonts w:ascii="Times New Roman" w:cs="Times New Roman" w:eastAsia="Times New Roman" w:hAnsi="Times New Roman"/>
          <w:sz w:val="18"/>
          <w:szCs w:val="18"/>
          <w:color w:val="auto"/>
        </w:rPr>
      </w:pPr>
    </w:p>
    <w:p>
      <w:pPr>
        <w:ind w:left="1620" w:right="439" w:hanging="360"/>
        <w:spacing w:after="0" w:line="254"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$1.0 billion Term Loan is used for general corporate purposes. The interest rate we pay on our outstanding balance is generally based on SOFR, plus a spread depending on our senior public debt rating assigned by Moody’s Investors Service, Inc. and Standard and Poor’s Global Ratings. The spread above SOFR can range from 0.50% to 0.90% per annum, plus the SOFR Credit Adjustment Spread. As of December 31, 2022, we had $1.0 billion of outstanding borrowings under our Term Loan.</w:t>
      </w:r>
    </w:p>
    <w:p>
      <w:pPr>
        <w:spacing w:after="0" w:line="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Holdings also guarantees all of the obligations under the Term Loan.</w:t>
      </w:r>
    </w:p>
    <w:p>
      <w:pPr>
        <w:spacing w:after="0" w:line="58" w:lineRule="exact"/>
        <w:rPr>
          <w:rFonts w:ascii="Times New Roman" w:cs="Times New Roman" w:eastAsia="Times New Roman" w:hAnsi="Times New Roman"/>
          <w:sz w:val="18"/>
          <w:szCs w:val="18"/>
          <w:color w:val="auto"/>
        </w:rPr>
      </w:pPr>
    </w:p>
    <w:p>
      <w:pPr>
        <w:ind w:left="1620" w:right="539" w:hanging="360"/>
        <w:spacing w:after="0" w:line="261"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Waste Management of Canada Corporation, our indirect wholly owned subsidiary, issued C$500 million, or $369 million based on the conversion rate as of December 31, 2022, of 2.6% senior notes due 2026, all of which are fully and unconditionally guaranteed on a senior unsecured basis by us and WM Holdings.</w:t>
      </w:r>
    </w:p>
    <w:p>
      <w:pPr>
        <w:spacing w:after="0" w:line="44" w:lineRule="exact"/>
        <w:rPr>
          <w:rFonts w:ascii="Times New Roman" w:cs="Times New Roman" w:eastAsia="Times New Roman" w:hAnsi="Times New Roman"/>
          <w:sz w:val="18"/>
          <w:szCs w:val="18"/>
          <w:color w:val="auto"/>
        </w:rPr>
      </w:pPr>
    </w:p>
    <w:p>
      <w:pPr>
        <w:ind w:left="1620" w:right="499" w:hanging="360"/>
        <w:spacing w:after="0" w:line="261"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31" w:lineRule="exact"/>
        <w:rPr>
          <w:rFonts w:ascii="Times New Roman" w:cs="Times New Roman" w:eastAsia="Times New Roman" w:hAnsi="Times New Roman"/>
          <w:sz w:val="18"/>
          <w:szCs w:val="18"/>
          <w:color w:val="auto"/>
        </w:rPr>
      </w:pPr>
    </w:p>
    <w:p>
      <w:pPr>
        <w:ind w:left="1620" w:right="879" w:hanging="360"/>
        <w:spacing w:after="0" w:line="282"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 Adjusted column with respect to this line item does not include any debt issuance costs or unamortized discounts associated with the 2030 notes or the 2033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160"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18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are offering $1,250,000,000 of our senior notes, consisting of $750,000,000 of our 4.625% senior notes due 2030 and $500,000,000 of our 4.625% senior notes due 2033. The notes of each series will be issued under and pursuant to an Indenture dated as of September 10, 1997 (the “Indenture”), between us and The Bank of New York Mellon Trust Company, N.A. (the current successor to the initial trustee, Texas Commerce Bank National Association), as trustee (the “Trustee”). The 2030 notes and the 2033 notes are separate series of notes under the Indenture. We will issue the notes of each series pursuant to a resolution of our Board of Directors and an accompanying officers’ certificate setting forth the specific terms applicable to the notes of each series.</w:t>
      </w:r>
    </w:p>
    <w:p>
      <w:pPr>
        <w:spacing w:after="0" w:line="322" w:lineRule="exact"/>
        <w:rPr>
          <w:sz w:val="20"/>
          <w:szCs w:val="20"/>
          <w:color w:val="auto"/>
        </w:rPr>
      </w:pPr>
    </w:p>
    <w:p>
      <w:pPr>
        <w:ind w:left="1620"/>
        <w:spacing w:after="0"/>
        <w:tabs>
          <w:tab w:leader="none" w:pos="2560" w:val="left"/>
        </w:tabs>
        <w:rPr>
          <w:sz w:val="20"/>
          <w:szCs w:val="20"/>
          <w:color w:val="auto"/>
        </w:rPr>
      </w:pPr>
      <w:r>
        <w:rPr>
          <w:rFonts w:ascii="Times New Roman" w:cs="Times New Roman" w:eastAsia="Times New Roman" w:hAnsi="Times New Roman"/>
          <w:sz w:val="18"/>
          <w:szCs w:val="18"/>
          <w:i w:val="1"/>
          <w:iCs w:val="1"/>
          <w:color w:val="auto"/>
        </w:rPr>
        <w:t>The Notes.</w:t>
      </w:r>
      <w:r>
        <w:rPr>
          <w:sz w:val="20"/>
          <w:szCs w:val="20"/>
          <w:color w:val="auto"/>
        </w:rPr>
        <w:tab/>
      </w:r>
      <w:r>
        <w:rPr>
          <w:rFonts w:ascii="Times New Roman" w:cs="Times New Roman" w:eastAsia="Times New Roman" w:hAnsi="Times New Roman"/>
          <w:sz w:val="18"/>
          <w:szCs w:val="18"/>
          <w:color w:val="auto"/>
        </w:rPr>
        <w:t>Each series of the notes will:</w:t>
      </w:r>
    </w:p>
    <w:p>
      <w:pPr>
        <w:spacing w:after="0" w:line="106"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our general unsecured, senior obligations;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 new and separate series of debt securities issued under the Indenture and will be initially limited to an aggregate principal amount as follows: $750,000,000 in the case of the 2030 notes and $500,000,000 in the case of the 2033 notes;</w:t>
      </w:r>
    </w:p>
    <w:p>
      <w:pPr>
        <w:spacing w:after="0" w:line="54"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February 15, 2030, in the case of the 2030 notes, and February 15, 2033, in the case of the 2033 notes;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unconditionally guaranteed by our wholly owned subsidiary WM Holdings;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entitled to the benefit of any sinking fund;</w:t>
      </w:r>
    </w:p>
    <w:p>
      <w:pPr>
        <w:spacing w:after="0" w:line="103"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in minimum denominations of $2,000 and integral multiples of $1,000 in excess thereof; and</w:t>
      </w:r>
    </w:p>
    <w:p>
      <w:pPr>
        <w:spacing w:after="0" w:line="314"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pacing w:after="0" w:line="110"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8"/>
          <w:szCs w:val="18"/>
          <w:i w:val="1"/>
          <w:iCs w:val="1"/>
          <w:color w:val="auto"/>
        </w:rPr>
        <w:t>Interest.</w:t>
      </w:r>
      <w:r>
        <w:rPr>
          <w:sz w:val="20"/>
          <w:szCs w:val="20"/>
          <w:color w:val="auto"/>
        </w:rPr>
        <w:tab/>
      </w:r>
      <w:r>
        <w:rPr>
          <w:rFonts w:ascii="Times New Roman" w:cs="Times New Roman" w:eastAsia="Times New Roman" w:hAnsi="Times New Roman"/>
          <w:sz w:val="18"/>
          <w:szCs w:val="18"/>
          <w:color w:val="auto"/>
        </w:rPr>
        <w:t>Interest will:</w:t>
      </w:r>
    </w:p>
    <w:p>
      <w:pPr>
        <w:spacing w:after="0" w:line="106" w:lineRule="exact"/>
        <w:rPr>
          <w:sz w:val="20"/>
          <w:szCs w:val="20"/>
          <w:color w:val="auto"/>
        </w:rPr>
      </w:pPr>
    </w:p>
    <w:p>
      <w:pPr>
        <w:ind w:left="1800" w:right="4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on the 2030 notes at the rate of 4.625% per annum and accrue on the 2033 notes at the rate of 4.625% per annum;</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from February 15, 2023 or the most recent interest payment date;</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payable in cash semi-annually in arrears on February 15 and August 15 of each year, beginning on August 15, 2023;</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payable to holders of record on the February 1 and August 1 immediately preceding the related interest payment dates;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computed on the basis of a 360-day year consisting of twelve 30-day months.</w:t>
      </w:r>
    </w:p>
    <w:p>
      <w:pPr>
        <w:spacing w:after="0" w:line="2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Payment and Transfer</w:t>
      </w:r>
    </w:p>
    <w:p>
      <w:pPr>
        <w:spacing w:after="0" w:line="162"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Beneficial interests in notes in global form will be shown on, and transfers of interests in notes in</w:t>
      </w:r>
    </w:p>
    <w:p>
      <w:pPr>
        <w:spacing w:after="0" w:line="16" w:lineRule="exact"/>
        <w:rPr>
          <w:sz w:val="20"/>
          <w:szCs w:val="20"/>
          <w:color w:val="auto"/>
        </w:rPr>
      </w:pPr>
    </w:p>
    <w:p>
      <w:pPr>
        <w:ind w:left="1260" w:right="559"/>
        <w:spacing w:after="0" w:line="242" w:lineRule="auto"/>
        <w:rPr>
          <w:sz w:val="20"/>
          <w:szCs w:val="20"/>
          <w:color w:val="auto"/>
        </w:rPr>
      </w:pPr>
      <w:r>
        <w:rPr>
          <w:rFonts w:ascii="Times New Roman" w:cs="Times New Roman" w:eastAsia="Times New Roman" w:hAnsi="Times New Roman"/>
          <w:sz w:val="18"/>
          <w:szCs w:val="18"/>
          <w:color w:val="auto"/>
        </w:rPr>
        <w:t>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240 Greenwich Street, New York, New York 10286).</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120"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3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w:t>
      </w:r>
    </w:p>
    <w:p>
      <w:pPr>
        <w:spacing w:after="0" w:line="2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4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Prior to  the applicable Par Call Date for each series of notes, we may redeem the notes of such series at our option, in whole or in part, at any time and from time to time, at a redemption price (expressed as a percentage of principal amount and rounded to three decimal places) equal to the greater of:</w:t>
      </w:r>
    </w:p>
    <w:p>
      <w:pPr>
        <w:spacing w:after="0" w:line="108" w:lineRule="exact"/>
        <w:rPr>
          <w:sz w:val="20"/>
          <w:szCs w:val="20"/>
          <w:color w:val="auto"/>
        </w:rPr>
      </w:pPr>
    </w:p>
    <w:p>
      <w:pPr>
        <w:ind w:left="1260" w:right="419" w:firstLine="360"/>
        <w:spacing w:after="0" w:line="258" w:lineRule="auto"/>
        <w:tabs>
          <w:tab w:leader="none" w:pos="19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of the applicable series to be redeemed discounted to the redemption date (assuming the notes of the applicable series matured on the applicable Par Call Date) on a semi-annual basis (assuming a 360-day year consisting of twelve 30-day months) at the Treasury Rate plus 15 basis points for the 2030 notes and 15 basis points for the 2033 notes, less (b) interest accrued to the redemption date, and</w:t>
      </w:r>
    </w:p>
    <w:p>
      <w:pPr>
        <w:spacing w:after="0" w:line="115" w:lineRule="exact"/>
        <w:rPr>
          <w:rFonts w:ascii="Times New Roman" w:cs="Times New Roman" w:eastAsia="Times New Roman" w:hAnsi="Times New Roman"/>
          <w:sz w:val="18"/>
          <w:szCs w:val="18"/>
          <w:color w:val="auto"/>
        </w:rPr>
      </w:pPr>
    </w:p>
    <w:p>
      <w:pPr>
        <w:ind w:left="1260" w:right="599" w:firstLine="360"/>
        <w:spacing w:after="0" w:line="282" w:lineRule="auto"/>
        <w:tabs>
          <w:tab w:leader="none" w:pos="19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of the applicable series to be redeemed, plus, in either case, accrued and unpaid interest thereon to the redemption date.</w:t>
      </w:r>
    </w:p>
    <w:p>
      <w:pPr>
        <w:spacing w:after="0" w:line="81"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On or after the applicable Par Call Date for each series of notes, we may redeem the notes of such series at our option, in whole or in part, at any time and from time to time, at a redemption price equal to 100% of the principal amount of the notes of the applicable series to be redeemed, plus accrued and unpaid interest on the notes of the applicable series to be redeemed to the redemption date.</w:t>
      </w:r>
    </w:p>
    <w:p>
      <w:pPr>
        <w:spacing w:after="0" w:line="110" w:lineRule="exact"/>
        <w:rPr>
          <w:sz w:val="20"/>
          <w:szCs w:val="20"/>
          <w:color w:val="auto"/>
        </w:rPr>
      </w:pPr>
    </w:p>
    <w:p>
      <w:pPr>
        <w:ind w:left="1260" w:right="439" w:firstLine="360"/>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 (i) December 15, 2029 (two months prior to the maturity date), in the case of the 2030 notes, and (ii) November 15, 2032 (three months prior to the maturity date), in the case of the 2033 notes.</w:t>
      </w:r>
    </w:p>
    <w:p>
      <w:pPr>
        <w:spacing w:after="0" w:line="320" w:lineRule="exact"/>
        <w:rPr>
          <w:sz w:val="20"/>
          <w:szCs w:val="20"/>
          <w:color w:val="auto"/>
        </w:rPr>
      </w:pPr>
    </w:p>
    <w:p>
      <w:pPr>
        <w:ind w:left="1260" w:right="53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us in accordance with the following two paragraphs.</w:t>
      </w:r>
    </w:p>
    <w:p>
      <w:pPr>
        <w:spacing w:after="0" w:line="79"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w:t>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4" w:lineRule="auto"/>
        <w:rPr>
          <w:sz w:val="20"/>
          <w:szCs w:val="20"/>
          <w:color w:val="auto"/>
        </w:rPr>
      </w:pPr>
      <w:r>
        <w:rPr>
          <w:rFonts w:ascii="Times New Roman" w:cs="Times New Roman" w:eastAsia="Times New Roman" w:hAnsi="Times New Roman"/>
          <w:sz w:val="18"/>
          <w:szCs w:val="18"/>
          <w:color w:val="auto"/>
        </w:rPr>
        <w:t>Treasury constant maturity or maturities on H.15 shall be deemed to have a maturity date equal to the relevant number of months or years, as applicable, of such Treasury constant maturity from the redemption date.</w:t>
      </w:r>
    </w:p>
    <w:p>
      <w:pPr>
        <w:spacing w:after="0" w:line="314"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w:t>
      </w:r>
    </w:p>
    <w:p>
      <w:pPr>
        <w:spacing w:after="0" w:line="7" w:lineRule="exact"/>
        <w:rPr>
          <w:sz w:val="20"/>
          <w:szCs w:val="20"/>
          <w:color w:val="auto"/>
        </w:rPr>
      </w:pPr>
    </w:p>
    <w:p>
      <w:pPr>
        <w:ind w:left="1260" w:right="1019"/>
        <w:spacing w:after="0" w:line="243" w:lineRule="auto"/>
        <w:rPr>
          <w:sz w:val="20"/>
          <w:szCs w:val="20"/>
          <w:color w:val="auto"/>
        </w:rPr>
      </w:pPr>
      <w:r>
        <w:rPr>
          <w:rFonts w:ascii="Times New Roman" w:cs="Times New Roman" w:eastAsia="Times New Roman" w:hAnsi="Times New Roman"/>
          <w:sz w:val="18"/>
          <w:szCs w:val="18"/>
          <w:color w:val="auto"/>
        </w:rPr>
        <w:t>a percentage of principal amount) at 11:00 a.m., New York City time, of such United States Treasury security, and rounded to three decimal places.</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 We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1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Notes called for redemption become due on the date fixed for redemption. Notices of redemption will be mailed or electronically delivered (or otherwise transmitted in accordance with the depositary’s procedures) at least 10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of a series are redeemed at any time, the Trustee will select the notes to be redeemed on a pro rata basis, by lot or by such other method as the Trustee in its sole discretion deems appropriate and fair. In the case of notes in global form, DTC will determine the allocation of the redemption price among beneficial owners in such global notes in accordance with DTC’s applicable procedures.</w:t>
      </w:r>
    </w:p>
    <w:p>
      <w:pPr>
        <w:spacing w:after="0" w:line="200" w:lineRule="exact"/>
        <w:rPr>
          <w:sz w:val="20"/>
          <w:szCs w:val="20"/>
          <w:color w:val="auto"/>
        </w:rPr>
      </w:pPr>
    </w:p>
    <w:p>
      <w:pPr>
        <w:spacing w:after="0" w:line="21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Each series of notes will be subject to legal defeasance and to covenant defeasance as provided under “Description of the Debt Securities — Provisions Applicable to Each Indenture — Defeasance” in the accompanying prospectus.</w:t>
      </w:r>
    </w:p>
    <w:p>
      <w:pPr>
        <w:spacing w:after="0" w:line="17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4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of a series, when:</w:t>
      </w:r>
    </w:p>
    <w:p>
      <w:pPr>
        <w:spacing w:after="0" w:line="108" w:lineRule="exact"/>
        <w:rPr>
          <w:sz w:val="20"/>
          <w:szCs w:val="20"/>
          <w:color w:val="auto"/>
        </w:rPr>
      </w:pPr>
    </w:p>
    <w:p>
      <w:pPr>
        <w:ind w:left="1980" w:hanging="360"/>
        <w:spacing w:after="0"/>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57" w:lineRule="exact"/>
        <w:rPr>
          <w:rFonts w:ascii="Times New Roman" w:cs="Times New Roman" w:eastAsia="Times New Roman" w:hAnsi="Times New Roman"/>
          <w:sz w:val="18"/>
          <w:szCs w:val="18"/>
          <w:color w:val="auto"/>
        </w:rPr>
      </w:pPr>
    </w:p>
    <w:p>
      <w:pPr>
        <w:ind w:left="1620" w:right="519" w:firstLine="360"/>
        <w:spacing w:after="0" w:line="282" w:lineRule="auto"/>
        <w:tabs>
          <w:tab w:leader="none" w:pos="23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notes of that series theretofore authenticated and delivered (except lost, stolen or destroyed notes which have been replaced or paid and notes for whose payment money has theretofore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79"/>
        <w:spacing w:after="0" w:line="282" w:lineRule="auto"/>
        <w:rPr>
          <w:sz w:val="20"/>
          <w:szCs w:val="20"/>
          <w:color w:val="auto"/>
        </w:rPr>
      </w:pPr>
      <w:r>
        <w:rPr>
          <w:rFonts w:ascii="Times New Roman" w:cs="Times New Roman" w:eastAsia="Times New Roman" w:hAnsi="Times New Roman"/>
          <w:sz w:val="18"/>
          <w:szCs w:val="18"/>
          <w:color w:val="auto"/>
        </w:rPr>
        <w:t>been deposited in trust or segregated and held in trust by us and thereafter repaid to us or discharged from such trust) have been delivered to the Trustee for cancellation; or</w:t>
      </w:r>
    </w:p>
    <w:p>
      <w:pPr>
        <w:spacing w:after="0" w:line="81" w:lineRule="exact"/>
        <w:rPr>
          <w:sz w:val="20"/>
          <w:szCs w:val="20"/>
          <w:color w:val="auto"/>
        </w:rPr>
      </w:pPr>
    </w:p>
    <w:p>
      <w:pPr>
        <w:ind w:left="1620" w:right="639" w:firstLine="360"/>
        <w:spacing w:after="0" w:line="246" w:lineRule="auto"/>
        <w:tabs>
          <w:tab w:leader="none" w:pos="234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of that series not theretofore delivered to the Trustee for cancellation (i) have become due and payable, (ii) will become due and payable at their stated maturity within one year or</w:t>
      </w:r>
    </w:p>
    <w:p>
      <w:pPr>
        <w:ind w:left="1960" w:hanging="340"/>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under arrangements reasonably satisfactory to the</w:t>
      </w:r>
    </w:p>
    <w:p>
      <w:pPr>
        <w:spacing w:after="0" w:line="7" w:lineRule="exact"/>
        <w:rPr>
          <w:sz w:val="20"/>
          <w:szCs w:val="20"/>
          <w:color w:val="auto"/>
        </w:rPr>
      </w:pPr>
    </w:p>
    <w:p>
      <w:pPr>
        <w:ind w:left="1620" w:right="459"/>
        <w:spacing w:after="0"/>
        <w:rPr>
          <w:sz w:val="20"/>
          <w:szCs w:val="20"/>
          <w:color w:val="auto"/>
        </w:rPr>
      </w:pPr>
      <w:r>
        <w:rPr>
          <w:rFonts w:ascii="Times New Roman" w:cs="Times New Roman" w:eastAsia="Times New Roman" w:hAnsi="Times New Roman"/>
          <w:sz w:val="18"/>
          <w:szCs w:val="18"/>
          <w:color w:val="auto"/>
        </w:rPr>
        <w:t>Trustee and at our expense, and we have deposited or caused to be deposited with the Trustee trust funds in an amount sufficient to pay and discharge the entire indebtedness on the notes of that series not theretofore delivered to the Trustee for cancellation, including any premium and interest on such series of notes to the applicable maturity date or applicable redemption date (provided that, upon any redemption that requires the payment of any make-whole premium, (x) the amount of cash that must be deposited will be determined using an assumed applicable premium calculated as of the date of such deposit and (y) we will deposit any deficit in trust on or prior to the redemption date as necessary to pay the applicable premium as determined by such date);</w:t>
      </w:r>
    </w:p>
    <w:p>
      <w:pPr>
        <w:spacing w:after="0" w:line="121" w:lineRule="exact"/>
        <w:rPr>
          <w:sz w:val="20"/>
          <w:szCs w:val="20"/>
          <w:color w:val="auto"/>
        </w:rPr>
      </w:pPr>
    </w:p>
    <w:p>
      <w:pPr>
        <w:ind w:left="1260" w:right="759" w:firstLine="360"/>
        <w:spacing w:after="0" w:line="266" w:lineRule="auto"/>
        <w:tabs>
          <w:tab w:leader="none" w:pos="19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all other sums payable under the Indenture by us with respect to the notes of that series; and</w:t>
      </w:r>
    </w:p>
    <w:p>
      <w:pPr>
        <w:spacing w:after="0" w:line="94" w:lineRule="exact"/>
        <w:rPr>
          <w:rFonts w:ascii="Times New Roman" w:cs="Times New Roman" w:eastAsia="Times New Roman" w:hAnsi="Times New Roman"/>
          <w:sz w:val="18"/>
          <w:szCs w:val="18"/>
          <w:color w:val="auto"/>
        </w:rPr>
      </w:pPr>
    </w:p>
    <w:p>
      <w:pPr>
        <w:ind w:left="1260" w:right="599" w:firstLine="360"/>
        <w:spacing w:after="0" w:line="258" w:lineRule="auto"/>
        <w:tabs>
          <w:tab w:leader="none" w:pos="19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6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notes of each series will be our unsecured and unsubordinated obligations, and will rank equally in contractual right of payment with the other series and all of our other existing and future senior indebtedness from time to time outstanding.</w:t>
      </w:r>
    </w:p>
    <w:p>
      <w:pPr>
        <w:spacing w:after="0" w:line="8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 Further Issuances” in this prospectus supplement.</w:t>
      </w:r>
    </w:p>
    <w:p>
      <w:pPr>
        <w:spacing w:after="0" w:line="32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the Debt Securities — Provisions Applicable Solely to Senior Debt Securities” in the accompanying prospectus.</w:t>
      </w:r>
    </w:p>
    <w:p>
      <w:pPr>
        <w:spacing w:after="0" w:line="3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31, 2022, our operating subsidiaries had $2.128 billion of indebtedness and</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WM Holdings had $223 million of long-term debt (excluding guarantees of $8.403 billion of our senior</w:t>
      </w:r>
    </w:p>
    <w:p>
      <w:pPr>
        <w:ind w:left="1260"/>
        <w:spacing w:after="0"/>
        <w:rPr>
          <w:sz w:val="20"/>
          <w:szCs w:val="20"/>
          <w:color w:val="auto"/>
        </w:rPr>
      </w:pPr>
      <w:r>
        <w:rPr>
          <w:rFonts w:ascii="Times New Roman" w:cs="Times New Roman" w:eastAsia="Times New Roman" w:hAnsi="Times New Roman"/>
          <w:sz w:val="18"/>
          <w:szCs w:val="18"/>
          <w:color w:val="auto"/>
        </w:rPr>
        <w:t>debt), in each case excluding intercompany loans.</w:t>
      </w:r>
    </w:p>
    <w:p>
      <w:pPr>
        <w:spacing w:after="0" w:line="20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48"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WM Holdings will unconditionally guarantee our obligations under the notes of each series. Each guarantee will be a general, unsecured obligation of WM Holdings and will rank equally in contractual</w:t>
      </w: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50" w:lineRule="auto"/>
        <w:rPr>
          <w:sz w:val="20"/>
          <w:szCs w:val="20"/>
          <w:color w:val="auto"/>
        </w:rPr>
      </w:pPr>
      <w:r>
        <w:rPr>
          <w:rFonts w:ascii="Times New Roman" w:cs="Times New Roman" w:eastAsia="Times New Roman" w:hAnsi="Times New Roman"/>
          <w:sz w:val="18"/>
          <w:szCs w:val="18"/>
          <w:color w:val="auto"/>
        </w:rPr>
        <w:t>right of payment with all existing and future senior indebtedness of WM Holdings from time to time outstanding. In an attempt to limit the applicability of fraudulent transfer laws, each guarantee limits the amount of such guarantee to the amount that will result in the guarantee not constituting a fraudulent transfer or improper corporate distribution.</w:t>
      </w:r>
    </w:p>
    <w:p>
      <w:pPr>
        <w:spacing w:after="0" w:line="110" w:lineRule="exact"/>
        <w:rPr>
          <w:sz w:val="20"/>
          <w:szCs w:val="20"/>
          <w:color w:val="auto"/>
        </w:rPr>
      </w:pPr>
    </w:p>
    <w:p>
      <w:pPr>
        <w:jc w:val="both"/>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The guarantees of the notes shall be binding on WM Holdings, its successors and assigns, and shall continue in full force and effect for the benefit of holders of the notes of each series until the earliest to occur of:</w:t>
      </w:r>
    </w:p>
    <w:p>
      <w:pPr>
        <w:spacing w:after="0" w:line="61"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WM Holdings into Waste Management, Inc. or its successor;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Waste Management, Inc. or its successor into WM Holdings;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of all interest and principal due on the notes of that series; or</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the guarantees by WM Holdings of obligations of Waste Management, Inc. under each of its $3.5 billion revolving credit facility (or any replacement or new principal credit facility) and its Term Loan. Our $3.5 billion revolving credit facility and our Term Loan each currently state that WM Holdings’ guarantees under such facility and Term Loan can only be released with the written consent of each of the lenders that is a party thereto.</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Change of Control Offer</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If a change of control triggering event occurs, unless we have exercised our option to redeem the notes of a series as described above, we will be required to make an offer (a “change of control offer”) to each holder of the notes of that series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1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Upon the change of control payment date, we will, to the extent lawful:</w:t>
      </w:r>
    </w:p>
    <w:p>
      <w:pPr>
        <w:spacing w:after="0" w:line="104" w:lineRule="exact"/>
        <w:rPr>
          <w:sz w:val="20"/>
          <w:szCs w:val="20"/>
          <w:color w:val="auto"/>
        </w:rPr>
      </w:pPr>
    </w:p>
    <w:p>
      <w:pPr>
        <w:ind w:left="1800" w:right="69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and not withdrawn pursuant to the change of control offer;</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81"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either series of notes if there has occurred and is continuing on the change of control payment date an event of default under the Indenture with respect to that series, other than a default in the payment of the change of control payment upon a change of control triggering event.</w:t>
      </w:r>
    </w:p>
    <w:p>
      <w:pPr>
        <w:spacing w:after="0" w:line="114"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will comply with the applicable requirements of Rule 14e-1 under the Securities Exchange Act of 1934, as amended (the “Exchange Act”), and any other securities laws and regulations thereunder to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10"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the change of control offer provisions of the notes, the following terms will be applicable:</w:t>
      </w:r>
    </w:p>
    <w:p>
      <w:pPr>
        <w:spacing w:after="0" w:line="93"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our liquidation or dissolution.</w:t>
      </w:r>
    </w:p>
    <w:p>
      <w:pPr>
        <w:spacing w:after="0" w:line="327"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we become a direct or indirect wholly owned subsidiary of a holding company and</w:t>
      </w:r>
    </w:p>
    <w:p>
      <w:pPr>
        <w:spacing w:after="0" w:line="1" w:lineRule="exact"/>
        <w:rPr>
          <w:sz w:val="20"/>
          <w:szCs w:val="20"/>
          <w:color w:val="auto"/>
        </w:rPr>
      </w:pPr>
    </w:p>
    <w:p>
      <w:pPr>
        <w:ind w:left="1260" w:right="439"/>
        <w:spacing w:after="0" w:line="242" w:lineRule="auto"/>
        <w:tabs>
          <w:tab w:leader="none" w:pos="15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18"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112" w:lineRule="exact"/>
        <w:rPr>
          <w:sz w:val="20"/>
          <w:szCs w:val="20"/>
          <w:color w:val="auto"/>
        </w:rPr>
      </w:pPr>
    </w:p>
    <w:p>
      <w:pPr>
        <w:ind w:left="1260" w:right="7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the occurrence of both a change of control and a rating event.</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Inc. and its successors.</w:t>
      </w:r>
    </w:p>
    <w:p>
      <w:pPr>
        <w:spacing w:after="0" w:line="158"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means a rating equal to or higher than BBB — (or the equivalent) by Fitch, Baa3 (or the equivalent) by Moody’s and BBB — (or the equivalent) by S&amp;P, and the equivalent investment grade credit rating from any replacement rating agency or rating agencies selected by us.</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144"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agencies</w:t>
      </w:r>
      <w:r>
        <w:rPr>
          <w:rFonts w:ascii="Times New Roman" w:cs="Times New Roman" w:eastAsia="Times New Roman" w:hAnsi="Times New Roman"/>
          <w:sz w:val="18"/>
          <w:szCs w:val="18"/>
          <w:color w:val="auto"/>
        </w:rPr>
        <w:t>” means (1) each of Fitch, Moody’s and S&amp;P and (2) if any of Fitch, Moody’s or S&amp;P ceases to rate the notes of the applicable series or fails to make a rating of such series of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event</w:t>
      </w:r>
      <w:r>
        <w:rPr>
          <w:rFonts w:ascii="Times New Roman" w:cs="Times New Roman" w:eastAsia="Times New Roman" w:hAnsi="Times New Roman"/>
          <w:sz w:val="18"/>
          <w:szCs w:val="18"/>
          <w:color w:val="auto"/>
        </w:rPr>
        <w:t>” means the rating on the notes of the applicable series is lowered by at least two of the three rating agencies and such series of notes are rated below an investment grade rating by at least two of the three rating agencies, in any case on any day during the period (which period will be extended so long as the rating of such series of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3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a division of S&amp;P Global Inc., and its successors.</w:t>
      </w:r>
    </w:p>
    <w:p>
      <w:pPr>
        <w:spacing w:after="0" w:line="158"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7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Certain covenants in the Indenture limit our ability and the ability of our subsidiaries to:</w:t>
      </w:r>
    </w:p>
    <w:p>
      <w:pPr>
        <w:spacing w:after="0" w:line="131" w:lineRule="exact"/>
        <w:rPr>
          <w:sz w:val="20"/>
          <w:szCs w:val="20"/>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or assume debt secured by liens;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transfer all or substantially all of our assets.</w:t>
      </w:r>
    </w:p>
    <w:p>
      <w:pPr>
        <w:spacing w:after="0" w:line="15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For a description of these covenants, see “Description of the Debt Securities — Provisions Applicable to Each Indenture — Consolidation, Merger and Sale of Assets” and “— Provisions Applicable Solely to Senior Debt Securities — Restrictive Covenants” in the accompanying prospectus.</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4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may from time to time, without notice or the consent of the holders of either series of the notes, create and issue further notes ranking equally and ratably with the notes of either series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of that series and shall have the same terms as to status, redemption or otherwise as the notes of that series. We may at any time purchase notes in the open market or otherwise at any price.</w:t>
      </w:r>
    </w:p>
    <w:p>
      <w:pPr>
        <w:spacing w:after="0" w:line="39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Book-Entry Systems</w:t>
      </w:r>
    </w:p>
    <w:p>
      <w:pPr>
        <w:spacing w:after="0" w:line="16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We will issue the notes of each series in the form of one or more fully registered global notes, without coupons, each of which we refer to as a “global note.” Each such global note will be registered in the name of a nominee of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w:t>
      </w:r>
    </w:p>
    <w:p>
      <w:pPr>
        <w:spacing w:after="0" w:line="12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99"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While the following information concerning DTC, Euroclear and Clearstream and their respective</w:t>
      </w:r>
    </w:p>
    <w:p>
      <w:pPr>
        <w:spacing w:after="0" w:line="27" w:lineRule="exact"/>
        <w:rPr>
          <w:sz w:val="20"/>
          <w:szCs w:val="20"/>
          <w:color w:val="auto"/>
        </w:rPr>
      </w:pPr>
    </w:p>
    <w:p>
      <w:pPr>
        <w:ind w:left="1260" w:right="499"/>
        <w:spacing w:after="0" w:line="245" w:lineRule="auto"/>
        <w:rPr>
          <w:sz w:val="20"/>
          <w:szCs w:val="20"/>
          <w:color w:val="auto"/>
        </w:rPr>
      </w:pPr>
      <w:r>
        <w:rPr>
          <w:rFonts w:ascii="Times New Roman" w:cs="Times New Roman" w:eastAsia="Times New Roman" w:hAnsi="Times New Roman"/>
          <w:sz w:val="18"/>
          <w:szCs w:val="18"/>
          <w:color w:val="auto"/>
        </w:rPr>
        <w:t>book-entry systems has been obtained from sources that we believe to be reliable, we take no responsibility for the accuracy of that information.</w:t>
      </w:r>
    </w:p>
    <w:p>
      <w:pPr>
        <w:spacing w:after="0" w:line="176"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18"/>
          <w:szCs w:val="18"/>
          <w:b w:val="1"/>
          <w:bCs w:val="1"/>
          <w:color w:val="auto"/>
        </w:rPr>
        <w:t>DTC</w:t>
      </w:r>
    </w:p>
    <w:p>
      <w:pPr>
        <w:spacing w:after="0" w:line="162"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18"/>
          <w:szCs w:val="18"/>
          <w:color w:val="auto"/>
        </w:rPr>
        <w:t>DTC has advised us and the underwriters as follows:</w:t>
      </w:r>
    </w:p>
    <w:p>
      <w:pPr>
        <w:spacing w:after="0" w:line="117" w:lineRule="exact"/>
        <w:rPr>
          <w:sz w:val="20"/>
          <w:szCs w:val="20"/>
          <w:color w:val="auto"/>
        </w:rPr>
      </w:pPr>
    </w:p>
    <w:p>
      <w:pPr>
        <w:ind w:left="1800" w:right="619" w:hanging="180"/>
        <w:spacing w:after="0" w:line="261"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the Exchange Act.</w:t>
      </w:r>
    </w:p>
    <w:p>
      <w:pPr>
        <w:spacing w:after="0" w:line="58"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71"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applicable to DTC and its direct and indirect participants are on file with the SEC.</w:t>
      </w:r>
    </w:p>
    <w:p>
      <w:pPr>
        <w:spacing w:after="0" w:line="15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2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affect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324"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10"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109"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10"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333"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DTC may discontinue providing its service as securities depositary with respect to the notes of either series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1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None of us, the Trustee 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10"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8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Euroclear</w:t>
      </w:r>
    </w:p>
    <w:p>
      <w:pPr>
        <w:spacing w:after="0" w:line="14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Euroclear was created in 1968 to hold securities for participants of Euroclear and to clear and settle transactions between Euroclear participants through simultaneous electronic book -entry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1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18"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Euroclear Operator is a Belgian bank, which is regulated and examined by the Belgian Banking Commission and the National Bank of Belgium.</w:t>
      </w:r>
    </w:p>
    <w:p>
      <w:pPr>
        <w:spacing w:after="0" w:line="95"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Terms and Conditions Governing Use of Euroclear, the related Operating Procedures of Euroclear and applicable Belgian law govern securities clearance accounts and cash accounts with the Euroclear</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8" w:lineRule="auto"/>
        <w:rPr>
          <w:sz w:val="20"/>
          <w:szCs w:val="20"/>
          <w:color w:val="auto"/>
        </w:rPr>
      </w:pPr>
      <w:r>
        <w:rPr>
          <w:rFonts w:ascii="Times New Roman" w:cs="Times New Roman" w:eastAsia="Times New Roman" w:hAnsi="Times New Roman"/>
          <w:sz w:val="18"/>
          <w:szCs w:val="18"/>
          <w:color w:val="auto"/>
        </w:rPr>
        <w:t>Operator. Specifically, these terms and conditions govern transfers of securities and cash within Euroclear, withdrawal of securities and cash from Euroclear and receipts of payments with respect to securities in Euroclear.</w:t>
      </w:r>
    </w:p>
    <w:p>
      <w:pPr>
        <w:spacing w:after="0" w:line="10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10"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02"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14"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14"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14"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7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Clearstream</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32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w:t>
      </w: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75" w:lineRule="auto"/>
        <w:rPr>
          <w:sz w:val="20"/>
          <w:szCs w:val="20"/>
          <w:color w:val="auto"/>
        </w:rPr>
      </w:pPr>
      <w:r>
        <w:rPr>
          <w:rFonts w:ascii="Times New Roman" w:cs="Times New Roman" w:eastAsia="Times New Roman" w:hAnsi="Times New Roman"/>
          <w:sz w:val="18"/>
          <w:szCs w:val="18"/>
          <w:color w:val="auto"/>
        </w:rPr>
        <w:t>supplement or one or more of their affiliates. Other institutions that maintain a custodial relationship with a Clearstream participant may obtain indirect access to Clearstream. Clearstream is an indirect DTC participant.</w:t>
      </w:r>
    </w:p>
    <w:p>
      <w:pPr>
        <w:spacing w:after="0" w:line="322"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0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0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16"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337"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CERTAIN U.S. FEDERAL TAX CONSIDERATIONS FOR NON-U.S. HOLDERS</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Scope of Discussion</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of the date of this prospectus supplement and all of which are subject to change or differing interpretations, possibly with retroactive effect. This discussion is limited to non-U.S. holders who purchase the notes at their “issue price”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w:t>
      </w:r>
    </w:p>
    <w:p>
      <w:pPr>
        <w:spacing w:after="0" w:line="12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This discussion does not address all of the U.S. federal income tax consequences that may be relevant to non-U.S. holders in light of their particular circumstances or to non-U.S. holders who may be subject to special treatment under U.S. federal income tax laws, such as certain expatriates or former long-term residents of the United States, banks and other financial institutions, controlled foreign corporations, corporations that accumulate earnings to avoid U.S. federal income tax, insurance companies, tax-exempt entities, dealers in securities, brokers, non-U.S. trusts and estates with U.S. beneficiaries, persons subject to the alternative minimum tax, persons required to accelerate the recognition of any item of gross income with respect to the notes as a result of such income being recognized on an applicable financial statement, persons who hold the notes as a hedge or who hedge the interest rate on the notes, or persons who are tendering or otherwise having redeemed any existing notes issued by us in any substantially contemporaneous transaction. In addition, this discussion does not address any aspect of the Medicare tax on certain investment income, non-income taxation (such as estate and gift taxes) or state, local or foreign taxation of the notes. This summary is intended for general information only and does not represent a detailed description of all the U.S. federal income tax considerations that may be relevant to you in light of your particular circumstances.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w:t>
      </w:r>
    </w:p>
    <w:p>
      <w:pPr>
        <w:spacing w:after="0" w:line="32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If an entity or arrangement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tax advisors concerning the particular U.S. federal income tax consequences to you of the purchase, ownership and disposition of the notes, as well as the consequences to you arising under other U.S. federal tax laws as well as the laws of any state, local, or non-U.S. taxing jurisdictions.</w:t>
      </w:r>
    </w:p>
    <w:p>
      <w:pPr>
        <w:spacing w:after="0" w:line="12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THIS SUMMARY IS NOT A SUBSTITUTE FOR AN INDIVIDUAL ANALYSIS OF THE TAX CONSEQUENCES RELATING TO THE PURCHASE, OWNERSHIP OR DISPOSITION OF THE NOTES. WE URGE YOU TO CONSULT A TAX ADVISOR REGARDING THE PARTICULAR FEDERAL, STATE, LOCAL AND FOREIGN TAX CONSEQUENCES RELATING TO THE PURCHASE, OWNERSHIP OR DISPOSITION OF THE NOTES IN LIGHT OF YOUR OWN SITUATION.</w:t>
      </w:r>
    </w:p>
    <w:p>
      <w:pPr>
        <w:spacing w:after="0" w:line="116"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You are a “non-U.S. holder” for purposes of this discussion if you are a beneficial owner of a note (other than a partnership, or other entity or arrangement classified as a partnership for U.S. federal income tax purposes) and you are not:</w:t>
      </w:r>
    </w:p>
    <w:p>
      <w:pPr>
        <w:spacing w:after="0" w:line="68" w:lineRule="exact"/>
        <w:rPr>
          <w:sz w:val="20"/>
          <w:szCs w:val="20"/>
          <w:color w:val="auto"/>
        </w:rPr>
      </w:pPr>
    </w:p>
    <w:p>
      <w:pPr>
        <w:ind w:left="1800" w:right="739" w:hanging="180"/>
        <w:spacing w:after="0" w:line="26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U.S. resident alien, including without limitation an alien individual who is a lawful permanent resident of the United States or who has been present in the United States for 183 days or more during the taxable year;</w:t>
      </w:r>
    </w:p>
    <w:p>
      <w:pPr>
        <w:spacing w:after="0" w:line="6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that was created or organized in or under the laws of the United States, any state thereof or the District of Columbia;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Payments of Additional Amounts</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We may be required to make payments of additional amounts to holders of the notes under certain circumstances, including those described under “Description of Notes — Optional Redemption” or “Description of Notes — Change of Control Offer” above. The foregoing contingencies may implicate the provisions of the U.S. Treasury regulations relating to “contingent payment debt instruments.” Under applicable U.S. Treasury regulations, one or more such contingencies will not cause the notes to be treated as contingent payment debt instruments if, as of the issue date, there is only a remote chance that such an amount will be paid, the amount is incidental or certain other exceptions apply. Although the issue is not free from doubt, we intend to take the position that the possibility of any such payment should not cause the notes to be subject to “contingent payment debt instrument” rules. If you take a different position, then you may be required to disclose your contrary position to the IRS in the manner required by applicable Treasury regulations. Our determination is not binding on the IRS, and if the IRS were to successfully challenge this determination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tax advisors regarding the possible application of the contingent payment debt instrument rules to the notes.</w:t>
      </w:r>
    </w:p>
    <w:p>
      <w:pPr>
        <w:spacing w:after="0" w:line="200" w:lineRule="exact"/>
        <w:rPr>
          <w:sz w:val="20"/>
          <w:szCs w:val="20"/>
          <w:color w:val="auto"/>
        </w:rPr>
      </w:pPr>
    </w:p>
    <w:p>
      <w:pPr>
        <w:spacing w:after="0" w:line="20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Interest on the Notes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Subject to the discussion of backup withholding and FATCA (as defined herein) withholding requirements discussed below, payments of interest on the notes generally will be exempt from withholding of U.S. federal income tax under the “portfolio interest” exemption if you properly certify as to your foreign status as described below, and:</w:t>
      </w:r>
    </w:p>
    <w:p>
      <w:pPr>
        <w:spacing w:after="0" w:line="72" w:lineRule="exact"/>
        <w:rPr>
          <w:sz w:val="20"/>
          <w:szCs w:val="20"/>
          <w:color w:val="auto"/>
        </w:rPr>
      </w:pPr>
    </w:p>
    <w:p>
      <w:pPr>
        <w:ind w:left="1800" w:right="5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paid on the notes is not effectively connected with your conduct of a trade or business in the United States;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whose receipt of interest on the notes is in connection with an extension of credit made pursuant to a loan agreement entered into in the ordinary course of your trade or business;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10% or more of the total combined voting power of all classes of our stock entitled to vote; and</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that is related to us through actual or constructive stock ownership (as provided in the Code).</w:t>
      </w:r>
    </w:p>
    <w:p>
      <w:pPr>
        <w:spacing w:after="0" w:line="9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portfolio interest exemption and several of the special rules for non-U.S. holders described below generally apply only if you appropriately certify as to your foreign status. You can generally meet this certification requirement by (1) providing a properly executed IRS Form W-8BEN, IRS Form W-8BEN-E or applicable substitute or successor form (together with all appropriate attachments) to the applicable withholding agent or (2) if a securities clearing organization, bank or other financial institution that holds customers’ securities in the ordinary course of its trade or business and holds your notes on your behalf certifies to the applicable withholding agent under penalties of perjury that it has received from you a signed, written statement that you are not a U.S. person and provides the applicable withholding agent with a copy of this statement.</w:t>
      </w:r>
    </w:p>
    <w:p>
      <w:pPr>
        <w:spacing w:after="0" w:line="327"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substitute or successor form) claiming an exemption from (or a reduction of) withholding under the benefit of an applicable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tax treaty, or (ii) the payments of interest are effectively connected with your conduct of a trade or business (and, if required by an applicable tax treaty, are attributable to a “permanent establishment” maintained by you) in the United States and you meet the certification requirements described below in “— Income or Gain Effectively Connected with a U.S. Trade or Business.”</w:t>
      </w:r>
    </w:p>
    <w:p>
      <w:pPr>
        <w:spacing w:after="0" w:line="18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Sale, Redemption, Exchange, Retirement or Other Taxable Disposition of Notes</w:t>
      </w:r>
    </w:p>
    <w:p>
      <w:pPr>
        <w:spacing w:after="0" w:line="148" w:lineRule="exact"/>
        <w:rPr>
          <w:sz w:val="20"/>
          <w:szCs w:val="20"/>
          <w:color w:val="auto"/>
        </w:rPr>
      </w:pPr>
    </w:p>
    <w:p>
      <w:pPr>
        <w:ind w:left="1260" w:right="939" w:firstLine="360"/>
        <w:spacing w:after="0" w:line="258" w:lineRule="auto"/>
        <w:rPr>
          <w:sz w:val="20"/>
          <w:szCs w:val="20"/>
          <w:color w:val="auto"/>
        </w:rPr>
      </w:pPr>
      <w:r>
        <w:rPr>
          <w:rFonts w:ascii="Times New Roman" w:cs="Times New Roman" w:eastAsia="Times New Roman" w:hAnsi="Times New Roman"/>
          <w:sz w:val="18"/>
          <w:szCs w:val="18"/>
          <w:color w:val="auto"/>
        </w:rPr>
        <w:t>Subject to the discussion of backup withholding and FATCA withholding requirements discussed below, you generally will not be subject to U.S. federal income tax on any gain realized on the sale, redemption, exchange, retirement or other taxable disposition of a note unless:</w:t>
      </w:r>
    </w:p>
    <w:p>
      <w:pPr>
        <w:spacing w:after="0" w:line="61" w:lineRule="exact"/>
        <w:rPr>
          <w:sz w:val="20"/>
          <w:szCs w:val="20"/>
          <w:color w:val="auto"/>
        </w:rPr>
      </w:pPr>
    </w:p>
    <w:p>
      <w:pPr>
        <w:ind w:left="1800" w:right="43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required by an applicable tax treaty, is attributable to your permanent establishment in the United States); or</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has been present in the United States for 183 days or more in the taxable year of disposition and certain other requirements are met.</w:t>
      </w:r>
    </w:p>
    <w:p>
      <w:pPr>
        <w:spacing w:after="0" w:line="94"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If you are described in the first bullet point above, you will be subject to the treatment described below in “—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w:t>
      </w:r>
    </w:p>
    <w:p>
      <w:pPr>
        <w:spacing w:after="0" w:line="114"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Any proceeds received on the sale, redemption, exchange, retirement or other taxable disposition of a note which are attributable to accrued interest will be subject to U.S. federal income tax in accordance with the rules for taxation of interest described above under “— Interest on the Notes.”</w:t>
      </w:r>
    </w:p>
    <w:p>
      <w:pPr>
        <w:spacing w:after="0" w:line="16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Income or Gain Effectively Connected with a U.S. Trade or Business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 certification requirements are satisfied. You can generally meet the certification requirements by providing a properly executed IRS Form W-8ECI or applicable substitute or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w:t>
      </w:r>
    </w:p>
    <w:p>
      <w:pPr>
        <w:spacing w:after="0" w:line="39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Generally, we must report to the IRS and to you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w:t>
      </w:r>
    </w:p>
    <w:p>
      <w:pPr>
        <w:spacing w:after="0" w:line="99"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Backup withholding (currently at a rate of 24%) generally will not apply to payments to you of interest on a note if the certification described in “— Interest on the Notes” is duly provided by you or you otherwise establish an exemption, provided that the applicable withholding agent does not have actual knowledge or reason to know that you are a United States person (as defined under the Code) or are otherwise not exempt.</w:t>
      </w:r>
    </w:p>
    <w:p>
      <w:pPr>
        <w:spacing w:after="0" w:line="335" w:lineRule="exact"/>
        <w:rPr>
          <w:sz w:val="20"/>
          <w:szCs w:val="20"/>
          <w:color w:val="auto"/>
        </w:rPr>
      </w:pPr>
    </w:p>
    <w:p>
      <w:pPr>
        <w:ind w:left="1260" w:right="639" w:firstLine="360"/>
        <w:spacing w:after="0" w:line="259" w:lineRule="auto"/>
        <w:rPr>
          <w:sz w:val="20"/>
          <w:szCs w:val="20"/>
          <w:color w:val="auto"/>
        </w:rPr>
      </w:pPr>
      <w:r>
        <w:rPr>
          <w:rFonts w:ascii="Times New Roman" w:cs="Times New Roman" w:eastAsia="Times New Roman" w:hAnsi="Times New Roman"/>
          <w:sz w:val="18"/>
          <w:szCs w:val="18"/>
          <w:color w:val="auto"/>
        </w:rPr>
        <w:t>Payment of the proceeds of a sale, redemption, exchange, retirement or other taxable disposition of a note effected by the U.S. office of a U.S. or foreign broker will be subject to information reporting requirements and backup withholding (currently at a rate of 24%), unless you properly certify under penalties of perjury as to your foreign status on IRS Form W-8BEN-E (or other applicable substitute or successor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IRS Form W-8) and certain other conditions are met or you otherwise establish an exemption. Information reporting requirements and backup withholding generally will not apply to any payment of the proceeds 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w:t>
      </w:r>
    </w:p>
    <w:p>
      <w:pPr>
        <w:spacing w:after="0" w:line="94"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United States person;</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foreign person that derives 50% or more of its gross income for certain periods from the conduct of a trade or business in the United States;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for U.S. federal income tax purposes; or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foreign partnership that, at any time during its taxable year, has more than 50% of its income or capital interests owned by United States persons or is engaged in the conduct of a U.S. trade or business.</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 withheld under the backup withholding rules may be credited against your U.S. federal income tax liability and any excess may be refundable if the proper information is timely provided to the IRS.</w:t>
      </w:r>
    </w:p>
    <w:p>
      <w:pPr>
        <w:spacing w:after="0" w:line="108"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You should consult your tax advisor regarding the application of information reporting and backup withholding in your particular circumstances and the availability of and procedure for obtaining an exemption from backup withholding under current U.S. Treasury regulations.</w:t>
      </w:r>
    </w:p>
    <w:p>
      <w:pPr>
        <w:spacing w:after="0" w:line="17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Foreign Accounts Tax Compliance Act</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Withholding taxes under Sections 1471 through 1474 of the Code (commonly referred to as the Foreign Account Tax Compliance Act, or “FATCA”) may apply to certain types of payments made to “foreign financial institutions” (as​ specially defined in the Code) and certain other non-U.S. entities. Specifically, a 30% withholding tax may be imposed on “withholdable payments,” which include interest, dividends and other fixed or determinable annual or periodical gains, profits and income from sources within the United States if not treated as effectively connected with a U.S. trade or business, and paid to (i) a foreign financial institution (for which purposes includes foreign broker-dealers, clearing organizations, investment companies, hedge funds and certain other investment entities), unless such foreign financial institution enters into an agreement with the Treasury Department to withhold on certain payments and to collect and provide substantial information regarding U.S. account holders, including certain account holders that are foreign entities with U.S. owners, (ii) a non-financial foreign entity, unless such entity provides the withholding agent with a certification that it does not have any “substantial United States owners” (as​ defined in the Code) or a certification identifying its direct or indirect substantial United States owners, or</w:t>
      </w:r>
    </w:p>
    <w:p>
      <w:pPr>
        <w:spacing w:after="0" w:line="1" w:lineRule="exact"/>
        <w:rPr>
          <w:sz w:val="20"/>
          <w:szCs w:val="20"/>
          <w:color w:val="auto"/>
        </w:rPr>
      </w:pPr>
    </w:p>
    <w:p>
      <w:pPr>
        <w:ind w:left="1260" w:right="479"/>
        <w:spacing w:after="0" w:line="251" w:lineRule="auto"/>
        <w:tabs>
          <w:tab w:leader="none" w:pos="15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In addition, subject to the immediately following sentence, withholding taxes under FATCA could apply to the gross proceeds from the sale or other disposition of a note. However, proposed Treasury Regulations provide that such gross proceeds are not subject to withholding taxes under FATCA. There can be no assurance that final Treasury regulations would provide an exemption from FATCA withholding for gross proceeds. Taxpayers may rely on these proposed Treasury Regulations until they are revoked or final Treasury Regulations are issued. You should consult with your tax advisor regarding these rules.</w:t>
      </w:r>
    </w:p>
    <w:p>
      <w:pPr>
        <w:spacing w:after="0" w:line="121"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preceding discussion of certain U.S. federal tax considerations is for general information only and is not tax advice. We urge each prospective investor to consult its tax advisor regarding the particular U.S. federal, state, local and foreign tax consequences of purchasing, holding, and disposing of our notes, including the applicability and effect of any state, local or foreign tax laws, and the consequences of any proposed or subsequent change in applicable laws.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16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J.P. Morgan Securities LLC, Mizuho Securities USA LLC, SMBC Nikko Securities America, Inc. and Wells Fargo Securities, LLC are acting as joint book-running managers of the offering and as representatives of the underwriters named below.</w:t>
      </w:r>
    </w:p>
    <w:p>
      <w:pPr>
        <w:spacing w:after="0" w:line="102" w:lineRule="exact"/>
        <w:rPr>
          <w:sz w:val="20"/>
          <w:szCs w:val="20"/>
          <w:color w:val="auto"/>
        </w:rPr>
      </w:pPr>
    </w:p>
    <w:p>
      <w:pPr>
        <w:ind w:left="1260" w:right="899" w:firstLine="360"/>
        <w:spacing w:after="0" w:line="250" w:lineRule="auto"/>
        <w:rPr>
          <w:sz w:val="20"/>
          <w:szCs w:val="20"/>
          <w:color w:val="auto"/>
        </w:rPr>
      </w:pPr>
      <w:r>
        <w:rPr>
          <w:rFonts w:ascii="Times New Roman" w:cs="Times New Roman" w:eastAsia="Times New Roman" w:hAnsi="Times New Roman"/>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w:t>
      </w:r>
    </w:p>
    <w:p>
      <w:pPr>
        <w:spacing w:after="0" w:line="13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40" w:type="dxa"/>
            <w:vAlign w:val="bottom"/>
          </w:tcPr>
          <w:p>
            <w:pPr>
              <w:spacing w:after="0"/>
              <w:rPr>
                <w:sz w:val="14"/>
                <w:szCs w:val="14"/>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162"/>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6"/>
              </w:rPr>
              <w:t>Amount of</w:t>
            </w:r>
          </w:p>
        </w:tc>
        <w:tc>
          <w:tcPr>
            <w:tcW w:w="40" w:type="dxa"/>
            <w:vAlign w:val="bottom"/>
          </w:tcPr>
          <w:p>
            <w:pPr>
              <w:spacing w:after="0"/>
              <w:rPr>
                <w:sz w:val="14"/>
                <w:szCs w:val="14"/>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99"/>
              </w:rPr>
              <w:t>Amount of</w:t>
            </w:r>
          </w:p>
        </w:tc>
      </w:tr>
      <w:tr>
        <w:trPr>
          <w:trHeight w:val="214"/>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8"/>
                <w:szCs w:val="18"/>
                <w:color w:val="auto"/>
              </w:rPr>
            </w:pPr>
          </w:p>
        </w:tc>
        <w:tc>
          <w:tcPr>
            <w:tcW w:w="1180" w:type="dxa"/>
            <w:vAlign w:val="bottom"/>
            <w:gridSpan w:val="3"/>
          </w:tcPr>
          <w:p>
            <w:pPr>
              <w:jc w:val="right"/>
              <w:ind w:right="1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2030 Notes   </w:t>
            </w:r>
            <w:r>
              <w:rPr>
                <w:rFonts w:ascii="Times New Roman" w:cs="Times New Roman" w:eastAsia="Times New Roman" w:hAnsi="Times New Roman"/>
                <w:sz w:val="24"/>
                <w:szCs w:val="24"/>
                <w:b w:val="1"/>
                <w:bCs w:val="1"/>
                <w:color w:val="auto"/>
                <w:vertAlign w:val="subscript"/>
              </w:rPr>
              <w:t>​ ​</w:t>
            </w:r>
          </w:p>
        </w:tc>
        <w:tc>
          <w:tcPr>
            <w:tcW w:w="40" w:type="dxa"/>
            <w:vAlign w:val="bottom"/>
          </w:tcPr>
          <w:p>
            <w:pPr>
              <w:spacing w:after="0"/>
              <w:rPr>
                <w:sz w:val="18"/>
                <w:szCs w:val="18"/>
                <w:color w:val="auto"/>
              </w:rPr>
            </w:pPr>
          </w:p>
        </w:tc>
        <w:tc>
          <w:tcPr>
            <w:tcW w:w="9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2033 Notes   </w:t>
            </w:r>
            <w:r>
              <w:rPr>
                <w:rFonts w:ascii="Times New Roman" w:cs="Times New Roman" w:eastAsia="Times New Roman" w:hAnsi="Times New Roman"/>
                <w:sz w:val="24"/>
                <w:szCs w:val="24"/>
                <w:b w:val="1"/>
                <w:bCs w:val="1"/>
                <w:color w:val="auto"/>
                <w:vertAlign w:val="subscript"/>
              </w:rPr>
              <w:t>​</w:t>
            </w:r>
          </w:p>
        </w:tc>
      </w:tr>
      <w:tr>
        <w:trPr>
          <w:trHeight w:val="20"/>
        </w:trPr>
        <w:tc>
          <w:tcPr>
            <w:tcW w:w="50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97,500,000​​ ​​$</w:t>
            </w:r>
          </w:p>
        </w:tc>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97,500,000​​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65,000,000​</w:t>
            </w:r>
          </w:p>
        </w:tc>
      </w:tr>
      <w:tr>
        <w:trPr>
          <w:trHeight w:val="25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97,500,000​​ ​​</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65,000,000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97,500,000​​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65,000,000​</w:t>
            </w:r>
          </w:p>
        </w:tc>
      </w:tr>
      <w:tr>
        <w:trPr>
          <w:trHeight w:val="25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52,500,000​​ ​​</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35,000,000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52,500,000​​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35,000,000​</w:t>
            </w:r>
          </w:p>
        </w:tc>
      </w:tr>
      <w:tr>
        <w:trPr>
          <w:trHeight w:val="25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52,500,000​​ ​​</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35,000,000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52,500,000​​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35,000,000​</w:t>
            </w:r>
          </w:p>
        </w:tc>
      </w:tr>
      <w:tr>
        <w:trPr>
          <w:trHeight w:val="25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52,500,000​​ ​​</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35,000,000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15,000,000​​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10,000,000​</w:t>
            </w:r>
          </w:p>
        </w:tc>
      </w:tr>
      <w:tr>
        <w:trPr>
          <w:trHeight w:val="27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 ​​</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10,000,000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15,000,000​​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10,000,000​</w:t>
            </w:r>
          </w:p>
        </w:tc>
      </w:tr>
      <w:tr>
        <w:trPr>
          <w:trHeight w:val="27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 ​​</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10,000,000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7,500,000​​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7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7,500,000​​ ​​</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MFR Securities, Inc.</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7,500,000​​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7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Mischler Financial Group, Inc.</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7,500,000​​ ​​</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380" w:type="dxa"/>
            <w:vAlign w:val="bottom"/>
            <w:gridSpan w:val="2"/>
          </w:tcPr>
          <w:p>
            <w:pPr>
              <w:ind w:left="60"/>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1220" w:type="dxa"/>
            <w:vAlign w:val="bottom"/>
            <w:gridSpan w:val="4"/>
          </w:tcPr>
          <w:p>
            <w:pPr>
              <w:ind w:left="140"/>
              <w:spacing w:after="0" w:line="283" w:lineRule="exact"/>
              <w:rPr>
                <w:sz w:val="20"/>
                <w:szCs w:val="20"/>
                <w:color w:val="auto"/>
              </w:rPr>
            </w:pPr>
            <w:r>
              <w:rPr>
                <w:rFonts w:ascii="Times New Roman" w:cs="Times New Roman" w:eastAsia="Times New Roman" w:hAnsi="Times New Roman"/>
                <w:sz w:val="17"/>
                <w:szCs w:val="17"/>
                <w:color w:val="auto"/>
              </w:rPr>
              <w:t>7,500,000</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w:t>
            </w:r>
          </w:p>
        </w:tc>
        <w:tc>
          <w:tcPr>
            <w:tcW w:w="90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7"/>
                <w:szCs w:val="17"/>
                <w:color w:val="auto"/>
              </w:rPr>
              <w:t>5,000,000</w:t>
            </w:r>
            <w:r>
              <w:rPr>
                <w:rFonts w:ascii="Times New Roman" w:cs="Times New Roman" w:eastAsia="Times New Roman" w:hAnsi="Times New Roman"/>
                <w:sz w:val="32"/>
                <w:szCs w:val="32"/>
                <w:color w:val="auto"/>
                <w:vertAlign w:val="subscript"/>
              </w:rPr>
              <w:t>​</w:t>
            </w:r>
          </w:p>
        </w:tc>
      </w:tr>
      <w:tr>
        <w:trPr>
          <w:trHeight w:val="20"/>
        </w:trPr>
        <w:tc>
          <w:tcPr>
            <w:tcW w:w="50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7"/>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gridSpan w:val="7"/>
            <w:shd w:val="clear" w:color="auto" w:fill="CCEEFF"/>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750,000,000</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500,000,000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-222250</wp:posOffset>
            </wp:positionV>
            <wp:extent cx="41148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14800" cy="8255"/>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-3239770</wp:posOffset>
            </wp:positionV>
            <wp:extent cx="137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-3239770</wp:posOffset>
            </wp:positionV>
            <wp:extent cx="13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of a series if they purchase any of the notes of a series.</w:t>
      </w:r>
    </w:p>
    <w:p>
      <w:pPr>
        <w:spacing w:after="0" w:line="10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underwriters propose to offer the notes of each series directly to the public at the public offering price set forth on the cover page of this prospectus supplement and may offer the notes of each series to dealers at the public offering price less a concession not to exceed 0.25% of the principal amount of the 2030 notes and 0.40% of the principal amount of the 2033 notes. The underwriters may allow, and dealers may reallow, a concession not to exceed 0.125% of the principal amount of the 2030 notes and 0.25% of the principal amount of the 2033 notes on sales to other dealers. After the initial offering of the notes to the public, the representatives may change the public offering price and other selling terms applicable to the notes of either series. The offering of the notes by the underwriters is subject to receipt and acceptance and subject to the underwriters’ right to reject any order in whole or in part.</w:t>
      </w:r>
    </w:p>
    <w:p>
      <w:pPr>
        <w:spacing w:after="0" w:line="118"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a series of notes in excess of the principal amount of such notes to be purchased by the underwriters in the offering, which creates a syndicate short position. Syndicate covering transactions involve purchases of the notes of a series in the open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66" w:lineRule="auto"/>
        <w:rPr>
          <w:sz w:val="20"/>
          <w:szCs w:val="20"/>
          <w:color w:val="auto"/>
        </w:rPr>
      </w:pPr>
      <w:r>
        <w:rPr>
          <w:rFonts w:ascii="Times New Roman" w:cs="Times New Roman" w:eastAsia="Times New Roman" w:hAnsi="Times New Roman"/>
          <w:sz w:val="18"/>
          <w:szCs w:val="18"/>
          <w:color w:val="auto"/>
        </w:rPr>
        <w:t>market after the distribution has been completed in order to cover syndicate short positions. Stabilizing transactions consist of certain bids or purchases of notes made for the purpose of preventing or retarding a decline in the market price of the notes of that series while the offering is in progress.</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0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Any of these activities may have the effect of preventing or retarding a decline in the market price of either series of notes. They may also cause the price of either series of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0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We estimate that our total expenses (not including the underwriting discounts) for this offering will be approximately $3.2 million.</w:t>
      </w:r>
    </w:p>
    <w:p>
      <w:pPr>
        <w:spacing w:after="0" w:line="9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have agreed that we will not offer to sell any of our debt securities (other than the notes, bank borrowings and commercial paper) until the date and time of delivery and payment for the notes and related guarantees without the prior written consent of the representatives.</w:t>
      </w:r>
    </w:p>
    <w:p>
      <w:pPr>
        <w:spacing w:after="0" w:line="108"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95"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expect delivery of the notes will be made against payment therefor on or about February 15, 2023, which is the fifth business day following the date of pricing of the notes (such settlement being referred to as “T+5”).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two business days will be required, by virtue of the fact that the notes initially will settle in T+5, to specify an alternate settlement cycle at the time of any such trade to prevent failed settlement and should consult their own advisers.</w:t>
      </w:r>
    </w:p>
    <w:p>
      <w:pPr>
        <w:spacing w:after="0" w:line="200" w:lineRule="exact"/>
        <w:rPr>
          <w:sz w:val="20"/>
          <w:szCs w:val="20"/>
          <w:color w:val="auto"/>
        </w:rPr>
      </w:pPr>
    </w:p>
    <w:p>
      <w:pPr>
        <w:spacing w:after="0" w:line="20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Relationships</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Certain of the underwriters or one of their respective affiliates are lenders under our $3.5 billion revolving credit facility and our Term Loan. Also, because certain of the underwriters or their affiliates serve as dealers under our commercial paper program, they may receive a portion of the net proceeds of the notes offered hereby as customary dealer fees. Certain of the underwriters or one of their respective affiliates have, from time to time, performed, and may in the future perform, various financial advisory, investment banking, commercial services and brokerage services for us, for which they have received or will receive customary fees and expense reimbursements.</w:t>
      </w:r>
    </w:p>
    <w:p>
      <w:pPr>
        <w:spacing w:after="0" w:line="12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including our 2.40% Senior Notes due 2023.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Certain underwriters or their respective affiliates in this offering are lenders to us under our $3.5 billion revolving credit facility and may receive 5% or more of the net proceeds of this offering by reason of the repayment of amounts outstanding under our commercial paper program, which is fully supported by such credit facility. Accordingly, such underwriters are deemed to have a “conflict of interest” within the meaning of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prospectus supplement:</w:t>
      </w:r>
    </w:p>
    <w:p>
      <w:pPr>
        <w:spacing w:after="0" w:line="158" w:lineRule="exact"/>
        <w:rPr>
          <w:sz w:val="20"/>
          <w:szCs w:val="20"/>
          <w:color w:val="auto"/>
        </w:rPr>
      </w:pPr>
    </w:p>
    <w:p>
      <w:pPr>
        <w:ind w:left="1620" w:right="579" w:firstLine="360"/>
        <w:spacing w:after="0" w:line="282" w:lineRule="auto"/>
        <w:tabs>
          <w:tab w:leader="none" w:pos="23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product disclosure document or a prospectus under Chapter 6D.2 of the Corporations Act 2001 (Cth) (the “Corporations Act”);</w:t>
      </w:r>
    </w:p>
    <w:p>
      <w:pPr>
        <w:spacing w:after="0" w:line="80"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2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 a disclosure document for the purposes of the Corporations Act and does not purport to include the information required of a disclosure document under Chapter 6D.2 of the Corporations Act;</w:t>
      </w:r>
    </w:p>
    <w:p>
      <w:pPr>
        <w:spacing w:after="0" w:line="108" w:lineRule="exact"/>
        <w:rPr>
          <w:rFonts w:ascii="Times New Roman" w:cs="Times New Roman" w:eastAsia="Times New Roman" w:hAnsi="Times New Roman"/>
          <w:sz w:val="18"/>
          <w:szCs w:val="18"/>
          <w:color w:val="auto"/>
        </w:rPr>
      </w:pPr>
    </w:p>
    <w:p>
      <w:pPr>
        <w:ind w:left="1620" w:right="439" w:firstLine="360"/>
        <w:spacing w:after="0" w:line="266" w:lineRule="auto"/>
        <w:tabs>
          <w:tab w:leader="none" w:pos="22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08" w:lineRule="exact"/>
        <w:rPr>
          <w:rFonts w:ascii="Times New Roman" w:cs="Times New Roman" w:eastAsia="Times New Roman" w:hAnsi="Times New Roman"/>
          <w:sz w:val="18"/>
          <w:szCs w:val="18"/>
          <w:color w:val="auto"/>
        </w:rPr>
      </w:pPr>
    </w:p>
    <w:p>
      <w:pPr>
        <w:ind w:left="1620" w:right="499" w:firstLine="360"/>
        <w:spacing w:after="0" w:line="266" w:lineRule="auto"/>
        <w:tabs>
          <w:tab w:leader="none" w:pos="23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4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20"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336"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the notes in any Member State of the EEA will be made pursuant to an exemption under the Prospectus</w:t>
      </w: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Regulation from the requirement to publish a prospectus for offers of the notes. This prospectus supplement and the accompanying prospectus are not a prospectus for the purposes of the Prospectus Regulation.</w:t>
      </w:r>
    </w:p>
    <w:p>
      <w:pPr>
        <w:spacing w:after="0" w:line="81"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Neither this prospectus supplement nor the accompanying prospectus have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such notes,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7" w:lineRule="exact"/>
        <w:rPr>
          <w:sz w:val="20"/>
          <w:szCs w:val="20"/>
          <w:color w:val="auto"/>
        </w:rPr>
      </w:pPr>
    </w:p>
    <w:p>
      <w:pPr>
        <w:ind w:left="1260" w:right="619"/>
        <w:spacing w:after="0" w:line="243" w:lineRule="auto"/>
        <w:tabs>
          <w:tab w:leader="none" w:pos="15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w:t>
      </w:r>
    </w:p>
    <w:p>
      <w:pPr>
        <w:spacing w:after="0" w:line="126" w:lineRule="exact"/>
        <w:rPr>
          <w:sz w:val="20"/>
          <w:szCs w:val="20"/>
          <w:color w:val="auto"/>
        </w:rPr>
      </w:pPr>
    </w:p>
    <w:p>
      <w:pPr>
        <w:jc w:val="both"/>
        <w:ind w:left="1620" w:right="579" w:firstLine="360"/>
        <w:spacing w:after="0" w:line="250" w:lineRule="auto"/>
        <w:tabs>
          <w:tab w:leader="none" w:pos="23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9" w:lineRule="exact"/>
        <w:rPr>
          <w:rFonts w:ascii="Times New Roman" w:cs="Times New Roman" w:eastAsia="Times New Roman" w:hAnsi="Times New Roman"/>
          <w:sz w:val="18"/>
          <w:szCs w:val="18"/>
          <w:color w:val="auto"/>
        </w:rPr>
      </w:pPr>
    </w:p>
    <w:p>
      <w:pPr>
        <w:ind w:left="1620" w:right="619" w:firstLine="360"/>
        <w:spacing w:after="0" w:line="282" w:lineRule="auto"/>
        <w:tabs>
          <w:tab w:leader="none" w:pos="229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w:t>
      </w: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spacing w:after="0" w:line="258" w:lineRule="auto"/>
        <w:rPr>
          <w:sz w:val="20"/>
          <w:szCs w:val="20"/>
          <w:color w:val="auto"/>
        </w:rPr>
      </w:pPr>
      <w:r>
        <w:rPr>
          <w:rFonts w:ascii="Times New Roman" w:cs="Times New Roman" w:eastAsia="Times New Roman" w:hAnsi="Times New Roman"/>
          <w:sz w:val="18"/>
          <w:szCs w:val="18"/>
          <w:color w:val="auto"/>
        </w:rPr>
        <w:t>(as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02" w:lineRule="exact"/>
        <w:rPr>
          <w:sz w:val="20"/>
          <w:szCs w:val="20"/>
          <w:color w:val="auto"/>
        </w:rPr>
      </w:pPr>
    </w:p>
    <w:p>
      <w:pPr>
        <w:ind w:left="1980" w:right="939" w:firstLine="360"/>
        <w:spacing w:after="0" w:line="258" w:lineRule="auto"/>
        <w:tabs>
          <w:tab w:leader="none" w:pos="26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SFA or to a relevant person (as defined in Section 275(2) of the SFA), or to any person arising from an offer referred to in Section 275(1A), or Section 276(4)(i)(B) of the SFA;</w:t>
      </w:r>
    </w:p>
    <w:p>
      <w:pPr>
        <w:spacing w:after="0" w:line="101" w:lineRule="exact"/>
        <w:rPr>
          <w:rFonts w:ascii="Times New Roman" w:cs="Times New Roman" w:eastAsia="Times New Roman" w:hAnsi="Times New Roman"/>
          <w:sz w:val="18"/>
          <w:szCs w:val="18"/>
          <w:color w:val="auto"/>
        </w:rPr>
      </w:pPr>
    </w:p>
    <w:p>
      <w:pPr>
        <w:ind w:left="2720" w:hanging="380"/>
        <w:spacing w:after="0"/>
        <w:tabs>
          <w:tab w:leader="none" w:pos="2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44" w:lineRule="exact"/>
        <w:rPr>
          <w:rFonts w:ascii="Times New Roman" w:cs="Times New Roman" w:eastAsia="Times New Roman" w:hAnsi="Times New Roman"/>
          <w:sz w:val="18"/>
          <w:szCs w:val="18"/>
          <w:color w:val="auto"/>
        </w:rPr>
      </w:pPr>
    </w:p>
    <w:p>
      <w:pPr>
        <w:ind w:left="2780" w:hanging="440"/>
        <w:spacing w:after="0"/>
        <w:tabs>
          <w:tab w:leader="none" w:pos="2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57" w:lineRule="exact"/>
        <w:rPr>
          <w:rFonts w:ascii="Times New Roman" w:cs="Times New Roman" w:eastAsia="Times New Roman" w:hAnsi="Times New Roman"/>
          <w:sz w:val="18"/>
          <w:szCs w:val="18"/>
          <w:color w:val="auto"/>
        </w:rPr>
      </w:pPr>
    </w:p>
    <w:p>
      <w:pPr>
        <w:ind w:left="2760" w:hanging="420"/>
        <w:spacing w:after="0"/>
        <w:tabs>
          <w:tab w:leader="none" w:pos="2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57" w:lineRule="exact"/>
        <w:rPr>
          <w:rFonts w:ascii="Times New Roman" w:cs="Times New Roman" w:eastAsia="Times New Roman" w:hAnsi="Times New Roman"/>
          <w:sz w:val="18"/>
          <w:szCs w:val="18"/>
          <w:color w:val="auto"/>
        </w:rPr>
      </w:pPr>
    </w:p>
    <w:p>
      <w:pPr>
        <w:ind w:left="1980" w:right="959" w:firstLine="360"/>
        <w:spacing w:after="0" w:line="266" w:lineRule="auto"/>
        <w:tabs>
          <w:tab w:leader="none" w:pos="27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95"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South Korea</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 requirements (including but not limited to requirements under the FETL) in connection with the purchase of the notes.</w:t>
      </w:r>
    </w:p>
    <w:p>
      <w:pPr>
        <w:spacing w:after="0" w:line="121"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Each agent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Taiwan</w:t>
      </w:r>
    </w:p>
    <w:p>
      <w:pPr>
        <w:spacing w:after="0" w:line="148"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notes may be made available for purchase outside Taiwan by investors residing in Taiwan (either directly or through properly licensed Taiwan intermediaries acting on behalf of such investors) but may not be offered or sold in Taiwan.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2017/565 as it forms part of domestic law by virtue of the European Union (Withdrawal) Act 2018 (“EUWA”); or (ii) a customer within the meaning of the provisions of the Financial Services and Markets Act 2000 (as amended, the “FSMA”) and any rules or regulations made under the</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3" w:lineRule="auto"/>
        <w:rPr>
          <w:sz w:val="20"/>
          <w:szCs w:val="20"/>
          <w:color w:val="auto"/>
        </w:rPr>
      </w:pPr>
      <w:r>
        <w:rPr>
          <w:rFonts w:ascii="Times New Roman" w:cs="Times New Roman" w:eastAsia="Times New Roman" w:hAnsi="Times New Roman"/>
          <w:sz w:val="18"/>
          <w:szCs w:val="18"/>
          <w:color w:val="auto"/>
        </w:rPr>
        <w:t>FSMA to implement Directive (EU) 2016/97, where that customer would not qualify as a professional client, as defined in point (8) of Article 2(1) of Regulation (EU) 600/2014 as it forms part of domestic law by virtue of the EUWA; or (iii) not a qualified investor as defined in Regulation (EU) 2017/1129 as it forms part of domestic law by virtue of the EUWA (the “UK Prospectus Regulation”). Consequently, no key information document required by Regulation (EU)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the notes in the UK will be made pursuant to an exemption under the UK Prospectus Regulation and the FSMA from the requirement to publish a prospectus for offers of the notes. This prospectus supplement and the accompanying prospectus are not a prospectus for the purposes of the UK Prospectus Regulation or the FSMA.</w:t>
      </w:r>
    </w:p>
    <w:p>
      <w:pPr>
        <w:spacing w:after="0" w:line="356" w:lineRule="exact"/>
        <w:rPr>
          <w:sz w:val="20"/>
          <w:szCs w:val="20"/>
          <w:color w:val="auto"/>
        </w:rPr>
      </w:pPr>
    </w:p>
    <w:p>
      <w:pPr>
        <w:ind w:left="1260" w:right="499" w:firstLine="360"/>
        <w:spacing w:after="0" w:line="274"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01"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w:t>
      </w:r>
    </w:p>
    <w:p>
      <w:pPr>
        <w:spacing w:after="0" w:line="27" w:lineRule="exact"/>
        <w:rPr>
          <w:sz w:val="20"/>
          <w:szCs w:val="20"/>
          <w:color w:val="auto"/>
        </w:rPr>
      </w:pPr>
    </w:p>
    <w:p>
      <w:pPr>
        <w:ind w:left="1260" w:right="439"/>
        <w:spacing w:after="0" w:line="262" w:lineRule="auto"/>
        <w:rPr>
          <w:sz w:val="20"/>
          <w:szCs w:val="20"/>
          <w:color w:val="auto"/>
        </w:rPr>
      </w:pPr>
      <w:r>
        <w:rPr>
          <w:rFonts w:ascii="Times New Roman" w:cs="Times New Roman" w:eastAsia="Times New Roman" w:hAnsi="Times New Roman"/>
          <w:sz w:val="18"/>
          <w:szCs w:val="18"/>
          <w:color w:val="auto"/>
        </w:rPr>
        <w:t>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intended to constitute an offer or solicitation to purchase or invest in the notes.</w:t>
      </w:r>
    </w:p>
    <w:p>
      <w:pPr>
        <w:spacing w:after="0" w:line="10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Dubai International Financial Centre</w:t>
      </w:r>
    </w:p>
    <w:p>
      <w:pPr>
        <w:spacing w:after="0" w:line="148"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Arab Emirates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The prospectus supplement and the accompanying prospectus have not been approved by or filed with the Central Bank of the United Arab Emirates, the Securities and Commodities Authority or the Dubai Financial Services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notes offered hereby will be passed upon for us by Baker Botts L.L.P., Houston, Texas, and for the underwriters by Gibson, Dunn &amp; Crutcher LLP, Houston, Texas.</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59" w:firstLine="3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Waste Management, Inc. appearing in Waste Management, Inc.’s </w:t>
      </w:r>
      <w:hyperlink r:id="rId75">
        <w:r>
          <w:rPr>
            <w:rFonts w:ascii="Times New Roman" w:cs="Times New Roman" w:eastAsia="Times New Roman" w:hAnsi="Times New Roman"/>
            <w:sz w:val="18"/>
            <w:szCs w:val="18"/>
            <w:u w:val="single" w:color="auto"/>
            <w:color w:val="0000EE"/>
          </w:rPr>
          <w:t>Annual Report (Form 10-K) for the year ended December 31, 2022</w:t>
        </w:r>
      </w:hyperlink>
      <w:r>
        <w:rPr>
          <w:rFonts w:ascii="Times New Roman" w:cs="Times New Roman" w:eastAsia="Times New Roman" w:hAnsi="Times New Roman"/>
          <w:sz w:val="18"/>
          <w:szCs w:val="18"/>
          <w:color w:val="auto"/>
        </w:rPr>
        <w:t>, and the effectiveness of Waste Management, Inc.’s internal control over financial reporting as of December 31, 2022,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58" w:lineRule="exact"/>
        <w:rPr>
          <w:sz w:val="20"/>
          <w:szCs w:val="20"/>
          <w:color w:val="auto"/>
        </w:rPr>
      </w:pPr>
    </w:p>
    <w:p>
      <w:pPr>
        <w:ind w:left="1260" w:right="5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3" w:lineRule="exact"/>
        <w:rPr>
          <w:sz w:val="20"/>
          <w:szCs w:val="20"/>
          <w:color w:val="auto"/>
        </w:rPr>
      </w:pPr>
    </w:p>
    <w:p>
      <w:pPr>
        <w:jc w:val="right"/>
        <w:ind w:right="379"/>
        <w:spacing w:after="0"/>
        <w:tabs>
          <w:tab w:leader="none" w:pos="1520" w:val="left"/>
          <w:tab w:leader="none" w:pos="960" w:val="left"/>
          <w:tab w:leader="none" w:pos="20" w:val="left"/>
        </w:tabs>
        <w:rPr>
          <w:sz w:val="20"/>
          <w:szCs w:val="20"/>
          <w:color w:val="auto"/>
        </w:rPr>
      </w:pPr>
      <w:r>
        <w:rPr>
          <w:rFonts w:ascii="Times New Roman" w:cs="Times New Roman" w:eastAsia="Times New Roman" w:hAnsi="Times New Roman"/>
          <w:sz w:val="14"/>
          <w:szCs w:val="14"/>
          <w:b w:val="1"/>
          <w:bCs w:val="1"/>
          <w:color w:val="auto"/>
        </w:rPr>
        <w:t>SEC Filing (Our SEC File Number is 1-12154)</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Date Filed</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67" w:lineRule="exact"/>
        <w:rPr>
          <w:sz w:val="20"/>
          <w:szCs w:val="20"/>
          <w:color w:val="auto"/>
        </w:rPr>
      </w:pPr>
    </w:p>
    <w:p>
      <w:pPr>
        <w:ind w:left="1260" w:right="1120"/>
        <w:spacing w:after="0" w:line="289" w:lineRule="auto"/>
        <w:rPr>
          <w:rFonts w:ascii="Times New Roman" w:cs="Times New Roman" w:eastAsia="Times New Roman" w:hAnsi="Times New Roman"/>
          <w:sz w:val="18"/>
          <w:szCs w:val="18"/>
          <w:u w:val="single" w:color="auto"/>
          <w:color w:val="0000EE"/>
        </w:rPr>
      </w:pPr>
      <w:hyperlink r:id="rId78">
        <w:r>
          <w:rPr>
            <w:rFonts w:ascii="Times New Roman" w:cs="Times New Roman" w:eastAsia="Times New Roman" w:hAnsi="Times New Roman"/>
            <w:sz w:val="18"/>
            <w:szCs w:val="18"/>
            <w:u w:val="single" w:color="auto"/>
            <w:color w:val="0000EE"/>
          </w:rPr>
          <w:t>Annual Report on Form 10-K for the year ended December 31, 2022</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Current Report on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4457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5212080" cy="445770"/>
                    </a:xfrm>
                    <a:prstGeom prst="rect">
                      <a:avLst/>
                    </a:prstGeom>
                    <a:noFill/>
                  </pic:spPr>
                </pic:pic>
              </a:graphicData>
            </a:graphic>
          </wp:anchor>
        </w:drawing>
      </w:r>
    </w:p>
    <w:p>
      <w:pPr>
        <w:ind w:left="1440" w:hanging="179"/>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The portions of our </w:t>
      </w:r>
      <w:hyperlink r:id="rId81">
        <w:r>
          <w:rPr>
            <w:rFonts w:ascii="Times New Roman" w:cs="Times New Roman" w:eastAsia="Times New Roman" w:hAnsi="Times New Roman"/>
            <w:sz w:val="18"/>
            <w:szCs w:val="18"/>
            <w:u w:val="single" w:color="auto"/>
            <w:color w:val="0000EE"/>
          </w:rPr>
          <w:t>proxy statement for our 2022 annual meeting of stockholders</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color w:val="auto"/>
          </w:rPr>
          <w:t xml:space="preserve">incorporated by reference in our </w:t>
        </w:r>
        <w:r>
          <w:rPr>
            <w:rFonts w:ascii="Times New Roman" w:cs="Times New Roman" w:eastAsia="Times New Roman" w:hAnsi="Times New Roman"/>
            <w:sz w:val="18"/>
            <w:szCs w:val="18"/>
            <w:u w:val="single" w:color="auto"/>
            <w:color w:val="0000EE"/>
          </w:rPr>
          <w:t>Annual Report on Form 10-K for the year ended</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EE"/>
          </w:rPr>
          <w:t>December 31, 2021</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4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 February 7, 2023​</w:t>
      </w:r>
    </w:p>
    <w:p>
      <w:pPr>
        <w:spacing w:after="0" w:line="5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 February 6, 2023​</w:t>
      </w:r>
    </w:p>
    <w:p>
      <w:pPr>
        <w:spacing w:after="0" w:line="200" w:lineRule="exact"/>
        <w:rPr>
          <w:rFonts w:ascii="Times New Roman" w:cs="Times New Roman" w:eastAsia="Times New Roman" w:hAnsi="Times New Roman"/>
          <w:sz w:val="18"/>
          <w:szCs w:val="18"/>
          <w:color w:val="auto"/>
        </w:rPr>
      </w:pPr>
    </w:p>
    <w:p>
      <w:pPr>
        <w:spacing w:after="0" w:line="263" w:lineRule="exact"/>
        <w:rPr>
          <w:rFonts w:ascii="Times New Roman" w:cs="Times New Roman" w:eastAsia="Times New Roman" w:hAnsi="Times New Roman"/>
          <w:sz w:val="18"/>
          <w:szCs w:val="18"/>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 ​ March 29, 2022 ​</w:t>
      </w:r>
    </w:p>
    <w:p>
      <w:pPr>
        <w:spacing w:after="0" w:line="184" w:lineRule="exact"/>
        <w:rPr>
          <w:rFonts w:ascii="Times New Roman" w:cs="Times New Roman" w:eastAsia="Times New Roman" w:hAnsi="Times New Roman"/>
          <w:sz w:val="18"/>
          <w:szCs w:val="18"/>
          <w:color w:val="auto"/>
        </w:rPr>
      </w:pPr>
    </w:p>
    <w:p>
      <w:pPr>
        <w:sectPr>
          <w:pgSz w:w="11900" w:h="16838" w:orient="portrait"/>
          <w:cols w:equalWidth="0" w:num="2">
            <w:col w:w="7560" w:space="400"/>
            <w:col w:w="1919"/>
          </w:cols>
          <w:pgMar w:left="580" w:top="97" w:right="1440" w:bottom="1440" w:gutter="0" w:footer="0" w:header="0"/>
          <w:type w:val="continuous"/>
        </w:sect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322" w:lineRule="exact"/>
        <w:rPr>
          <w:rFonts w:ascii="Times New Roman" w:cs="Times New Roman" w:eastAsia="Times New Roman" w:hAnsi="Times New Roman"/>
          <w:sz w:val="18"/>
          <w:szCs w:val="18"/>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You may obtain copies of any of these filings through Waste Management, Inc. as described below, or through the SEC’s Internet website or through our website as described under “Where You Can Find More Information” in the accompanying prospectus. Information contained on, or that can be accessed through, our website is not incorporated by reference into this prospectus supplement and does not constitute a part of this prospectus supplement.</w:t>
      </w:r>
    </w:p>
    <w:p>
      <w:pPr>
        <w:spacing w:after="0" w:line="116" w:lineRule="exact"/>
        <w:rPr>
          <w:rFonts w:ascii="Times New Roman" w:cs="Times New Roman" w:eastAsia="Times New Roman" w:hAnsi="Times New Roman"/>
          <w:sz w:val="18"/>
          <w:szCs w:val="18"/>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to each person, including any beneficial owner, to whom this prospectus supplement is delivered, excluding all exhibits unless an exhibit has been specifically incorporated by reference into this prospectus supplement, by requesting them in writing or by telephone using the contact information below:</w:t>
      </w:r>
    </w:p>
    <w:p>
      <w:pPr>
        <w:spacing w:after="0" w:line="112" w:lineRule="exact"/>
        <w:rPr>
          <w:rFonts w:ascii="Times New Roman" w:cs="Times New Roman" w:eastAsia="Times New Roman" w:hAnsi="Times New Roman"/>
          <w:sz w:val="18"/>
          <w:szCs w:val="18"/>
          <w:color w:val="auto"/>
        </w:rPr>
      </w:pPr>
    </w:p>
    <w:p>
      <w:pPr>
        <w:ind w:left="44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rFonts w:ascii="Times New Roman" w:cs="Times New Roman" w:eastAsia="Times New Roman" w:hAnsi="Times New Roman"/>
          <w:sz w:val="18"/>
          <w:szCs w:val="18"/>
          <w:color w:val="auto"/>
        </w:rPr>
      </w:pPr>
    </w:p>
    <w:p>
      <w:pPr>
        <w:ind w:left="4200"/>
        <w:spacing w:after="0"/>
        <w:rPr>
          <w:sz w:val="20"/>
          <w:szCs w:val="20"/>
          <w:color w:val="auto"/>
        </w:rPr>
      </w:pPr>
      <w:r>
        <w:rPr>
          <w:rFonts w:ascii="Times New Roman" w:cs="Times New Roman" w:eastAsia="Times New Roman" w:hAnsi="Times New Roman"/>
          <w:sz w:val="18"/>
          <w:szCs w:val="18"/>
          <w:color w:val="auto"/>
        </w:rPr>
        <w:t>800 Capitol Street, Suite 3000</w:t>
      </w:r>
    </w:p>
    <w:p>
      <w:pPr>
        <w:spacing w:after="0" w:line="9" w:lineRule="exact"/>
        <w:rPr>
          <w:rFonts w:ascii="Times New Roman" w:cs="Times New Roman" w:eastAsia="Times New Roman" w:hAnsi="Times New Roman"/>
          <w:sz w:val="18"/>
          <w:szCs w:val="18"/>
          <w:color w:val="auto"/>
        </w:rPr>
      </w:pPr>
    </w:p>
    <w:p>
      <w:pPr>
        <w:ind w:left="45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rFonts w:ascii="Times New Roman" w:cs="Times New Roman" w:eastAsia="Times New Roman" w:hAnsi="Times New Roman"/>
          <w:sz w:val="18"/>
          <w:szCs w:val="18"/>
          <w:color w:val="auto"/>
        </w:rPr>
      </w:pPr>
    </w:p>
    <w:p>
      <w:pPr>
        <w:ind w:left="436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rFonts w:ascii="Times New Roman" w:cs="Times New Roman" w:eastAsia="Times New Roman" w:hAnsi="Times New Roman"/>
          <w:sz w:val="18"/>
          <w:szCs w:val="18"/>
          <w:color w:val="auto"/>
        </w:rPr>
      </w:pPr>
    </w:p>
    <w:p>
      <w:pPr>
        <w:ind w:left="4780"/>
        <w:spacing w:after="0"/>
        <w:rPr>
          <w:sz w:val="20"/>
          <w:szCs w:val="20"/>
          <w:color w:val="auto"/>
        </w:rPr>
      </w:pPr>
      <w:r>
        <w:rPr>
          <w:rFonts w:ascii="Times New Roman" w:cs="Times New Roman" w:eastAsia="Times New Roman" w:hAnsi="Times New Roman"/>
          <w:sz w:val="18"/>
          <w:szCs w:val="18"/>
          <w:color w:val="auto"/>
        </w:rPr>
        <w:t>(713) 512-6200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5"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139700</wp:posOffset>
            </wp:positionV>
            <wp:extent cx="2477135" cy="660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247713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WASTE MANAGEMENT, INC.</w:t>
      </w:r>
    </w:p>
    <w:p>
      <w:pPr>
        <w:spacing w:after="0" w:line="2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3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5"/>
          <w:szCs w:val="25"/>
          <w:b w:val="1"/>
          <w:bCs w:val="1"/>
          <w:color w:val="auto"/>
        </w:rPr>
        <w:t>PREFERRED STOCK</w:t>
      </w:r>
    </w:p>
    <w:p>
      <w:pPr>
        <w:ind w:left="4640"/>
        <w:spacing w:after="0" w:line="236" w:lineRule="auto"/>
        <w:rPr>
          <w:sz w:val="20"/>
          <w:szCs w:val="20"/>
          <w:color w:val="auto"/>
        </w:rPr>
      </w:pPr>
      <w:r>
        <w:rPr>
          <w:rFonts w:ascii="Times New Roman" w:cs="Times New Roman" w:eastAsia="Times New Roman" w:hAnsi="Times New Roman"/>
          <w:sz w:val="25"/>
          <w:szCs w:val="25"/>
          <w:b w:val="1"/>
          <w:bCs w:val="1"/>
          <w:color w:val="auto"/>
        </w:rPr>
        <w:t>WARRANTS</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5"/>
          <w:szCs w:val="25"/>
          <w:b w:val="1"/>
          <w:bCs w:val="1"/>
          <w:color w:val="auto"/>
        </w:rPr>
        <w:t>GUARANTEES</w:t>
      </w:r>
    </w:p>
    <w:p>
      <w:pPr>
        <w:spacing w:after="0" w:line="1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21"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or selling securityholders may from time to time offer to sell the securities listed above in one or more classes or series in amounts, at prices and on terms that will be determined at the time of the offering. Debt securities of Waste Management, Inc. may be guaranteed by Waste Management Holdings, Inc. (“Waste Management Holdings”), a direct wholly owned subsidiary of Waste Management, Inc.</w:t>
      </w:r>
    </w:p>
    <w:p>
      <w:pPr>
        <w:spacing w:after="0" w:line="9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“WM.”</w:t>
      </w:r>
    </w:p>
    <w:p>
      <w:pPr>
        <w:spacing w:after="0" w:line="154" w:lineRule="exact"/>
        <w:rPr>
          <w:sz w:val="20"/>
          <w:szCs w:val="20"/>
          <w:color w:val="auto"/>
        </w:rPr>
      </w:pPr>
    </w:p>
    <w:p>
      <w:pPr>
        <w:ind w:left="1260" w:right="45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See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on page </w:t>
      </w:r>
      <w:r>
        <w:rPr>
          <w:rFonts w:ascii="Times New Roman" w:cs="Times New Roman" w:eastAsia="Times New Roman" w:hAnsi="Times New Roman"/>
          <w:sz w:val="17"/>
          <w:szCs w:val="17"/>
          <w:b w:val="1"/>
          <w:bCs w:val="1"/>
          <w:u w:val="single" w:color="auto"/>
          <w:color w:val="0000EE"/>
        </w:rPr>
        <w:t>8</w:t>
      </w:r>
      <w:r>
        <w:rPr>
          <w:rFonts w:ascii="Times New Roman" w:cs="Times New Roman" w:eastAsia="Times New Roman" w:hAnsi="Times New Roman"/>
          <w:sz w:val="17"/>
          <w:szCs w:val="17"/>
          <w:b w:val="1"/>
          <w:bCs w:val="1"/>
          <w:color w:val="auto"/>
        </w:rPr>
        <w:t xml:space="preserve"> of this prospectus, the risk factors included in our periodic reports that we file with the Securities and Exchange Commission and incorporated by reference herein and the applicable prospectus supplement before you invest in our securities.</w:t>
      </w:r>
    </w:p>
    <w:p>
      <w:pPr>
        <w:spacing w:after="0" w:line="74" w:lineRule="exact"/>
        <w:rPr>
          <w:sz w:val="20"/>
          <w:szCs w:val="20"/>
          <w:color w:val="auto"/>
        </w:rPr>
      </w:pPr>
    </w:p>
    <w:p>
      <w:pPr>
        <w:jc w:val="both"/>
        <w:ind w:left="1260" w:right="5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This prospectus is dated 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1564640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any information or to make any representations other than those contained in, or incorporated by reference into, this prospectus.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is accurate as of any date other than the date on the cover page of this prospectus, or that the information we previously filed with the Securities and Exchange Commission (“SEC”) and incorporated by reference into this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210820</wp:posOffset>
            </wp:positionV>
            <wp:extent cx="12344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6440" w:type="dxa"/>
            <w:vAlign w:val="bottom"/>
            <w:gridSpan w:val="1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EE"/>
              </w:rPr>
              <w:t>Forward-Looking Statements</w:t>
            </w:r>
          </w:p>
        </w:tc>
        <w:tc>
          <w:tcPr>
            <w:tcW w:w="1760" w:type="dxa"/>
            <w:vAlign w:val="bottom"/>
            <w:gridSpan w:val="3"/>
            <w:shd w:val="clear" w:color="auto" w:fill="CCEEFF"/>
          </w:tcPr>
          <w:p>
            <w:pPr>
              <w:ind w:left="1420"/>
              <w:spacing w:after="0" w:line="142"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00" w:type="dxa"/>
            <w:vAlign w:val="bottom"/>
            <w:tcBorders>
              <w:top w:val="single" w:sz="8" w:color="0000EE"/>
            </w:tcBorders>
            <w:gridSpan w:val="11"/>
          </w:tcPr>
          <w:p>
            <w:pPr>
              <w:spacing w:after="0" w:line="202" w:lineRule="exact"/>
              <w:rPr>
                <w:sz w:val="20"/>
                <w:szCs w:val="20"/>
                <w:color w:val="auto"/>
              </w:rPr>
            </w:pPr>
            <w:r>
              <w:rPr>
                <w:rFonts w:ascii="Times New Roman" w:cs="Times New Roman" w:eastAsia="Times New Roman" w:hAnsi="Times New Roman"/>
                <w:sz w:val="18"/>
                <w:szCs w:val="18"/>
                <w:color w:val="0000EE"/>
              </w:rPr>
              <w:t>About this Prospectus</w:t>
            </w:r>
          </w:p>
        </w:tc>
        <w:tc>
          <w:tcPr>
            <w:tcW w:w="4240" w:type="dxa"/>
            <w:vAlign w:val="bottom"/>
            <w:tcBorders>
              <w:top w:val="single" w:sz="8" w:color="CCEEFF"/>
            </w:tcBorders>
            <w:gridSpan w:val="5"/>
          </w:tcPr>
          <w:p>
            <w:pPr>
              <w:spacing w:after="0"/>
              <w:rPr>
                <w:sz w:val="17"/>
                <w:szCs w:val="17"/>
                <w:color w:val="auto"/>
              </w:rPr>
            </w:pPr>
          </w:p>
        </w:tc>
        <w:tc>
          <w:tcPr>
            <w:tcW w:w="1680" w:type="dxa"/>
            <w:vAlign w:val="bottom"/>
            <w:tcBorders>
              <w:top w:val="single" w:sz="8" w:color="CCEEFF"/>
            </w:tcBorders>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60" w:type="dxa"/>
            <w:vAlign w:val="bottom"/>
            <w:gridSpan w:val="7"/>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68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3780" w:type="dxa"/>
            <w:vAlign w:val="bottom"/>
            <w:tcBorders>
              <w:bottom w:val="single" w:sz="8" w:color="CCEEFF"/>
            </w:tcBorders>
            <w:gridSpan w:val="1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660" w:type="dxa"/>
            <w:vAlign w:val="bottom"/>
            <w:tcBorders>
              <w:bottom w:val="single" w:sz="8" w:color="CCEEFF"/>
            </w:tcBorders>
            <w:shd w:val="clear" w:color="auto" w:fill="CCEEFF"/>
          </w:tcPr>
          <w:p>
            <w:pPr>
              <w:spacing w:after="0"/>
              <w:rPr>
                <w:sz w:val="2"/>
                <w:szCs w:val="2"/>
                <w:color w:val="auto"/>
              </w:rPr>
            </w:pPr>
          </w:p>
        </w:tc>
        <w:tc>
          <w:tcPr>
            <w:tcW w:w="16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68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gridSpan w:val="1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440" w:type="dxa"/>
            <w:vAlign w:val="bottom"/>
            <w:gridSpan w:val="2"/>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168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080" w:type="dxa"/>
            <w:vAlign w:val="bottom"/>
            <w:tcBorders>
              <w:bottom w:val="single" w:sz="8" w:color="CCEEFF"/>
            </w:tcBorders>
            <w:gridSpan w:val="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4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3860" w:type="dxa"/>
            <w:vAlign w:val="bottom"/>
            <w:tcBorders>
              <w:bottom w:val="single" w:sz="8" w:color="CCEEFF"/>
            </w:tcBorders>
            <w:gridSpan w:val="3"/>
            <w:shd w:val="clear" w:color="auto" w:fill="CCEEFF"/>
          </w:tcPr>
          <w:p>
            <w:pPr>
              <w:spacing w:after="0"/>
              <w:rPr>
                <w:sz w:val="2"/>
                <w:szCs w:val="2"/>
                <w:color w:val="auto"/>
              </w:rPr>
            </w:pPr>
          </w:p>
        </w:tc>
        <w:tc>
          <w:tcPr>
            <w:tcW w:w="16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68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860" w:type="dxa"/>
            <w:vAlign w:val="bottom"/>
            <w:gridSpan w:val="3"/>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68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20" w:type="dxa"/>
            <w:vAlign w:val="bottom"/>
            <w:tcBorders>
              <w:bottom w:val="single" w:sz="8" w:color="CCEEFF"/>
            </w:tcBorders>
            <w:gridSpan w:val="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8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3860" w:type="dxa"/>
            <w:vAlign w:val="bottom"/>
            <w:tcBorders>
              <w:bottom w:val="single" w:sz="8" w:color="CCEEFF"/>
            </w:tcBorders>
            <w:gridSpan w:val="3"/>
            <w:shd w:val="clear" w:color="auto" w:fill="CCEEFF"/>
          </w:tcPr>
          <w:p>
            <w:pPr>
              <w:spacing w:after="0"/>
              <w:rPr>
                <w:sz w:val="2"/>
                <w:szCs w:val="2"/>
                <w:color w:val="auto"/>
              </w:rPr>
            </w:pPr>
          </w:p>
        </w:tc>
        <w:tc>
          <w:tcPr>
            <w:tcW w:w="16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the Debt Securities</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80" w:type="dxa"/>
            <w:vAlign w:val="bottom"/>
            <w:gridSpan w:val="1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860" w:type="dxa"/>
            <w:vAlign w:val="bottom"/>
            <w:gridSpan w:val="3"/>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Guarantees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980" w:type="dxa"/>
            <w:vAlign w:val="bottom"/>
            <w:tcBorders>
              <w:bottom w:val="single" w:sz="8" w:color="CCEEFF"/>
            </w:tcBorders>
            <w:gridSpan w:val="9"/>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4080" w:type="dxa"/>
            <w:vAlign w:val="bottom"/>
            <w:tcBorders>
              <w:bottom w:val="single" w:sz="8" w:color="CCEEFF"/>
            </w:tcBorders>
            <w:gridSpan w:val="4"/>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60" w:type="dxa"/>
            <w:vAlign w:val="bottom"/>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0" w:type="dxa"/>
            <w:vAlign w:val="bottom"/>
            <w:gridSpan w:val="2"/>
          </w:tcPr>
          <w:p>
            <w:pPr>
              <w:spacing w:after="0"/>
              <w:rPr>
                <w:sz w:val="2"/>
                <w:szCs w:val="2"/>
                <w:color w:val="auto"/>
              </w:rPr>
            </w:pPr>
          </w:p>
        </w:tc>
        <w:tc>
          <w:tcPr>
            <w:tcW w:w="4080" w:type="dxa"/>
            <w:vAlign w:val="bottom"/>
            <w:gridSpan w:val="4"/>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Other Securities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360" w:type="dxa"/>
            <w:vAlign w:val="bottom"/>
            <w:tcBorders>
              <w:bottom w:val="single" w:sz="8" w:color="CCEEFF"/>
            </w:tcBorders>
            <w:gridSpan w:val="1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080" w:type="dxa"/>
            <w:vAlign w:val="bottom"/>
            <w:tcBorders>
              <w:bottom w:val="single" w:sz="8" w:color="CCEEFF"/>
            </w:tcBorders>
            <w:gridSpan w:val="4"/>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gridSpan w:val="6"/>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60" w:type="dxa"/>
            <w:vAlign w:val="bottom"/>
            <w:gridSpan w:val="2"/>
          </w:tcPr>
          <w:p>
            <w:pPr>
              <w:spacing w:after="0"/>
              <w:rPr>
                <w:sz w:val="2"/>
                <w:szCs w:val="2"/>
                <w:color w:val="auto"/>
              </w:rPr>
            </w:pPr>
          </w:p>
        </w:tc>
        <w:tc>
          <w:tcPr>
            <w:tcW w:w="4680" w:type="dxa"/>
            <w:vAlign w:val="bottom"/>
            <w:gridSpan w:val="8"/>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760" w:type="dxa"/>
            <w:vAlign w:val="bottom"/>
            <w:tcBorders>
              <w:bottom w:val="single" w:sz="8" w:color="CCEEFF"/>
            </w:tcBorders>
            <w:gridSpan w:val="8"/>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680" w:type="dxa"/>
            <w:vAlign w:val="bottom"/>
            <w:tcBorders>
              <w:bottom w:val="single" w:sz="8" w:color="CCEEFF"/>
            </w:tcBorders>
            <w:gridSpan w:val="8"/>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6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380" w:type="dxa"/>
            <w:vAlign w:val="bottom"/>
            <w:gridSpan w:val="13"/>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60" w:type="dxa"/>
            <w:vAlign w:val="bottom"/>
            <w:tcBorders>
              <w:bottom w:val="single" w:sz="8" w:color="CCEEFF"/>
            </w:tcBorders>
            <w:gridSpan w:val="15"/>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5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Many factors could affect our actual results, and variances from our current expectations regarding these factors could cause actual results to differ materially from those expressed in our forward -looking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annual report on Form 10-K for the year ended December 31, 2021 as updated by our subsequent quarterly reports on Form 10-Q and other filings we make with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Strategy and Operational Risks</w:t>
      </w:r>
    </w:p>
    <w:p>
      <w:pPr>
        <w:spacing w:after="0" w:line="121" w:lineRule="exact"/>
        <w:rPr>
          <w:sz w:val="20"/>
          <w:szCs w:val="20"/>
          <w:color w:val="auto"/>
        </w:rPr>
      </w:pPr>
    </w:p>
    <w:p>
      <w:pPr>
        <w:ind w:left="1800" w:right="499" w:hanging="180"/>
        <w:spacing w:after="0" w:line="258"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61"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7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desirable acquisition targets, negotiate advantageous transactions or realize the benefits expected from such transactions, including continuing to realize the strategic benefits and costs synergies from our acquisition of Advanced Disposal Services, Inc., which could adversely impact our growth strategy, earnings and cash flow;</w:t>
      </w:r>
    </w:p>
    <w:p>
      <w:pPr>
        <w:spacing w:after="0" w:line="5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acquisitions and/or new service offerings could increase our exposure to environmental liabilities for past operations and the risk of inadvertent noncompliance with laws and regulations;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must comply with extensive existing regulations, and changes in regulations and/or enforcement of regulations can restrict or alter our operations, increase our operating costs, increase our tax rate, or require us to make additional capital expenditures;</w:t>
      </w:r>
    </w:p>
    <w:p>
      <w:pPr>
        <w:spacing w:after="0" w:line="67"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changes in our estimates of costs for site remediation requirements, final capping, closure and post-closure obligations, compliance and regulatory developments may increase our expenses and future cash outflows;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9"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66" w:lineRule="auto"/>
        <w:rPr>
          <w:sz w:val="20"/>
          <w:szCs w:val="20"/>
          <w:color w:val="auto"/>
        </w:rPr>
      </w:pPr>
      <w:r>
        <w:rPr>
          <w:rFonts w:ascii="Times New Roman" w:cs="Times New Roman" w:eastAsia="Times New Roman" w:hAnsi="Times New Roman"/>
          <w:sz w:val="18"/>
          <w:szCs w:val="18"/>
          <w:color w:val="auto"/>
        </w:rPr>
        <w:t>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81" w:lineRule="exact"/>
        <w:rPr>
          <w:sz w:val="20"/>
          <w:szCs w:val="20"/>
          <w:color w:val="auto"/>
        </w:rPr>
      </w:pPr>
    </w:p>
    <w:p>
      <w:pPr>
        <w:ind w:left="1800" w:right="59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and maintain required permits or to expand existing permitted capacity of our landfills, which could decrease our revenue and increase our costs;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71" w:lineRule="exact"/>
        <w:rPr>
          <w:rFonts w:ascii="Times New Roman" w:cs="Times New Roman" w:eastAsia="Times New Roman" w:hAnsi="Times New Roman"/>
          <w:sz w:val="18"/>
          <w:szCs w:val="18"/>
          <w:color w:val="auto"/>
        </w:rPr>
      </w:pPr>
    </w:p>
    <w:p>
      <w:pPr>
        <w:ind w:left="1800" w:right="619" w:hanging="180"/>
        <w:spacing w:after="0" w:line="258"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(whether or not justified) relating to activities by our operations, employees or agents, or challenges to our assertions of social and environmental responsibility,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75" w:lineRule="exact"/>
        <w:rPr>
          <w:rFonts w:ascii="Times New Roman" w:cs="Times New Roman" w:eastAsia="Times New Roman" w:hAnsi="Times New Roman"/>
          <w:sz w:val="18"/>
          <w:szCs w:val="18"/>
          <w:color w:val="auto"/>
        </w:rPr>
      </w:pPr>
    </w:p>
    <w:p>
      <w:pPr>
        <w:ind w:left="1800" w:right="479" w:hanging="180"/>
        <w:spacing w:after="0" w:line="259"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significant investments in an extensive natural gas truck fleet, which makes us partially dependent on the availability of natural gas and fueling infrastructure and vulnerable to fluctuations in natural gas prices; difficulty obtaining natural gas and increases in natural gas prices could increase our operating costs, and requirements to transition to other vehicle types could impair these investments;</w:t>
      </w:r>
    </w:p>
    <w:p>
      <w:pPr>
        <w:spacing w:after="0" w:line="294"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labor unions to organize our employees or changes in regulations related to labor unions or increases in employee minimum wages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75"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weather-related events resulting from climate change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External Economic and Industry Risks</w:t>
      </w:r>
    </w:p>
    <w:p>
      <w:pPr>
        <w:spacing w:after="0" w:line="121" w:lineRule="exact"/>
        <w:rPr>
          <w:sz w:val="20"/>
          <w:szCs w:val="20"/>
          <w:color w:val="auto"/>
        </w:rPr>
      </w:pPr>
    </w:p>
    <w:p>
      <w:pPr>
        <w:ind w:left="1800" w:right="599" w:hanging="180"/>
        <w:spacing w:after="0" w:line="261"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global pandemic has caused significant disruption in social and commercial activity throughout North America, and the continuation of the COVID-19 pandemic, or other similar pandemic conditions, may have a material adverse impact on our business, financial condition, results of operations and cash flows;</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requiring mandatory COVID-19 vaccination of employees could adversely impact our ability to perform or compete for certain contracts and negatively affect our results of operations;</w:t>
      </w:r>
    </w:p>
    <w:p>
      <w:pPr>
        <w:spacing w:after="0" w:line="81" w:lineRule="exact"/>
        <w:rPr>
          <w:rFonts w:ascii="Times New Roman" w:cs="Times New Roman" w:eastAsia="Times New Roman" w:hAnsi="Times New Roman"/>
          <w:sz w:val="18"/>
          <w:szCs w:val="18"/>
          <w:color w:val="auto"/>
        </w:rPr>
      </w:pPr>
    </w:p>
    <w:p>
      <w:pPr>
        <w:ind w:left="1800" w:right="85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 including labor shortages and supply chain constraints, and macroeconomic pressures, including the heightened pace of inflation, have adversely impacted our business and results of operations;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Russia’s recent invasion of Ukraine and the resulting geopolitical conflict and international response, including increased risk of cyber incidents and exacerbation of market disruption, inflationary cost pressure and changes in commodity prices, fuel and other energy costs, may negatively affect our business, financial condition, results of operations and cash flows;</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may negatively affect our profitability or cash flows, our pricing strategy may have negative effects on volumes, and an inability to execute our pricing strategy while retaining and attracting customers may negatively affect our average yield on our collection and disposal business;</w:t>
      </w:r>
    </w:p>
    <w:p>
      <w:pPr>
        <w:spacing w:after="0" w:line="67"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earnings and cash flows will fluctuate based on changes in commodity prices, and commodity prices for recyclable materials are particularly susceptible to volatility based on regulations and tariffs that affect our ability to export products;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hanging="180"/>
        <w:spacing w:after="0" w:line="263"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305"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can directly and adversely affect revenues for environmental services and our income from operations margins;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the economy may expose us to credit risk of governmental entities and municipalities and other major customers, and the financial difficulties of municipalities could negatively impact our financial results if market dynamics resulted in repricing of our tax-exempt bonds at higher interest rates;</w:t>
      </w:r>
    </w:p>
    <w:p>
      <w:pPr>
        <w:spacing w:after="0" w:line="71"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effective tax rate and tax liability could materially change as a result of the adoption of new tax legislation and other factors;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diesel fuel price increases or diesel fuel supply shortages may increase our operating expenses;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and Information Security Risks</w:t>
      </w:r>
    </w:p>
    <w:p>
      <w:pPr>
        <w:spacing w:after="0" w:line="121" w:lineRule="exact"/>
        <w:rPr>
          <w:sz w:val="20"/>
          <w:szCs w:val="20"/>
          <w:color w:val="auto"/>
        </w:rPr>
      </w:pPr>
    </w:p>
    <w:p>
      <w:pPr>
        <w:jc w:val="both"/>
        <w:ind w:left="1800" w:right="53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the operation of our current information technology systems or the technology systems of third parties on which we rely as well as the development and deployment of new information technology systems could adversely affect, or even temporarily disrupt, all or a portion of our operations until resolved;</w:t>
      </w:r>
    </w:p>
    <w:p>
      <w:pPr>
        <w:spacing w:after="0" w:line="71" w:lineRule="exact"/>
        <w:rPr>
          <w:rFonts w:ascii="Times New Roman" w:cs="Times New Roman" w:eastAsia="Times New Roman" w:hAnsi="Times New Roman"/>
          <w:sz w:val="18"/>
          <w:szCs w:val="18"/>
          <w:color w:val="auto"/>
        </w:rPr>
      </w:pPr>
    </w:p>
    <w:p>
      <w:pPr>
        <w:ind w:left="1800" w:right="439" w:hanging="180"/>
        <w:spacing w:after="0" w:line="275"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implementing a new enterprise resource planning and human capital management system, and challenges with the implementation of the system may negatively impact our business and operations;</w:t>
      </w:r>
    </w:p>
    <w:p>
      <w:pPr>
        <w:spacing w:after="0" w:line="295"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commit substantial resources to prevent, detect, and address the risk of cybersecurity incidents. Our security programs and measures do not prevent all intrusions. Cyber intrusions require a significant amount of time and effort to assess and remedy, and our incident response efforts may not be effective in all cases. A cybersecurity incident could result in business disruption, direct financial loss, negative publicity, brand damage, alleged violation of privacy laws, loss of customers, potential regulatory enforcement or private litigation liability and competitive disadvantage;</w:t>
      </w:r>
    </w:p>
    <w:p>
      <w:pPr>
        <w:spacing w:after="0" w:line="79"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regulation by state and federal governments related to cybersecurity protections and disclosures may require additional resources and create risks of noncompliance that could harm our business;</w:t>
      </w:r>
    </w:p>
    <w:p>
      <w:pPr>
        <w:spacing w:after="0" w:line="67"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regulatory focus on privacy and data protection issues and expanding laws could negatively impact our business, subject us to criticism and expose us to increased liability;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and Compliance Risks</w:t>
      </w:r>
    </w:p>
    <w:p>
      <w:pPr>
        <w:spacing w:after="0" w:line="121" w:lineRule="exact"/>
        <w:rPr>
          <w:sz w:val="20"/>
          <w:szCs w:val="20"/>
          <w:color w:val="auto"/>
        </w:rPr>
      </w:pPr>
    </w:p>
    <w:p>
      <w:pPr>
        <w:ind w:left="1800" w:right="61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6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federal and state renewable fuel policies could affect our financial performance as a renewable fuel producer and impact our projected future investments;</w:t>
      </w:r>
    </w:p>
    <w:p>
      <w:pPr>
        <w:spacing w:after="0" w:line="53" w:lineRule="exact"/>
        <w:rPr>
          <w:rFonts w:ascii="Times New Roman" w:cs="Times New Roman" w:eastAsia="Times New Roman" w:hAnsi="Times New Roman"/>
          <w:sz w:val="18"/>
          <w:szCs w:val="18"/>
          <w:color w:val="auto"/>
        </w:rPr>
      </w:pPr>
    </w:p>
    <w:p>
      <w:pPr>
        <w:ind w:left="1800" w:right="123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change, and the adoption of climate change legislation or regulations restricting emissions of greenhouse gases, could increase our costs to operate;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5"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21" w:lineRule="exact"/>
        <w:rPr>
          <w:sz w:val="20"/>
          <w:szCs w:val="20"/>
          <w:color w:val="auto"/>
        </w:rPr>
      </w:pPr>
    </w:p>
    <w:p>
      <w:pPr>
        <w:ind w:left="1800" w:right="53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reduce or suspend capital expenditures, growth and acquisition activity, implementation of our business strategy, dividend declarations or share repurchases if we suffer a significant reduction in cash flows;</w:t>
      </w:r>
    </w:p>
    <w:p>
      <w:pPr>
        <w:spacing w:after="0" w:line="6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for financial assurance or the inadequacy of our insurance coverage could negatively impact our liquidity and increase our liabilities;</w:t>
      </w:r>
    </w:p>
    <w:p>
      <w:pPr>
        <w:spacing w:after="0" w:line="53"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charges against our earnings due to impairments to our assets as a result of shut-down operations, uncompleted development or expansion projects or other events may negatively affect earnings;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significant liabilities for withdrawal from multiemployer pension plans.</w:t>
      </w:r>
    </w:p>
    <w:p>
      <w:pPr>
        <w:spacing w:after="0" w:line="15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Unless required by law, we undertake no obligation to publicly update or revise any forward-looking statements to reflect events, circumstances or developments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0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types of securities that we or selling securityholders may offer and sell from time to time pursuant to this prospectus are:</w:t>
      </w:r>
    </w:p>
    <w:p>
      <w:pPr>
        <w:spacing w:after="0" w:line="54"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of the securities listed above.</w:t>
      </w:r>
    </w:p>
    <w:p>
      <w:pPr>
        <w:spacing w:after="0" w:line="14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72"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amount of securities that we or selling securityholders propose to sell;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 through or to which we or selling securityholders will sell the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of those underwriters or agents; and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any securities exchanges or automated quotation systems on which the securities will be listed or traded.</w:t>
      </w:r>
    </w:p>
    <w:p>
      <w:pPr>
        <w:spacing w:after="0" w:line="94"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1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06"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As used herein, the terms “we,” “us,” “our,” and “the Company” refer to Waste Management, Inc. and its consolidated subsidiaries and consolidated variable interest entities, taken as a whole, unless the context clearly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58" w:lineRule="exact"/>
        <w:rPr>
          <w:sz w:val="20"/>
          <w:szCs w:val="20"/>
          <w:color w:val="auto"/>
        </w:rPr>
      </w:pPr>
    </w:p>
    <w:p>
      <w:pPr>
        <w:ind w:left="1260" w:right="43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This prospectus incorporates documents by reference which are not presented in or delivered with this prospectus. We have not authorized anyone to provide you with information that is different from or in addition to the information contained in this prospectus and incorporated by reference into this prospectus.</w:t>
      </w:r>
    </w:p>
    <w:p>
      <w:pPr>
        <w:spacing w:after="0" w:line="89"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3" w:lineRule="exact"/>
        <w:rPr>
          <w:sz w:val="20"/>
          <w:szCs w:val="20"/>
          <w:color w:val="auto"/>
        </w:rPr>
      </w:pPr>
    </w:p>
    <w:p>
      <w:pPr>
        <w:jc w:val="right"/>
        <w:ind w:right="379"/>
        <w:spacing w:after="0"/>
        <w:tabs>
          <w:tab w:leader="none" w:pos="1620" w:val="left"/>
          <w:tab w:leader="none" w:pos="1020" w:val="left"/>
          <w:tab w:leader="none" w:pos="20" w:val="left"/>
        </w:tabs>
        <w:rPr>
          <w:sz w:val="20"/>
          <w:szCs w:val="20"/>
          <w:color w:val="auto"/>
        </w:rPr>
      </w:pPr>
      <w:r>
        <w:rPr>
          <w:rFonts w:ascii="Times New Roman" w:cs="Times New Roman" w:eastAsia="Times New Roman" w:hAnsi="Times New Roman"/>
          <w:sz w:val="14"/>
          <w:szCs w:val="14"/>
          <w:b w:val="1"/>
          <w:bCs w:val="1"/>
          <w:color w:val="auto"/>
        </w:rPr>
        <w:t>SEC Filing (Our SEC File Number is 1-12154)</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Date Filed</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4"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1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Annual Report on Form 10-K for the year ended December 31, 2021</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600" w:type="dxa"/>
            <w:vAlign w:val="bottom"/>
            <w:gridSpan w:val="16"/>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Amendment No. 1 to Annual Report on Form 10-K for the year ended December 31,</w:t>
              </w:r>
            </w:hyperlink>
          </w:p>
        </w:tc>
        <w:tc>
          <w:tcPr>
            <w:tcW w:w="16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8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2021</w:t>
              </w:r>
            </w:hyperlink>
          </w:p>
        </w:tc>
        <w:tc>
          <w:tcPr>
            <w:tcW w:w="9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w:t>
            </w:r>
          </w:p>
        </w:tc>
      </w:tr>
      <w:tr>
        <w:trPr>
          <w:trHeight w:val="250"/>
        </w:trPr>
        <w:tc>
          <w:tcPr>
            <w:tcW w:w="52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Quarterly Report on Form 10-Q for the quarter ended March 31, 2022</w:t>
              </w:r>
            </w:hyperlink>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21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Current Report on Form 8-K</w:t>
              </w:r>
            </w:hyperlink>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gridSpan w:val="2"/>
          </w:tcPr>
          <w:p>
            <w:pPr>
              <w:spacing w:after="0"/>
              <w:rPr>
                <w:sz w:val="20"/>
                <w:szCs w:val="20"/>
                <w:color w:val="auto"/>
              </w:rPr>
            </w:pPr>
          </w:p>
        </w:tc>
        <w:tc>
          <w:tcPr>
            <w:tcW w:w="8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600" w:type="dxa"/>
            <w:vAlign w:val="bottom"/>
            <w:gridSpan w:val="1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98">
              <w:r>
                <w:rPr>
                  <w:rFonts w:ascii="Times New Roman" w:cs="Times New Roman" w:eastAsia="Times New Roman" w:hAnsi="Times New Roman"/>
                  <w:sz w:val="18"/>
                  <w:szCs w:val="18"/>
                  <w:color w:val="0000EE"/>
                </w:rPr>
                <w:t>proxy statement for our 2022 annual meeting of stockholders</w:t>
              </w:r>
            </w:hyperlink>
          </w:p>
        </w:tc>
        <w:tc>
          <w:tcPr>
            <w:tcW w:w="16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20" w:type="dxa"/>
            <w:vAlign w:val="bottom"/>
            <w:gridSpan w:val="15"/>
          </w:tcPr>
          <w:p>
            <w:pPr>
              <w:spacing w:after="0" w:line="196" w:lineRule="exact"/>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 xml:space="preserve">incorporated by reference in our </w:t>
              </w:r>
              <w:r>
                <w:rPr>
                  <w:rFonts w:ascii="Times New Roman" w:cs="Times New Roman" w:eastAsia="Times New Roman" w:hAnsi="Times New Roman"/>
                  <w:sz w:val="18"/>
                  <w:szCs w:val="18"/>
                  <w:color w:val="0000EE"/>
                </w:rPr>
                <w:t>Annual Report on Form 10-K for the year ended</w:t>
              </w:r>
            </w:hyperlink>
          </w:p>
        </w:tc>
        <w:tc>
          <w:tcPr>
            <w:tcW w:w="1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480" w:type="dxa"/>
            <w:vAlign w:val="bottom"/>
            <w:tcBorders>
              <w:bottom w:val="single" w:sz="8" w:color="0000EE"/>
            </w:tcBorders>
            <w:gridSpan w:val="4"/>
          </w:tcPr>
          <w:p>
            <w:pPr>
              <w:spacing w:after="0" w:line="182"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December 31, 2021</w:t>
              </w:r>
            </w:hyperlink>
          </w:p>
        </w:tc>
        <w:tc>
          <w:tcPr>
            <w:tcW w:w="1000" w:type="dxa"/>
            <w:vAlign w:val="bottom"/>
            <w:gridSpan w:val="2"/>
          </w:tcPr>
          <w:p>
            <w:pPr>
              <w:spacing w:after="0"/>
              <w:rPr>
                <w:sz w:val="17"/>
                <w:szCs w:val="17"/>
                <w:color w:val="auto"/>
              </w:rPr>
            </w:pPr>
          </w:p>
        </w:tc>
        <w:tc>
          <w:tcPr>
            <w:tcW w:w="3660" w:type="dxa"/>
            <w:vAlign w:val="bottom"/>
            <w:tcBorders>
              <w:top w:val="single" w:sz="8" w:color="0000EE"/>
            </w:tcBorders>
            <w:gridSpan w:val="6"/>
          </w:tcPr>
          <w:p>
            <w:pPr>
              <w:spacing w:after="0"/>
              <w:rPr>
                <w:sz w:val="17"/>
                <w:szCs w:val="17"/>
                <w:color w:val="auto"/>
              </w:rPr>
            </w:pPr>
          </w:p>
        </w:tc>
        <w:tc>
          <w:tcPr>
            <w:tcW w:w="280" w:type="dxa"/>
            <w:vAlign w:val="bottom"/>
            <w:gridSpan w:val="3"/>
          </w:tcPr>
          <w:p>
            <w:pPr>
              <w:spacing w:after="0"/>
              <w:rPr>
                <w:sz w:val="17"/>
                <w:szCs w:val="17"/>
                <w:color w:val="auto"/>
              </w:rPr>
            </w:pPr>
          </w:p>
        </w:tc>
        <w:tc>
          <w:tcPr>
            <w:tcW w:w="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w:t>
            </w:r>
          </w:p>
        </w:tc>
      </w:tr>
      <w:tr>
        <w:trPr>
          <w:trHeight w:val="236"/>
        </w:trPr>
        <w:tc>
          <w:tcPr>
            <w:tcW w:w="6600" w:type="dxa"/>
            <w:vAlign w:val="bottom"/>
            <w:gridSpan w:val="1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w:t>
            </w:r>
            <w:hyperlink r:id="rId99">
              <w:r>
                <w:rPr>
                  <w:rFonts w:ascii="Times New Roman" w:cs="Times New Roman" w:eastAsia="Times New Roman" w:hAnsi="Times New Roman"/>
                  <w:sz w:val="18"/>
                  <w:szCs w:val="18"/>
                  <w:color w:val="auto"/>
                </w:rPr>
                <w:t xml:space="preserve">of our Common Stock contained in our </w:t>
              </w:r>
              <w:r>
                <w:rPr>
                  <w:rFonts w:ascii="Times New Roman" w:cs="Times New Roman" w:eastAsia="Times New Roman" w:hAnsi="Times New Roman"/>
                  <w:sz w:val="18"/>
                  <w:szCs w:val="18"/>
                  <w:color w:val="0000EE"/>
                </w:rPr>
                <w:t>Registration Statement on Form 8-</w:t>
              </w:r>
            </w:hyperlink>
          </w:p>
        </w:tc>
        <w:tc>
          <w:tcPr>
            <w:tcW w:w="1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20" w:type="dxa"/>
            <w:vAlign w:val="bottom"/>
            <w:gridSpan w:val="15"/>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B</w:t>
              </w:r>
              <w:r>
                <w:rPr>
                  <w:rFonts w:ascii="Times New Roman" w:cs="Times New Roman" w:eastAsia="Times New Roman" w:hAnsi="Times New Roman"/>
                  <w:sz w:val="18"/>
                  <w:szCs w:val="18"/>
                  <w:color w:val="000000"/>
                </w:rPr>
                <w:t>, as updated by the description of our Common Stock included in</w:t>
              </w:r>
              <w:r>
                <w:rPr>
                  <w:rFonts w:ascii="Times New Roman" w:cs="Times New Roman" w:eastAsia="Times New Roman" w:hAnsi="Times New Roman"/>
                  <w:sz w:val="18"/>
                  <w:szCs w:val="18"/>
                  <w:color w:val="0000EE"/>
                </w:rPr>
                <w:t xml:space="preserve"> </w:t>
              </w:r>
            </w:hyperlink>
            <w:hyperlink r:id="rId100">
              <w:r>
                <w:rPr>
                  <w:rFonts w:ascii="Times New Roman" w:cs="Times New Roman" w:eastAsia="Times New Roman" w:hAnsi="Times New Roman"/>
                  <w:sz w:val="18"/>
                  <w:szCs w:val="18"/>
                  <w:color w:val="0000EE"/>
                </w:rPr>
                <w:t xml:space="preserve">Exhibit 4.9 </w:t>
              </w:r>
            </w:hyperlink>
            <w:hyperlink r:id="rId99">
              <w:r>
                <w:rPr>
                  <w:rFonts w:ascii="Times New Roman" w:cs="Times New Roman" w:eastAsia="Times New Roman" w:hAnsi="Times New Roman"/>
                  <w:sz w:val="18"/>
                  <w:szCs w:val="18"/>
                  <w:color w:val="000000"/>
                </w:rPr>
                <w:t>to our</w:t>
              </w:r>
            </w:hyperlink>
          </w:p>
        </w:tc>
        <w:tc>
          <w:tcPr>
            <w:tcW w:w="16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180" w:type="dxa"/>
            <w:vAlign w:val="bottom"/>
          </w:tcPr>
          <w:p>
            <w:pPr>
              <w:spacing w:after="0"/>
              <w:rPr>
                <w:sz w:val="18"/>
                <w:szCs w:val="18"/>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2019 filed with the</w:t>
            </w:r>
          </w:p>
        </w:tc>
        <w:tc>
          <w:tcPr>
            <w:tcW w:w="1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SEC on February 13, 2020, together with any subsequent amendment or report filed</w:t>
            </w:r>
          </w:p>
        </w:tc>
        <w:tc>
          <w:tcPr>
            <w:tcW w:w="160" w:type="dxa"/>
            <w:vAlign w:val="bottom"/>
          </w:tcPr>
          <w:p>
            <w:pPr>
              <w:spacing w:after="0"/>
              <w:rPr>
                <w:sz w:val="18"/>
                <w:szCs w:val="18"/>
                <w:color w:val="auto"/>
              </w:rPr>
            </w:pPr>
          </w:p>
        </w:tc>
      </w:tr>
      <w:tr>
        <w:trPr>
          <w:trHeight w:val="248"/>
        </w:trPr>
        <w:tc>
          <w:tcPr>
            <w:tcW w:w="180" w:type="dxa"/>
            <w:vAlign w:val="bottom"/>
          </w:tcPr>
          <w:p>
            <w:pPr>
              <w:spacing w:after="0"/>
              <w:rPr>
                <w:sz w:val="21"/>
                <w:szCs w:val="21"/>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 the purpose of updating such description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-1473835</wp:posOffset>
            </wp:positionV>
            <wp:extent cx="521208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-1148080</wp:posOffset>
            </wp:positionV>
            <wp:extent cx="5212080" cy="436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5212080" cy="436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2022​</w:t>
      </w: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March 29, 2022 ​</w:t>
      </w:r>
    </w:p>
    <w:p>
      <w:pPr>
        <w:spacing w:after="0" w:line="63" w:lineRule="exact"/>
        <w:rPr>
          <w:sz w:val="20"/>
          <w:szCs w:val="20"/>
          <w:color w:val="auto"/>
        </w:rPr>
      </w:pPr>
    </w:p>
    <w:p>
      <w:pPr>
        <w:ind w:left="140"/>
        <w:spacing w:after="0"/>
        <w:tabs>
          <w:tab w:leader="none" w:pos="1360" w:val="left"/>
        </w:tabs>
        <w:rPr>
          <w:sz w:val="20"/>
          <w:szCs w:val="20"/>
          <w:color w:val="auto"/>
        </w:rPr>
      </w:pPr>
      <w:r>
        <w:rPr>
          <w:rFonts w:ascii="Times New Roman" w:cs="Times New Roman" w:eastAsia="Times New Roman" w:hAnsi="Times New Roman"/>
          <w:sz w:val="18"/>
          <w:szCs w:val="18"/>
          <w:color w:val="auto"/>
        </w:rPr>
        <w:t>April 26, 2022</w:t>
        <w:tab/>
        <w:t>​</w:t>
      </w:r>
    </w:p>
    <w:p>
      <w:pPr>
        <w:spacing w:after="0" w:line="54" w:lineRule="exact"/>
        <w:rPr>
          <w:sz w:val="20"/>
          <w:szCs w:val="20"/>
          <w:color w:val="auto"/>
        </w:rPr>
      </w:pPr>
    </w:p>
    <w:p>
      <w:pPr>
        <w:ind w:left="140"/>
        <w:spacing w:after="0"/>
        <w:tabs>
          <w:tab w:leader="none" w:pos="1360" w:val="left"/>
        </w:tabs>
        <w:rPr>
          <w:sz w:val="20"/>
          <w:szCs w:val="20"/>
          <w:color w:val="auto"/>
        </w:rPr>
      </w:pPr>
      <w:r>
        <w:rPr>
          <w:rFonts w:ascii="Times New Roman" w:cs="Times New Roman" w:eastAsia="Times New Roman" w:hAnsi="Times New Roman"/>
          <w:sz w:val="18"/>
          <w:szCs w:val="18"/>
          <w:color w:val="auto"/>
        </w:rPr>
        <w:t>March 7, 2022</w:t>
        <w:tab/>
        <w:t>​</w:t>
      </w: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March 29, 2022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359"/>
        <w:spacing w:after="0"/>
        <w:tabs>
          <w:tab w:leader="none" w:pos="40" w:val="left"/>
        </w:tabs>
        <w:rPr>
          <w:sz w:val="20"/>
          <w:szCs w:val="20"/>
          <w:color w:val="auto"/>
        </w:rPr>
      </w:pPr>
      <w:r>
        <w:rPr>
          <w:rFonts w:ascii="Times New Roman" w:cs="Times New Roman" w:eastAsia="Times New Roman" w:hAnsi="Times New Roman"/>
          <w:sz w:val="18"/>
          <w:szCs w:val="18"/>
          <w:color w:val="auto"/>
        </w:rPr>
        <w:t>July 13, 1995</w:t>
        <w:tab/>
        <w:t>​</w:t>
      </w:r>
    </w:p>
    <w:p>
      <w:pPr>
        <w:spacing w:after="0" w:line="170" w:lineRule="exact"/>
        <w:rPr>
          <w:sz w:val="20"/>
          <w:szCs w:val="20"/>
          <w:color w:val="auto"/>
        </w:rPr>
      </w:pPr>
    </w:p>
    <w:p>
      <w:pPr>
        <w:sectPr>
          <w:pgSz w:w="11900" w:h="16838" w:orient="portrait"/>
          <w:cols w:equalWidth="0" w:num="2">
            <w:col w:w="8020" w:space="60"/>
            <w:col w:w="1799"/>
          </w:cols>
          <w:pgMar w:left="580" w:top="97" w:right="1440" w:bottom="1440" w:gutter="0" w:footer="0" w:header="0"/>
          <w:type w:val="continuous"/>
        </w:sect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w:t>
      </w:r>
    </w:p>
    <w:p>
      <w:pPr>
        <w:spacing w:after="0" w:line="3" w:lineRule="exact"/>
        <w:rPr>
          <w:sz w:val="20"/>
          <w:szCs w:val="20"/>
          <w:color w:val="auto"/>
        </w:rPr>
      </w:pPr>
    </w:p>
    <w:p>
      <w:pPr>
        <w:ind w:left="1260" w:right="419"/>
        <w:spacing w:after="0" w:line="260" w:lineRule="auto"/>
        <w:rPr>
          <w:sz w:val="20"/>
          <w:szCs w:val="20"/>
          <w:color w:val="auto"/>
        </w:rPr>
      </w:pPr>
      <w:r>
        <w:rPr>
          <w:rFonts w:ascii="Times New Roman" w:cs="Times New Roman" w:eastAsia="Times New Roman" w:hAnsi="Times New Roman"/>
          <w:sz w:val="18"/>
          <w:szCs w:val="18"/>
          <w:color w:val="auto"/>
        </w:rPr>
        <w:t>Items 2.02 or 7.01 (or corresponding information furnished under Item 9.01 or included as an exhibit) in any past or future current report on Form 8-K that we file with the SEC, unless otherwise specified in such current report.</w:t>
      </w:r>
    </w:p>
    <w:p>
      <w:pPr>
        <w:spacing w:after="0" w:line="316"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You may obtain copies of any of these filings through the Company as described below, or through the SEC’s Internet website or through our website as described under “Where You Can Find More Information.” Information contained on, or that can be accessed through, our website is not incorporated by reference into this prospectus and does not constitute a part of this prospectus.</w:t>
      </w:r>
    </w:p>
    <w:p>
      <w:pPr>
        <w:spacing w:after="0" w:line="112" w:lineRule="exact"/>
        <w:rPr>
          <w:sz w:val="20"/>
          <w:szCs w:val="20"/>
          <w:color w:val="auto"/>
        </w:rPr>
      </w:pPr>
    </w:p>
    <w:p>
      <w:pPr>
        <w:jc w:val="both"/>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to each person, including any beneficial owner, to whom a prospectus is delivered, excluding all exhibits unless an exhibit has been specifically incorporated by reference into this prospectus, by requesting them in writing or by telephone using the contact information below</w:t>
      </w:r>
      <w:r>
        <w:rPr>
          <w:rFonts w:ascii="Times New Roman" w:cs="Times New Roman" w:eastAsia="Times New Roman" w:hAnsi="Times New Roman"/>
          <w:sz w:val="18"/>
          <w:szCs w:val="18"/>
          <w:i w:val="1"/>
          <w:iCs w:val="1"/>
          <w:color w:val="auto"/>
        </w:rPr>
        <w:t>.</w:t>
      </w:r>
    </w:p>
    <w:p>
      <w:pPr>
        <w:spacing w:after="0" w:line="11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800 Capitol Street, Suite 3000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ind w:left="5240" w:hanging="463"/>
        <w:spacing w:after="0"/>
        <w:tabs>
          <w:tab w:leader="none" w:pos="5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512-6200</w:t>
      </w:r>
    </w:p>
    <w:p>
      <w:pPr>
        <w:spacing w:after="0" w:line="382"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an Internet website that contains information we have filed electronically with the SEC, which you can access over the Internet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can also obtain information about us at the offices of the New York Stock Exchange, 20 Broad Street, New York, New York 10005.</w:t>
      </w:r>
    </w:p>
    <w:p>
      <w:pPr>
        <w:spacing w:after="0" w:line="11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other filings with the SEC are available, without charge, on or through our website, </w:t>
      </w:r>
      <w:r>
        <w:rPr>
          <w:rFonts w:ascii="Times New Roman" w:cs="Times New Roman" w:eastAsia="Times New Roman" w:hAnsi="Times New Roman"/>
          <w:sz w:val="18"/>
          <w:szCs w:val="18"/>
          <w:i w:val="1"/>
          <w:iCs w:val="1"/>
          <w:color w:val="auto"/>
        </w:rPr>
        <w:t>www.wm.com</w:t>
      </w:r>
      <w:r>
        <w:rPr>
          <w:rFonts w:ascii="Times New Roman" w:cs="Times New Roman" w:eastAsia="Times New Roman" w:hAnsi="Times New Roman"/>
          <w:sz w:val="18"/>
          <w:szCs w:val="18"/>
          <w:color w:val="auto"/>
        </w:rPr>
        <w:t>, as soon as reasonably practicable after we electronically file such material with, or furnish it to, the SEC. Information contained on, or that can be accessed through, our website is not incorporated by reference into this prospectus and does not constitute a part of this prospectus.</w:t>
      </w:r>
    </w:p>
    <w:p>
      <w:pPr>
        <w:spacing w:after="0" w:line="102"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Internet website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comprehensive waste management environmental services, providing services throughout the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and our WM Renewable Energy business, we are also a leading developer, operator and owner of landfill gas-to-energy facilities in the U.S. that produce renewable natural gas, which is a significant source of fuel for our natural gas fleet.</w:t>
      </w:r>
    </w:p>
    <w:p>
      <w:pPr>
        <w:spacing w:after="0" w:line="121"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800 Capitol Street, Suite 3000, Houston, Texas 77002. Our telephone number is (713) 512-6200. Our website address is </w:t>
      </w:r>
      <w:r>
        <w:rPr>
          <w:rFonts w:ascii="Times New Roman" w:cs="Times New Roman" w:eastAsia="Times New Roman" w:hAnsi="Times New Roman"/>
          <w:sz w:val="18"/>
          <w:szCs w:val="18"/>
          <w:i w:val="1"/>
          <w:iCs w:val="1"/>
          <w:color w:val="auto"/>
        </w:rPr>
        <w:t>www.wm.com.</w:t>
      </w:r>
      <w:r>
        <w:rPr>
          <w:rFonts w:ascii="Times New Roman" w:cs="Times New Roman" w:eastAsia="Times New Roman" w:hAnsi="Times New Roman"/>
          <w:sz w:val="18"/>
          <w:szCs w:val="18"/>
          <w:color w:val="auto"/>
        </w:rPr>
        <w:t xml:space="preserve"> Information contained on, or that can be accessed through, our website is not incorporated by reference into this prospectus and does not constitute a part of this prospectus.</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8"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 This prospectus and the documents incorporated by reference also contain forward-looking statements that involve risks and uncertainties. See “Forward-Looking Statements.” Additional risks and uncertainties not presently known to us, or that we currently deem immaterial, may also materially impair our business operations. The events discussed in the risk factors contained or incorporated by reference in this prospectus or any prospectus supplement may occur. If they do, our business, results of operations or financial condition could be materially adversely affected. In such case, the trading price of our securities could decline and you might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DESCRIPTION OF THE DEBT SECURITIES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debt securities covered by this prospectus will be our general unsecured obligations. We will issue senior debt securities on a senior unsecured basis under an indenture, dated as of September 10, 1997, among Waste Management, Inc., as issuer, and The Bank of New York Mellon Trust Company, N.A. (the current successor to Texas Commerce Bank National Association), as trustee. We will issue subordinated debt securities under an indenture dated as of February 1, 1997, among Waste Management, Inc., as issuer, and The Bank of New York Mellon Trust Company, N.A. (the current successor to Texas Commerce Bank National Association), as trustee. The indentures are substantially identical, except for provisions relating to subordination and covenants.</w:t>
      </w:r>
    </w:p>
    <w:p>
      <w:pPr>
        <w:spacing w:after="0" w:line="12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Applicable to Each Indenture</w:t>
      </w:r>
    </w:p>
    <w:p>
      <w:pPr>
        <w:spacing w:after="0" w:line="146"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Neither indenture limits the amount of debt securities that may be issued under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and neither limits the amount of other unsecured debt or securities that we may issue. We may issue debt securities under the indentures from time to time in one or more series, each in an amount authorized prior to issuance.</w:t>
      </w:r>
    </w:p>
    <w:p>
      <w:pPr>
        <w:spacing w:after="0" w:line="112" w:lineRule="exact"/>
        <w:rPr>
          <w:sz w:val="20"/>
          <w:szCs w:val="20"/>
          <w:color w:val="auto"/>
        </w:rPr>
      </w:pPr>
    </w:p>
    <w:p>
      <w:pPr>
        <w:ind w:left="1260" w:right="5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Terms. </w:t>
      </w:r>
      <w:r>
        <w:rPr>
          <w:rFonts w:ascii="Times New Roman" w:cs="Times New Roman" w:eastAsia="Times New Roman" w:hAnsi="Times New Roman"/>
          <w:sz w:val="18"/>
          <w:szCs w:val="18"/>
          <w:color w:val="auto"/>
        </w:rPr>
        <w:t>The prospectus supplement relating to any series of debt securities being offered will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terms relating to the offering. These terms will include some or all of the following:</w:t>
      </w:r>
    </w:p>
    <w:p>
      <w:pPr>
        <w:spacing w:after="0" w:line="52"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individual certificates to each holder or in the form of temporary or permanent global securities held by a depositary on behalf of holders;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any premium on the debt securities will be payable;</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(or the method of calculating the interest rate, if applicable), the date from which interest will accrue, interest payment dates and record dates for interest payments;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extend or defer the interest payment periods and the duration of the extension;</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any additional amounts with respect to the debt securities will be payable;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on the debt securities will be payable;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optional redemption or early repayment;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that would require the redemption, purchase or repayment of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debt securities will be payable in foreign currency or currency units or another form and whether payments will be payable by reference to any index or formula;</w:t>
      </w:r>
    </w:p>
    <w:p>
      <w:pPr>
        <w:spacing w:after="0" w:line="53"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debt securities that will be payable if the maturity is accelerated, if other than the entire principal amount;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means of defeasance of the debt securities, any additional conditions or limitations to defeasance of the debt securities or any changes to those conditions or limitations;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events of default or covenants described in this prospectus;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or other provisions relating to the transfer or exchange of debt securities;</w:t>
      </w:r>
    </w:p>
    <w:p>
      <w:pPr>
        <w:spacing w:after="0" w:line="117"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conversion or exchange of the debt securities for other securities of Waste Management, Inc. or any other entity;</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subordinated indenture, any changes to the subordination provisions for the subordinated debt securities;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applicable indenture.</w:t>
      </w:r>
    </w:p>
    <w:p>
      <w:pPr>
        <w:spacing w:after="0" w:line="15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U.S. federal income tax consequences and other special considerations.</w:t>
      </w:r>
    </w:p>
    <w:p>
      <w:pPr>
        <w:spacing w:after="0" w:line="11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97"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Consolidation, Merger and Sale of Assets. </w:t>
      </w:r>
      <w:r>
        <w:rPr>
          <w:rFonts w:ascii="Times New Roman" w:cs="Times New Roman" w:eastAsia="Times New Roman" w:hAnsi="Times New Roman"/>
          <w:sz w:val="18"/>
          <w:szCs w:val="18"/>
          <w:color w:val="auto"/>
        </w:rPr>
        <w:t>The indentures generally prohibit a consolidation or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Waste Management, Inc. into another person, or a conveyance, transfer or lease of our properties and assets substantially as an entirety to another person unless:</w:t>
      </w:r>
    </w:p>
    <w:p>
      <w:pPr>
        <w:spacing w:after="0" w:line="67" w:lineRule="exact"/>
        <w:rPr>
          <w:sz w:val="20"/>
          <w:szCs w:val="20"/>
          <w:color w:val="auto"/>
        </w:rPr>
      </w:pPr>
    </w:p>
    <w:p>
      <w:pPr>
        <w:ind w:left="1800" w:right="719" w:hanging="180"/>
        <w:spacing w:after="0" w:line="261"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person formed or into which Waste Management, Inc. is merged or the person which acquires our properties and assets substantially as an entirety assumes the performance of the covenants and obligations under the indentures and the due and punctual payments on the debt securities; and</w:t>
      </w:r>
    </w:p>
    <w:p>
      <w:pPr>
        <w:spacing w:after="0" w:line="71"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would occur and be continuing or would result from the transaction.</w:t>
      </w:r>
    </w:p>
    <w:p>
      <w:pPr>
        <w:spacing w:after="0" w:line="94" w:lineRule="exact"/>
        <w:rPr>
          <w:sz w:val="20"/>
          <w:szCs w:val="20"/>
          <w:color w:val="auto"/>
        </w:rPr>
      </w:pPr>
    </w:p>
    <w:p>
      <w:pPr>
        <w:jc w:val="both"/>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06" w:lineRule="exact"/>
        <w:rPr>
          <w:sz w:val="20"/>
          <w:szCs w:val="20"/>
          <w:color w:val="auto"/>
        </w:rPr>
      </w:pPr>
    </w:p>
    <w:p>
      <w:pPr>
        <w:ind w:left="1260" w:right="9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Unless we inform you otherwise in the applicable prospectus supplement,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are events of default with respect to a series of debt securities:</w:t>
      </w:r>
    </w:p>
    <w:p>
      <w:pPr>
        <w:spacing w:after="0" w:line="52" w:lineRule="exact"/>
        <w:rPr>
          <w:sz w:val="20"/>
          <w:szCs w:val="20"/>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that series of debt securities for 30 days when due;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that series of debt securities when due;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into any sinking fund when due;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involving bankruptcy, insolvency or reorganization;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that series of debt securities.</w:t>
      </w:r>
    </w:p>
    <w:p>
      <w:pPr>
        <w:spacing w:after="0" w:line="144"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A holder of a debt security of any series issued under an indenture may pursue any remedy under that indenture only if:</w:t>
      </w:r>
    </w:p>
    <w:p>
      <w:pPr>
        <w:spacing w:after="0" w:line="67"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that series;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that series make a written request to the trustee to pursue the remedy;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offer to the trustee indemnity satisfactory to the trustee;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the request and offer of indemnity; and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debt securities of that series do not give the trustee a direction inconsistent with the request.</w:t>
      </w:r>
    </w:p>
    <w:p>
      <w:pPr>
        <w:spacing w:after="0" w:line="94"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This provision does not, however, affect the right of a holder of a debt security to sue for enforcement of any overdue payment.</w:t>
      </w:r>
    </w:p>
    <w:p>
      <w:pPr>
        <w:spacing w:after="0" w:line="94"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72" w:lineRule="exact"/>
        <w:rPr>
          <w:sz w:val="20"/>
          <w:szCs w:val="20"/>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and</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relating to or arising as a result of an event of default.</w:t>
      </w:r>
    </w:p>
    <w:p>
      <w:pPr>
        <w:spacing w:after="0" w:line="94"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indentures require us to file each year with the trustee a written statement as to our compliance with the covenants contained in the applicable indenture.</w:t>
      </w:r>
    </w:p>
    <w:p>
      <w:pPr>
        <w:spacing w:after="0" w:line="9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Modification and Waiver. </w:t>
      </w:r>
      <w:r>
        <w:rPr>
          <w:rFonts w:ascii="Times New Roman" w:cs="Times New Roman" w:eastAsia="Times New Roman" w:hAnsi="Times New Roman"/>
          <w:sz w:val="18"/>
          <w:szCs w:val="18"/>
          <w:color w:val="auto"/>
        </w:rPr>
        <w:t>Each indenture may be amended or supplemented if the majority in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outstanding 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6" w:lineRule="exact"/>
        <w:rPr>
          <w:sz w:val="20"/>
          <w:szCs w:val="20"/>
          <w:color w:val="auto"/>
        </w:rPr>
      </w:pPr>
    </w:p>
    <w:p>
      <w:pPr>
        <w:ind w:left="1800" w:right="67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debt security;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the debt security or change its stated maturity;</w:t>
      </w:r>
    </w:p>
    <w:p>
      <w:pPr>
        <w:spacing w:after="0" w:line="13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the debt security or change the time at which the debt security may or must be redeemed;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debt security;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for us to maintain a paying agency;</w:t>
      </w:r>
    </w:p>
    <w:p>
      <w:pPr>
        <w:spacing w:after="0" w:line="130"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the debt security payable in currency other than as originally stated in the debt security;</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or with respect to the debt security;</w:t>
      </w:r>
    </w:p>
    <w:p>
      <w:pPr>
        <w:spacing w:after="0" w:line="53" w:lineRule="exact"/>
        <w:rPr>
          <w:rFonts w:ascii="Times New Roman" w:cs="Times New Roman" w:eastAsia="Times New Roman" w:hAnsi="Times New Roman"/>
          <w:sz w:val="18"/>
          <w:szCs w:val="18"/>
          <w:color w:val="auto"/>
        </w:rPr>
      </w:pPr>
    </w:p>
    <w:p>
      <w:pPr>
        <w:ind w:left="1800" w:right="439" w:hanging="180"/>
        <w:spacing w:after="0" w:line="275"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29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to convert subordinated debt securities, if applicable.</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72" w:lineRule="exact"/>
        <w:rPr>
          <w:sz w:val="20"/>
          <w:szCs w:val="20"/>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or event of default in any payment on any debt security; or</w:t>
      </w:r>
    </w:p>
    <w:p>
      <w:pPr>
        <w:spacing w:after="0" w:line="13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provision that cannot be amended or supplemented without the consent of each holder affected.</w:t>
      </w:r>
    </w:p>
    <w:p>
      <w:pPr>
        <w:spacing w:after="0" w:line="7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Defeasance. </w:t>
      </w:r>
      <w:r>
        <w:rPr>
          <w:rFonts w:ascii="Times New Roman" w:cs="Times New Roman" w:eastAsia="Times New Roman" w:hAnsi="Times New Roman"/>
          <w:sz w:val="18"/>
          <w:szCs w:val="18"/>
          <w:color w:val="auto"/>
        </w:rPr>
        <w:t>When we use the term defeasance, we mean discharge from some or all of our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indentures. If any 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74" w:lineRule="exact"/>
        <w:rPr>
          <w:sz w:val="20"/>
          <w:szCs w:val="20"/>
          <w:color w:val="auto"/>
        </w:rPr>
      </w:pPr>
    </w:p>
    <w:p>
      <w:pPr>
        <w:ind w:left="1800" w:right="69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discharged from our obligations with respect to the debt securities of that series and, if applicable, the related guarantees (“legal defeasance”); or</w:t>
      </w:r>
    </w:p>
    <w:p>
      <w:pPr>
        <w:spacing w:after="0" w:line="53"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0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20"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320" w:lineRule="exact"/>
        <w:rPr>
          <w:sz w:val="20"/>
          <w:szCs w:val="20"/>
          <w:color w:val="auto"/>
        </w:rPr>
      </w:pPr>
    </w:p>
    <w:p>
      <w:pPr>
        <w:ind w:left="1620"/>
        <w:spacing w:after="0"/>
        <w:tabs>
          <w:tab w:leader="none" w:pos="2960" w:val="left"/>
        </w:tabs>
        <w:rPr>
          <w:sz w:val="20"/>
          <w:szCs w:val="20"/>
          <w:color w:val="auto"/>
        </w:rPr>
      </w:pPr>
      <w:r>
        <w:rPr>
          <w:rFonts w:ascii="Times New Roman" w:cs="Times New Roman" w:eastAsia="Times New Roman" w:hAnsi="Times New Roman"/>
          <w:sz w:val="18"/>
          <w:szCs w:val="18"/>
          <w:i w:val="1"/>
          <w:iCs w:val="1"/>
          <w:color w:val="auto"/>
        </w:rPr>
        <w:t>Governing Law.</w:t>
      </w:r>
      <w:r>
        <w:rPr>
          <w:sz w:val="20"/>
          <w:szCs w:val="20"/>
          <w:color w:val="auto"/>
        </w:rPr>
        <w:tab/>
      </w:r>
      <w:r>
        <w:rPr>
          <w:rFonts w:ascii="Times New Roman" w:cs="Times New Roman" w:eastAsia="Times New Roman" w:hAnsi="Times New Roman"/>
          <w:sz w:val="18"/>
          <w:szCs w:val="18"/>
          <w:color w:val="auto"/>
        </w:rPr>
        <w:t>New York law will govern the indentures and the debt securities.</w:t>
      </w:r>
    </w:p>
    <w:p>
      <w:pPr>
        <w:spacing w:after="0" w:line="158"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Trustee. </w:t>
      </w:r>
      <w:r>
        <w:rPr>
          <w:rFonts w:ascii="Times New Roman" w:cs="Times New Roman" w:eastAsia="Times New Roman" w:hAnsi="Times New Roman"/>
          <w:sz w:val="18"/>
          <w:szCs w:val="18"/>
          <w:color w:val="auto"/>
        </w:rPr>
        <w:t>The Bank of New York Mellon Trust Company, N.A. is the trustee under the senior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subordinated indenture. The Bank of New York Mellon Trust Company, N.A. serves as trustee or custodian relating to a number of series of debt obligations of Waste Management, Inc.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33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02"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10"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Form, Exchange, Registration and Transfer. </w:t>
      </w:r>
      <w:r>
        <w:rPr>
          <w:rFonts w:ascii="Times New Roman" w:cs="Times New Roman" w:eastAsia="Times New Roman" w:hAnsi="Times New Roman"/>
          <w:sz w:val="18"/>
          <w:szCs w:val="18"/>
          <w:color w:val="auto"/>
        </w:rPr>
        <w:t>The debt securities may be issued in registered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interest coupons, or in 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1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case of any redemption, we will not be required to register the transfer or exchange of:</w:t>
      </w:r>
    </w:p>
    <w:p>
      <w:pPr>
        <w:spacing w:after="0" w:line="117" w:lineRule="exact"/>
        <w:rPr>
          <w:sz w:val="20"/>
          <w:szCs w:val="20"/>
          <w:color w:val="auto"/>
        </w:rPr>
      </w:pPr>
    </w:p>
    <w:p>
      <w:pPr>
        <w:ind w:left="1800" w:right="459" w:hanging="180"/>
        <w:spacing w:after="0" w:line="275"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268"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that has been called for redemption in whole or in part, except the unredeemed portion of any debt security being redeemed in part.</w:t>
      </w:r>
    </w:p>
    <w:p>
      <w:pPr>
        <w:spacing w:after="0" w:line="9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Payment and Paying Agents. </w:t>
      </w:r>
      <w:r>
        <w:rPr>
          <w:rFonts w:ascii="Times New Roman" w:cs="Times New Roman" w:eastAsia="Times New Roman" w:hAnsi="Times New Roman"/>
          <w:sz w:val="18"/>
          <w:szCs w:val="18"/>
          <w:color w:val="auto"/>
        </w:rPr>
        <w:t>Unless we inform you otherwise in a prospectus supplement,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debt securities will be 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16"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1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32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12"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Book-Entry Debt Securities. </w:t>
      </w:r>
      <w:r>
        <w:rPr>
          <w:rFonts w:ascii="Times New Roman" w:cs="Times New Roman" w:eastAsia="Times New Roman" w:hAnsi="Times New Roman"/>
          <w:sz w:val="18"/>
          <w:szCs w:val="18"/>
          <w:color w:val="auto"/>
        </w:rPr>
        <w:t>The debt securities of a series may be issued in the form of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Applicable Solely to Senior Debt Securities</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Ranking and Guarantee. </w:t>
      </w:r>
      <w:r>
        <w:rPr>
          <w:rFonts w:ascii="Times New Roman" w:cs="Times New Roman" w:eastAsia="Times New Roman" w:hAnsi="Times New Roman"/>
          <w:sz w:val="18"/>
          <w:szCs w:val="18"/>
          <w:color w:val="auto"/>
        </w:rPr>
        <w:t>The senior debt securities will constitute senior debt of Waste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and will rank equally with all 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w:t>
      </w: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basis the full and prompt payment of the principal of and any premium and interest on the senior debt securities issued by Waste Management, Inc. when and as the payment becomes due and payable, whether at maturity or otherwise.</w:t>
      </w:r>
    </w:p>
    <w:p>
      <w:pPr>
        <w:spacing w:after="0" w:line="10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Restrictive Covenants. </w:t>
      </w:r>
      <w:r>
        <w:rPr>
          <w:rFonts w:ascii="Times New Roman" w:cs="Times New Roman" w:eastAsia="Times New Roman" w:hAnsi="Times New Roman"/>
          <w:sz w:val="18"/>
          <w:szCs w:val="18"/>
          <w:color w:val="auto"/>
        </w:rPr>
        <w:t>We have agreed to two principal restrictions on our activities for the benefit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the senior debt 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 Glossary.”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95" w:lineRule="exact"/>
        <w:rPr>
          <w:sz w:val="20"/>
          <w:szCs w:val="20"/>
          <w:color w:val="auto"/>
        </w:rPr>
      </w:pPr>
    </w:p>
    <w:p>
      <w:pPr>
        <w:ind w:left="1620" w:right="799" w:firstLine="360"/>
        <w:spacing w:after="0" w:line="282" w:lineRule="auto"/>
        <w:tabs>
          <w:tab w:leader="none" w:pos="23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or assets existing at the time of acquisition which secure obligations assumed by us or our Restricted Subsidiaries;</w:t>
      </w:r>
    </w:p>
    <w:p>
      <w:pPr>
        <w:spacing w:after="0" w:line="94" w:lineRule="exact"/>
        <w:rPr>
          <w:sz w:val="20"/>
          <w:szCs w:val="20"/>
          <w:color w:val="auto"/>
        </w:rPr>
      </w:pPr>
    </w:p>
    <w:p>
      <w:pPr>
        <w:ind w:left="1620" w:right="1039" w:firstLine="360"/>
        <w:spacing w:after="0" w:line="282" w:lineRule="auto"/>
        <w:rPr>
          <w:sz w:val="20"/>
          <w:szCs w:val="20"/>
          <w:color w:val="auto"/>
        </w:rPr>
      </w:pPr>
      <w:r>
        <w:rPr>
          <w:rFonts w:ascii="Times New Roman" w:cs="Times New Roman" w:eastAsia="Times New Roman" w:hAnsi="Times New Roman"/>
          <w:sz w:val="18"/>
          <w:szCs w:val="18"/>
          <w:color w:val="auto"/>
        </w:rPr>
        <w:t>(b)   conditional sales agreements with respect to any property or assets acquired by us or a Restricted Subsidiary;</w:t>
      </w:r>
    </w:p>
    <w:p>
      <w:pPr>
        <w:spacing w:after="0" w:line="94" w:lineRule="exact"/>
        <w:rPr>
          <w:sz w:val="20"/>
          <w:szCs w:val="20"/>
          <w:color w:val="auto"/>
        </w:rPr>
      </w:pPr>
    </w:p>
    <w:p>
      <w:pPr>
        <w:ind w:left="1620" w:right="959" w:firstLine="360"/>
        <w:spacing w:after="0" w:line="266" w:lineRule="auto"/>
        <w:tabs>
          <w:tab w:leader="none" w:pos="23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94" w:lineRule="exact"/>
        <w:rPr>
          <w:rFonts w:ascii="Times New Roman" w:cs="Times New Roman" w:eastAsia="Times New Roman" w:hAnsi="Times New Roman"/>
          <w:sz w:val="18"/>
          <w:szCs w:val="18"/>
          <w:color w:val="auto"/>
        </w:rPr>
      </w:pPr>
    </w:p>
    <w:p>
      <w:pPr>
        <w:jc w:val="both"/>
        <w:ind w:left="1620" w:right="739" w:firstLine="360"/>
        <w:spacing w:after="0" w:line="266" w:lineRule="auto"/>
        <w:tabs>
          <w:tab w:leader="none" w:pos="23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assets or stock of any successor entity that becomes the Company in accordance with “— Provisions Applicable to Each Indenture — Consolidation, Merger and Sale of Assets,” above;</w:t>
      </w:r>
    </w:p>
    <w:p>
      <w:pPr>
        <w:spacing w:after="0" w:line="10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either:</w:t>
      </w:r>
    </w:p>
    <w:p>
      <w:pPr>
        <w:spacing w:after="0" w:line="117" w:lineRule="exact"/>
        <w:rPr>
          <w:rFonts w:ascii="Times New Roman" w:cs="Times New Roman" w:eastAsia="Times New Roman" w:hAnsi="Times New Roman"/>
          <w:sz w:val="18"/>
          <w:szCs w:val="18"/>
          <w:color w:val="auto"/>
        </w:rPr>
      </w:pPr>
    </w:p>
    <w:p>
      <w:pPr>
        <w:ind w:left="2520" w:hanging="180"/>
        <w:spacing w:after="0"/>
        <w:tabs>
          <w:tab w:leader="none" w:pos="25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at the time of, or created within 360 days after, the acquisition of the assets, or</w:t>
      </w:r>
    </w:p>
    <w:p>
      <w:pPr>
        <w:spacing w:after="0" w:line="117" w:lineRule="exact"/>
        <w:rPr>
          <w:rFonts w:ascii="Times New Roman" w:cs="Times New Roman" w:eastAsia="Times New Roman" w:hAnsi="Times New Roman"/>
          <w:sz w:val="18"/>
          <w:szCs w:val="18"/>
          <w:color w:val="auto"/>
        </w:rPr>
      </w:pPr>
    </w:p>
    <w:p>
      <w:pPr>
        <w:ind w:left="2520" w:right="619" w:hanging="180"/>
        <w:spacing w:after="0" w:line="258" w:lineRule="auto"/>
        <w:tabs>
          <w:tab w:leader="none" w:pos="25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115" w:lineRule="exact"/>
        <w:rPr>
          <w:rFonts w:ascii="Times New Roman" w:cs="Times New Roman" w:eastAsia="Times New Roman" w:hAnsi="Times New Roman"/>
          <w:sz w:val="18"/>
          <w:szCs w:val="18"/>
          <w:color w:val="auto"/>
        </w:rPr>
      </w:pPr>
    </w:p>
    <w:p>
      <w:pPr>
        <w:ind w:left="2320" w:hanging="340"/>
        <w:spacing w:after="0"/>
        <w:tabs>
          <w:tab w:leader="none" w:pos="2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liens;</w:t>
      </w:r>
    </w:p>
    <w:p>
      <w:pPr>
        <w:spacing w:after="0" w:line="1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   mechanics’, materialmen’s and like liens incurred in the ordinary course of business;</w:t>
      </w:r>
    </w:p>
    <w:p>
      <w:pPr>
        <w:spacing w:after="0" w:line="158" w:lineRule="exact"/>
        <w:rPr>
          <w:sz w:val="20"/>
          <w:szCs w:val="20"/>
          <w:color w:val="auto"/>
        </w:rPr>
      </w:pPr>
    </w:p>
    <w:p>
      <w:pPr>
        <w:ind w:left="1620" w:right="679" w:firstLine="360"/>
        <w:spacing w:after="0" w:line="282" w:lineRule="auto"/>
        <w:rPr>
          <w:sz w:val="20"/>
          <w:szCs w:val="20"/>
          <w:color w:val="auto"/>
        </w:rPr>
      </w:pPr>
      <w:r>
        <w:rPr>
          <w:rFonts w:ascii="Times New Roman" w:cs="Times New Roman" w:eastAsia="Times New Roman" w:hAnsi="Times New Roman"/>
          <w:sz w:val="18"/>
          <w:szCs w:val="18"/>
          <w:color w:val="auto"/>
        </w:rPr>
        <w:t>(h)   liens arising by deposits or security given to governmental agencies required in order to do business with the government;</w:t>
      </w:r>
    </w:p>
    <w:p>
      <w:pPr>
        <w:spacing w:after="0" w:line="94" w:lineRule="exact"/>
        <w:rPr>
          <w:sz w:val="20"/>
          <w:szCs w:val="20"/>
          <w:color w:val="auto"/>
        </w:rPr>
      </w:pPr>
    </w:p>
    <w:p>
      <w:pPr>
        <w:ind w:left="1620" w:right="519" w:firstLine="360"/>
        <w:spacing w:after="0" w:line="282" w:lineRule="auto"/>
        <w:rPr>
          <w:sz w:val="20"/>
          <w:szCs w:val="20"/>
          <w:color w:val="auto"/>
        </w:rPr>
      </w:pPr>
      <w:r>
        <w:rPr>
          <w:rFonts w:ascii="Times New Roman" w:cs="Times New Roman" w:eastAsia="Times New Roman" w:hAnsi="Times New Roman"/>
          <w:sz w:val="18"/>
          <w:szCs w:val="18"/>
          <w:color w:val="auto"/>
        </w:rPr>
        <w:t>(i)    liens for taxes, assessments or governmental charges not yet delinquent or being contested in good faith;</w:t>
      </w:r>
    </w:p>
    <w:p>
      <w:pPr>
        <w:spacing w:after="0" w:line="81" w:lineRule="exact"/>
        <w:rPr>
          <w:sz w:val="20"/>
          <w:szCs w:val="20"/>
          <w:color w:val="auto"/>
        </w:rPr>
      </w:pPr>
    </w:p>
    <w:p>
      <w:pPr>
        <w:ind w:left="1620" w:right="779" w:firstLine="360"/>
        <w:spacing w:after="0" w:line="282" w:lineRule="auto"/>
        <w:rPr>
          <w:sz w:val="20"/>
          <w:szCs w:val="20"/>
          <w:color w:val="auto"/>
        </w:rPr>
      </w:pPr>
      <w:r>
        <w:rPr>
          <w:rFonts w:ascii="Times New Roman" w:cs="Times New Roman" w:eastAsia="Times New Roman" w:hAnsi="Times New Roman"/>
          <w:sz w:val="18"/>
          <w:szCs w:val="18"/>
          <w:color w:val="auto"/>
        </w:rPr>
        <w:t>(j)    liens in connection with legal proceedings so long as the proceeding is being contested in good faith or execution thereon is stayed;</w:t>
      </w:r>
    </w:p>
    <w:p>
      <w:pPr>
        <w:spacing w:after="0" w:line="94" w:lineRule="exact"/>
        <w:rPr>
          <w:sz w:val="20"/>
          <w:szCs w:val="20"/>
          <w:color w:val="auto"/>
        </w:rPr>
      </w:pPr>
    </w:p>
    <w:p>
      <w:pPr>
        <w:ind w:left="1620" w:right="579" w:firstLine="360"/>
        <w:spacing w:after="0" w:line="282" w:lineRule="auto"/>
        <w:rPr>
          <w:sz w:val="20"/>
          <w:szCs w:val="20"/>
          <w:color w:val="auto"/>
        </w:rPr>
      </w:pPr>
      <w:r>
        <w:rPr>
          <w:rFonts w:ascii="Times New Roman" w:cs="Times New Roman" w:eastAsia="Times New Roman" w:hAnsi="Times New Roman"/>
          <w:sz w:val="18"/>
          <w:szCs w:val="18"/>
          <w:color w:val="auto"/>
        </w:rPr>
        <w:t>(k)   landlord’s liens on fixtures located on property leased by us or Restricted Subsidiaries in the ordinary course of business;</w:t>
      </w:r>
    </w:p>
    <w:p>
      <w:pPr>
        <w:spacing w:after="0" w:line="94" w:lineRule="exact"/>
        <w:rPr>
          <w:sz w:val="20"/>
          <w:szCs w:val="20"/>
          <w:color w:val="auto"/>
        </w:rPr>
      </w:pPr>
    </w:p>
    <w:p>
      <w:pPr>
        <w:ind w:left="1620" w:right="699" w:firstLine="360"/>
        <w:spacing w:after="0" w:line="282" w:lineRule="auto"/>
        <w:tabs>
          <w:tab w:leader="none" w:pos="23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governmental authority in connection with the financing of the cost of construction or acquisition of property;</w:t>
      </w:r>
    </w:p>
    <w:p>
      <w:pPr>
        <w:spacing w:after="0" w:line="81" w:lineRule="exact"/>
        <w:rPr>
          <w:sz w:val="20"/>
          <w:szCs w:val="20"/>
          <w:color w:val="auto"/>
        </w:rPr>
      </w:pPr>
    </w:p>
    <w:p>
      <w:pPr>
        <w:ind w:left="1620" w:right="559" w:firstLine="360"/>
        <w:spacing w:after="0" w:line="282" w:lineRule="auto"/>
        <w:rPr>
          <w:sz w:val="20"/>
          <w:szCs w:val="20"/>
          <w:color w:val="auto"/>
        </w:rPr>
      </w:pPr>
      <w:r>
        <w:rPr>
          <w:rFonts w:ascii="Times New Roman" w:cs="Times New Roman" w:eastAsia="Times New Roman" w:hAnsi="Times New Roman"/>
          <w:sz w:val="18"/>
          <w:szCs w:val="18"/>
          <w:color w:val="auto"/>
        </w:rPr>
        <w:t>(m)  liens arising due to deposits to qualify us or a Restricted Subsidiary to do business, maintain self-insurance or obtain the benefit of or comply with laws;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firstLine="360"/>
        <w:spacing w:after="0" w:line="282" w:lineRule="auto"/>
        <w:tabs>
          <w:tab w:leader="none" w:pos="23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connection with pollution control, sewage or solid waste disposal industrial revenue or similar financings;</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the sale of accounts receivable; and</w:t>
      </w:r>
    </w:p>
    <w:p>
      <w:pPr>
        <w:spacing w:after="0" w:line="157" w:lineRule="exact"/>
        <w:rPr>
          <w:rFonts w:ascii="Times New Roman" w:cs="Times New Roman" w:eastAsia="Times New Roman" w:hAnsi="Times New Roman"/>
          <w:sz w:val="18"/>
          <w:szCs w:val="18"/>
          <w:color w:val="auto"/>
        </w:rPr>
      </w:pPr>
    </w:p>
    <w:p>
      <w:pPr>
        <w:ind w:left="1620" w:right="659" w:firstLine="360"/>
        <w:spacing w:after="0" w:line="266" w:lineRule="auto"/>
        <w:tabs>
          <w:tab w:leader="none" w:pos="23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95"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 Limitation on Sale/Leaseback Transactions.”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Sale/Leaseback Transactions</w:t>
      </w:r>
    </w:p>
    <w:p>
      <w:pPr>
        <w:spacing w:after="0" w:line="16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Unless provided otherwise in a prospectus supplement, we and our Restricted Subsidiaries will not enter into a Sale/Leaseback Transaction unless at least one of the following applies:</w:t>
      </w:r>
    </w:p>
    <w:p>
      <w:pPr>
        <w:spacing w:after="0" w:line="94" w:lineRule="exact"/>
        <w:rPr>
          <w:sz w:val="20"/>
          <w:szCs w:val="20"/>
          <w:color w:val="auto"/>
        </w:rPr>
      </w:pPr>
    </w:p>
    <w:p>
      <w:pPr>
        <w:ind w:left="1620" w:right="419" w:firstLine="360"/>
        <w:spacing w:after="0" w:line="261" w:lineRule="auto"/>
        <w:tabs>
          <w:tab w:leader="none" w:pos="23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that Restricted Subsidiary could incur Indebtedness in a principal amount equal to the Attributable Debt for that Sale/Leaseback Transaction and, without violating specified provisions of the covenant under “— Limitation on Liens,” could secure that debt by a lien on the property to be leased without equally and ratably securing the senior debt securities;</w:t>
      </w:r>
    </w:p>
    <w:p>
      <w:pPr>
        <w:spacing w:after="0" w:line="98" w:lineRule="exact"/>
        <w:rPr>
          <w:rFonts w:ascii="Times New Roman" w:cs="Times New Roman" w:eastAsia="Times New Roman" w:hAnsi="Times New Roman"/>
          <w:sz w:val="18"/>
          <w:szCs w:val="18"/>
          <w:color w:val="auto"/>
        </w:rPr>
      </w:pPr>
    </w:p>
    <w:p>
      <w:pPr>
        <w:ind w:left="1620" w:right="459" w:firstLine="360"/>
        <w:spacing w:after="0" w:line="258" w:lineRule="auto"/>
        <w:tabs>
          <w:tab w:leader="none" w:pos="23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debt securities listed under the senior indenture or debt incurred by a Restricted Subsidiary; or</w:t>
      </w:r>
    </w:p>
    <w:p>
      <w:pPr>
        <w:spacing w:after="0" w:line="115" w:lineRule="exact"/>
        <w:rPr>
          <w:rFonts w:ascii="Times New Roman" w:cs="Times New Roman" w:eastAsia="Times New Roman" w:hAnsi="Times New Roman"/>
          <w:sz w:val="18"/>
          <w:szCs w:val="18"/>
          <w:color w:val="auto"/>
        </w:rPr>
      </w:pPr>
    </w:p>
    <w:p>
      <w:pPr>
        <w:jc w:val="both"/>
        <w:ind w:left="1620" w:right="699" w:firstLine="360"/>
        <w:spacing w:after="0" w:line="266" w:lineRule="auto"/>
        <w:tabs>
          <w:tab w:leader="none" w:pos="23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08"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pursuant to the covenant under “— Limitation on Liens,” do not exceed 15% of Consolidated Net Tangible Assets.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Glossary</w:t>
      </w:r>
    </w:p>
    <w:p>
      <w:pPr>
        <w:spacing w:after="0" w:line="146"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“Attributable Debt” </w:t>
      </w:r>
      <w:r>
        <w:rPr>
          <w:rFonts w:ascii="Times New Roman" w:cs="Times New Roman" w:eastAsia="Times New Roman" w:hAnsi="Times New Roman"/>
          <w:sz w:val="18"/>
          <w:szCs w:val="18"/>
          <w:color w:val="auto"/>
        </w:rPr>
        <w:t>means the present value of the rental payments during the remaining term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included in the Sale/Leaseback Transaction. 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Net Tangible Assets” </w:t>
      </w:r>
      <w:r>
        <w:rPr>
          <w:rFonts w:ascii="Times New Roman" w:cs="Times New Roman" w:eastAsia="Times New Roman" w:hAnsi="Times New Roman"/>
          <w:sz w:val="18"/>
          <w:szCs w:val="18"/>
          <w:color w:val="auto"/>
        </w:rPr>
        <w:t>means the total amount of assets of Waste Management, Inc.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consolidated subsidiaries less:</w:t>
      </w:r>
    </w:p>
    <w:p>
      <w:pPr>
        <w:spacing w:after="0" w:line="52" w:lineRule="exact"/>
        <w:rPr>
          <w:sz w:val="20"/>
          <w:szCs w:val="20"/>
          <w:color w:val="auto"/>
        </w:rPr>
      </w:pPr>
    </w:p>
    <w:p>
      <w:pPr>
        <w:ind w:left="1800" w:right="73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intangible assets.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calculate Consolidated Net Tangible Assets based on our most recent quarterly balance sheet.</w:t>
      </w:r>
    </w:p>
    <w:p>
      <w:pPr>
        <w:spacing w:after="0" w:line="15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means (a) all obligations for borrowed money or on which interest charges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customarily paid, all as shown on the balance sheet of 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0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“Principal Property” </w:t>
      </w:r>
      <w:r>
        <w:rPr>
          <w:rFonts w:ascii="Times New Roman" w:cs="Times New Roman" w:eastAsia="Times New Roman" w:hAnsi="Times New Roman"/>
          <w:sz w:val="18"/>
          <w:szCs w:val="18"/>
          <w:color w:val="auto"/>
        </w:rPr>
        <w:t>means any waste processing, waste disposal or resource recovery plant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15"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Subsidiary” </w:t>
      </w:r>
      <w:r>
        <w:rPr>
          <w:rFonts w:ascii="Times New Roman" w:cs="Times New Roman" w:eastAsia="Times New Roman" w:hAnsi="Times New Roman"/>
          <w:sz w:val="18"/>
          <w:szCs w:val="18"/>
          <w:color w:val="auto"/>
        </w:rPr>
        <w:t>means any Subsidiary (other than any Subsidiary of which the Company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116" w:lineRule="exact"/>
        <w:rPr>
          <w:sz w:val="20"/>
          <w:szCs w:val="20"/>
          <w:color w:val="auto"/>
        </w:rPr>
      </w:pPr>
    </w:p>
    <w:p>
      <w:pPr>
        <w:ind w:left="1260" w:right="5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“Sale/Leaseback Transaction” </w:t>
      </w:r>
      <w:r>
        <w:rPr>
          <w:rFonts w:ascii="Times New Roman" w:cs="Times New Roman" w:eastAsia="Times New Roman" w:hAnsi="Times New Roman"/>
          <w:sz w:val="18"/>
          <w:szCs w:val="18"/>
          <w:color w:val="auto"/>
        </w:rPr>
        <w:t>means any arrangement with anyone under which we or our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lease any Principal Property that we or such Restricted Subsidiary has sold or transferred or will sell or transfer to that person. This term excludes the following:</w:t>
      </w:r>
    </w:p>
    <w:p>
      <w:pPr>
        <w:spacing w:after="0" w:line="67" w:lineRule="exact"/>
        <w:rPr>
          <w:sz w:val="20"/>
          <w:szCs w:val="20"/>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leases for a term of not more than three years;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leases.</w:t>
      </w:r>
    </w:p>
    <w:p>
      <w:pPr>
        <w:spacing w:after="0" w:line="142" w:lineRule="exact"/>
        <w:rPr>
          <w:sz w:val="20"/>
          <w:szCs w:val="20"/>
          <w:color w:val="auto"/>
        </w:rPr>
      </w:pPr>
    </w:p>
    <w:p>
      <w:pPr>
        <w:ind w:left="1260" w:right="7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 entity at least a majority of the outstanding voting stock of which is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by us or by one or more other Subsidiaries, or by us and one or more other Subsidiaries.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Applicable Solely to Subordinated Debt Securities</w:t>
      </w:r>
    </w:p>
    <w:p>
      <w:pPr>
        <w:spacing w:after="0" w:line="160" w:lineRule="exact"/>
        <w:rPr>
          <w:sz w:val="20"/>
          <w:szCs w:val="20"/>
          <w:color w:val="auto"/>
        </w:rPr>
      </w:pPr>
    </w:p>
    <w:p>
      <w:pPr>
        <w:ind w:left="1260" w:right="8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Ranking. </w:t>
      </w:r>
      <w:r>
        <w:rPr>
          <w:rFonts w:ascii="Times New Roman" w:cs="Times New Roman" w:eastAsia="Times New Roman" w:hAnsi="Times New Roman"/>
          <w:sz w:val="18"/>
          <w:szCs w:val="18"/>
          <w:color w:val="auto"/>
        </w:rPr>
        <w:t>The subordinated debt securities will rank junior to all of our senior debt and may rank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equally with or senior to our other subordinated debt that may be outstanding from time to time.</w:t>
      </w:r>
    </w:p>
    <w:p>
      <w:pPr>
        <w:spacing w:after="0" w:line="91"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Subordination. </w:t>
      </w:r>
      <w:r>
        <w:rPr>
          <w:rFonts w:ascii="Times New Roman" w:cs="Times New Roman" w:eastAsia="Times New Roman" w:hAnsi="Times New Roman"/>
          <w:sz w:val="18"/>
          <w:szCs w:val="18"/>
          <w:color w:val="auto"/>
        </w:rPr>
        <w:t>Under the subordinated indenture, payment of the principal of and any premium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on the subordinated 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0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GUARANTEES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1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0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are authorized to issue 1,500,000,000 shares of common stock, $0.01 par value per share, of which 415,207,025 shares were outstanding at April 21, 2022 (excluding treasury shares of 215,075,436). We are also authorized to issue 10,000,000 shares of preferred stock, $0.01 par value per share, none of which were outstanding on that date.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0"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applicable law, holders of common stock are entitled to receive dividends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and if declared by our Board of Directors. In certain cases, common stockholders may not receive dividends until we satisfy our obligations to any preferred stockholders.</w:t>
      </w:r>
    </w:p>
    <w:p>
      <w:pPr>
        <w:spacing w:after="0" w:line="99"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holder of common stock is entitled to one vote for each share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such holder in the election of directors and in each other matter we may ask stockholders to vote on. Common stockholders do not have cumulative voting rights. To be elected, a director must receive a majority of the votes cast with respect to that director at a meeting at which a quorum is present; provided that if the number of nominees exceeds the number of directors to be elected as of the tenth day preceding the date that we first mail notice of meeting to our stockholders, the directors shall be elected by the vote of a plurality of the shares represented in person or by proxy at such meeting and entitled to vote on the election of directors. A majority of the votes cast means that the number of shares voted “for” a director must exceed 50% of the votes cast with respect to that director. Our By-laws provide that if the number of shares voted “for” any incumbent director nominee does not exceed 50% of the votes cast with respect to that director, he or she will tender his or her resignation to the Board of Directors contingent on the acceptance of such resignation by the Board of Directors. The Nominating and Governance Committee of our Board of Directors will then make a recommendation to the Board of Directors on whether to accept or reject the resignation, or whether other action should be taken. Our Board of Directors will act on the resignation and publicly disclose its decision and the rationale behind it within 90 days from the date of the certificate of the election results.</w:t>
      </w:r>
    </w:p>
    <w:p>
      <w:pPr>
        <w:spacing w:after="0" w:line="325"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Fully Paid Status. </w:t>
      </w:r>
      <w:r>
        <w:rPr>
          <w:rFonts w:ascii="Times New Roman" w:cs="Times New Roman" w:eastAsia="Times New Roman" w:hAnsi="Times New Roman"/>
          <w:sz w:val="18"/>
          <w:szCs w:val="18"/>
          <w:color w:val="auto"/>
        </w:rPr>
        <w:t>All outstanding shares of our common stock are validly issued, fully paid and non-assessable. The shares offered hereby will also be, upon issuance and sale, validly issued, fully paid and non-assessable.</w:t>
      </w:r>
    </w:p>
    <w:p>
      <w:pPr>
        <w:spacing w:after="0" w:line="99"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Liquidation or Dissolution. </w:t>
      </w:r>
      <w:r>
        <w:rPr>
          <w:rFonts w:ascii="Times New Roman" w:cs="Times New Roman" w:eastAsia="Times New Roman" w:hAnsi="Times New Roman"/>
          <w:sz w:val="18"/>
          <w:szCs w:val="18"/>
          <w:color w:val="auto"/>
        </w:rPr>
        <w:t>If we liquidate, dissolve or wind up our business, whether or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voluntarily, common stockholders will share ratably in the assets remaining for distribution to stockholders after we pay our creditors and any preferred stockholders.</w:t>
      </w:r>
    </w:p>
    <w:p>
      <w:pPr>
        <w:spacing w:after="0" w:line="99" w:lineRule="exact"/>
        <w:rPr>
          <w:sz w:val="20"/>
          <w:szCs w:val="20"/>
          <w:color w:val="auto"/>
        </w:rPr>
      </w:pPr>
    </w:p>
    <w:p>
      <w:pPr>
        <w:ind w:left="1260" w:right="93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Listing. </w:t>
      </w:r>
      <w:r>
        <w:rPr>
          <w:rFonts w:ascii="Times New Roman" w:cs="Times New Roman" w:eastAsia="Times New Roman" w:hAnsi="Times New Roman"/>
          <w:sz w:val="18"/>
          <w:szCs w:val="18"/>
          <w:color w:val="auto"/>
        </w:rPr>
        <w:t>Our common stock is listed on the New York Stock Exchange under the trading symbol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“WM.”</w:t>
      </w:r>
    </w:p>
    <w:p>
      <w:pPr>
        <w:spacing w:after="0" w:line="91" w:lineRule="exact"/>
        <w:rPr>
          <w:sz w:val="20"/>
          <w:szCs w:val="20"/>
          <w:color w:val="auto"/>
        </w:rPr>
      </w:pPr>
    </w:p>
    <w:p>
      <w:pPr>
        <w:ind w:left="1260" w:right="4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our common stock is Computershare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Jersey City, New Jersey.</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Our Board of Directors is authorized, without obtaining stockholder approval, to issue one or more series of preferred stock. The Board’s authority includes determining the number of shares of each series and the rights, powers, preferences and limitations, qualifications and restrictions of each series, including without limitation voting rights, dividend rights, conversion rights, redemption rights and any liquidation preferences. In this regard, our Board of Directors may issue preferred stock with voting and conversion rights that could adversely affect the voting power of the holders of common stock, and dividend or</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liquidation preferences that would restrict common stock dividends or adversely affect the assets available for distribution to holders of shares of common stock in the event of our dissolution.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35"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Authorized but unissued shares of common stock or preferred stock can be issued by our Board of Directors from time to time, without stockholder action, for a variety of purposes, including without limitation stock dividends or stock splits, to raise equity capital and to structure future corporate transactions, including acquisitions, as well as for other proper corporate purposes. Stockholders have no preemptive rights.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By-laws provide that, unless we consent to the selection of an alternative forum in writing, the Delaware Court of Chancery (the “Chancery Court”)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our Third Restated Certificate of Incorporation (“Certificate of Incorporation”) or our Amended and Restated By -laws (“By-laws”) or as to which the DGCL confers jurisdiction upon the Chancery Court;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Advance Notice and Proxy Access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the nomination of candidates for election as directors, other than nominations made by or at the direction of our Board of Directors. Further, our By-laws contain a “proxy access” provision that permits a stockholder or group of up to 20 stockholders owning 3% or more of Waste Management, Inc.’s outstanding common stock continuously for at least three years to nominate and include in our proxy materials director nominees constituting up to the greater of 20% of the Board of Directors or two individuals, provided the stockholder(s) and the nominee(s) satisfy the requirements specified in our By-Laws.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p>
      <w:pPr>
        <w:spacing w:after="0" w:line="13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Any action required or permitted to be taken at a meeting of our stockholders may be taken by written consent if such consents, setting forth the action so taken, (i) shall be signed by holders of outstanding stock having not less than the minimum number of votes that would be necessary to authorize or take such action at a meeting at which all shares entitled to vote thereon were present and voted and (ii) shall be delivered to us in accordance with applicable law. Our By-laws provide that any stockholder of record seeking to have the stockholders authorize or take corporate action by written consent shall, by written notice to the Secretary of Waste Management, Inc., request that the Board of Directors fix a record date.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Stockholder Meetings</w:t>
      </w:r>
    </w:p>
    <w:p>
      <w:pPr>
        <w:spacing w:after="0" w:line="135"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By-laws provide that a special meeting of our stockholders may be called by the Secretary of Waste Management, Inc. at the request of the Chairman of the Board or the Chief Executive Officer, or may be called by order of the majority of the Board of Directors. A special meeting of our stockholders may also be called by the Secretary upon the written request of record holders having an aggregate “net long position” of at least 25% of the outstanding common stock of Waste Management, Inc. and having held such net long position continuously for at least one year as of the date of such request, subject to compliance with all other applicable terms and provisions of our By-laws.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a Change of Control</w:t>
      </w:r>
    </w:p>
    <w:p>
      <w:pPr>
        <w:spacing w:after="0" w:line="135"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are a Delaware corporation and are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7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67" w:lineRule="exact"/>
        <w:rPr>
          <w:rFonts w:ascii="Times New Roman" w:cs="Times New Roman" w:eastAsia="Times New Roman" w:hAnsi="Times New Roman"/>
          <w:sz w:val="18"/>
          <w:szCs w:val="18"/>
          <w:color w:val="auto"/>
        </w:rPr>
      </w:pPr>
    </w:p>
    <w:p>
      <w:pPr>
        <w:ind w:left="1800" w:right="719" w:hanging="180"/>
        <w:spacing w:after="0" w:line="25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79" w:lineRule="exact"/>
        <w:rPr>
          <w:rFonts w:ascii="Times New Roman" w:cs="Times New Roman" w:eastAsia="Times New Roman" w:hAnsi="Times New Roman"/>
          <w:sz w:val="18"/>
          <w:szCs w:val="18"/>
          <w:color w:val="auto"/>
        </w:rPr>
      </w:pPr>
    </w:p>
    <w:p>
      <w:pPr>
        <w:ind w:left="1800" w:right="519" w:hanging="180"/>
        <w:spacing w:after="0" w:line="263"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33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1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Liability of Directors and Officers</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As permitted by Delaware law, our Certificate of Incorporation includes provisions that eliminate the personal liability of our directors for monetary damages resulting from breaches of certain fiduciary duties as a director, except that a director will be personally liable for (i) any breach of his duty of loyalty to us or our stockholders; (ii) acts or omissions not in good faith or which involve intentional misconduct or a knowing violation of law; (iii) any transaction from which the director derived an improper personal benefit; or (iv) unlawful dividends or distributions to stockholders.</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and By-laws require that we provide indemnification to the maximum extent permitted from time to time under the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us or any of our direct or indirect subsidiaries or while such a director or officer is or was serving at our request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we are not required to indemnify or advance expenses to any person in connection with any action, suit, proceeding, claim or counterclaim initiated by or on behalf of such person. Such indemnification is not to be exclusive of other indemnification rights arising under our By-laws, agreement, vote of directors or stockholders or otherwise and shall inure to the benefit of the heirs and legal representatives of such person. Additionally, we have direct contractual obligations to provide indemnification to each of the members of our Board of Directors and each of our executive officers. These agreements provide directors and executive officers with the same indemnification by the Company as described above and assure directors and executive officers that indemnification will continue to be provided despite future changes in our By-laws.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OTHER SECURITIES</w:t>
      </w:r>
    </w:p>
    <w:p>
      <w:pPr>
        <w:spacing w:after="0" w:line="162"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The securities being offered by this prospectus may be sold by us or by a selling securityholder:</w:t>
      </w:r>
    </w:p>
    <w:p>
      <w:pPr>
        <w:spacing w:after="0" w:line="117" w:lineRule="exact"/>
        <w:rPr>
          <w:sz w:val="20"/>
          <w:szCs w:val="20"/>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us or a selling securityholder to purchasers, through a specific bidding or auction process or otherwise;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329"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32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333" w:lineRule="exact"/>
        <w:rPr>
          <w:sz w:val="20"/>
          <w:szCs w:val="20"/>
          <w:color w:val="auto"/>
        </w:rPr>
      </w:pPr>
    </w:p>
    <w:p>
      <w:pPr>
        <w:jc w:val="both"/>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10"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1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that may be entered into with us to indemnification by us against specified liabilities, including liabilities incurred under the Securities Act, or</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spacing w:after="0" w:line="261" w:lineRule="auto"/>
        <w:rPr>
          <w:sz w:val="20"/>
          <w:szCs w:val="20"/>
          <w:color w:val="auto"/>
        </w:rPr>
      </w:pPr>
      <w:r>
        <w:rPr>
          <w:rFonts w:ascii="Times New Roman" w:cs="Times New Roman" w:eastAsia="Times New Roman" w:hAnsi="Times New Roman"/>
          <w:sz w:val="18"/>
          <w:szCs w:val="18"/>
          <w:color w:val="auto"/>
        </w:rPr>
        <w:t>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1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324"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particular offerings of the securities in the future, and if stated in the applicable prospectus supplement, the validity of those securities will be passed upon for us by counsel named in the applicable prospectus supplement.</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59" w:firstLine="3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Waste Management, Inc. appearing in Waste Management, Inc.’s </w:t>
      </w:r>
      <w:hyperlink r:id="rId94">
        <w:r>
          <w:rPr>
            <w:rFonts w:ascii="Times New Roman" w:cs="Times New Roman" w:eastAsia="Times New Roman" w:hAnsi="Times New Roman"/>
            <w:sz w:val="18"/>
            <w:szCs w:val="18"/>
            <w:u w:val="single" w:color="auto"/>
            <w:color w:val="0000EE"/>
          </w:rPr>
          <w:t>Annual Report (Form 10-K) for the year ended December 31, 2021</w:t>
        </w:r>
      </w:hyperlink>
      <w:r>
        <w:rPr>
          <w:rFonts w:ascii="Times New Roman" w:cs="Times New Roman" w:eastAsia="Times New Roman" w:hAnsi="Times New Roman"/>
          <w:sz w:val="18"/>
          <w:szCs w:val="18"/>
          <w:color w:val="auto"/>
        </w:rPr>
        <w:t>, and the effectiveness of Waste Management, Inc.’s internal control over financial reporting as of December 31, 2021,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4"/>
          <w:szCs w:val="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53340</wp:posOffset>
            </wp:positionV>
            <wp:extent cx="52120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5"/>
          <w:szCs w:val="25"/>
          <w:b w:val="1"/>
          <w:bCs w:val="1"/>
          <w:color w:val="auto"/>
        </w:rPr>
        <w:t>$1,250,000,000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178435</wp:posOffset>
            </wp:positionV>
            <wp:extent cx="2477135" cy="659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247713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4"/>
          <w:szCs w:val="24"/>
          <w:b w:val="1"/>
          <w:bCs w:val="1"/>
          <w:color w:val="auto"/>
        </w:rPr>
        <w:t>$750,000,000 4.625% Senior Notes due 2030</w:t>
      </w:r>
    </w:p>
    <w:p>
      <w:pPr>
        <w:spacing w:after="0" w:line="4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4"/>
          <w:szCs w:val="24"/>
          <w:b w:val="1"/>
          <w:bCs w:val="1"/>
          <w:color w:val="auto"/>
        </w:rPr>
        <w:t>$500,000,000 4.625% Senior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275590</wp:posOffset>
            </wp:positionV>
            <wp:extent cx="12344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191135</wp:posOffset>
            </wp:positionV>
            <wp:extent cx="12344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9"/>
          <w:szCs w:val="29"/>
          <w:b w:val="1"/>
          <w:bCs w:val="1"/>
          <w:color w:val="auto"/>
        </w:rPr>
        <w:t>Mizuho</w:t>
      </w:r>
    </w:p>
    <w:p>
      <w:pPr>
        <w:ind w:left="4540"/>
        <w:spacing w:after="0" w:line="233" w:lineRule="auto"/>
        <w:rPr>
          <w:sz w:val="20"/>
          <w:szCs w:val="20"/>
          <w:color w:val="auto"/>
        </w:rPr>
      </w:pPr>
      <w:r>
        <w:rPr>
          <w:rFonts w:ascii="Times New Roman" w:cs="Times New Roman" w:eastAsia="Times New Roman" w:hAnsi="Times New Roman"/>
          <w:sz w:val="29"/>
          <w:szCs w:val="29"/>
          <w:b w:val="1"/>
          <w:bCs w:val="1"/>
          <w:color w:val="auto"/>
        </w:rPr>
        <w:t>SMBC Nikko</w:t>
      </w:r>
    </w:p>
    <w:p>
      <w:pPr>
        <w:ind w:left="4060"/>
        <w:spacing w:after="0"/>
        <w:rPr>
          <w:sz w:val="20"/>
          <w:szCs w:val="20"/>
          <w:color w:val="auto"/>
        </w:rPr>
      </w:pPr>
      <w:r>
        <w:rPr>
          <w:rFonts w:ascii="Times New Roman" w:cs="Times New Roman" w:eastAsia="Times New Roman" w:hAnsi="Times New Roman"/>
          <w:sz w:val="29"/>
          <w:szCs w:val="29"/>
          <w:b w:val="1"/>
          <w:bCs w:val="1"/>
          <w:color w:val="auto"/>
        </w:rPr>
        <w:t>Wells Fargo Securities</w:t>
      </w:r>
    </w:p>
    <w:p>
      <w:pPr>
        <w:spacing w:after="0" w:line="1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Barclays</w:t>
      </w:r>
    </w:p>
    <w:p>
      <w:pPr>
        <w:spacing w:after="0" w:line="2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BofA Securities</w:t>
      </w:r>
    </w:p>
    <w:p>
      <w:pPr>
        <w:spacing w:after="0" w:line="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Deutsche Bank Securities</w:t>
      </w:r>
    </w:p>
    <w:p>
      <w:pPr>
        <w:jc w:val="center"/>
        <w:ind w:right="-800"/>
        <w:spacing w:after="0" w:line="236" w:lineRule="auto"/>
        <w:rPr>
          <w:sz w:val="20"/>
          <w:szCs w:val="20"/>
          <w:color w:val="auto"/>
        </w:rPr>
      </w:pPr>
      <w:r>
        <w:rPr>
          <w:rFonts w:ascii="Times New Roman" w:cs="Times New Roman" w:eastAsia="Times New Roman" w:hAnsi="Times New Roman"/>
          <w:sz w:val="25"/>
          <w:szCs w:val="25"/>
          <w:b w:val="1"/>
          <w:bCs w:val="1"/>
          <w:color w:val="auto"/>
        </w:rPr>
        <w:t>RBC Capital Markets</w:t>
      </w:r>
    </w:p>
    <w:p>
      <w:pPr>
        <w:spacing w:after="0" w:line="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Scotiabank</w:t>
      </w:r>
    </w:p>
    <w:p>
      <w:pPr>
        <w:spacing w:after="0" w:line="200" w:lineRule="exact"/>
        <w:rPr>
          <w:sz w:val="20"/>
          <w:szCs w:val="20"/>
          <w:color w:val="auto"/>
        </w:rPr>
      </w:pPr>
    </w:p>
    <w:p>
      <w:pPr>
        <w:spacing w:after="0" w:line="2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i w:val="1"/>
          <w:iCs w:val="1"/>
          <w:color w:val="auto"/>
        </w:rPr>
        <w:t>Co-Managers</w:t>
      </w:r>
    </w:p>
    <w:p>
      <w:pPr>
        <w:spacing w:after="0" w:line="21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BNP PARIBAS</w:t>
      </w:r>
    </w:p>
    <w:p>
      <w:pPr>
        <w:spacing w:after="0" w:line="1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MUFG</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Truist Securities</w:t>
      </w:r>
    </w:p>
    <w:p>
      <w:pPr>
        <w:ind w:left="4800"/>
        <w:spacing w:after="0" w:line="233" w:lineRule="auto"/>
        <w:rPr>
          <w:sz w:val="20"/>
          <w:szCs w:val="20"/>
          <w:color w:val="auto"/>
        </w:rPr>
      </w:pPr>
      <w:r>
        <w:rPr>
          <w:rFonts w:ascii="Times New Roman" w:cs="Times New Roman" w:eastAsia="Times New Roman" w:hAnsi="Times New Roman"/>
          <w:sz w:val="22"/>
          <w:szCs w:val="22"/>
          <w:b w:val="1"/>
          <w:bCs w:val="1"/>
          <w:color w:val="auto"/>
        </w:rPr>
        <w:t>US Bancorp</w:t>
      </w:r>
    </w:p>
    <w:p>
      <w:pPr>
        <w:spacing w:after="0" w:line="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Academy Securities</w:t>
      </w:r>
    </w:p>
    <w:p>
      <w:pPr>
        <w:ind w:left="4360"/>
        <w:spacing w:after="0" w:line="233" w:lineRule="auto"/>
        <w:rPr>
          <w:sz w:val="20"/>
          <w:szCs w:val="20"/>
          <w:color w:val="auto"/>
        </w:rPr>
      </w:pPr>
      <w:r>
        <w:rPr>
          <w:rFonts w:ascii="Times New Roman" w:cs="Times New Roman" w:eastAsia="Times New Roman" w:hAnsi="Times New Roman"/>
          <w:sz w:val="22"/>
          <w:szCs w:val="22"/>
          <w:b w:val="1"/>
          <w:bCs w:val="1"/>
          <w:color w:val="auto"/>
        </w:rPr>
        <w:t>Loop Capital Markets</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MFR Securities, Inc.</w:t>
      </w:r>
    </w:p>
    <w:p>
      <w:pPr>
        <w:spacing w:after="0" w:line="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Mischler Financial Group, Inc.</w:t>
      </w:r>
    </w:p>
    <w:p>
      <w:pPr>
        <w:spacing w:after="0" w:line="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Siebert Williams Shank</w:t>
      </w:r>
    </w:p>
    <w:p>
      <w:pPr>
        <w:spacing w:after="0" w:line="200" w:lineRule="exact"/>
        <w:rPr>
          <w:sz w:val="20"/>
          <w:szCs w:val="20"/>
          <w:color w:val="auto"/>
        </w:rPr>
      </w:pPr>
    </w:p>
    <w:p>
      <w:pPr>
        <w:spacing w:after="0" w:line="20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February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325755</wp:posOffset>
            </wp:positionV>
            <wp:extent cx="52120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line="57"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424(b)(5)</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Waste Management Holdings, Inc.</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820" w:type="dxa"/>
            <w:vAlign w:val="bottom"/>
            <w:tcBorders>
              <w:top w:val="single" w:sz="8" w:color="auto"/>
              <w:left w:val="single" w:sz="8" w:color="auto"/>
              <w:righ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Filing</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Previously</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Paid In</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Connection</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Proposed</w:t>
            </w: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Carry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Unsold</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Calculation</w:t>
            </w: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Carry</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Carry</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 Carry</w:t>
            </w: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Initial</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to be</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Per</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Offering</w:t>
            </w:r>
          </w:p>
        </w:tc>
        <w:tc>
          <w:tcPr>
            <w:tcW w:w="260" w:type="dxa"/>
            <w:vAlign w:val="bottom"/>
          </w:tcPr>
          <w:p>
            <w:pPr>
              <w:spacing w:after="0"/>
              <w:rPr>
                <w:sz w:val="18"/>
                <w:szCs w:val="18"/>
                <w:color w:val="auto"/>
              </w:rPr>
            </w:pPr>
          </w:p>
        </w:tc>
        <w:tc>
          <w:tcPr>
            <w:tcW w:w="6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Fee</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File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effective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Carried</w:t>
            </w:r>
          </w:p>
        </w:tc>
        <w:tc>
          <w:tcPr>
            <w:tcW w:w="0" w:type="dxa"/>
            <w:vAlign w:val="bottom"/>
          </w:tcPr>
          <w:p>
            <w:pPr>
              <w:spacing w:after="0"/>
              <w:rPr>
                <w:sz w:val="1"/>
                <w:szCs w:val="1"/>
                <w:color w:val="auto"/>
              </w:rPr>
            </w:pPr>
          </w:p>
        </w:tc>
      </w:tr>
      <w:tr>
        <w:trPr>
          <w:trHeight w:val="241"/>
        </w:trPr>
        <w:tc>
          <w:tcPr>
            <w:tcW w:w="82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Title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6"/>
              </w:rPr>
              <w:t>Rate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0" w:type="dxa"/>
            <w:vAlign w:val="bottom"/>
          </w:tcPr>
          <w:p>
            <w:pPr>
              <w:spacing w:after="0"/>
              <w:rPr>
                <w:sz w:val="1"/>
                <w:szCs w:val="1"/>
                <w:color w:val="auto"/>
              </w:rPr>
            </w:pPr>
          </w:p>
        </w:tc>
      </w:tr>
      <w:tr>
        <w:trPr>
          <w:trHeight w:val="229"/>
        </w:trPr>
        <w:tc>
          <w:tcPr>
            <w:tcW w:w="820" w:type="dxa"/>
            <w:vAlign w:val="bottom"/>
            <w:tcBorders>
              <w:left w:val="single" w:sz="8" w:color="auto"/>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center"/>
              <w:ind w:right="350"/>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4.625%</w:t>
            </w:r>
          </w:p>
        </w:tc>
        <w:tc>
          <w:tcPr>
            <w:tcW w:w="92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Senior Notes</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Fees to</w:t>
            </w: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due 2030 of</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w:t>
            </w: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Waste</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Management,</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20" w:type="dxa"/>
            <w:vAlign w:val="bottom"/>
            <w:tcBorders>
              <w:left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$750,000,000</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99.858%</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$748,935,000</w:t>
            </w:r>
          </w:p>
        </w:tc>
        <w:tc>
          <w:tcPr>
            <w:tcW w:w="9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0.00011020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$82,532.64</w:t>
            </w:r>
          </w:p>
        </w:tc>
        <w:tc>
          <w:tcPr>
            <w:tcW w:w="7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Guarantee of</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4.625%</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Senior Notes</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due 2030 of</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Waste</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Management,</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Inc. by Waste</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Management</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left w:val="single" w:sz="8" w:color="auto"/>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Holdings,</w:t>
            </w:r>
          </w:p>
        </w:tc>
        <w:tc>
          <w:tcPr>
            <w:tcW w:w="92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820" w:type="dxa"/>
            <w:vAlign w:val="bottom"/>
            <w:tcBorders>
              <w:left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60" w:type="dxa"/>
            <w:vAlign w:val="bottom"/>
            <w:tcBorders>
              <w:bottom w:val="single" w:sz="8" w:color="auto"/>
              <w:right w:val="single" w:sz="8" w:color="auto"/>
            </w:tcBorders>
          </w:tcPr>
          <w:p>
            <w:pPr>
              <w:jc w:val="center"/>
              <w:spacing w:after="0" w:line="284" w:lineRule="exact"/>
              <w:rPr>
                <w:sz w:val="20"/>
                <w:szCs w:val="20"/>
                <w:color w:val="auto"/>
              </w:rPr>
            </w:pPr>
            <w:r>
              <w:rPr>
                <w:rFonts w:ascii="Times New Roman" w:cs="Times New Roman" w:eastAsia="Times New Roman" w:hAnsi="Times New Roman"/>
                <w:sz w:val="18"/>
                <w:szCs w:val="18"/>
                <w:color w:val="auto"/>
                <w:w w:val="87"/>
              </w:rPr>
              <w:t xml:space="preserve">Inc. </w:t>
            </w:r>
            <w:r>
              <w:rPr>
                <w:rFonts w:ascii="Times New Roman" w:cs="Times New Roman" w:eastAsia="Times New Roman" w:hAnsi="Times New Roman"/>
                <w:sz w:val="29"/>
                <w:szCs w:val="29"/>
                <w:color w:val="auto"/>
                <w:w w:val="87"/>
                <w:vertAlign w:val="superscript"/>
              </w:rPr>
              <w:t>(1)</w:t>
            </w:r>
          </w:p>
        </w:tc>
        <w:tc>
          <w:tcPr>
            <w:tcW w:w="920" w:type="dxa"/>
            <w:vAlign w:val="bottom"/>
            <w:tcBorders>
              <w:bottom w:val="single" w:sz="8" w:color="auto"/>
              <w:right w:val="single" w:sz="8" w:color="auto"/>
            </w:tcBorders>
          </w:tcPr>
          <w:p>
            <w:pPr>
              <w:jc w:val="center"/>
              <w:spacing w:after="0" w:line="284" w:lineRule="exact"/>
              <w:rPr>
                <w:sz w:val="20"/>
                <w:szCs w:val="20"/>
                <w:color w:val="auto"/>
              </w:rPr>
            </w:pPr>
            <w:r>
              <w:rPr>
                <w:rFonts w:ascii="Times New Roman" w:cs="Times New Roman" w:eastAsia="Times New Roman" w:hAnsi="Times New Roman"/>
                <w:sz w:val="18"/>
                <w:szCs w:val="18"/>
                <w:color w:val="auto"/>
                <w:w w:val="94"/>
              </w:rPr>
              <w:t xml:space="preserve">Other </w:t>
            </w:r>
            <w:r>
              <w:rPr>
                <w:rFonts w:ascii="Times New Roman" w:cs="Times New Roman" w:eastAsia="Times New Roman" w:hAnsi="Times New Roman"/>
                <w:sz w:val="29"/>
                <w:szCs w:val="29"/>
                <w:color w:val="auto"/>
                <w:w w:val="94"/>
                <w:vertAlign w:val="superscript"/>
              </w:rPr>
              <w:t>(1)</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right w:val="single" w:sz="8" w:color="auto"/>
            </w:tcBorders>
          </w:tcPr>
          <w:p>
            <w:pPr>
              <w:jc w:val="center"/>
              <w:spacing w:after="0" w:line="285" w:lineRule="exact"/>
              <w:rPr>
                <w:sz w:val="20"/>
                <w:szCs w:val="20"/>
                <w:color w:val="auto"/>
              </w:rPr>
            </w:pPr>
            <w:r>
              <w:rPr>
                <w:rFonts w:ascii="Times New Roman" w:cs="Times New Roman" w:eastAsia="Times New Roman" w:hAnsi="Times New Roman"/>
                <w:sz w:val="33"/>
                <w:szCs w:val="33"/>
                <w:color w:val="auto"/>
                <w:w w:val="95"/>
                <w:vertAlign w:val="subscript"/>
              </w:rPr>
              <w:t>—</w:t>
            </w:r>
            <w:r>
              <w:rPr>
                <w:rFonts w:ascii="Times New Roman" w:cs="Times New Roman" w:eastAsia="Times New Roman" w:hAnsi="Times New Roman"/>
                <w:sz w:val="14"/>
                <w:szCs w:val="14"/>
                <w:color w:val="auto"/>
                <w:w w:val="95"/>
              </w:rPr>
              <w:t xml:space="preserve"> (1)</w:t>
            </w:r>
          </w:p>
        </w:tc>
        <w:tc>
          <w:tcPr>
            <w:tcW w:w="7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4.625%</w:t>
            </w:r>
          </w:p>
        </w:tc>
        <w:tc>
          <w:tcPr>
            <w:tcW w:w="9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Senior Notes</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due 2033 of</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Waste</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Management,</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20" w:type="dxa"/>
            <w:vAlign w:val="bottom"/>
            <w:tcBorders>
              <w:left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$500,000,000</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99.826%</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$499,130,000</w:t>
            </w:r>
          </w:p>
        </w:tc>
        <w:tc>
          <w:tcPr>
            <w:tcW w:w="9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0.00011020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$55,004.13</w:t>
            </w:r>
          </w:p>
        </w:tc>
        <w:tc>
          <w:tcPr>
            <w:tcW w:w="70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Guarantee of</w:t>
            </w:r>
          </w:p>
        </w:tc>
        <w:tc>
          <w:tcPr>
            <w:tcW w:w="9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4.625%</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Senior Notes</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due 2033 of</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Waste</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Management,</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Inc. by Waste</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Management</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left w:val="single" w:sz="8" w:color="auto"/>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Holdings,</w:t>
            </w:r>
          </w:p>
        </w:tc>
        <w:tc>
          <w:tcPr>
            <w:tcW w:w="92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82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60" w:type="dxa"/>
            <w:vAlign w:val="bottom"/>
            <w:tcBorders>
              <w:bottom w:val="single" w:sz="8" w:color="auto"/>
              <w:right w:val="single" w:sz="8" w:color="auto"/>
            </w:tcBorders>
          </w:tcPr>
          <w:p>
            <w:pPr>
              <w:jc w:val="center"/>
              <w:spacing w:after="0" w:line="284" w:lineRule="exact"/>
              <w:rPr>
                <w:sz w:val="20"/>
                <w:szCs w:val="20"/>
                <w:color w:val="auto"/>
              </w:rPr>
            </w:pPr>
            <w:r>
              <w:rPr>
                <w:rFonts w:ascii="Times New Roman" w:cs="Times New Roman" w:eastAsia="Times New Roman" w:hAnsi="Times New Roman"/>
                <w:sz w:val="18"/>
                <w:szCs w:val="18"/>
                <w:color w:val="auto"/>
                <w:w w:val="87"/>
              </w:rPr>
              <w:t xml:space="preserve">Inc. </w:t>
            </w:r>
            <w:r>
              <w:rPr>
                <w:rFonts w:ascii="Times New Roman" w:cs="Times New Roman" w:eastAsia="Times New Roman" w:hAnsi="Times New Roman"/>
                <w:sz w:val="29"/>
                <w:szCs w:val="29"/>
                <w:color w:val="auto"/>
                <w:w w:val="87"/>
                <w:vertAlign w:val="superscript"/>
              </w:rPr>
              <w:t>(1)</w:t>
            </w:r>
          </w:p>
        </w:tc>
        <w:tc>
          <w:tcPr>
            <w:tcW w:w="920" w:type="dxa"/>
            <w:vAlign w:val="bottom"/>
            <w:tcBorders>
              <w:bottom w:val="single" w:sz="8" w:color="auto"/>
              <w:right w:val="single" w:sz="8" w:color="auto"/>
            </w:tcBorders>
          </w:tcPr>
          <w:p>
            <w:pPr>
              <w:jc w:val="center"/>
              <w:spacing w:after="0" w:line="284" w:lineRule="exact"/>
              <w:rPr>
                <w:sz w:val="20"/>
                <w:szCs w:val="20"/>
                <w:color w:val="auto"/>
              </w:rPr>
            </w:pPr>
            <w:r>
              <w:rPr>
                <w:rFonts w:ascii="Times New Roman" w:cs="Times New Roman" w:eastAsia="Times New Roman" w:hAnsi="Times New Roman"/>
                <w:sz w:val="18"/>
                <w:szCs w:val="18"/>
                <w:color w:val="auto"/>
                <w:w w:val="94"/>
              </w:rPr>
              <w:t xml:space="preserve">Other </w:t>
            </w:r>
            <w:r>
              <w:rPr>
                <w:rFonts w:ascii="Times New Roman" w:cs="Times New Roman" w:eastAsia="Times New Roman" w:hAnsi="Times New Roman"/>
                <w:sz w:val="29"/>
                <w:szCs w:val="29"/>
                <w:color w:val="auto"/>
                <w:w w:val="94"/>
                <w:vertAlign w:val="superscript"/>
              </w:rPr>
              <w:t>(1)</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right w:val="single" w:sz="8" w:color="auto"/>
            </w:tcBorders>
          </w:tcPr>
          <w:p>
            <w:pPr>
              <w:jc w:val="center"/>
              <w:spacing w:after="0" w:line="285" w:lineRule="exact"/>
              <w:rPr>
                <w:sz w:val="20"/>
                <w:szCs w:val="20"/>
                <w:color w:val="auto"/>
              </w:rPr>
            </w:pPr>
            <w:r>
              <w:rPr>
                <w:rFonts w:ascii="Times New Roman" w:cs="Times New Roman" w:eastAsia="Times New Roman" w:hAnsi="Times New Roman"/>
                <w:sz w:val="33"/>
                <w:szCs w:val="33"/>
                <w:color w:val="auto"/>
                <w:w w:val="95"/>
                <w:vertAlign w:val="subscript"/>
              </w:rPr>
              <w:t>—</w:t>
            </w:r>
            <w:r>
              <w:rPr>
                <w:rFonts w:ascii="Times New Roman" w:cs="Times New Roman" w:eastAsia="Times New Roman" w:hAnsi="Times New Roman"/>
                <w:sz w:val="14"/>
                <w:szCs w:val="14"/>
                <w:color w:val="auto"/>
                <w:w w:val="95"/>
              </w:rPr>
              <w:t xml:space="preserve"> (1)</w:t>
            </w:r>
          </w:p>
        </w:tc>
        <w:tc>
          <w:tcPr>
            <w:tcW w:w="7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20" w:type="dxa"/>
            <w:vAlign w:val="bottom"/>
            <w:tcBorders>
              <w:left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Fees</w:t>
            </w:r>
          </w:p>
        </w:tc>
        <w:tc>
          <w:tcPr>
            <w:tcW w:w="68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Previously</w:t>
            </w: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vMerge w:val="continue"/>
          </w:tcPr>
          <w:p>
            <w:pPr>
              <w:spacing w:after="0"/>
              <w:rPr>
                <w:sz w:val="19"/>
                <w:szCs w:val="19"/>
                <w:color w:val="auto"/>
              </w:rPr>
            </w:pPr>
          </w:p>
        </w:tc>
        <w:tc>
          <w:tcPr>
            <w:tcW w:w="1060" w:type="dxa"/>
            <w:vAlign w:val="bottom"/>
            <w:tcBorders>
              <w:bottom w:val="single" w:sz="8" w:color="auto"/>
              <w:right w:val="single" w:sz="8" w:color="auto"/>
            </w:tcBorders>
            <w:vMerge w:val="continue"/>
          </w:tcPr>
          <w:p>
            <w:pPr>
              <w:spacing w:after="0"/>
              <w:rPr>
                <w:sz w:val="19"/>
                <w:szCs w:val="19"/>
                <w:color w:val="auto"/>
              </w:rPr>
            </w:pPr>
          </w:p>
        </w:tc>
        <w:tc>
          <w:tcPr>
            <w:tcW w:w="920" w:type="dxa"/>
            <w:vAlign w:val="bottom"/>
            <w:tcBorders>
              <w:bottom w:val="single" w:sz="8" w:color="auto"/>
              <w:right w:val="single" w:sz="8" w:color="auto"/>
            </w:tcBorders>
            <w:vMerge w:val="continue"/>
          </w:tcPr>
          <w:p>
            <w:pPr>
              <w:spacing w:after="0"/>
              <w:rPr>
                <w:sz w:val="19"/>
                <w:szCs w:val="19"/>
                <w:color w:val="auto"/>
              </w:rPr>
            </w:pPr>
          </w:p>
        </w:tc>
        <w:tc>
          <w:tcPr>
            <w:tcW w:w="1060" w:type="dxa"/>
            <w:vAlign w:val="bottom"/>
            <w:tcBorders>
              <w:bottom w:val="single" w:sz="8" w:color="auto"/>
              <w:right w:val="single" w:sz="8" w:color="auto"/>
            </w:tcBorders>
            <w:vMerge w:val="continue"/>
          </w:tcPr>
          <w:p>
            <w:pPr>
              <w:spacing w:after="0"/>
              <w:rPr>
                <w:sz w:val="19"/>
                <w:szCs w:val="19"/>
                <w:color w:val="auto"/>
              </w:rPr>
            </w:pPr>
          </w:p>
        </w:tc>
        <w:tc>
          <w:tcPr>
            <w:tcW w:w="800" w:type="dxa"/>
            <w:vAlign w:val="bottom"/>
            <w:tcBorders>
              <w:bottom w:val="single" w:sz="8" w:color="auto"/>
              <w:right w:val="single" w:sz="8" w:color="auto"/>
            </w:tcBorders>
            <w:vMerge w:val="continue"/>
          </w:tcPr>
          <w:p>
            <w:pPr>
              <w:spacing w:after="0"/>
              <w:rPr>
                <w:sz w:val="19"/>
                <w:szCs w:val="19"/>
                <w:color w:val="auto"/>
              </w:rPr>
            </w:pPr>
          </w:p>
        </w:tc>
        <w:tc>
          <w:tcPr>
            <w:tcW w:w="1080" w:type="dxa"/>
            <w:vAlign w:val="bottom"/>
            <w:tcBorders>
              <w:bottom w:val="single" w:sz="8" w:color="auto"/>
              <w:right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vMerge w:val="continue"/>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20" w:type="dxa"/>
            <w:vAlign w:val="bottom"/>
            <w:tcBorders>
              <w:left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6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Carry</w:t>
            </w: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82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vMerge w:val="continue"/>
          </w:tcPr>
          <w:p>
            <w:pPr>
              <w:spacing w:after="0"/>
              <w:rPr>
                <w:sz w:val="19"/>
                <w:szCs w:val="19"/>
                <w:color w:val="auto"/>
              </w:rPr>
            </w:pPr>
          </w:p>
        </w:tc>
        <w:tc>
          <w:tcPr>
            <w:tcW w:w="1060" w:type="dxa"/>
            <w:vAlign w:val="bottom"/>
            <w:tcBorders>
              <w:bottom w:val="single" w:sz="8" w:color="auto"/>
              <w:right w:val="single" w:sz="8" w:color="auto"/>
            </w:tcBorders>
            <w:vMerge w:val="continue"/>
          </w:tcPr>
          <w:p>
            <w:pPr>
              <w:spacing w:after="0"/>
              <w:rPr>
                <w:sz w:val="19"/>
                <w:szCs w:val="19"/>
                <w:color w:val="auto"/>
              </w:rPr>
            </w:pPr>
          </w:p>
        </w:tc>
        <w:tc>
          <w:tcPr>
            <w:tcW w:w="920" w:type="dxa"/>
            <w:vAlign w:val="bottom"/>
            <w:tcBorders>
              <w:bottom w:val="single" w:sz="8" w:color="auto"/>
              <w:right w:val="single" w:sz="8" w:color="auto"/>
            </w:tcBorders>
            <w:vMerge w:val="continue"/>
          </w:tcPr>
          <w:p>
            <w:pPr>
              <w:spacing w:after="0"/>
              <w:rPr>
                <w:sz w:val="19"/>
                <w:szCs w:val="19"/>
                <w:color w:val="auto"/>
              </w:rPr>
            </w:pPr>
          </w:p>
        </w:tc>
        <w:tc>
          <w:tcPr>
            <w:tcW w:w="1060" w:type="dxa"/>
            <w:vAlign w:val="bottom"/>
            <w:tcBorders>
              <w:bottom w:val="single" w:sz="8" w:color="auto"/>
              <w:right w:val="single" w:sz="8" w:color="auto"/>
            </w:tcBorders>
            <w:vMerge w:val="continue"/>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vMerge w:val="continue"/>
          </w:tcPr>
          <w:p>
            <w:pPr>
              <w:spacing w:after="0"/>
              <w:rPr>
                <w:sz w:val="19"/>
                <w:szCs w:val="19"/>
                <w:color w:val="auto"/>
              </w:rPr>
            </w:pPr>
          </w:p>
        </w:tc>
        <w:tc>
          <w:tcPr>
            <w:tcW w:w="680" w:type="dxa"/>
            <w:vAlign w:val="bottom"/>
            <w:tcBorders>
              <w:bottom w:val="single" w:sz="8" w:color="auto"/>
              <w:right w:val="single" w:sz="8" w:color="auto"/>
            </w:tcBorders>
            <w:vMerge w:val="continue"/>
          </w:tcPr>
          <w:p>
            <w:pPr>
              <w:spacing w:after="0"/>
              <w:rPr>
                <w:sz w:val="19"/>
                <w:szCs w:val="19"/>
                <w:color w:val="auto"/>
              </w:rPr>
            </w:pPr>
          </w:p>
        </w:tc>
        <w:tc>
          <w:tcPr>
            <w:tcW w:w="700" w:type="dxa"/>
            <w:vAlign w:val="bottom"/>
            <w:tcBorders>
              <w:bottom w:val="single" w:sz="8" w:color="auto"/>
              <w:right w:val="single" w:sz="8" w:color="auto"/>
            </w:tcBorders>
            <w:vMerge w:val="continue"/>
          </w:tcPr>
          <w:p>
            <w:pPr>
              <w:spacing w:after="0"/>
              <w:rPr>
                <w:sz w:val="19"/>
                <w:szCs w:val="19"/>
                <w:color w:val="auto"/>
              </w:rPr>
            </w:pPr>
          </w:p>
        </w:tc>
        <w:tc>
          <w:tcPr>
            <w:tcW w:w="9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Total Offering Amounts</w:t>
            </w:r>
          </w:p>
        </w:tc>
        <w:tc>
          <w:tcPr>
            <w:tcW w:w="80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$1,248,065,000</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$137,536.77</w:t>
            </w:r>
          </w:p>
        </w:tc>
        <w:tc>
          <w:tcPr>
            <w:tcW w:w="70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Total Fees Previously Paid</w:t>
            </w:r>
          </w:p>
        </w:tc>
        <w:tc>
          <w:tcPr>
            <w:tcW w:w="8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2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w:t>
            </w:r>
          </w:p>
        </w:tc>
        <w:tc>
          <w:tcPr>
            <w:tcW w:w="8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Net Fee Due</w:t>
            </w:r>
          </w:p>
        </w:tc>
        <w:tc>
          <w:tcPr>
            <w:tcW w:w="8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$137,536.77</w:t>
            </w:r>
          </w:p>
        </w:tc>
        <w:tc>
          <w:tcPr>
            <w:tcW w:w="7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95" w:orient="portrait"/>
          <w:cols w:equalWidth="0" w:num="1">
            <w:col w:w="11340"/>
          </w:cols>
          <w:pgMar w:left="320" w:top="117" w:right="239" w:bottom="0" w:gutter="0" w:footer="0" w:header="0"/>
        </w:sectPr>
      </w:pPr>
    </w:p>
    <w:p>
      <w:pPr>
        <w:ind w:left="460" w:right="280" w:hanging="452"/>
        <w:spacing w:after="0" w:line="312" w:lineRule="auto"/>
        <w:tabs>
          <w:tab w:leader="none" w:pos="4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Waste Management Holdings, Inc. will fully and unconditionally guarantee the 4.625% Senior Notes due 2030 and 4.625% Senior Notes due 2033, each issued by Waste Management, Inc. Pursuant to Rule 457(n) under the Securities Act of 1933, as amended, no separate fee is payable with</w:t>
      </w:r>
    </w:p>
    <w:p>
      <w:pPr>
        <w:sectPr>
          <w:pgSz w:w="11900" w:h="16895" w:orient="portrait"/>
          <w:cols w:equalWidth="0" w:num="1">
            <w:col w:w="11340"/>
          </w:cols>
          <w:pgMar w:left="320" w:top="117" w:right="239"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7"/>
          <w:szCs w:val="17"/>
          <w:color w:val="auto"/>
        </w:rPr>
        <w:t>respect to each such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453390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679"/>
      </w:cols>
      <w:pgMar w:left="7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lowerLetter"/>
      <w:start w:val="1"/>
    </w:lvl>
  </w:abstractNum>
  <w:abstractNum w:abstractNumId="3">
    <w:nsid w:val="1E7FF521"/>
    <w:multiLevelType w:val="hybridMultilevel"/>
    <w:lvl w:ilvl="0">
      <w:lvlJc w:val="left"/>
      <w:lvlText w:val="(%1)"/>
      <w:numFmt w:val="lowerLetter"/>
      <w:start w:val="2"/>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1"/>
    </w:lvl>
    <w:lvl w:ilvl="1">
      <w:lvlJc w:val="left"/>
      <w:lvlText w:val="(%2)"/>
      <w:numFmt w:val="lowerLetter"/>
      <w:start w:val="1"/>
    </w:lvl>
  </w:abstractNum>
  <w:abstractNum w:abstractNumId="8">
    <w:nsid w:val="4516DDE9"/>
    <w:multiLevelType w:val="hybridMultilevel"/>
    <w:lvl w:ilvl="0">
      <w:lvlJc w:val="left"/>
      <w:lvlText w:val="%1"/>
      <w:numFmt w:val="lowerLetter"/>
      <w:start w:val="1"/>
    </w:lvl>
    <w:lvl w:ilvl="1">
      <w:lvlJc w:val="left"/>
      <w:lvlText w:val="(%2)"/>
      <w:numFmt w:val="lowerLetter"/>
      <w:start w:val="2"/>
    </w:lvl>
  </w:abstractNum>
  <w:abstractNum w:abstractNumId="9">
    <w:nsid w:val="3006C83E"/>
    <w:multiLevelType w:val="hybridMultilevel"/>
    <w:lvl w:ilvl="0">
      <w:lvlJc w:val="left"/>
      <w:lvlText w:val="(%1)"/>
      <w:numFmt w:val="lowerLetter"/>
      <w:start w:val="61"/>
    </w:lvl>
    <w:lvl w:ilvl="1">
      <w:lvlJc w:val="left"/>
      <w:lvlText w:val="%2"/>
      <w:numFmt w:val="lowerLetter"/>
      <w:start w:val="1"/>
    </w:lvl>
  </w:abstractNum>
  <w:abstractNum w:abstractNumId="10">
    <w:nsid w:val="614FD4A1"/>
    <w:multiLevelType w:val="hybridMultilevel"/>
    <w:lvl w:ilvl="0">
      <w:lvlJc w:val="left"/>
      <w:lvlText w:val="(%1)"/>
      <w:numFmt w:val="decimal"/>
      <w:start w:val="2"/>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lowerRoman"/>
      <w:start w:val="2"/>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lowerRoman"/>
      <w:start w:val="3"/>
    </w:lvl>
  </w:abstractNum>
  <w:abstractNum w:abstractNumId="22">
    <w:nsid w:val="2D517796"/>
    <w:multiLevelType w:val="hybridMultilevel"/>
    <w:lvl w:ilvl="0">
      <w:lvlJc w:val="left"/>
      <w:lvlText w:val="%1."/>
      <w:numFmt w:val="upperLetter"/>
      <w:start w:val="1"/>
    </w:lvl>
  </w:abstractNum>
  <w:abstractNum w:abstractNumId="23">
    <w:nsid w:val="580BD78F"/>
    <w:multiLevelType w:val="hybridMultilevel"/>
    <w:lvl w:ilvl="0">
      <w:lvlJc w:val="left"/>
      <w:lvlText w:val="(%1)"/>
      <w:numFmt w:val="lowerRoman"/>
      <w:start w:val="3"/>
    </w:lvl>
  </w:abstractNum>
  <w:abstractNum w:abstractNumId="24">
    <w:nsid w:val="153EA438"/>
    <w:multiLevelType w:val="hybridMultilevel"/>
    <w:lvl w:ilvl="0">
      <w:lvlJc w:val="left"/>
      <w:lvlText w:val="%1."/>
      <w:numFmt w:val="upperLetter"/>
      <w:start w:val="1"/>
    </w:lvl>
  </w:abstractNum>
  <w:abstractNum w:abstractNumId="25">
    <w:nsid w:val="3855585C"/>
    <w:multiLevelType w:val="hybridMultilevel"/>
    <w:lvl w:ilvl="0">
      <w:lvlJc w:val="left"/>
      <w:lvlText w:val="(%1)"/>
      <w:numFmt w:val="lowerRoman"/>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1)"/>
      <w:numFmt w:val="decimal"/>
      <w:start w:val="713"/>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lowerLetter"/>
      <w:start w:val="3"/>
    </w:lvl>
    <w:lvl w:ilvl="1">
      <w:lvlJc w:val="left"/>
      <w:lvlText w:val="•"/>
      <w:numFmt w:val="bullet"/>
      <w:start w:val="1"/>
    </w:lvl>
  </w:abstractNum>
  <w:abstractNum w:abstractNumId="49">
    <w:nsid w:val="520EEDD1"/>
    <w:multiLevelType w:val="hybridMultilevel"/>
    <w:lvl w:ilvl="0">
      <w:lvlJc w:val="left"/>
      <w:lvlText w:val="(%1)"/>
      <w:numFmt w:val="lowerLetter"/>
      <w:start w:val="12"/>
    </w:lvl>
  </w:abstractNum>
  <w:abstractNum w:abstractNumId="50">
    <w:nsid w:val="374A3FE6"/>
    <w:multiLevelType w:val="hybridMultilevel"/>
    <w:lvl w:ilvl="0">
      <w:lvlJc w:val="left"/>
      <w:lvlText w:val="(%1)"/>
      <w:numFmt w:val="lowerLetter"/>
      <w:start w:val="14"/>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80"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jpe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jpe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75" Type="http://schemas.openxmlformats.org/officeDocument/2006/relationships/hyperlink" Target="http://www.sec.gov/ix?doc=/Archives/edgar/data/823768/000155837023000964/wm-20221231x10k.htm" TargetMode="External"/><Relationship Id="rId78" Type="http://schemas.openxmlformats.org/officeDocument/2006/relationships/hyperlink" Target="https://www.sec.gov/ix?doc=/Archives/edgar/data/823768/000155837023000964/wm-20221231x10k.htm" TargetMode="External"/><Relationship Id="rId79" Type="http://schemas.openxmlformats.org/officeDocument/2006/relationships/hyperlink" Target="http://www.sec.gov/ix?doc=/Archives/edgar/data/823768/000110465923011281/tm235358d1_8k.htm" TargetMode="External"/><Relationship Id="rId81" Type="http://schemas.openxmlformats.org/officeDocument/2006/relationships/hyperlink" Target="http://www.sec.gov/Archives/edgar/data/823768/000110465922039107/tm223363-1_def14a.htm" TargetMode="External"/><Relationship Id="rId82" Type="http://schemas.openxmlformats.org/officeDocument/2006/relationships/hyperlink" Target="http://www.sec.gov/ix?doc=/Archives/edgar/data/823768/000155837022001179/wm-20211231x10k.htm" TargetMode="External"/><Relationship Id="rId94" Type="http://schemas.openxmlformats.org/officeDocument/2006/relationships/hyperlink" Target="https://www.sec.gov/ix?doc=/Archives/edgar/data/823768/000155837022001179/wm-20211231x10k.htm" TargetMode="External"/><Relationship Id="rId95" Type="http://schemas.openxmlformats.org/officeDocument/2006/relationships/hyperlink" Target="https://www.sec.gov/ix?doc=/Archives/edgar/data/823768/000155837022004593/wm-20211231x10ka.htm" TargetMode="External"/><Relationship Id="rId96" Type="http://schemas.openxmlformats.org/officeDocument/2006/relationships/hyperlink" Target="http://www.sec.gov/ix?doc=/Archives/edgar/data/0000823768/000155837022005976/wm-20220331x10q.htm" TargetMode="External"/><Relationship Id="rId97" Type="http://schemas.openxmlformats.org/officeDocument/2006/relationships/hyperlink" Target="https://www.sec.gov/ix?doc=/Archives/edgar/data/823768/000110465922030973/tm228341d1_8k.htm" TargetMode="External"/><Relationship Id="rId98" Type="http://schemas.openxmlformats.org/officeDocument/2006/relationships/hyperlink" Target="https://www.sec.gov/Archives/edgar/data/823768/000110465922039107/tm223363-1_def14a.htm" TargetMode="External"/><Relationship Id="rId99" Type="http://schemas.openxmlformats.org/officeDocument/2006/relationships/hyperlink" Target="http://www.sec.gov/Archives/edgar/data/823768/0000950134-95-001585-index.htm" TargetMode="External"/><Relationship Id="rId100" Type="http://schemas.openxmlformats.org/officeDocument/2006/relationships/hyperlink" Target="http://www.sec.gov/Archives/edgar/data/823768/000155837020000762/ex-4d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2023-02-09T15:51:38Z</dcterms:created>
  <dcterms:modified xsi:type="dcterms:W3CDTF">2023-02-09T15:51:38Z</dcterms:modified>
</cp:coreProperties>
</file>