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198"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AS FILED WITH THE SECURITIES AND EXCHANGE COMMISSION ON JULY 16, 2001</w:t>
      </w:r>
    </w:p>
    <w:p>
      <w:pPr>
        <w:spacing w:after="0" w:line="198" w:lineRule="exact"/>
        <w:rPr>
          <w:sz w:val="24"/>
          <w:szCs w:val="24"/>
          <w:color w:val="auto"/>
        </w:rPr>
      </w:pPr>
    </w:p>
    <w:p>
      <w:pPr>
        <w:ind w:left="5320"/>
        <w:spacing w:after="0"/>
        <w:rPr>
          <w:sz w:val="20"/>
          <w:szCs w:val="20"/>
          <w:color w:val="auto"/>
        </w:rPr>
      </w:pPr>
      <w:r>
        <w:rPr>
          <w:rFonts w:ascii="Courier New" w:cs="Courier New" w:eastAsia="Courier New" w:hAnsi="Courier New"/>
          <w:sz w:val="16"/>
          <w:szCs w:val="16"/>
          <w:color w:val="auto"/>
        </w:rPr>
        <w:t>REGISTRATION NO. 333-45062</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POST-EFFECTIVE AMENDMENT NO. 1</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TO</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FORM S-8</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REGISTRATION STATEMENT</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UNDER THE SECURITIES ACT OF 1933</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WASTE MANAGEMENT, INC.</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3" w:right="1440" w:bottom="1440" w:gutter="0" w:footer="0" w:header="0"/>
        </w:sectPr>
      </w:pPr>
    </w:p>
    <w:p>
      <w:pPr>
        <w:spacing w:after="0" w:line="200" w:lineRule="exact"/>
        <w:rPr>
          <w:sz w:val="24"/>
          <w:szCs w:val="24"/>
          <w:color w:val="auto"/>
        </w:rPr>
      </w:pPr>
    </w:p>
    <w:p>
      <w:pPr>
        <w:spacing w:after="0" w:line="377"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 incorporation or</w:t>
      </w:r>
    </w:p>
    <w:p>
      <w:pPr>
        <w:spacing w:after="0" w:line="8"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7"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73-1309529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389" w:lineRule="exact"/>
        <w:rPr>
          <w:sz w:val="24"/>
          <w:szCs w:val="24"/>
          <w:color w:val="auto"/>
        </w:rPr>
      </w:pPr>
    </w:p>
    <w:p>
      <w:pPr>
        <w:sectPr>
          <w:pgSz w:w="11900" w:h="16838" w:orient="portrait"/>
          <w:cols w:equalWidth="0" w:num="2">
            <w:col w:w="4740" w:space="380"/>
            <w:col w:w="5099"/>
          </w:cols>
          <w:pgMar w:left="240" w:top="243" w:right="1440" w:bottom="1440" w:gutter="0" w:footer="0" w:header="0"/>
          <w:type w:val="continuous"/>
        </w:sectPr>
      </w:pPr>
    </w:p>
    <w:p>
      <w:pPr>
        <w:spacing w:after="0" w:line="18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1001 FANNIN STREET</w:t>
      </w:r>
    </w:p>
    <w:p>
      <w:pPr>
        <w:spacing w:after="0" w:line="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SUITE 4000</w:t>
      </w:r>
    </w:p>
    <w:p>
      <w:pPr>
        <w:spacing w:after="0" w:line="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HOUSTON, TEXAS 77001</w:t>
      </w:r>
    </w:p>
    <w:p>
      <w:pPr>
        <w:spacing w:after="0" w:line="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(713) 512-6200</w:t>
      </w:r>
    </w:p>
    <w:p>
      <w:pPr>
        <w:spacing w:after="0" w:line="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8"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Registrant's principal executive offices)</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left="300" w:right="2619"/>
        <w:spacing w:after="0" w:line="257" w:lineRule="auto"/>
        <w:rPr>
          <w:sz w:val="20"/>
          <w:szCs w:val="20"/>
          <w:color w:val="auto"/>
        </w:rPr>
      </w:pPr>
      <w:r>
        <w:rPr>
          <w:rFonts w:ascii="Courier New" w:cs="Courier New" w:eastAsia="Courier New" w:hAnsi="Courier New"/>
          <w:sz w:val="16"/>
          <w:szCs w:val="16"/>
          <w:color w:val="auto"/>
        </w:rPr>
        <w:t>WASTE MANAGEMENT RETIREMENT SAVINGS PLAN WASTE MANAGEMENT RETIREMENT SAVINGS PLAN FOR BARGAINING UNIT EMPLOYEES (Full titles of the Plans)</w:t>
      </w:r>
    </w:p>
    <w:p>
      <w:pPr>
        <w:spacing w:after="0" w:line="370"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LAWRENCE O'DONNELL, III</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WASTE MANAGEMENT, INC.</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1001 FANNIN STREET</w:t>
      </w:r>
    </w:p>
    <w:p>
      <w:pPr>
        <w:spacing w:after="0" w:line="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SUITE 4000</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HOUSTON, TEXAS 77002</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(713) 512-6200</w:t>
      </w:r>
    </w:p>
    <w:p>
      <w:pPr>
        <w:spacing w:after="0" w:line="8" w:lineRule="exact"/>
        <w:rPr>
          <w:sz w:val="24"/>
          <w:szCs w:val="24"/>
          <w:color w:val="auto"/>
        </w:rPr>
      </w:pPr>
    </w:p>
    <w:p>
      <w:pPr>
        <w:ind w:left="1880" w:right="3419" w:hanging="699"/>
        <w:spacing w:after="0" w:line="255" w:lineRule="auto"/>
        <w:tabs>
          <w:tab w:leader="none" w:pos="186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184"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3"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EXPLANATORY STATEMENT</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This Post-Effective Amendment No. 1 to Registration Statement No. 333-45062 on Form S-8 (the "Registration Statement") is filed for the purpose of adding the Waste Management Retirement Savings Plan for Bargaining Unit Employees (the "Union Plan") to the Registration Statement. The Waste Management Retirement Savings Plan (the "401(k) Plan" and, together with the Union Plan, the "Plans") and the Union Plan are funded under a master trust agreement with the Plans' trustee and administrator. The 2,500,000 shares of the Company's common stock registered under the Registration Statement on September 1, 2000 relate to issuances under both Plans.</w:t>
      </w:r>
    </w:p>
    <w:p>
      <w:pPr>
        <w:spacing w:after="0" w:line="190"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PART I</w:t>
      </w:r>
    </w:p>
    <w:p>
      <w:pPr>
        <w:spacing w:after="0" w:line="19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INFORMATION REQUIRED IN THE SECTION 10(a) PROSPECTUS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PLAN INFORMATION.*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REGISTRANT INFORMATION AND EMPLOYEE PLAN ANNUAL INFORMATION.*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right="2339" w:firstLine="1"/>
        <w:spacing w:after="0" w:line="253" w:lineRule="auto"/>
        <w:tabs>
          <w:tab w:leader="none" w:pos="19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required by Part I to be contained in the Section 10(a) prospectus is omitted from this Registration Statement in accordance with Rule 428 under the Securities Act of 1933, as amended, and the "Note" to Part I of Form S-8.</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306"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PART II</w:t>
      </w:r>
    </w:p>
    <w:p>
      <w:pPr>
        <w:spacing w:after="0" w:line="19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INCORPORATION OF DOCUMENTS BY REFERENCE.</w:t>
      </w:r>
    </w:p>
    <w:p>
      <w:pPr>
        <w:spacing w:after="0" w:line="198" w:lineRule="exact"/>
        <w:rPr>
          <w:sz w:val="20"/>
          <w:szCs w:val="20"/>
          <w:color w:val="auto"/>
        </w:rPr>
      </w:pPr>
    </w:p>
    <w:p>
      <w:pPr>
        <w:jc w:val="both"/>
        <w:ind w:right="2519" w:firstLine="493"/>
        <w:spacing w:after="0" w:line="253" w:lineRule="auto"/>
        <w:rPr>
          <w:sz w:val="20"/>
          <w:szCs w:val="20"/>
          <w:color w:val="auto"/>
        </w:rPr>
      </w:pPr>
      <w:r>
        <w:rPr>
          <w:rFonts w:ascii="Courier New" w:cs="Courier New" w:eastAsia="Courier New" w:hAnsi="Courier New"/>
          <w:sz w:val="16"/>
          <w:szCs w:val="16"/>
          <w:color w:val="auto"/>
        </w:rPr>
        <w:t>The following documents filed with the Securities and Exchange Commission (the "Commission") by the Registrant are hereby incorporated by reference into this Registration Statement:</w:t>
      </w:r>
    </w:p>
    <w:p>
      <w:pPr>
        <w:spacing w:after="0" w:line="185" w:lineRule="exact"/>
        <w:rPr>
          <w:sz w:val="20"/>
          <w:szCs w:val="20"/>
          <w:color w:val="auto"/>
        </w:rPr>
      </w:pPr>
    </w:p>
    <w:p>
      <w:pPr>
        <w:ind w:left="980" w:right="2819" w:hanging="486"/>
        <w:spacing w:after="0" w:line="255" w:lineRule="auto"/>
        <w:tabs>
          <w:tab w:leader="none" w:pos="9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fiscal year ended December 31, 2000.</w:t>
      </w:r>
    </w:p>
    <w:p>
      <w:pPr>
        <w:spacing w:after="0" w:line="183"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quarter ended March 31, 2001.</w:t>
      </w:r>
    </w:p>
    <w:p>
      <w:pPr>
        <w:spacing w:after="0" w:line="197" w:lineRule="exact"/>
        <w:rPr>
          <w:rFonts w:ascii="Courier New" w:cs="Courier New" w:eastAsia="Courier New" w:hAnsi="Courier New"/>
          <w:sz w:val="16"/>
          <w:szCs w:val="16"/>
          <w:color w:val="auto"/>
        </w:rPr>
      </w:pPr>
    </w:p>
    <w:p>
      <w:pPr>
        <w:ind w:left="980" w:right="2439" w:hanging="486"/>
        <w:spacing w:after="0" w:line="252" w:lineRule="auto"/>
        <w:tabs>
          <w:tab w:leader="none" w:pos="9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186" w:lineRule="exact"/>
        <w:rPr>
          <w:sz w:val="20"/>
          <w:szCs w:val="20"/>
          <w:color w:val="auto"/>
        </w:rPr>
      </w:pPr>
    </w:p>
    <w:p>
      <w:pPr>
        <w:ind w:right="2519" w:firstLine="493"/>
        <w:spacing w:after="0" w:line="255" w:lineRule="auto"/>
        <w:rPr>
          <w:sz w:val="20"/>
          <w:szCs w:val="20"/>
          <w:color w:val="auto"/>
        </w:rPr>
      </w:pPr>
      <w:r>
        <w:rPr>
          <w:rFonts w:ascii="Courier New" w:cs="Courier New" w:eastAsia="Courier New" w:hAnsi="Courier New"/>
          <w:sz w:val="16"/>
          <w:szCs w:val="16"/>
          <w:color w:val="auto"/>
        </w:rPr>
        <w:t>The following documents filed with the Commission by the Plans are hereby incorporated by reference into this Registration Statement:</w:t>
      </w:r>
    </w:p>
    <w:p>
      <w:pPr>
        <w:spacing w:after="0" w:line="184" w:lineRule="exact"/>
        <w:rPr>
          <w:sz w:val="20"/>
          <w:szCs w:val="20"/>
          <w:color w:val="auto"/>
        </w:rPr>
      </w:pPr>
    </w:p>
    <w:p>
      <w:pPr>
        <w:ind w:left="980" w:right="2619" w:hanging="486"/>
        <w:spacing w:after="0" w:line="255" w:lineRule="auto"/>
        <w:tabs>
          <w:tab w:leader="none" w:pos="9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Reports on Forms 11-K for the fiscal year ended December 31, 2000.</w:t>
      </w:r>
    </w:p>
    <w:p>
      <w:pPr>
        <w:spacing w:after="0" w:line="184"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All documents subsequently filed by the Registrant and the Plans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DESCRIPTION OF SECURITIES.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INTERESTS OF NAMED EXPERTS AND COUNSEL.</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INDEMNIFICATION OF DIRECTORS AND OFFICERS.</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Restated Certificate of Incorporation (the "Charter") and the Bylaws of the Registrant provide in effect that the Registrant shall indemnify its directors, officers, employees and agents (as well as persons serving as a director officer, employee or agent of any of the Registrant's direct or indirect subsidiaries) to the extent permitted by the General Corporation Law of the State of Delaware (the "DGCL"). Sections 102 and 145 of the DGCL provide that a Delaware corporation has the power to indemnify its directors, officers, employees and agents in certain circumstances, as described below.</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In accordance with Section 102 of the DGCL, the Registrant's Charter contains a provision that eliminates the personal liability of directors of the Registrant or its stockholders for monetary damages for breach of fiduciary duty as a director, except in cases where the director breached his or her duty of loyalty to the Registrant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306"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198"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Pursuant to Subsection (a)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Registrant),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Pursuant to Subsection (b)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or suit by or in the right of the Registrant to procure a judgment in its favor by reason of the fact that such person acted in any of the capacities set forth above, against expenses (including attorney's fees), judgments, fines, penalties and amounts paid in settlement actually and reasonably incurred in connection with the investigation, preparation to defend or defense of such action or suit provided that such person acted in good faith and in a manner he or she reasonably believed to be in or not opposed to the best interest of the Registrant, except that no indemnification may be made in respect of any claim, issue or matter as to which such person shall have been adjudged to be liable to the Registrant unless and only to the extent that the Court of Chancery (or such other court in which such action or suit has been brought) shall determine that despite the adjudication of liability such person is fairly and reasonable entitled to indemnity for such expenses which the court shall deem proper.</w:t>
      </w:r>
    </w:p>
    <w:p>
      <w:pPr>
        <w:spacing w:after="0" w:line="38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The Registrant's Bylaws further provide that, to the extent that a director, officer employee or agent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reasonable incurred by him or her in connection therewith. Any person seeking indemnification as described above shall be deemed to have met the standard of conduct required for such indemnification unless the contrary shall be established. The indemnification provided by Section 145 of the DGCL shall not be exclusive of any other rights to which the party seeking indemnification may be entitled.</w:t>
      </w:r>
    </w:p>
    <w:p>
      <w:pPr>
        <w:spacing w:after="0" w:line="379"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Section 145 of the DGCL also provides that a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The Registrant has purchased certain liability insurance for its officers and directors.</w:t>
      </w:r>
    </w:p>
    <w:p>
      <w:pPr>
        <w:spacing w:after="0" w:line="190"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The Registrant has entered into indemnification agreements with certain of its executive officers and certain o its executive officers' employment agreements contain indemnification provisions. Such agreements and provisions generally provide that such persons will be indemnified and held harmless to the fullest extent of Delaware law.</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EXEMPTION FROM REGISTRATION CLAIMED.</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Not applicable.</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306"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EXHIBITS.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following exhibits are filed as part of this Registration Statement:</w:t>
      </w:r>
    </w:p>
    <w:p>
      <w:pPr>
        <w:spacing w:after="0" w:line="198" w:lineRule="exact"/>
        <w:rPr>
          <w:sz w:val="20"/>
          <w:szCs w:val="20"/>
          <w:color w:val="auto"/>
        </w:rPr>
      </w:pPr>
    </w:p>
    <w:p>
      <w:pPr>
        <w:ind w:left="500" w:right="2619" w:hanging="788"/>
        <w:spacing w:after="0" w:line="253" w:lineRule="auto"/>
        <w:tabs>
          <w:tab w:leader="none" w:pos="480" w:val="left"/>
        </w:tabs>
        <w:rPr>
          <w:sz w:val="20"/>
          <w:szCs w:val="20"/>
          <w:color w:val="auto"/>
        </w:rPr>
      </w:pPr>
      <w:r>
        <w:rPr>
          <w:rFonts w:ascii="Courier New" w:cs="Courier New" w:eastAsia="Courier New" w:hAnsi="Courier New"/>
          <w:sz w:val="16"/>
          <w:szCs w:val="16"/>
          <w:color w:val="auto"/>
        </w:rPr>
        <w:t>4.1</w:t>
        <w:tab/>
        <w:t>- Restated Certificate of Incorporation (Incorporated by reference to Exhibit 3.2 to the Registrant's Current Report on Form 8-K dated July 16, 1998).</w:t>
      </w:r>
    </w:p>
    <w:p>
      <w:pPr>
        <w:spacing w:after="0" w:line="185" w:lineRule="exact"/>
        <w:rPr>
          <w:sz w:val="20"/>
          <w:szCs w:val="20"/>
          <w:color w:val="auto"/>
        </w:rPr>
      </w:pPr>
    </w:p>
    <w:p>
      <w:pPr>
        <w:ind w:left="500" w:right="2819" w:hanging="788"/>
        <w:spacing w:after="0" w:line="255" w:lineRule="auto"/>
        <w:tabs>
          <w:tab w:leader="none" w:pos="480" w:val="left"/>
        </w:tabs>
        <w:rPr>
          <w:sz w:val="20"/>
          <w:szCs w:val="20"/>
          <w:color w:val="auto"/>
        </w:rPr>
      </w:pPr>
      <w:r>
        <w:rPr>
          <w:rFonts w:ascii="Courier New" w:cs="Courier New" w:eastAsia="Courier New" w:hAnsi="Courier New"/>
          <w:sz w:val="16"/>
          <w:szCs w:val="16"/>
          <w:color w:val="auto"/>
        </w:rPr>
        <w:t>4.2</w:t>
        <w:tab/>
        <w:t>- Bylaws (Incorporated by reference to Exhibit 3 to the Registrant's Quarterly Report on Form 10-Q for the Quarter ended June 30, 2000).</w:t>
      </w:r>
    </w:p>
    <w:p>
      <w:pPr>
        <w:spacing w:after="0" w:line="18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23.1 -</w:t>
        <w:tab/>
        <w:t>Consent of Arthur Andersen LLP.</w:t>
      </w:r>
    </w:p>
    <w:p>
      <w:pPr>
        <w:spacing w:after="0" w:line="198"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The Registrant hereby undertakes that it will submit or has submitted the Plans and any amendments thereto to the Internal Revenue Service (the "IRS") in a timely manner and has made or will make all changes required by the IRS in order to qualify the Plans.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UNDERTAKINGS.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 The undersigned Registrant hereby undertakes:</w:t>
      </w:r>
    </w:p>
    <w:p>
      <w:pPr>
        <w:spacing w:after="0" w:line="198" w:lineRule="exact"/>
        <w:rPr>
          <w:sz w:val="20"/>
          <w:szCs w:val="20"/>
          <w:color w:val="auto"/>
        </w:rPr>
      </w:pPr>
    </w:p>
    <w:p>
      <w:pPr>
        <w:ind w:left="980" w:right="2439" w:hanging="486"/>
        <w:spacing w:after="0" w:line="255" w:lineRule="auto"/>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3" w:lineRule="exact"/>
        <w:rPr>
          <w:rFonts w:ascii="Courier New" w:cs="Courier New" w:eastAsia="Courier New" w:hAnsi="Courier New"/>
          <w:sz w:val="16"/>
          <w:szCs w:val="16"/>
          <w:color w:val="auto"/>
        </w:rPr>
      </w:pPr>
    </w:p>
    <w:p>
      <w:pPr>
        <w:ind w:left="1580" w:right="2619" w:hanging="593"/>
        <w:spacing w:after="0" w:line="255" w:lineRule="auto"/>
        <w:tabs>
          <w:tab w:leader="none" w:pos="15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 as amended (the "Securities Act");</w:t>
      </w:r>
    </w:p>
    <w:p>
      <w:pPr>
        <w:spacing w:after="0" w:line="183" w:lineRule="exact"/>
        <w:rPr>
          <w:rFonts w:ascii="Courier New" w:cs="Courier New" w:eastAsia="Courier New" w:hAnsi="Courier New"/>
          <w:sz w:val="16"/>
          <w:szCs w:val="16"/>
          <w:color w:val="auto"/>
        </w:rPr>
      </w:pPr>
    </w:p>
    <w:p>
      <w:pPr>
        <w:ind w:left="1580" w:right="2339" w:hanging="593"/>
        <w:spacing w:after="0" w:line="252" w:lineRule="auto"/>
        <w:tabs>
          <w:tab w:leader="none" w:pos="15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which represent a fundamental change in the information set forth in the Registration Statement; and</w:t>
      </w:r>
    </w:p>
    <w:p>
      <w:pPr>
        <w:spacing w:after="0" w:line="186" w:lineRule="exact"/>
        <w:rPr>
          <w:rFonts w:ascii="Courier New" w:cs="Courier New" w:eastAsia="Courier New" w:hAnsi="Courier New"/>
          <w:sz w:val="16"/>
          <w:szCs w:val="16"/>
          <w:color w:val="auto"/>
        </w:rPr>
      </w:pPr>
    </w:p>
    <w:p>
      <w:pPr>
        <w:ind w:left="1580" w:right="2439" w:hanging="593"/>
        <w:spacing w:after="0" w:line="252" w:lineRule="auto"/>
        <w:tabs>
          <w:tab w:leader="none" w:pos="15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ind w:left="500" w:right="2339"/>
        <w:spacing w:after="0" w:line="251" w:lineRule="auto"/>
        <w:rPr>
          <w:sz w:val="20"/>
          <w:szCs w:val="20"/>
          <w:color w:val="auto"/>
        </w:rPr>
      </w:pPr>
      <w:r>
        <w:rPr>
          <w:rFonts w:ascii="Courier New" w:cs="Courier New" w:eastAsia="Courier New" w:hAnsi="Courier New"/>
          <w:sz w:val="16"/>
          <w:szCs w:val="16"/>
          <w:color w:val="auto"/>
        </w:rPr>
        <w:t>Provided, however, that the undertakings set forth in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190" w:lineRule="exact"/>
        <w:rPr>
          <w:sz w:val="20"/>
          <w:szCs w:val="20"/>
          <w:color w:val="auto"/>
        </w:rPr>
      </w:pPr>
    </w:p>
    <w:p>
      <w:pPr>
        <w:ind w:left="980" w:right="2439" w:hanging="486"/>
        <w:spacing w:after="0" w:line="252" w:lineRule="auto"/>
        <w:tabs>
          <w:tab w:leader="none" w:pos="9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85" w:lineRule="exact"/>
        <w:rPr>
          <w:rFonts w:ascii="Courier New" w:cs="Courier New" w:eastAsia="Courier New" w:hAnsi="Courier New"/>
          <w:sz w:val="16"/>
          <w:szCs w:val="16"/>
          <w:color w:val="auto"/>
        </w:rPr>
      </w:pPr>
    </w:p>
    <w:p>
      <w:pPr>
        <w:ind w:left="980" w:right="2339" w:hanging="486"/>
        <w:spacing w:after="0" w:line="253" w:lineRule="auto"/>
        <w:tabs>
          <w:tab w:leader="none" w:pos="9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that remain unsold at the termination of the offering.</w:t>
      </w:r>
    </w:p>
    <w:p>
      <w:pPr>
        <w:spacing w:after="0" w:line="185" w:lineRule="exact"/>
        <w:rPr>
          <w:sz w:val="20"/>
          <w:szCs w:val="20"/>
          <w:color w:val="auto"/>
        </w:rPr>
      </w:pPr>
    </w:p>
    <w:p>
      <w:pPr>
        <w:ind w:right="2339" w:firstLine="494"/>
        <w:spacing w:after="0" w:line="251" w:lineRule="auto"/>
        <w:tabs>
          <w:tab w:leader="none" w:pos="88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Courier New" w:cs="Courier New" w:eastAsia="Courier New" w:hAnsi="Courier New"/>
          <w:sz w:val="16"/>
          <w:szCs w:val="16"/>
          <w:color w:val="auto"/>
        </w:rPr>
      </w:pPr>
    </w:p>
    <w:p>
      <w:pPr>
        <w:ind w:right="2339" w:firstLine="494"/>
        <w:spacing w:after="0" w:line="251" w:lineRule="auto"/>
        <w:tabs>
          <w:tab w:leader="none" w:pos="88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306" w:right="1440" w:bottom="43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19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ind w:right="3640" w:firstLine="493"/>
        <w:spacing w:after="0" w:line="25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13th day of July, 2001.</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WASTE MANAGEMENT, INC.</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 A. Maurice Myers</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By: A. Maurice Myers</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98" w:lineRule="exact"/>
        <w:rPr>
          <w:sz w:val="20"/>
          <w:szCs w:val="20"/>
          <w:color w:val="auto"/>
        </w:rPr>
      </w:pPr>
    </w:p>
    <w:p>
      <w:pPr>
        <w:ind w:right="3820" w:firstLine="493"/>
        <w:spacing w:after="0" w:line="25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on Form S-8 has been signed by the following persons in the capacities indicated on the 13th day of July, 2001.</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ind w:left="1880"/>
              <w:spacing w:after="0"/>
              <w:rPr>
                <w:sz w:val="20"/>
                <w:szCs w:val="20"/>
                <w:color w:val="auto"/>
              </w:rPr>
            </w:pPr>
            <w:r>
              <w:rPr>
                <w:rFonts w:ascii="Courier New" w:cs="Courier New" w:eastAsia="Courier New" w:hAnsi="Courier New"/>
                <w:sz w:val="16"/>
                <w:szCs w:val="16"/>
                <w:color w:val="auto"/>
              </w:rPr>
              <w:t>SIGNATURE</w:t>
            </w:r>
          </w:p>
        </w:tc>
        <w:tc>
          <w:tcPr>
            <w:tcW w:w="6240" w:type="dxa"/>
            <w:vAlign w:val="bottom"/>
          </w:tcPr>
          <w:p>
            <w:pPr>
              <w:jc w:val="right"/>
              <w:ind w:right="2858"/>
              <w:spacing w:after="0"/>
              <w:rPr>
                <w:sz w:val="20"/>
                <w:szCs w:val="20"/>
                <w:color w:val="auto"/>
              </w:rPr>
            </w:pPr>
            <w:r>
              <w:rPr>
                <w:rFonts w:ascii="Courier New" w:cs="Courier New" w:eastAsia="Courier New" w:hAnsi="Courier New"/>
                <w:sz w:val="16"/>
                <w:szCs w:val="16"/>
                <w:color w:val="auto"/>
              </w:rPr>
              <w:t>TITLE</w:t>
            </w:r>
          </w:p>
        </w:tc>
      </w:tr>
      <w:tr>
        <w:trPr>
          <w:trHeight w:val="190"/>
        </w:trPr>
        <w:tc>
          <w:tcPr>
            <w:tcW w:w="5280" w:type="dxa"/>
            <w:vAlign w:val="bottom"/>
          </w:tcPr>
          <w:p>
            <w:pPr>
              <w:ind w:left="1880"/>
              <w:spacing w:after="0"/>
              <w:rPr>
                <w:sz w:val="20"/>
                <w:szCs w:val="20"/>
                <w:color w:val="auto"/>
              </w:rPr>
            </w:pPr>
            <w:r>
              <w:rPr>
                <w:rFonts w:ascii="Courier New" w:cs="Courier New" w:eastAsia="Courier New" w:hAnsi="Courier New"/>
                <w:sz w:val="16"/>
                <w:szCs w:val="16"/>
                <w:color w:val="auto"/>
              </w:rPr>
              <w:t>---------</w:t>
            </w:r>
          </w:p>
        </w:tc>
        <w:tc>
          <w:tcPr>
            <w:tcW w:w="6240" w:type="dxa"/>
            <w:vAlign w:val="bottom"/>
          </w:tcPr>
          <w:p>
            <w:pPr>
              <w:jc w:val="right"/>
              <w:ind w:right="2858"/>
              <w:spacing w:after="0"/>
              <w:rPr>
                <w:sz w:val="20"/>
                <w:szCs w:val="20"/>
                <w:color w:val="auto"/>
              </w:rPr>
            </w:pPr>
            <w:r>
              <w:rPr>
                <w:rFonts w:ascii="Courier New" w:cs="Courier New" w:eastAsia="Courier New" w:hAnsi="Courier New"/>
                <w:sz w:val="16"/>
                <w:szCs w:val="16"/>
                <w:color w:val="auto"/>
              </w:rPr>
              <w:t>-----</w:t>
            </w:r>
          </w:p>
        </w:tc>
      </w:tr>
      <w:tr>
        <w:trPr>
          <w:trHeight w:val="569"/>
        </w:trPr>
        <w:tc>
          <w:tcPr>
            <w:tcW w:w="5280" w:type="dxa"/>
            <w:vAlign w:val="bottom"/>
          </w:tcPr>
          <w:p>
            <w:pPr>
              <w:spacing w:after="0"/>
              <w:rPr>
                <w:sz w:val="20"/>
                <w:szCs w:val="20"/>
                <w:color w:val="auto"/>
              </w:rPr>
            </w:pPr>
            <w:r>
              <w:rPr>
                <w:rFonts w:ascii="Courier New" w:cs="Courier New" w:eastAsia="Courier New" w:hAnsi="Courier New"/>
                <w:sz w:val="16"/>
                <w:szCs w:val="16"/>
                <w:color w:val="auto"/>
              </w:rPr>
              <w:t>/s/ A. Maurice Myers</w:t>
            </w:r>
          </w:p>
        </w:tc>
        <w:tc>
          <w:tcPr>
            <w:tcW w:w="6240" w:type="dxa"/>
            <w:vAlign w:val="bottom"/>
          </w:tcPr>
          <w:p>
            <w:pPr>
              <w:jc w:val="right"/>
              <w:spacing w:after="0"/>
              <w:rPr>
                <w:sz w:val="20"/>
                <w:szCs w:val="20"/>
                <w:color w:val="auto"/>
              </w:rPr>
            </w:pPr>
            <w:r>
              <w:rPr>
                <w:rFonts w:ascii="Courier New" w:cs="Courier New" w:eastAsia="Courier New" w:hAnsi="Courier New"/>
                <w:sz w:val="16"/>
                <w:szCs w:val="16"/>
                <w:color w:val="auto"/>
              </w:rPr>
              <w:t>President, Chief Executive Officer and Chairman of the Board</w:t>
            </w:r>
          </w:p>
        </w:tc>
      </w:tr>
      <w:tr>
        <w:trPr>
          <w:trHeight w:val="190"/>
        </w:trPr>
        <w:tc>
          <w:tcPr>
            <w:tcW w:w="5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40" w:type="dxa"/>
            <w:vAlign w:val="bottom"/>
          </w:tcPr>
          <w:p>
            <w:pPr>
              <w:jc w:val="right"/>
              <w:ind w:right="1478"/>
              <w:spacing w:after="0"/>
              <w:rPr>
                <w:sz w:val="20"/>
                <w:szCs w:val="20"/>
                <w:color w:val="auto"/>
              </w:rPr>
            </w:pPr>
            <w:r>
              <w:rPr>
                <w:rFonts w:ascii="Courier New" w:cs="Courier New" w:eastAsia="Courier New" w:hAnsi="Courier New"/>
                <w:sz w:val="16"/>
                <w:szCs w:val="16"/>
                <w:color w:val="auto"/>
              </w:rPr>
              <w:t>(Principal Executive Officer)</w:t>
            </w:r>
          </w:p>
        </w:tc>
      </w:tr>
      <w:tr>
        <w:trPr>
          <w:trHeight w:val="190"/>
        </w:trPr>
        <w:tc>
          <w:tcPr>
            <w:tcW w:w="5280" w:type="dxa"/>
            <w:vAlign w:val="bottom"/>
          </w:tcPr>
          <w:p>
            <w:pPr>
              <w:spacing w:after="0"/>
              <w:rPr>
                <w:sz w:val="20"/>
                <w:szCs w:val="20"/>
                <w:color w:val="auto"/>
              </w:rPr>
            </w:pPr>
            <w:r>
              <w:rPr>
                <w:rFonts w:ascii="Courier New" w:cs="Courier New" w:eastAsia="Courier New" w:hAnsi="Courier New"/>
                <w:sz w:val="16"/>
                <w:szCs w:val="16"/>
                <w:color w:val="auto"/>
              </w:rPr>
              <w:t>A. Maurice Myers</w:t>
            </w:r>
          </w:p>
        </w:tc>
        <w:tc>
          <w:tcPr>
            <w:tcW w:w="6240" w:type="dxa"/>
            <w:vAlign w:val="bottom"/>
          </w:tcPr>
          <w:p>
            <w:pPr>
              <w:spacing w:after="0"/>
              <w:rPr>
                <w:sz w:val="16"/>
                <w:szCs w:val="16"/>
                <w:color w:val="auto"/>
              </w:rPr>
            </w:pPr>
          </w:p>
        </w:tc>
      </w:tr>
      <w:tr>
        <w:trPr>
          <w:trHeight w:val="379"/>
        </w:trPr>
        <w:tc>
          <w:tcPr>
            <w:tcW w:w="5280" w:type="dxa"/>
            <w:vAlign w:val="bottom"/>
          </w:tcPr>
          <w:p>
            <w:pPr>
              <w:spacing w:after="0"/>
              <w:rPr>
                <w:sz w:val="20"/>
                <w:szCs w:val="20"/>
                <w:color w:val="auto"/>
              </w:rPr>
            </w:pPr>
            <w:r>
              <w:rPr>
                <w:rFonts w:ascii="Courier New" w:cs="Courier New" w:eastAsia="Courier New" w:hAnsi="Courier New"/>
                <w:sz w:val="16"/>
                <w:szCs w:val="16"/>
                <w:color w:val="auto"/>
              </w:rPr>
              <w:t>/s/ William L. Trubeck</w:t>
            </w:r>
          </w:p>
        </w:tc>
        <w:tc>
          <w:tcPr>
            <w:tcW w:w="624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Executive Vice President and Chief Financial Officer</w:t>
            </w:r>
          </w:p>
        </w:tc>
      </w:tr>
      <w:tr>
        <w:trPr>
          <w:trHeight w:val="190"/>
        </w:trPr>
        <w:tc>
          <w:tcPr>
            <w:tcW w:w="5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40" w:type="dxa"/>
            <w:vAlign w:val="bottom"/>
          </w:tcPr>
          <w:p>
            <w:pPr>
              <w:jc w:val="right"/>
              <w:ind w:right="1178"/>
              <w:spacing w:after="0"/>
              <w:rPr>
                <w:sz w:val="20"/>
                <w:szCs w:val="20"/>
                <w:color w:val="auto"/>
              </w:rPr>
            </w:pPr>
            <w:r>
              <w:rPr>
                <w:rFonts w:ascii="Courier New" w:cs="Courier New" w:eastAsia="Courier New" w:hAnsi="Courier New"/>
                <w:sz w:val="16"/>
                <w:szCs w:val="16"/>
                <w:color w:val="auto"/>
              </w:rPr>
              <w:t>(Principal Financial Officer)</w:t>
            </w:r>
          </w:p>
        </w:tc>
      </w:tr>
      <w:tr>
        <w:trPr>
          <w:trHeight w:val="190"/>
        </w:trPr>
        <w:tc>
          <w:tcPr>
            <w:tcW w:w="5280" w:type="dxa"/>
            <w:vAlign w:val="bottom"/>
          </w:tcPr>
          <w:p>
            <w:pPr>
              <w:spacing w:after="0"/>
              <w:rPr>
                <w:sz w:val="20"/>
                <w:szCs w:val="20"/>
                <w:color w:val="auto"/>
              </w:rPr>
            </w:pPr>
            <w:r>
              <w:rPr>
                <w:rFonts w:ascii="Courier New" w:cs="Courier New" w:eastAsia="Courier New" w:hAnsi="Courier New"/>
                <w:sz w:val="16"/>
                <w:szCs w:val="16"/>
                <w:color w:val="auto"/>
              </w:rPr>
              <w:t>William L. Trubeck</w:t>
            </w:r>
          </w:p>
        </w:tc>
        <w:tc>
          <w:tcPr>
            <w:tcW w:w="6240" w:type="dxa"/>
            <w:vAlign w:val="bottom"/>
          </w:tcPr>
          <w:p>
            <w:pPr>
              <w:spacing w:after="0"/>
              <w:rPr>
                <w:sz w:val="16"/>
                <w:szCs w:val="16"/>
                <w:color w:val="auto"/>
              </w:rPr>
            </w:pPr>
          </w:p>
        </w:tc>
      </w:tr>
      <w:tr>
        <w:trPr>
          <w:trHeight w:val="379"/>
        </w:trPr>
        <w:tc>
          <w:tcPr>
            <w:tcW w:w="5280" w:type="dxa"/>
            <w:vAlign w:val="bottom"/>
          </w:tcPr>
          <w:p>
            <w:pPr>
              <w:spacing w:after="0"/>
              <w:rPr>
                <w:sz w:val="20"/>
                <w:szCs w:val="20"/>
                <w:color w:val="auto"/>
              </w:rPr>
            </w:pPr>
            <w:r>
              <w:rPr>
                <w:rFonts w:ascii="Courier New" w:cs="Courier New" w:eastAsia="Courier New" w:hAnsi="Courier New"/>
                <w:sz w:val="16"/>
                <w:szCs w:val="16"/>
                <w:color w:val="auto"/>
              </w:rPr>
              <w:t>/s/ Bruce E. Snyder</w:t>
            </w:r>
          </w:p>
        </w:tc>
        <w:tc>
          <w:tcPr>
            <w:tcW w:w="6240" w:type="dxa"/>
            <w:vAlign w:val="bottom"/>
          </w:tcPr>
          <w:p>
            <w:pPr>
              <w:jc w:val="right"/>
              <w:ind w:right="698"/>
              <w:spacing w:after="0"/>
              <w:rPr>
                <w:sz w:val="20"/>
                <w:szCs w:val="20"/>
                <w:color w:val="auto"/>
              </w:rPr>
            </w:pPr>
            <w:r>
              <w:rPr>
                <w:rFonts w:ascii="Courier New" w:cs="Courier New" w:eastAsia="Courier New" w:hAnsi="Courier New"/>
                <w:sz w:val="16"/>
                <w:szCs w:val="16"/>
                <w:color w:val="auto"/>
              </w:rPr>
              <w:t>Vice President and Chief Accounting Officer</w:t>
            </w:r>
          </w:p>
        </w:tc>
      </w:tr>
      <w:tr>
        <w:trPr>
          <w:trHeight w:val="190"/>
        </w:trPr>
        <w:tc>
          <w:tcPr>
            <w:tcW w:w="5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40" w:type="dxa"/>
            <w:vAlign w:val="bottom"/>
          </w:tcPr>
          <w:p>
            <w:pPr>
              <w:jc w:val="right"/>
              <w:ind w:right="1178"/>
              <w:spacing w:after="0"/>
              <w:rPr>
                <w:sz w:val="20"/>
                <w:szCs w:val="20"/>
                <w:color w:val="auto"/>
              </w:rPr>
            </w:pPr>
            <w:r>
              <w:rPr>
                <w:rFonts w:ascii="Courier New" w:cs="Courier New" w:eastAsia="Courier New" w:hAnsi="Courier New"/>
                <w:sz w:val="16"/>
                <w:szCs w:val="16"/>
                <w:color w:val="auto"/>
              </w:rPr>
              <w:t>(Principal Accounting Officer)</w:t>
            </w:r>
          </w:p>
        </w:tc>
      </w:tr>
      <w:tr>
        <w:trPr>
          <w:trHeight w:val="190"/>
        </w:trPr>
        <w:tc>
          <w:tcPr>
            <w:tcW w:w="5280" w:type="dxa"/>
            <w:vAlign w:val="bottom"/>
          </w:tcPr>
          <w:p>
            <w:pPr>
              <w:spacing w:after="0"/>
              <w:rPr>
                <w:sz w:val="20"/>
                <w:szCs w:val="20"/>
                <w:color w:val="auto"/>
              </w:rPr>
            </w:pPr>
            <w:r>
              <w:rPr>
                <w:rFonts w:ascii="Courier New" w:cs="Courier New" w:eastAsia="Courier New" w:hAnsi="Courier New"/>
                <w:sz w:val="16"/>
                <w:szCs w:val="16"/>
                <w:color w:val="auto"/>
              </w:rPr>
              <w:t>Bruce E. Snyder</w:t>
            </w:r>
          </w:p>
        </w:tc>
        <w:tc>
          <w:tcPr>
            <w:tcW w:w="6240" w:type="dxa"/>
            <w:vAlign w:val="bottom"/>
          </w:tcPr>
          <w:p>
            <w:pPr>
              <w:spacing w:after="0"/>
              <w:rPr>
                <w:sz w:val="16"/>
                <w:szCs w:val="16"/>
                <w:color w:val="auto"/>
              </w:rPr>
            </w:pPr>
          </w:p>
        </w:tc>
      </w:tr>
      <w:tr>
        <w:trPr>
          <w:trHeight w:val="379"/>
        </w:trPr>
        <w:tc>
          <w:tcPr>
            <w:tcW w:w="5280" w:type="dxa"/>
            <w:vAlign w:val="bottom"/>
          </w:tcPr>
          <w:p>
            <w:pPr>
              <w:spacing w:after="0"/>
              <w:rPr>
                <w:sz w:val="20"/>
                <w:szCs w:val="20"/>
                <w:color w:val="auto"/>
              </w:rPr>
            </w:pPr>
            <w:r>
              <w:rPr>
                <w:rFonts w:ascii="Courier New" w:cs="Courier New" w:eastAsia="Courier New" w:hAnsi="Courier New"/>
                <w:sz w:val="16"/>
                <w:szCs w:val="16"/>
                <w:color w:val="auto"/>
              </w:rPr>
              <w:t>/s/ H. Jesse Arnelle</w:t>
            </w:r>
          </w:p>
        </w:tc>
        <w:tc>
          <w:tcPr>
            <w:tcW w:w="6240" w:type="dxa"/>
            <w:vAlign w:val="bottom"/>
          </w:tcPr>
          <w:p>
            <w:pPr>
              <w:jc w:val="right"/>
              <w:ind w:right="2758"/>
              <w:spacing w:after="0"/>
              <w:rPr>
                <w:sz w:val="20"/>
                <w:szCs w:val="20"/>
                <w:color w:val="auto"/>
              </w:rPr>
            </w:pPr>
            <w:r>
              <w:rPr>
                <w:rFonts w:ascii="Courier New" w:cs="Courier New" w:eastAsia="Courier New" w:hAnsi="Courier New"/>
                <w:sz w:val="16"/>
                <w:szCs w:val="16"/>
                <w:color w:val="auto"/>
              </w:rPr>
              <w:t>Director</w:t>
            </w:r>
          </w:p>
        </w:tc>
      </w:tr>
    </w:tbl>
    <w:p>
      <w:pPr>
        <w:spacing w:after="0" w:line="5" w:lineRule="exact"/>
        <w:rPr>
          <w:sz w:val="20"/>
          <w:szCs w:val="20"/>
          <w:color w:val="auto"/>
        </w:rPr>
      </w:pPr>
    </w:p>
    <w:p>
      <w:pPr>
        <w:ind w:left="200" w:hanging="199"/>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pacing w:after="0" w:line="198" w:lineRule="exact"/>
        <w:rPr>
          <w:sz w:val="20"/>
          <w:szCs w:val="20"/>
          <w:color w:val="auto"/>
        </w:rPr>
      </w:pPr>
    </w:p>
    <w:p>
      <w:pPr>
        <w:spacing w:after="0"/>
        <w:tabs>
          <w:tab w:leader="none" w:pos="7860" w:val="left"/>
        </w:tabs>
        <w:rPr>
          <w:sz w:val="20"/>
          <w:szCs w:val="20"/>
          <w:color w:val="auto"/>
        </w:rPr>
      </w:pPr>
      <w:r>
        <w:rPr>
          <w:rFonts w:ascii="Courier New" w:cs="Courier New" w:eastAsia="Courier New" w:hAnsi="Courier New"/>
          <w:sz w:val="16"/>
          <w:szCs w:val="16"/>
          <w:color w:val="auto"/>
        </w:rPr>
        <w:t>/s/ Pastora San Juan Cafferty</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198" w:lineRule="exact"/>
        <w:rPr>
          <w:sz w:val="20"/>
          <w:szCs w:val="20"/>
          <w:color w:val="auto"/>
        </w:rPr>
      </w:pPr>
    </w:p>
    <w:p>
      <w:pPr>
        <w:spacing w:after="0"/>
        <w:tabs>
          <w:tab w:leader="none" w:pos="7860" w:val="left"/>
        </w:tabs>
        <w:rPr>
          <w:sz w:val="20"/>
          <w:szCs w:val="20"/>
          <w:color w:val="auto"/>
        </w:rPr>
      </w:pPr>
      <w:r>
        <w:rPr>
          <w:rFonts w:ascii="Courier New" w:cs="Courier New" w:eastAsia="Courier New" w:hAnsi="Courier New"/>
          <w:sz w:val="16"/>
          <w:szCs w:val="16"/>
          <w:color w:val="auto"/>
        </w:rPr>
        <w:t>/s/ Ralph F. Cox</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pacing w:after="0" w:line="3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1520"/>
          </w:cols>
          <w:pgMar w:left="240" w:top="306" w:right="139"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77" w:lineRule="exact"/>
        <w:rPr>
          <w:sz w:val="20"/>
          <w:szCs w:val="20"/>
          <w:color w:val="auto"/>
        </w:rPr>
      </w:pPr>
    </w:p>
    <w:p>
      <w:pPr>
        <w:spacing w:after="0"/>
        <w:tabs>
          <w:tab w:leader="none" w:pos="7860" w:val="left"/>
        </w:tabs>
        <w:rPr>
          <w:sz w:val="20"/>
          <w:szCs w:val="20"/>
          <w:color w:val="auto"/>
        </w:rPr>
      </w:pPr>
      <w:r>
        <w:rPr>
          <w:rFonts w:ascii="Courier New" w:cs="Courier New" w:eastAsia="Courier New" w:hAnsi="Courier New"/>
          <w:sz w:val="16"/>
          <w:szCs w:val="16"/>
          <w:color w:val="auto"/>
        </w:rPr>
        <w:t>/s/ Robert S. Miller</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S. Miller</w:t>
      </w:r>
    </w:p>
    <w:p>
      <w:pPr>
        <w:spacing w:after="0" w:line="198" w:lineRule="exact"/>
        <w:rPr>
          <w:sz w:val="20"/>
          <w:szCs w:val="20"/>
          <w:color w:val="auto"/>
        </w:rPr>
      </w:pPr>
    </w:p>
    <w:p>
      <w:pPr>
        <w:spacing w:after="0"/>
        <w:tabs>
          <w:tab w:leader="none" w:pos="7860" w:val="left"/>
        </w:tabs>
        <w:rPr>
          <w:sz w:val="20"/>
          <w:szCs w:val="20"/>
          <w:color w:val="auto"/>
        </w:rPr>
      </w:pPr>
      <w:r>
        <w:rPr>
          <w:rFonts w:ascii="Courier New" w:cs="Courier New" w:eastAsia="Courier New" w:hAnsi="Courier New"/>
          <w:sz w:val="16"/>
          <w:szCs w:val="16"/>
          <w:color w:val="auto"/>
        </w:rPr>
        <w:t>/s/ Paul M. Montrone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198" w:lineRule="exact"/>
        <w:rPr>
          <w:sz w:val="20"/>
          <w:szCs w:val="20"/>
          <w:color w:val="auto"/>
        </w:rPr>
      </w:pPr>
    </w:p>
    <w:p>
      <w:pPr>
        <w:spacing w:after="0"/>
        <w:tabs>
          <w:tab w:leader="none" w:pos="7860" w:val="left"/>
        </w:tabs>
        <w:rPr>
          <w:sz w:val="20"/>
          <w:szCs w:val="20"/>
          <w:color w:val="auto"/>
        </w:rPr>
      </w:pPr>
      <w:r>
        <w:rPr>
          <w:rFonts w:ascii="Courier New" w:cs="Courier New" w:eastAsia="Courier New" w:hAnsi="Courier New"/>
          <w:sz w:val="16"/>
          <w:szCs w:val="16"/>
          <w:color w:val="auto"/>
        </w:rPr>
        <w:t>/s/ John C. Pope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198" w:lineRule="exact"/>
        <w:rPr>
          <w:sz w:val="20"/>
          <w:szCs w:val="20"/>
          <w:color w:val="auto"/>
        </w:rPr>
      </w:pPr>
    </w:p>
    <w:p>
      <w:pPr>
        <w:spacing w:after="0"/>
        <w:tabs>
          <w:tab w:leader="none" w:pos="7860" w:val="left"/>
        </w:tabs>
        <w:rPr>
          <w:sz w:val="20"/>
          <w:szCs w:val="20"/>
          <w:color w:val="auto"/>
        </w:rPr>
      </w:pPr>
      <w:r>
        <w:rPr>
          <w:rFonts w:ascii="Courier New" w:cs="Courier New" w:eastAsia="Courier New" w:hAnsi="Courier New"/>
          <w:sz w:val="16"/>
          <w:szCs w:val="16"/>
          <w:color w:val="auto"/>
        </w:rPr>
        <w:t>/s/ Steven G. Rothmeier</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198" w:lineRule="exact"/>
        <w:rPr>
          <w:sz w:val="20"/>
          <w:szCs w:val="20"/>
          <w:color w:val="auto"/>
        </w:rPr>
      </w:pPr>
    </w:p>
    <w:p>
      <w:pPr>
        <w:spacing w:after="0"/>
        <w:tabs>
          <w:tab w:leader="none" w:pos="7860" w:val="left"/>
        </w:tabs>
        <w:rPr>
          <w:sz w:val="20"/>
          <w:szCs w:val="20"/>
          <w:color w:val="auto"/>
        </w:rPr>
      </w:pPr>
      <w:r>
        <w:rPr>
          <w:rFonts w:ascii="Courier New" w:cs="Courier New" w:eastAsia="Courier New" w:hAnsi="Courier New"/>
          <w:sz w:val="16"/>
          <w:szCs w:val="16"/>
          <w:color w:val="auto"/>
        </w:rPr>
        <w:t>/s/ Ralph V. Whitworth</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p>
      <w:pPr>
        <w:spacing w:after="0" w:line="38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Pursuant to the requirements of the Securities Act of 1933, the trustee (or other persons who administer the employee benefit plan) have duly caused this Post-Effective Amendment No. 1 to Form S-8 to be signed on its behalf by the undersigned, thereunto duly authorized, in the City of Houston, the State of Texas, on this 13th day of July, 2001.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RETIREMENT SAVINGS PLAN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Mark Schwartz</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Mark Schwartz</w:t>
      </w:r>
    </w:p>
    <w:p>
      <w:pPr>
        <w:spacing w:after="0" w:line="8" w:lineRule="exact"/>
        <w:rPr>
          <w:sz w:val="20"/>
          <w:szCs w:val="20"/>
          <w:color w:val="auto"/>
        </w:rPr>
      </w:pPr>
    </w:p>
    <w:p>
      <w:pPr>
        <w:ind w:left="400" w:right="4299"/>
        <w:spacing w:after="0" w:line="255" w:lineRule="auto"/>
        <w:rPr>
          <w:sz w:val="20"/>
          <w:szCs w:val="20"/>
          <w:color w:val="auto"/>
        </w:rPr>
      </w:pPr>
      <w:r>
        <w:rPr>
          <w:rFonts w:ascii="Courier New" w:cs="Courier New" w:eastAsia="Courier New" w:hAnsi="Courier New"/>
          <w:sz w:val="16"/>
          <w:szCs w:val="16"/>
          <w:color w:val="auto"/>
        </w:rPr>
        <w:t>Member, Administrative Committee of the Waste Management Employee Benefit Plans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RETIREMENT SAVINGS PLAN FOR BARGAINING UNIT EMPLOYEES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Mark Schwartz</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Mark Schwartz</w:t>
      </w:r>
    </w:p>
    <w:p>
      <w:pPr>
        <w:spacing w:after="0" w:line="8" w:lineRule="exact"/>
        <w:rPr>
          <w:sz w:val="20"/>
          <w:szCs w:val="20"/>
          <w:color w:val="auto"/>
        </w:rPr>
      </w:pPr>
    </w:p>
    <w:p>
      <w:pPr>
        <w:ind w:left="400" w:right="4299"/>
        <w:spacing w:after="0" w:line="255" w:lineRule="auto"/>
        <w:rPr>
          <w:sz w:val="20"/>
          <w:szCs w:val="20"/>
          <w:color w:val="auto"/>
        </w:rPr>
      </w:pPr>
      <w:r>
        <w:rPr>
          <w:rFonts w:ascii="Courier New" w:cs="Courier New" w:eastAsia="Courier New" w:hAnsi="Courier New"/>
          <w:sz w:val="16"/>
          <w:szCs w:val="16"/>
          <w:color w:val="auto"/>
        </w:rPr>
        <w:t>Member, Administrative Committee of the Waste Management Employee Benefit Plans</w:t>
      </w:r>
    </w:p>
    <w:p>
      <w:pPr>
        <w:sectPr>
          <w:pgSz w:w="11900" w:h="16838" w:orient="portrait"/>
          <w:cols w:equalWidth="0" w:num="1">
            <w:col w:w="10219"/>
          </w:cols>
          <w:pgMar w:left="240" w:top="306"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1520"/>
          </w:cols>
          <w:pgMar w:left="240" w:top="306" w:right="1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720"/>
            <w:col w:w="9840"/>
          </w:cols>
          <w:pgMar w:left="240" w:top="306" w:right="1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80" w:hanging="299"/>
        <w:spacing w:after="0" w:line="25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Restated Certificate of Incorporation (Incorporated by reference to Exhibit 3.2 to the Registrant's Current Report on Form 8-K dated July 16, 1998).</w:t>
      </w:r>
    </w:p>
    <w:p>
      <w:pPr>
        <w:spacing w:after="0" w:line="184" w:lineRule="exact"/>
        <w:rPr>
          <w:sz w:val="20"/>
          <w:szCs w:val="20"/>
          <w:color w:val="auto"/>
        </w:rPr>
      </w:pPr>
    </w:p>
    <w:p>
      <w:pPr>
        <w:sectPr>
          <w:pgSz w:w="11900" w:h="16838" w:orient="portrait"/>
          <w:cols w:equalWidth="0" w:num="2">
            <w:col w:w="960" w:space="720"/>
            <w:col w:w="9840"/>
          </w:cols>
          <w:pgMar w:left="240" w:top="306"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4.2</w:t>
      </w:r>
    </w:p>
    <w:p>
      <w:pPr>
        <w:spacing w:after="0" w:line="20" w:lineRule="exact"/>
        <w:rPr>
          <w:sz w:val="20"/>
          <w:szCs w:val="20"/>
          <w:color w:val="auto"/>
        </w:rPr>
      </w:pPr>
      <w:r>
        <w:rPr>
          <w:sz w:val="20"/>
          <w:szCs w:val="20"/>
          <w:color w:val="auto"/>
        </w:rPr>
        <w:br w:type="column"/>
      </w:r>
    </w:p>
    <w:p>
      <w:pPr>
        <w:ind w:hanging="299"/>
        <w:spacing w:after="0" w:line="25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Bylaws (Incorporated by reference to Exhibit 3 to the Registrant's Quarterly Report on Form 10-Q for the Quarter ended June 30, 2000).</w:t>
      </w:r>
    </w:p>
    <w:p>
      <w:pPr>
        <w:spacing w:after="0" w:line="184" w:lineRule="exact"/>
        <w:rPr>
          <w:sz w:val="20"/>
          <w:szCs w:val="20"/>
          <w:color w:val="auto"/>
        </w:rPr>
      </w:pPr>
    </w:p>
    <w:p>
      <w:pPr>
        <w:sectPr>
          <w:pgSz w:w="11900" w:h="16838" w:orient="portrait"/>
          <w:cols w:equalWidth="0" w:num="2">
            <w:col w:w="960" w:space="720"/>
            <w:col w:w="9840"/>
          </w:cols>
          <w:pgMar w:left="240" w:top="306" w:right="139" w:bottom="1440" w:gutter="0" w:footer="0" w:header="0"/>
          <w:type w:val="continuous"/>
        </w:sectPr>
      </w:pPr>
    </w:p>
    <w:p>
      <w:pPr>
        <w:spacing w:after="0"/>
        <w:tabs>
          <w:tab w:leader="none" w:pos="1360" w:val="left"/>
          <w:tab w:leader="none" w:pos="166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w:t>
        <w:tab/>
        <w:t>Consent of Arthur Andersen LLP.</w:t>
      </w:r>
    </w:p>
    <w:p>
      <w:pPr>
        <w:sectPr>
          <w:pgSz w:w="11900" w:h="16838" w:orient="portrait"/>
          <w:cols w:equalWidth="0" w:num="1">
            <w:col w:w="11520"/>
          </w:cols>
          <w:pgMar w:left="240" w:top="306" w:right="139"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EXHIBIT 23.1</w:t>
      </w:r>
    </w:p>
    <w:p>
      <w:pPr>
        <w:spacing w:after="0" w:line="19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Post-Effective Amendment No. 1 to Registration Statement on Form S-8 filed by Waste Management, Inc. of our report dated March 7, 2001 included in Waste Management, Inc.'s Annual Report on Form 10-K for the year ended December 31, 2000 and our reports dated June 26, 2001 included in the Waste Management Retirement Savings Plan Annual Report on Form 11-K for the year ended December 31, 2000 and the Waste Management Retirement Savings Plan for Bargaining Unit Employees Annual Report on Form 11-K for the year ended December 31, 2000.</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Arthur Andersen LLP</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ARTHUR ANDERSEN LLP</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13, 2001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decimal"/>
      <w:start w:val="1"/>
    </w:lvl>
    <w:lvl w:ilvl="1">
      <w:lvlJc w:val="left"/>
      <w:lvlText w:val="(%2)"/>
      <w:numFmt w:val="lowerRoman"/>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lowerLetter"/>
      <w:start w:val="2"/>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2019-12-20T04:00:08Z</dcterms:created>
  <dcterms:modified xsi:type="dcterms:W3CDTF">2019-12-20T04:00:08Z</dcterms:modified>
</cp:coreProperties>
</file>