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24,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197485</wp:posOffset>
            </wp:positionV>
            <wp:extent cx="3764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5.02(e) Departure of Directors or Certain Officers; Election of Directors; Appointment of Certain Officers; Compensatory Arrangements of Certain Officers.</w:t>
      </w:r>
    </w:p>
    <w:p>
      <w:pPr>
        <w:spacing w:after="0" w:line="58"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On February 24, 2009, the Management Development and Compensation Committee of the Board of Directors of Waste Management, Inc. (the “Company”) granted annual performance share units awards (“PSUs”) for the performance period of January 1, 2009 to December 31, 2011 to the executive officers named in the compensation tables included in the Company’s 2008 Proxy Statement (the “named executive officers”). The grants, which are effective March 9, 2009, were made pursuant to the Company’s 2004 Stock Incentive Plan.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target awards for each of the named executive officers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9"/>
        </w:trPr>
        <w:tc>
          <w:tcPr>
            <w:tcW w:w="9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 Unit</w:t>
            </w:r>
          </w:p>
        </w:tc>
        <w:tc>
          <w:tcPr>
            <w:tcW w:w="0" w:type="dxa"/>
            <w:vAlign w:val="bottom"/>
          </w:tcPr>
          <w:p>
            <w:pPr>
              <w:spacing w:after="0"/>
              <w:rPr>
                <w:sz w:val="1"/>
                <w:szCs w:val="1"/>
                <w:color w:val="auto"/>
              </w:rPr>
            </w:pPr>
          </w:p>
        </w:tc>
      </w:tr>
      <w:tr>
        <w:trPr>
          <w:trHeight w:val="171"/>
        </w:trPr>
        <w:tc>
          <w:tcPr>
            <w:tcW w:w="96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P. Steiner, Chief Executive Officer</w:t>
            </w:r>
          </w:p>
        </w:tc>
        <w:tc>
          <w:tcPr>
            <w:tcW w:w="5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135,509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Lawrence O’Donnell, III, President and Chief Operating Officer</w:t>
            </w:r>
          </w:p>
        </w:tc>
        <w:tc>
          <w:tcPr>
            <w:tcW w:w="1820" w:type="dxa"/>
            <w:vAlign w:val="bottom"/>
            <w:gridSpan w:val="2"/>
          </w:tcPr>
          <w:p>
            <w:pPr>
              <w:jc w:val="right"/>
              <w:ind w:right="264"/>
              <w:spacing w:after="0"/>
              <w:rPr>
                <w:sz w:val="20"/>
                <w:szCs w:val="20"/>
                <w:color w:val="auto"/>
              </w:rPr>
            </w:pPr>
            <w:r>
              <w:rPr>
                <w:rFonts w:ascii="Arial" w:cs="Arial" w:eastAsia="Arial" w:hAnsi="Arial"/>
                <w:sz w:val="18"/>
                <w:szCs w:val="18"/>
                <w:color w:val="auto"/>
              </w:rPr>
              <w:t>55,403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Robert G. Simpson, Chief Financial Officer</w:t>
            </w:r>
          </w:p>
        </w:tc>
        <w:tc>
          <w:tcPr>
            <w:tcW w:w="18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James E. Trevathan, Senior Vice President — Southern Group</w:t>
            </w:r>
          </w:p>
        </w:tc>
        <w:tc>
          <w:tcPr>
            <w:tcW w:w="1820" w:type="dxa"/>
            <w:vAlign w:val="bottom"/>
            <w:gridSpan w:val="2"/>
          </w:tcPr>
          <w:p>
            <w:pPr>
              <w:jc w:val="right"/>
              <w:ind w:right="264"/>
              <w:spacing w:after="0"/>
              <w:rPr>
                <w:sz w:val="20"/>
                <w:szCs w:val="20"/>
                <w:color w:val="auto"/>
              </w:rPr>
            </w:pPr>
            <w:r>
              <w:rPr>
                <w:rFonts w:ascii="Arial" w:cs="Arial" w:eastAsia="Arial" w:hAnsi="Arial"/>
                <w:sz w:val="18"/>
                <w:szCs w:val="18"/>
                <w:color w:val="auto"/>
              </w:rPr>
              <w:t>22,069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Duane C. Woods, Senior Vice President — Western Group</w:t>
            </w:r>
          </w:p>
        </w:tc>
        <w:tc>
          <w:tcPr>
            <w:tcW w:w="18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22,069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material terms of the 2009 PSUs granted are shown in the table below. The form of award agreement is attached hereto as Exhibit 10.1 and the description below is qualified in its entirety by reference to the form of award agreement.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Terms of 2009 Annual Award Grants</w:t>
            </w:r>
          </w:p>
        </w:tc>
        <w:tc>
          <w:tcPr>
            <w:tcW w:w="4280" w:type="dxa"/>
            <w:vAlign w:val="bottom"/>
          </w:tcPr>
          <w:p>
            <w:pPr>
              <w:spacing w:after="0"/>
              <w:rPr>
                <w:sz w:val="17"/>
                <w:szCs w:val="17"/>
                <w:color w:val="auto"/>
              </w:rPr>
            </w:pPr>
          </w:p>
        </w:tc>
      </w:tr>
      <w:tr>
        <w:trPr>
          <w:trHeight w:val="438"/>
        </w:trPr>
        <w:tc>
          <w:tcPr>
            <w:tcW w:w="4300" w:type="dxa"/>
            <w:vAlign w:val="bottom"/>
          </w:tcPr>
          <w:p>
            <w:pPr>
              <w:spacing w:after="0"/>
              <w:rPr>
                <w:sz w:val="20"/>
                <w:szCs w:val="20"/>
                <w:color w:val="auto"/>
              </w:rPr>
            </w:pPr>
            <w:r>
              <w:rPr>
                <w:rFonts w:ascii="Arial" w:cs="Arial" w:eastAsia="Arial" w:hAnsi="Arial"/>
                <w:sz w:val="18"/>
                <w:szCs w:val="18"/>
                <w:color w:val="auto"/>
              </w:rPr>
              <w:t>Performance Calculation Date (“PCD”)</w:t>
            </w: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w w:val="91"/>
              </w:rPr>
              <w:t>As of December 31, 2011; award earned (if any) to be paid out after completion of the audit of</w:t>
            </w:r>
          </w:p>
        </w:tc>
      </w:tr>
      <w:tr>
        <w:trPr>
          <w:trHeight w:val="216"/>
        </w:trPr>
        <w:tc>
          <w:tcPr>
            <w:tcW w:w="4300" w:type="dxa"/>
            <w:vAlign w:val="bottom"/>
          </w:tcPr>
          <w:p>
            <w:pPr>
              <w:spacing w:after="0"/>
              <w:rPr>
                <w:sz w:val="18"/>
                <w:szCs w:val="18"/>
                <w:color w:val="auto"/>
              </w:rPr>
            </w:pP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w w:val="97"/>
              </w:rPr>
              <w:t>the Company’s 2011 year-end financial statements and certification by the Committee of</w:t>
            </w:r>
          </w:p>
        </w:tc>
      </w:tr>
      <w:tr>
        <w:trPr>
          <w:trHeight w:val="230"/>
        </w:trPr>
        <w:tc>
          <w:tcPr>
            <w:tcW w:w="4300" w:type="dxa"/>
            <w:vAlign w:val="bottom"/>
          </w:tcPr>
          <w:p>
            <w:pPr>
              <w:spacing w:after="0"/>
              <w:rPr>
                <w:sz w:val="20"/>
                <w:szCs w:val="20"/>
                <w:color w:val="auto"/>
              </w:rPr>
            </w:pP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rPr>
              <w:t>actual level of achievement (“payment date”).</w:t>
            </w:r>
          </w:p>
        </w:tc>
      </w:tr>
      <w:tr>
        <w:trPr>
          <w:trHeight w:val="432"/>
        </w:trPr>
        <w:tc>
          <w:tcPr>
            <w:tcW w:w="4300" w:type="dxa"/>
            <w:vAlign w:val="bottom"/>
          </w:tcPr>
          <w:p>
            <w:pPr>
              <w:spacing w:after="0"/>
              <w:rPr>
                <w:sz w:val="20"/>
                <w:szCs w:val="20"/>
                <w:color w:val="auto"/>
              </w:rPr>
            </w:pPr>
            <w:r>
              <w:rPr>
                <w:rFonts w:ascii="Arial" w:cs="Arial" w:eastAsia="Arial" w:hAnsi="Arial"/>
                <w:sz w:val="18"/>
                <w:szCs w:val="18"/>
                <w:color w:val="auto"/>
              </w:rPr>
              <w:t>Performance Measure</w:t>
            </w: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rPr>
              <w:t>Return on invested capital.</w:t>
            </w:r>
          </w:p>
        </w:tc>
      </w:tr>
      <w:tr>
        <w:trPr>
          <w:trHeight w:val="432"/>
        </w:trPr>
        <w:tc>
          <w:tcPr>
            <w:tcW w:w="4300" w:type="dxa"/>
            <w:vAlign w:val="bottom"/>
          </w:tcPr>
          <w:p>
            <w:pPr>
              <w:spacing w:after="0"/>
              <w:rPr>
                <w:sz w:val="20"/>
                <w:szCs w:val="20"/>
                <w:color w:val="auto"/>
              </w:rPr>
            </w:pPr>
            <w:r>
              <w:rPr>
                <w:rFonts w:ascii="Arial" w:cs="Arial" w:eastAsia="Arial" w:hAnsi="Arial"/>
                <w:sz w:val="18"/>
                <w:szCs w:val="18"/>
                <w:color w:val="auto"/>
              </w:rPr>
              <w:t>Range of Possible Awards</w:t>
            </w: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rPr>
              <w:t>0 — 200% of targeted amount, based on actual results achieved.</w:t>
            </w:r>
          </w:p>
        </w:tc>
      </w:tr>
      <w:tr>
        <w:trPr>
          <w:trHeight w:val="418"/>
        </w:trPr>
        <w:tc>
          <w:tcPr>
            <w:tcW w:w="4300" w:type="dxa"/>
            <w:vAlign w:val="bottom"/>
          </w:tcPr>
          <w:p>
            <w:pPr>
              <w:spacing w:after="0"/>
              <w:rPr>
                <w:sz w:val="20"/>
                <w:szCs w:val="20"/>
                <w:color w:val="auto"/>
              </w:rPr>
            </w:pPr>
            <w:r>
              <w:rPr>
                <w:rFonts w:ascii="Arial" w:cs="Arial" w:eastAsia="Arial" w:hAnsi="Arial"/>
                <w:sz w:val="18"/>
                <w:szCs w:val="18"/>
                <w:color w:val="auto"/>
              </w:rPr>
              <w:t>Dividends</w:t>
            </w: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w w:val="89"/>
              </w:rPr>
              <w:t>Dividend equivalents are accrued on the target number awards through the performance period</w:t>
            </w:r>
          </w:p>
        </w:tc>
      </w:tr>
      <w:tr>
        <w:trPr>
          <w:trHeight w:val="230"/>
        </w:trPr>
        <w:tc>
          <w:tcPr>
            <w:tcW w:w="4300" w:type="dxa"/>
            <w:vAlign w:val="bottom"/>
          </w:tcPr>
          <w:p>
            <w:pPr>
              <w:spacing w:after="0"/>
              <w:rPr>
                <w:sz w:val="20"/>
                <w:szCs w:val="20"/>
                <w:color w:val="auto"/>
              </w:rPr>
            </w:pP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w w:val="99"/>
              </w:rPr>
              <w:t>and paid, in cash, on the payment date based on the actual number of awards earned.</w:t>
            </w:r>
          </w:p>
        </w:tc>
      </w:tr>
      <w:tr>
        <w:trPr>
          <w:trHeight w:val="432"/>
        </w:trPr>
        <w:tc>
          <w:tcPr>
            <w:tcW w:w="4300" w:type="dxa"/>
            <w:vAlign w:val="bottom"/>
          </w:tcPr>
          <w:p>
            <w:pPr>
              <w:spacing w:after="0"/>
              <w:rPr>
                <w:sz w:val="20"/>
                <w:szCs w:val="20"/>
                <w:color w:val="auto"/>
              </w:rPr>
            </w:pPr>
            <w:r>
              <w:rPr>
                <w:rFonts w:ascii="Arial" w:cs="Arial" w:eastAsia="Arial" w:hAnsi="Arial"/>
                <w:sz w:val="18"/>
                <w:szCs w:val="18"/>
                <w:color w:val="auto"/>
              </w:rPr>
              <w:t>Death or Disability before PCD</w:t>
            </w:r>
          </w:p>
        </w:tc>
        <w:tc>
          <w:tcPr>
            <w:tcW w:w="7120" w:type="dxa"/>
            <w:vAlign w:val="bottom"/>
            <w:gridSpan w:val="2"/>
          </w:tcPr>
          <w:p>
            <w:pPr>
              <w:ind w:left="280"/>
              <w:spacing w:after="0"/>
              <w:rPr>
                <w:sz w:val="20"/>
                <w:szCs w:val="20"/>
                <w:color w:val="auto"/>
              </w:rPr>
            </w:pPr>
            <w:r>
              <w:rPr>
                <w:rFonts w:ascii="Arial" w:cs="Arial" w:eastAsia="Arial" w:hAnsi="Arial"/>
                <w:sz w:val="18"/>
                <w:szCs w:val="18"/>
                <w:color w:val="auto"/>
              </w:rPr>
              <w:t>Payable on payment date as if participant had remained an active employee through</w:t>
            </w:r>
          </w:p>
        </w:tc>
      </w:tr>
      <w:tr>
        <w:trPr>
          <w:trHeight w:val="632"/>
        </w:trPr>
        <w:tc>
          <w:tcPr>
            <w:tcW w:w="43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4580"/>
        <w:spacing w:after="0"/>
        <w:rPr>
          <w:sz w:val="20"/>
          <w:szCs w:val="20"/>
          <w:color w:val="auto"/>
        </w:rPr>
      </w:pPr>
      <w:r>
        <w:rPr>
          <w:rFonts w:ascii="Arial" w:cs="Arial" w:eastAsia="Arial" w:hAnsi="Arial"/>
          <w:sz w:val="16"/>
          <w:szCs w:val="16"/>
          <w:color w:val="auto"/>
        </w:rPr>
        <w:t>performance period.</w:t>
      </w:r>
    </w:p>
    <w:p>
      <w:pPr>
        <w:sectPr>
          <w:pgSz w:w="11900" w:h="16838" w:orient="portrait"/>
          <w:cols w:equalWidth="0" w:num="1">
            <w:col w:w="11400"/>
          </w:cols>
          <w:pgMar w:left="240" w:top="1152"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Qualifying Retirement before PCD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Payable on payment date as if participant had remained an active employee through performance period.</w:t>
      </w:r>
    </w:p>
    <w:p>
      <w:pPr>
        <w:spacing w:after="0" w:line="170" w:lineRule="exact"/>
        <w:rPr>
          <w:sz w:val="20"/>
          <w:szCs w:val="20"/>
          <w:color w:val="auto"/>
        </w:rPr>
      </w:pPr>
    </w:p>
    <w:p>
      <w:pPr>
        <w:sectPr>
          <w:pgSz w:w="11900" w:h="16838" w:orient="portrait"/>
          <w:cols w:equalWidth="0" w:num="2">
            <w:col w:w="3860" w:space="720"/>
            <w:col w:w="6820"/>
          </w:cols>
          <w:pgMar w:left="240" w:top="1152" w:right="259" w:bottom="1440" w:gutter="0" w:footer="0" w:header="0"/>
          <w:type w:val="continuous"/>
        </w:sectPr>
      </w:pPr>
    </w:p>
    <w:p>
      <w:pPr>
        <w:spacing w:after="0"/>
        <w:rPr>
          <w:sz w:val="20"/>
          <w:szCs w:val="20"/>
          <w:color w:val="auto"/>
        </w:rPr>
      </w:pPr>
      <w:r>
        <w:rPr>
          <w:rFonts w:ascii="Arial" w:cs="Arial" w:eastAsia="Arial" w:hAnsi="Arial"/>
          <w:sz w:val="16"/>
          <w:szCs w:val="16"/>
          <w:color w:val="auto"/>
        </w:rPr>
        <w:t>Voluntary Termination before PCD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Immediate forfeiture.</w:t>
      </w:r>
    </w:p>
    <w:p>
      <w:pPr>
        <w:spacing w:after="0" w:line="200" w:lineRule="exact"/>
        <w:rPr>
          <w:sz w:val="20"/>
          <w:szCs w:val="20"/>
          <w:color w:val="auto"/>
        </w:rPr>
      </w:pPr>
    </w:p>
    <w:p>
      <w:pPr>
        <w:sectPr>
          <w:pgSz w:w="11900" w:h="16838" w:orient="portrait"/>
          <w:cols w:equalWidth="0" w:num="2">
            <w:col w:w="3860" w:space="720"/>
            <w:col w:w="6820"/>
          </w:cols>
          <w:pgMar w:left="240" w:top="1152" w:right="259" w:bottom="1440" w:gutter="0" w:footer="0" w:header="0"/>
          <w:type w:val="continuous"/>
        </w:sectPr>
      </w:pPr>
    </w:p>
    <w:p>
      <w:pPr>
        <w:spacing w:after="0" w:line="48"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Involuntary Termination other than for Cause before PCD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Performance is prorated based on portion of performance period completed, payable on payment date based on actual performance.</w:t>
      </w:r>
    </w:p>
    <w:p>
      <w:pPr>
        <w:spacing w:after="0" w:line="170" w:lineRule="exact"/>
        <w:rPr>
          <w:sz w:val="20"/>
          <w:szCs w:val="20"/>
          <w:color w:val="auto"/>
        </w:rPr>
      </w:pPr>
    </w:p>
    <w:p>
      <w:pPr>
        <w:sectPr>
          <w:pgSz w:w="11900" w:h="16838" w:orient="portrait"/>
          <w:cols w:equalWidth="0" w:num="2">
            <w:col w:w="3860" w:space="720"/>
            <w:col w:w="6820"/>
          </w:cols>
          <w:pgMar w:left="240" w:top="1152" w:right="259" w:bottom="1440" w:gutter="0" w:footer="0" w:header="0"/>
          <w:type w:val="continuous"/>
        </w:sectPr>
      </w:pPr>
    </w:p>
    <w:p>
      <w:pPr>
        <w:spacing w:after="0"/>
        <w:rPr>
          <w:sz w:val="20"/>
          <w:szCs w:val="20"/>
          <w:color w:val="auto"/>
        </w:rPr>
      </w:pPr>
      <w:r>
        <w:rPr>
          <w:rFonts w:ascii="Arial" w:cs="Arial" w:eastAsia="Arial" w:hAnsi="Arial"/>
          <w:sz w:val="16"/>
          <w:szCs w:val="16"/>
          <w:color w:val="auto"/>
        </w:rPr>
        <w:t>Change in Control before PCD</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Performance measured at the end as of the fiscal quarter immediately prior to the change in control and paid on prorated basis on actual results achieved up to such date. Thereafter, participant also receives a number of restricted stock units in the successor entity equal to the number of PSUs that would have been earned had no change in control occurred and target performance levels had been met from the time of the change of control through December 31, 2011, converted for any conversion factors in the change in control transaction. The new restricted stock units in the successor entity would vest on or before December 31, 2011.</w:t>
      </w:r>
    </w:p>
    <w:p>
      <w:pPr>
        <w:spacing w:after="0" w:line="167" w:lineRule="exact"/>
        <w:rPr>
          <w:sz w:val="20"/>
          <w:szCs w:val="20"/>
          <w:color w:val="auto"/>
        </w:rPr>
      </w:pPr>
    </w:p>
    <w:p>
      <w:pPr>
        <w:sectPr>
          <w:pgSz w:w="11900" w:h="16838" w:orient="portrait"/>
          <w:cols w:equalWidth="0" w:num="2">
            <w:col w:w="3860" w:space="720"/>
            <w:col w:w="6820"/>
          </w:cols>
          <w:pgMar w:left="240" w:top="1152" w:right="259" w:bottom="1440" w:gutter="0" w:footer="0" w:header="0"/>
          <w:type w:val="continuous"/>
        </w:sectPr>
      </w:pPr>
    </w:p>
    <w:p>
      <w:pPr>
        <w:spacing w:after="0"/>
        <w:rPr>
          <w:sz w:val="20"/>
          <w:szCs w:val="20"/>
          <w:color w:val="auto"/>
        </w:rPr>
      </w:pPr>
      <w:r>
        <w:rPr>
          <w:rFonts w:ascii="Arial" w:cs="Arial" w:eastAsia="Arial" w:hAnsi="Arial"/>
          <w:sz w:val="16"/>
          <w:szCs w:val="16"/>
          <w:color w:val="auto"/>
        </w:rPr>
        <w:t>Clawback for Misconduct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Within the earlier of one year after the discovery of misconduct (as defined in the award agreement) and two years after the participant’s termination of employment, reimbursement to the Company of all amounts received under the award agreement if the participant engaged in or benefited from misconduct.</w:t>
      </w:r>
    </w:p>
    <w:p>
      <w:pPr>
        <w:spacing w:after="0" w:line="183" w:lineRule="exact"/>
        <w:rPr>
          <w:sz w:val="20"/>
          <w:szCs w:val="20"/>
          <w:color w:val="auto"/>
        </w:rPr>
      </w:pPr>
    </w:p>
    <w:p>
      <w:pPr>
        <w:sectPr>
          <w:pgSz w:w="11900" w:h="16838" w:orient="portrait"/>
          <w:cols w:equalWidth="0" w:num="2">
            <w:col w:w="3860" w:space="720"/>
            <w:col w:w="6820"/>
          </w:cols>
          <w:pgMar w:left="240" w:top="115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00"/>
          </w:cols>
          <w:pgMar w:left="240" w:top="1152" w:right="259" w:bottom="1440" w:gutter="0" w:footer="0" w:header="0"/>
          <w:type w:val="continuous"/>
        </w:sect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2009 Form PSU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2, 2009</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6"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2009 Form PSU Award Agreement</w:t>
      </w:r>
    </w:p>
    <w:p>
      <w:pPr>
        <w:sectPr>
          <w:pgSz w:w="11900" w:h="16838" w:orient="portrait"/>
          <w:cols w:equalWidth="0" w:num="1">
            <w:col w:w="10219"/>
          </w:cols>
          <w:pgMar w:left="24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12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 xml:space="preserve">This Performance Share Unit Award Agreement (“Agreement”) is entered into effective as of March 9, 2009, (the “Grant Date”), by and between Waste Management, Inc., a Delaware corporation (together with its Subsidiaries and Affiliates, the “Company”), and you, (the “Employee”), pursuant to the Waste Management, Inc. 2004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8"/>
          <w:szCs w:val="18"/>
          <w:b w:val="1"/>
          <w:bCs w:val="1"/>
          <w:color w:val="auto"/>
        </w:rPr>
        <w:t>The terms and conditions of this Agreement as offered herein must be</w:t>
      </w:r>
      <w:r>
        <w:rPr>
          <w:rFonts w:ascii="Arial" w:cs="Arial" w:eastAsia="Arial" w:hAnsi="Arial"/>
          <w:sz w:val="18"/>
          <w:szCs w:val="18"/>
          <w:color w:val="auto"/>
        </w:rPr>
        <w:t xml:space="preserve"> </w:t>
      </w:r>
      <w:r>
        <w:rPr>
          <w:rFonts w:ascii="Arial" w:cs="Arial" w:eastAsia="Arial" w:hAnsi="Arial"/>
          <w:sz w:val="18"/>
          <w:szCs w:val="18"/>
          <w:b w:val="1"/>
          <w:bCs w:val="1"/>
          <w:color w:val="auto"/>
        </w:rPr>
        <w:t>accepted by Employee prior to April 10, 2009. Failure to timely accept the terms by such time will result in the immediate and irrevocable cancellation of the Award offered.</w:t>
      </w:r>
    </w:p>
    <w:p>
      <w:pPr>
        <w:spacing w:after="0" w:line="85" w:lineRule="exact"/>
        <w:rPr>
          <w:sz w:val="20"/>
          <w:szCs w:val="20"/>
          <w:color w:val="auto"/>
        </w:rPr>
      </w:pPr>
    </w:p>
    <w:p>
      <w:pPr>
        <w:jc w:val="both"/>
        <w:ind w:right="20" w:firstLine="233"/>
        <w:spacing w:after="0" w:line="259"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Performance Vesting Requirement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60" w:firstLine="221"/>
        <w:spacing w:after="0" w:line="279" w:lineRule="auto"/>
        <w:tabs>
          <w:tab w:leader="none" w:pos="71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“Performance Period” for this Award shall be the 36-month period commencing on January 1, 2009 and ending on December 31, 2011. The Award shall be subject to performance vesting requirements based upon the achievement of the Incentive Formula established under the Plan, reduced so that the Award that is paid to the Employee hereunder does not exceed the amount computed under the performance goal specified below, subject to certification of the degree of achievement of such performance goal by the Committee.</w:t>
      </w:r>
    </w:p>
    <w:p>
      <w:pPr>
        <w:spacing w:after="0" w:line="63" w:lineRule="exact"/>
        <w:rPr>
          <w:rFonts w:ascii="Arial" w:cs="Arial" w:eastAsia="Arial" w:hAnsi="Arial"/>
          <w:sz w:val="17"/>
          <w:szCs w:val="17"/>
          <w:color w:val="auto"/>
        </w:rPr>
      </w:pPr>
    </w:p>
    <w:p>
      <w:pPr>
        <w:ind w:left="240" w:right="40" w:firstLine="221"/>
        <w:spacing w:after="0" w:line="264"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measurement tool for determining level of achievement shall be Average Return on Invested Capital for the 36-month period beginning January 1, 2009 and ending December 31, 2011. Calculation of this measurement tool will be performed by the Committee, subject to all authority granted under the terms of the Plan.</w:t>
      </w:r>
    </w:p>
    <w:p>
      <w:pPr>
        <w:spacing w:after="0" w:line="73" w:lineRule="exact"/>
        <w:rPr>
          <w:rFonts w:ascii="Arial" w:cs="Arial" w:eastAsia="Arial" w:hAnsi="Arial"/>
          <w:sz w:val="18"/>
          <w:szCs w:val="18"/>
          <w:color w:val="auto"/>
        </w:rPr>
      </w:pPr>
    </w:p>
    <w:p>
      <w:pPr>
        <w:ind w:left="240" w:right="80" w:firstLine="221"/>
        <w:spacing w:after="0" w:line="264" w:lineRule="auto"/>
        <w:tabs>
          <w:tab w:leader="none" w:pos="71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Notwithstanding any other term of this Agreement to the contrary, in order to be eligible to vest in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Determining Number of Performance Share Units Earned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00" w:firstLine="221"/>
        <w:spacing w:after="0" w:line="277" w:lineRule="auto"/>
        <w:tabs>
          <w:tab w:leader="none" w:pos="71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“Target Award” for Employee under this Agreement is the target number of Performance Share Units announced on March 9, 2009. The actual number of Performance Share Units earned by Employee will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240" w:right="180"/>
        <w:spacing w:after="0" w:line="293" w:lineRule="auto"/>
        <w:rPr>
          <w:sz w:val="20"/>
          <w:szCs w:val="20"/>
          <w:color w:val="auto"/>
        </w:rPr>
      </w:pPr>
      <w:r>
        <w:rPr>
          <w:rFonts w:ascii="Arial" w:cs="Arial" w:eastAsia="Arial" w:hAnsi="Arial"/>
          <w:sz w:val="16"/>
          <w:szCs w:val="16"/>
          <w:color w:val="auto"/>
        </w:rPr>
        <w:t>determined as described below, based upon the actual achievement of the performance goal for the Performance Period. “Threshold Performance” is the minimum level of performance that must be achieved to qualify for any Award; “Target Performance” is the expected achievement in Average Return on Invested Capital; and “Maximum Performance” is the maximum level of performance that could be achieved that would result in an increase in the number of Performance Share Units earned under this Award. The target levels of achievement for the performance goal will be announced to Employee by no later than March 15, 2009, following calculation of year-end financial reporting for 2008. Subject to adjustment pursuant to Subsection 3(b), 3(c) and 3(d), each such percentage correlates to a number of Performance Share Units that may be earned under this Award,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jc w:val="center"/>
              <w:spacing w:after="0"/>
              <w:rPr>
                <w:sz w:val="20"/>
                <w:szCs w:val="20"/>
                <w:color w:val="auto"/>
              </w:rPr>
            </w:pPr>
            <w:r>
              <w:rPr>
                <w:rFonts w:ascii="Arial" w:cs="Arial" w:eastAsia="Arial" w:hAnsi="Arial"/>
                <w:sz w:val="14"/>
                <w:szCs w:val="14"/>
                <w:color w:val="auto"/>
                <w:w w:val="97"/>
              </w:rPr>
              <w:t>Level Achieved During</w:t>
            </w:r>
          </w:p>
        </w:tc>
        <w:tc>
          <w:tcPr>
            <w:tcW w:w="8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w w:val="92"/>
              </w:rPr>
              <w:t>Resulting Performance Share Units</w:t>
            </w:r>
          </w:p>
        </w:tc>
      </w:tr>
      <w:tr>
        <w:trPr>
          <w:trHeight w:val="167"/>
        </w:trPr>
        <w:tc>
          <w:tcPr>
            <w:tcW w:w="8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Performance Period</w:t>
            </w:r>
          </w:p>
        </w:tc>
        <w:tc>
          <w:tcPr>
            <w:tcW w:w="82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Earned</w:t>
            </w:r>
          </w:p>
        </w:tc>
      </w:tr>
      <w:tr>
        <w:trPr>
          <w:trHeight w:val="210"/>
        </w:trPr>
        <w:tc>
          <w:tcPr>
            <w:tcW w:w="8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Threshold Performance</w:t>
            </w:r>
          </w:p>
        </w:tc>
        <w:tc>
          <w:tcPr>
            <w:tcW w:w="8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 of Target Award</w:t>
            </w:r>
          </w:p>
        </w:tc>
      </w:tr>
      <w:tr>
        <w:trPr>
          <w:trHeight w:val="216"/>
        </w:trPr>
        <w:tc>
          <w:tcPr>
            <w:tcW w:w="8200" w:type="dxa"/>
            <w:vAlign w:val="bottom"/>
          </w:tcPr>
          <w:p>
            <w:pPr>
              <w:jc w:val="center"/>
              <w:spacing w:after="0"/>
              <w:rPr>
                <w:sz w:val="20"/>
                <w:szCs w:val="20"/>
                <w:color w:val="auto"/>
              </w:rPr>
            </w:pPr>
            <w:r>
              <w:rPr>
                <w:rFonts w:ascii="Arial" w:cs="Arial" w:eastAsia="Arial" w:hAnsi="Arial"/>
                <w:sz w:val="18"/>
                <w:szCs w:val="18"/>
                <w:color w:val="auto"/>
                <w:w w:val="88"/>
              </w:rPr>
              <w:t>Target Performance</w:t>
            </w:r>
          </w:p>
        </w:tc>
        <w:tc>
          <w:tcPr>
            <w:tcW w:w="8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100% of Target Award</w:t>
            </w:r>
          </w:p>
        </w:tc>
      </w:tr>
      <w:tr>
        <w:trPr>
          <w:trHeight w:val="216"/>
        </w:trPr>
        <w:tc>
          <w:tcPr>
            <w:tcW w:w="8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Maximum Performance</w:t>
            </w:r>
          </w:p>
        </w:tc>
        <w:tc>
          <w:tcPr>
            <w:tcW w:w="8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 of Target Award</w:t>
            </w:r>
          </w:p>
        </w:tc>
      </w:tr>
    </w:tbl>
    <w:p>
      <w:pPr>
        <w:spacing w:after="0" w:line="94" w:lineRule="exact"/>
        <w:rPr>
          <w:sz w:val="20"/>
          <w:szCs w:val="20"/>
          <w:color w:val="auto"/>
        </w:rPr>
      </w:pPr>
    </w:p>
    <w:p>
      <w:pPr>
        <w:ind w:left="240" w:right="220" w:firstLine="221"/>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event that the Company’s actual performance does not meet the Threshold Performance, no Performance Share Units shall be earned under this Award.</w:t>
      </w:r>
    </w:p>
    <w:p>
      <w:pPr>
        <w:spacing w:after="0" w:line="62" w:lineRule="exact"/>
        <w:rPr>
          <w:rFonts w:ascii="Arial" w:cs="Arial" w:eastAsia="Arial" w:hAnsi="Arial"/>
          <w:sz w:val="18"/>
          <w:szCs w:val="18"/>
          <w:color w:val="auto"/>
        </w:rPr>
      </w:pPr>
    </w:p>
    <w:p>
      <w:pPr>
        <w:ind w:left="240" w:right="620" w:firstLine="221"/>
        <w:spacing w:after="0" w:line="308" w:lineRule="auto"/>
        <w:tabs>
          <w:tab w:leader="none" w:pos="710" w:val="left"/>
        </w:tabs>
        <w:numPr>
          <w:ilvl w:val="1"/>
          <w:numId w:val="3"/>
        </w:numPr>
        <w:rPr>
          <w:rFonts w:ascii="Arial" w:cs="Arial" w:eastAsia="Arial" w:hAnsi="Arial"/>
          <w:sz w:val="17"/>
          <w:szCs w:val="17"/>
          <w:color w:val="auto"/>
        </w:rPr>
      </w:pPr>
      <w:r>
        <w:rPr>
          <w:rFonts w:ascii="Arial" w:cs="Arial" w:eastAsia="Arial" w:hAnsi="Arial"/>
          <w:sz w:val="17"/>
          <w:szCs w:val="17"/>
          <w:color w:val="auto"/>
        </w:rPr>
        <w:t>If the Company’s actual performance for the Performance Period is between Threshold Performance and Target Performance, the number of Performance Share Units earned shall be interpolated between Threshold Performance and Target Performance amounts.</w:t>
      </w:r>
    </w:p>
    <w:p>
      <w:pPr>
        <w:spacing w:after="0" w:line="38" w:lineRule="exact"/>
        <w:rPr>
          <w:rFonts w:ascii="Arial" w:cs="Arial" w:eastAsia="Arial" w:hAnsi="Arial"/>
          <w:sz w:val="17"/>
          <w:szCs w:val="17"/>
          <w:color w:val="auto"/>
        </w:rPr>
      </w:pPr>
    </w:p>
    <w:p>
      <w:pPr>
        <w:ind w:left="240" w:right="580" w:firstLine="221"/>
        <w:spacing w:after="0" w:line="308" w:lineRule="auto"/>
        <w:tabs>
          <w:tab w:leader="none" w:pos="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If the Company’s actual performance for the Performance Period is between Target Performance and Maximum Performance, the number of Performance Share Units earned shall be interpolated between Target Performance and Maximum Performance amounts.</w:t>
      </w:r>
    </w:p>
    <w:p>
      <w:pPr>
        <w:spacing w:after="0" w:line="38" w:lineRule="exact"/>
        <w:rPr>
          <w:rFonts w:ascii="Arial" w:cs="Arial" w:eastAsia="Arial" w:hAnsi="Arial"/>
          <w:sz w:val="17"/>
          <w:szCs w:val="17"/>
          <w:color w:val="auto"/>
        </w:rPr>
      </w:pPr>
    </w:p>
    <w:p>
      <w:pPr>
        <w:ind w:right="220" w:firstLine="233"/>
        <w:spacing w:after="0" w:line="257" w:lineRule="auto"/>
        <w:tabs>
          <w:tab w:leader="none" w:pos="40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Timing and Form of Payout</w:t>
      </w:r>
      <w:r>
        <w:rPr>
          <w:rFonts w:ascii="Arial" w:cs="Arial" w:eastAsia="Arial" w:hAnsi="Arial"/>
          <w:sz w:val="18"/>
          <w:szCs w:val="18"/>
          <w:color w:val="auto"/>
        </w:rPr>
        <w:t>. Except as hereinafter provided, after the end of the Performance Period, Employee shall be entitled to receive his total number of Performance Shares Units determined under Section 3 and Dividend Equivalents under Section 11. Unless timely deferred by Employee in accordance with Section 12,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w:t>
      </w:r>
    </w:p>
    <w:p>
      <w:pPr>
        <w:spacing w:after="0" w:line="80" w:lineRule="exact"/>
        <w:rPr>
          <w:rFonts w:ascii="Arial" w:cs="Arial" w:eastAsia="Arial" w:hAnsi="Arial"/>
          <w:sz w:val="18"/>
          <w:szCs w:val="18"/>
          <w:color w:val="auto"/>
        </w:rPr>
      </w:pPr>
    </w:p>
    <w:p>
      <w:pPr>
        <w:ind w:right="560" w:firstLine="233"/>
        <w:spacing w:after="0" w:line="286" w:lineRule="auto"/>
        <w:tabs>
          <w:tab w:leader="none" w:pos="40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Due to Death or Disability</w:t>
      </w:r>
      <w:r>
        <w:rPr>
          <w:rFonts w:ascii="Arial" w:cs="Arial" w:eastAsia="Arial" w:hAnsi="Arial"/>
          <w:sz w:val="17"/>
          <w:szCs w:val="17"/>
          <w:color w:val="auto"/>
        </w:rPr>
        <w:t>. Upon Termination of Employment from the Company by reason of Employee’s death or disability (as determined by the Committee and within the meaning of Section 409A of the Internal Revenue Code of 1986, as amended (the “Internal Revenue Code”)), or upon Employee’s disability prior to a Termination of Employment (as determined by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line="302" w:lineRule="auto"/>
        <w:rPr>
          <w:sz w:val="20"/>
          <w:szCs w:val="20"/>
          <w:color w:val="auto"/>
        </w:rPr>
      </w:pPr>
      <w:r>
        <w:rPr>
          <w:rFonts w:ascii="Arial" w:cs="Arial" w:eastAsia="Arial" w:hAnsi="Arial"/>
          <w:sz w:val="16"/>
          <w:szCs w:val="16"/>
          <w:color w:val="auto"/>
        </w:rPr>
        <w:t>Committee and within the meaning of Section 409A of the Internal Revenue Code), Employee (or in the case of Employee’s death, Employee’s beneficiary) shall be entitled to receive the Performance Share Units Employee would have been entitled to under Section 3 if he had remained employed until the last day of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46" w:lineRule="exact"/>
        <w:rPr>
          <w:sz w:val="20"/>
          <w:szCs w:val="20"/>
          <w:color w:val="auto"/>
        </w:rPr>
      </w:pPr>
    </w:p>
    <w:p>
      <w:pPr>
        <w:ind w:right="60" w:firstLine="233"/>
        <w:spacing w:after="0" w:line="272"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Involuntary Termination of Employment Without Cause by the Company or Retirement by Employee</w:t>
      </w:r>
      <w:r>
        <w:rPr>
          <w:rFonts w:ascii="Arial" w:cs="Arial" w:eastAsia="Arial" w:hAnsi="Arial"/>
          <w:sz w:val="17"/>
          <w:szCs w:val="17"/>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under Section 3 if he or she had remained employed until the last day of the Performance Period, multiplied by the fraction which has as its numerator the total number of days that Employee was employed by the Company during the Performance Period and has as its denominator 1,095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69" w:lineRule="exact"/>
        <w:rPr>
          <w:rFonts w:ascii="Arial" w:cs="Arial" w:eastAsia="Arial" w:hAnsi="Arial"/>
          <w:sz w:val="17"/>
          <w:szCs w:val="17"/>
          <w:color w:val="auto"/>
        </w:rPr>
      </w:pPr>
    </w:p>
    <w:p>
      <w:pPr>
        <w:ind w:right="240" w:firstLine="233"/>
        <w:spacing w:after="0" w:line="264" w:lineRule="auto"/>
        <w:tabs>
          <w:tab w:leader="none" w:pos="40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Any Other Reason.</w:t>
      </w:r>
      <w:r>
        <w:rPr>
          <w:rFonts w:ascii="Arial" w:cs="Arial" w:eastAsia="Arial" w:hAnsi="Arial"/>
          <w:sz w:val="18"/>
          <w:szCs w:val="18"/>
          <w:color w:val="auto"/>
        </w:rPr>
        <w:t xml:space="preserve"> Except as provided in Sections 5 and 6, Employee must be an employee of the Company continuously from the date of this Award until the last day of the Performance Period to be entitled to receive any shares of Common Stock with respect to any Performance Share Units he may have earned hereunder.</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p>
    <w:p>
      <w:pPr>
        <w:spacing w:after="0" w:line="117" w:lineRule="exact"/>
        <w:rPr>
          <w:rFonts w:ascii="Arial" w:cs="Arial" w:eastAsia="Arial" w:hAnsi="Arial"/>
          <w:sz w:val="18"/>
          <w:szCs w:val="18"/>
          <w:color w:val="auto"/>
        </w:rPr>
      </w:pPr>
    </w:p>
    <w:p>
      <w:pPr>
        <w:ind w:left="240" w:right="40" w:firstLine="221"/>
        <w:spacing w:after="0" w:line="288" w:lineRule="auto"/>
        <w:tabs>
          <w:tab w:leader="none" w:pos="710" w:val="left"/>
        </w:tabs>
        <w:numPr>
          <w:ilvl w:val="2"/>
          <w:numId w:val="5"/>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it is determined by the Committee that Executive either engaged in or benefited from Misconduct, as defined below, then, to the extent permitted by law, Executive will refund to the Company any amounts, plus interest, received by Executive under this Agreement. For purposes of this Section, “Misconduct” means (i) any act or failure to act by any employee of the Company that</w:t>
      </w:r>
    </w:p>
    <w:p>
      <w:pPr>
        <w:ind w:left="240" w:right="80" w:hanging="4"/>
        <w:spacing w:after="0" w:line="254" w:lineRule="auto"/>
        <w:tabs>
          <w:tab w:leader="none" w:pos="505" w:val="left"/>
        </w:tabs>
        <w:numPr>
          <w:ilvl w:val="1"/>
          <w:numId w:val="5"/>
        </w:numPr>
        <w:rPr>
          <w:rFonts w:ascii="Arial" w:cs="Arial" w:eastAsia="Arial" w:hAnsi="Arial"/>
          <w:sz w:val="18"/>
          <w:szCs w:val="18"/>
          <w:color w:val="auto"/>
        </w:rPr>
      </w:pPr>
      <w:r>
        <w:rPr>
          <w:rFonts w:ascii="Arial" w:cs="Arial" w:eastAsia="Arial" w:hAnsi="Arial"/>
          <w:sz w:val="18"/>
          <w:szCs w:val="18"/>
          <w:color w:val="auto"/>
        </w:rPr>
        <w:t>caused or was intended to cause a violation of the Company’s policies, generally accepted accounting principles or any applicable laws in effect at the time of the act(s) or failure(s) to act in question and that (iii) materially increased the value of the payment or award received by Executive under this Agreement. Determination as to the existence of Misconduct shall be made by an independent third party (either a law firm or an accounting firm) appointed by the Committee.</w:t>
      </w:r>
    </w:p>
    <w:p>
      <w:pPr>
        <w:spacing w:after="0" w:line="81" w:lineRule="exact"/>
        <w:rPr>
          <w:rFonts w:ascii="Arial" w:cs="Arial" w:eastAsia="Arial" w:hAnsi="Arial"/>
          <w:sz w:val="18"/>
          <w:szCs w:val="18"/>
          <w:color w:val="auto"/>
        </w:rPr>
      </w:pPr>
    </w:p>
    <w:p>
      <w:pPr>
        <w:ind w:left="720" w:hanging="259"/>
        <w:spacing w:after="0"/>
        <w:tabs>
          <w:tab w:leader="none" w:pos="720" w:val="left"/>
        </w:tabs>
        <w:numPr>
          <w:ilvl w:val="2"/>
          <w:numId w:val="6"/>
        </w:numPr>
        <w:rPr>
          <w:rFonts w:ascii="Arial" w:cs="Arial" w:eastAsia="Arial" w:hAnsi="Arial"/>
          <w:sz w:val="17"/>
          <w:szCs w:val="17"/>
          <w:color w:val="auto"/>
        </w:rPr>
      </w:pPr>
      <w:r>
        <w:rPr>
          <w:rFonts w:ascii="Arial" w:cs="Arial" w:eastAsia="Arial" w:hAnsi="Arial"/>
          <w:sz w:val="17"/>
          <w:szCs w:val="17"/>
          <w:color w:val="auto"/>
        </w:rPr>
        <w:t>Following finding of Misconduct by such a third party, if Executive has been accused engaging in Misconduct may dispute the occurrence of</w:t>
      </w:r>
    </w:p>
    <w:p>
      <w:pPr>
        <w:spacing w:after="0" w:line="34" w:lineRule="exact"/>
        <w:rPr>
          <w:rFonts w:ascii="Arial" w:cs="Arial" w:eastAsia="Arial" w:hAnsi="Arial"/>
          <w:sz w:val="17"/>
          <w:szCs w:val="17"/>
          <w:color w:val="auto"/>
        </w:rPr>
      </w:pPr>
    </w:p>
    <w:p>
      <w:pPr>
        <w:ind w:left="240" w:right="20"/>
        <w:spacing w:after="0" w:line="261" w:lineRule="auto"/>
        <w:rPr>
          <w:rFonts w:ascii="Arial" w:cs="Arial" w:eastAsia="Arial" w:hAnsi="Arial"/>
          <w:sz w:val="17"/>
          <w:szCs w:val="17"/>
          <w:color w:val="auto"/>
        </w:rPr>
      </w:pPr>
      <w:r>
        <w:rPr>
          <w:rFonts w:ascii="Arial" w:cs="Arial" w:eastAsia="Arial" w:hAnsi="Arial"/>
          <w:sz w:val="18"/>
          <w:szCs w:val="18"/>
          <w:color w:val="auto"/>
        </w:rPr>
        <w:t>Misconduct pursuant to binding arbitration. Individuals determined to have benefited from, but not engaged in, Misconduct will have no right to challenge the finding of Misconduct through arbitration. The Company and Executive hereby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ind w:left="180" w:right="80"/>
        <w:spacing w:after="0" w:line="255" w:lineRule="auto"/>
        <w:rPr>
          <w:sz w:val="20"/>
          <w:szCs w:val="20"/>
          <w:color w:val="auto"/>
        </w:rPr>
      </w:pPr>
      <w:r>
        <w:rPr>
          <w:rFonts w:ascii="Arial" w:cs="Arial" w:eastAsia="Arial" w:hAnsi="Arial"/>
          <w:sz w:val="18"/>
          <w:szCs w:val="18"/>
          <w:color w:val="auto"/>
        </w:rPr>
        <w:t xml:space="preserve">agree that any dispute arising out of or relating to a finding that Executive engaged in Misconduct shall be settled exclusively by final and binding arbitration, as governed by the Federal Arbitration Act (9 U.S.C. 1 </w:t>
      </w:r>
      <w:r>
        <w:rPr>
          <w:rFonts w:ascii="Arial" w:cs="Arial" w:eastAsia="Arial" w:hAnsi="Arial"/>
          <w:sz w:val="18"/>
          <w:szCs w:val="18"/>
          <w:i w:val="1"/>
          <w:iCs w:val="1"/>
          <w:color w:val="auto"/>
        </w:rPr>
        <w:t>et seq</w:t>
      </w:r>
      <w:r>
        <w:rPr>
          <w:rFonts w:ascii="Arial" w:cs="Arial" w:eastAsia="Arial" w:hAnsi="Arial"/>
          <w:sz w:val="18"/>
          <w:szCs w:val="18"/>
          <w:color w:val="auto"/>
        </w:rPr>
        <w:t>.). The arbitration proceeding, including the rendering of an award, shall be administered by JAMS pursuant to its Employment Arbitration Rules and 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85" w:lineRule="exact"/>
        <w:rPr>
          <w:sz w:val="20"/>
          <w:szCs w:val="20"/>
          <w:color w:val="auto"/>
        </w:rPr>
      </w:pPr>
    </w:p>
    <w:p>
      <w:pPr>
        <w:ind w:left="180" w:right="360" w:firstLine="221"/>
        <w:spacing w:after="0" w:line="277"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Executive’s termination of employment.</w:t>
      </w:r>
    </w:p>
    <w:p>
      <w:pPr>
        <w:spacing w:after="0" w:line="62" w:lineRule="exact"/>
        <w:rPr>
          <w:rFonts w:ascii="Arial" w:cs="Arial" w:eastAsia="Arial" w:hAnsi="Arial"/>
          <w:sz w:val="18"/>
          <w:szCs w:val="18"/>
          <w:color w:val="auto"/>
        </w:rPr>
      </w:pPr>
    </w:p>
    <w:p>
      <w:pPr>
        <w:ind w:left="180" w:right="220" w:firstLine="221"/>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provisions of this Section 8, without implication as to any other section hereof, shall survive the expiration or termination of this Agreement and of Executive’s employment.</w:t>
      </w:r>
    </w:p>
    <w:p>
      <w:pPr>
        <w:spacing w:after="0" w:line="62" w:lineRule="exact"/>
        <w:rPr>
          <w:rFonts w:ascii="Arial" w:cs="Arial" w:eastAsia="Arial" w:hAnsi="Arial"/>
          <w:sz w:val="18"/>
          <w:szCs w:val="18"/>
          <w:color w:val="auto"/>
        </w:rPr>
      </w:pPr>
    </w:p>
    <w:p>
      <w:pPr>
        <w:ind w:left="-60" w:right="60" w:firstLine="233"/>
        <w:spacing w:after="0" w:line="277" w:lineRule="auto"/>
        <w:tabs>
          <w:tab w:leader="none" w:pos="34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xml:space="preserve"> Notwithstanding anything to the contrary, if there is a Change in Control of Waste Management, Inc. prior to the end of the Performance Period, Employee will be entitled to immediately receive both (a) and (b), as follows:</w:t>
      </w:r>
    </w:p>
    <w:p>
      <w:pPr>
        <w:spacing w:after="0" w:line="62" w:lineRule="exact"/>
        <w:rPr>
          <w:rFonts w:ascii="Arial" w:cs="Arial" w:eastAsia="Arial" w:hAnsi="Arial"/>
          <w:sz w:val="18"/>
          <w:szCs w:val="18"/>
          <w:color w:val="auto"/>
        </w:rPr>
      </w:pPr>
    </w:p>
    <w:p>
      <w:pPr>
        <w:ind w:left="180" w:right="60" w:firstLine="221"/>
        <w:spacing w:after="0" w:line="293" w:lineRule="auto"/>
        <w:tabs>
          <w:tab w:leader="none" w:pos="65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Performance Share Units that he would have otherwise received based upon achievement of Average Return on Invested Capital after reducing the Performance Period so that it ends on the last day of the quarter preceding the Change in Control (the “Early Measurement Date”) and making adjustments to Target Performance so as to be equal to the performance budgeted for that period and appropriate adjustments to Threshold Performance and Maximum Performance so that they bear the same ratio to the Threshold Performance and Maximum Performance amounts above as the revised Target Performance amount bear to the Target Performance amount above, converted into a cash payment equivalent to the number of Performance Share Units earned under this Section 9 multiplied by the closing price of the Common Stock on the Early Measurement Date; and</w:t>
      </w:r>
    </w:p>
    <w:p>
      <w:pPr>
        <w:spacing w:after="0" w:line="56" w:lineRule="exact"/>
        <w:rPr>
          <w:rFonts w:ascii="Arial" w:cs="Arial" w:eastAsia="Arial" w:hAnsi="Arial"/>
          <w:sz w:val="16"/>
          <w:szCs w:val="16"/>
          <w:color w:val="auto"/>
        </w:rPr>
      </w:pPr>
    </w:p>
    <w:p>
      <w:pPr>
        <w:ind w:left="660" w:hanging="259"/>
        <w:spacing w:after="0"/>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as a substitute award for the lost opportunity to earn Performance Share Units for the entire length of the original Performance Period:</w:t>
      </w:r>
    </w:p>
    <w:p>
      <w:pPr>
        <w:spacing w:after="0" w:line="128" w:lineRule="exact"/>
        <w:rPr>
          <w:rFonts w:ascii="Arial" w:cs="Arial" w:eastAsia="Arial" w:hAnsi="Arial"/>
          <w:sz w:val="17"/>
          <w:szCs w:val="17"/>
          <w:color w:val="auto"/>
        </w:rPr>
      </w:pPr>
    </w:p>
    <w:p>
      <w:pPr>
        <w:jc w:val="both"/>
        <w:ind w:left="400" w:firstLine="229"/>
        <w:spacing w:after="0" w:line="264" w:lineRule="auto"/>
        <w:tabs>
          <w:tab w:leader="none" w:pos="840" w:val="left"/>
        </w:tabs>
        <w:numPr>
          <w:ilvl w:val="2"/>
          <w:numId w:val="8"/>
        </w:numPr>
        <w:rPr>
          <w:rFonts w:ascii="Arial" w:cs="Arial" w:eastAsia="Arial" w:hAnsi="Arial"/>
          <w:sz w:val="18"/>
          <w:szCs w:val="18"/>
          <w:color w:val="auto"/>
        </w:rPr>
      </w:pPr>
      <w:r>
        <w:rPr>
          <w:rFonts w:ascii="Arial" w:cs="Arial" w:eastAsia="Arial" w:hAnsi="Arial"/>
          <w:sz w:val="18"/>
          <w:szCs w:val="18"/>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product of the following equation: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9" w:name="page10"/>
    <w:bookmarkEnd w:id="9"/>
    <w:p>
      <w:pPr>
        <w:jc w:val="center"/>
        <w:ind w:left="1580"/>
        <w:spacing w:after="0"/>
        <w:rPr>
          <w:sz w:val="20"/>
          <w:szCs w:val="20"/>
          <w:color w:val="auto"/>
        </w:rPr>
      </w:pPr>
      <w:r>
        <w:rPr>
          <w:rFonts w:ascii="Arial" w:cs="Arial" w:eastAsia="Arial" w:hAnsi="Arial"/>
          <w:sz w:val="18"/>
          <w:szCs w:val="18"/>
          <w:b w:val="1"/>
          <w:bCs w:val="1"/>
          <w:color w:val="auto"/>
        </w:rPr>
        <w:t>TAP x EMD x 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17145</wp:posOffset>
            </wp:positionV>
            <wp:extent cx="20154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6"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1095-EMD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TAP = the number of Performance Share Units that could be earned for achievement of the original Target Performance specified in Section 3(a)</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EMD = the number of days occurring from the Grant Date to the Early Measurement Date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17" w:lineRule="exact"/>
        <w:rPr>
          <w:sz w:val="20"/>
          <w:szCs w:val="20"/>
          <w:color w:val="auto"/>
        </w:rPr>
      </w:pPr>
    </w:p>
    <w:p>
      <w:pPr>
        <w:ind w:left="400" w:right="120"/>
        <w:spacing w:after="0" w:line="259" w:lineRule="auto"/>
        <w:rPr>
          <w:sz w:val="20"/>
          <w:szCs w:val="20"/>
          <w:color w:val="auto"/>
        </w:rPr>
      </w:pPr>
      <w:r>
        <w:rPr>
          <w:rFonts w:ascii="Arial" w:cs="Arial" w:eastAsia="Arial" w:hAnsi="Arial"/>
          <w:sz w:val="18"/>
          <w:szCs w:val="18"/>
          <w:color w:val="auto"/>
        </w:rPr>
        <w:t>Any stock units in the successor entity awarded under this Section 9(b)(i) will vest completely on or before December 31, 2011,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stock units in the successor entity awarded pursuant to this Section 9(b)(i).</w:t>
      </w:r>
    </w:p>
    <w:p>
      <w:pPr>
        <w:spacing w:after="0" w:line="79" w:lineRule="exact"/>
        <w:rPr>
          <w:sz w:val="20"/>
          <w:szCs w:val="20"/>
          <w:color w:val="auto"/>
        </w:rPr>
      </w:pPr>
    </w:p>
    <w:p>
      <w:pPr>
        <w:ind w:left="400" w:right="640" w:firstLine="229"/>
        <w:spacing w:after="0" w:line="277" w:lineRule="auto"/>
        <w:tabs>
          <w:tab w:leader="none" w:pos="89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the product of the following equation:</w:t>
      </w:r>
    </w:p>
    <w:p>
      <w:pPr>
        <w:spacing w:after="0" w:line="166"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TAP x EMD x 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17145</wp:posOffset>
            </wp:positionV>
            <wp:extent cx="20154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6"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1095-EMD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TAP = the number of Performance Share Units that could be earned for achievement of the original Target Performance specified in Section 3(a)</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EMD = the number of days occurring from the Grant Date to the Early Measurement Date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17" w:lineRule="exact"/>
        <w:rPr>
          <w:sz w:val="20"/>
          <w:szCs w:val="20"/>
          <w:color w:val="auto"/>
        </w:rPr>
      </w:pPr>
    </w:p>
    <w:p>
      <w:pPr>
        <w:jc w:val="both"/>
        <w:ind w:left="400"/>
        <w:spacing w:after="0" w:line="312" w:lineRule="auto"/>
        <w:rPr>
          <w:sz w:val="20"/>
          <w:szCs w:val="20"/>
          <w:color w:val="auto"/>
        </w:rPr>
      </w:pPr>
      <w:r>
        <w:rPr>
          <w:rFonts w:ascii="Arial" w:cs="Arial" w:eastAsia="Arial" w:hAnsi="Arial"/>
          <w:sz w:val="16"/>
          <w:szCs w:val="16"/>
          <w:color w:val="auto"/>
        </w:rPr>
        <w:t>Any cash payment calculated under this Section 9(b)(ii) will be paid to Employee on December 31, 2011,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9(b)(ii).</w:t>
      </w:r>
    </w:p>
    <w:p>
      <w:pPr>
        <w:spacing w:after="0" w:line="39" w:lineRule="exact"/>
        <w:rPr>
          <w:sz w:val="20"/>
          <w:szCs w:val="20"/>
          <w:color w:val="auto"/>
        </w:rPr>
      </w:pPr>
    </w:p>
    <w:p>
      <w:pPr>
        <w:ind w:left="-60" w:right="80" w:firstLine="233"/>
        <w:spacing w:after="0" w:line="286" w:lineRule="auto"/>
        <w:tabs>
          <w:tab w:leader="none" w:pos="43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Forfeiture of Award.</w:t>
      </w:r>
      <w:r>
        <w:rPr>
          <w:rFonts w:ascii="Arial" w:cs="Arial" w:eastAsia="Arial" w:hAnsi="Arial"/>
          <w:sz w:val="17"/>
          <w:szCs w:val="17"/>
          <w:color w:val="auto"/>
        </w:rPr>
        <w:t xml:space="preserve">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 the Company. Upon forfeiture, neither Employee nor any successors, heirs, assigns,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148"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legal representatives of Employee shall thereafter have any further rights or interest in the unvested portion of the Award.</w:t>
      </w:r>
    </w:p>
    <w:p>
      <w:pPr>
        <w:spacing w:after="0" w:line="117" w:lineRule="exact"/>
        <w:rPr>
          <w:sz w:val="20"/>
          <w:szCs w:val="20"/>
          <w:color w:val="auto"/>
        </w:rPr>
      </w:pPr>
    </w:p>
    <w:p>
      <w:pPr>
        <w:ind w:left="500" w:hanging="267"/>
        <w:spacing w:after="0"/>
        <w:tabs>
          <w:tab w:leader="none" w:pos="50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Dividend Equivalents will be paid on the Performance Share Units until such time as: (i) the Performance Period has ended;</w:t>
      </w:r>
    </w:p>
    <w:p>
      <w:pPr>
        <w:spacing w:after="0" w:line="46" w:lineRule="exact"/>
        <w:rPr>
          <w:rFonts w:ascii="Arial" w:cs="Arial" w:eastAsia="Arial" w:hAnsi="Arial"/>
          <w:sz w:val="16"/>
          <w:szCs w:val="16"/>
          <w:color w:val="auto"/>
        </w:rPr>
      </w:pPr>
    </w:p>
    <w:p>
      <w:pPr>
        <w:ind w:right="20" w:firstLine="8"/>
        <w:spacing w:after="0" w:line="268"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12. With respect to validly deferred and vested Performance Share Units, the Company will pay Dividend Equivalents in cash at such times as dividends are paid on the Company’s outstanding shares of Common Stock.</w:t>
      </w:r>
    </w:p>
    <w:p>
      <w:pPr>
        <w:spacing w:after="0" w:line="73" w:lineRule="exact"/>
        <w:rPr>
          <w:rFonts w:ascii="Arial" w:cs="Arial" w:eastAsia="Arial" w:hAnsi="Arial"/>
          <w:sz w:val="17"/>
          <w:szCs w:val="17"/>
          <w:color w:val="auto"/>
        </w:rPr>
      </w:pPr>
    </w:p>
    <w:p>
      <w:pPr>
        <w:ind w:left="500" w:hanging="267"/>
        <w:spacing w:after="0"/>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Elective Deferrals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254" w:lineRule="auto"/>
        <w:tabs>
          <w:tab w:leader="none" w:pos="71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84" w:lineRule="exact"/>
        <w:rPr>
          <w:rFonts w:ascii="Arial" w:cs="Arial" w:eastAsia="Arial" w:hAnsi="Arial"/>
          <w:sz w:val="18"/>
          <w:szCs w:val="18"/>
          <w:color w:val="auto"/>
        </w:rPr>
      </w:pPr>
    </w:p>
    <w:p>
      <w:pPr>
        <w:ind w:left="240" w:firstLine="221"/>
        <w:spacing w:after="0" w:line="259" w:lineRule="auto"/>
        <w:tabs>
          <w:tab w:leader="none" w:pos="7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left="140"/>
        <w:spacing w:after="0" w:line="342" w:lineRule="auto"/>
        <w:rPr>
          <w:sz w:val="20"/>
          <w:szCs w:val="20"/>
          <w:color w:val="auto"/>
        </w:rPr>
      </w:pPr>
      <w:r>
        <w:rPr>
          <w:rFonts w:ascii="Arial" w:cs="Arial" w:eastAsia="Arial" w:hAnsi="Arial"/>
          <w:sz w:val="16"/>
          <w:szCs w:val="16"/>
          <w:color w:val="auto"/>
        </w:rPr>
        <w:t>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16" w:lineRule="exact"/>
        <w:rPr>
          <w:sz w:val="20"/>
          <w:szCs w:val="20"/>
          <w:color w:val="auto"/>
        </w:rPr>
      </w:pPr>
    </w:p>
    <w:p>
      <w:pPr>
        <w:ind w:left="400" w:hanging="267"/>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117" w:lineRule="exact"/>
        <w:rPr>
          <w:rFonts w:ascii="Arial" w:cs="Arial" w:eastAsia="Arial" w:hAnsi="Arial"/>
          <w:sz w:val="18"/>
          <w:szCs w:val="18"/>
          <w:color w:val="auto"/>
        </w:rPr>
      </w:pPr>
    </w:p>
    <w:p>
      <w:pPr>
        <w:jc w:val="both"/>
        <w:ind w:left="140" w:right="520" w:firstLine="221"/>
        <w:spacing w:after="0" w:line="312" w:lineRule="auto"/>
        <w:tabs>
          <w:tab w:leader="none" w:pos="61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38" w:lineRule="exact"/>
        <w:rPr>
          <w:rFonts w:ascii="Arial" w:cs="Arial" w:eastAsia="Arial" w:hAnsi="Arial"/>
          <w:sz w:val="16"/>
          <w:szCs w:val="16"/>
          <w:color w:val="auto"/>
        </w:rPr>
      </w:pPr>
    </w:p>
    <w:p>
      <w:pPr>
        <w:ind w:left="140" w:right="80" w:firstLine="221"/>
        <w:spacing w:after="0" w:line="272"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Consistent with the foregoing, except as contemplated by Section 14,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14, or if any creditor shall attempt to subject the same to a writ of garnishment, attachment, execution sequestration, or any other form of process or involuntary lien or seizure, then such attempt shall have no effect and shall be void.</w:t>
      </w:r>
    </w:p>
    <w:p>
      <w:pPr>
        <w:spacing w:after="0" w:line="69" w:lineRule="exact"/>
        <w:rPr>
          <w:rFonts w:ascii="Arial" w:cs="Arial" w:eastAsia="Arial" w:hAnsi="Arial"/>
          <w:sz w:val="17"/>
          <w:szCs w:val="17"/>
          <w:color w:val="auto"/>
        </w:rPr>
      </w:pPr>
    </w:p>
    <w:p>
      <w:pPr>
        <w:ind w:left="-100" w:right="20" w:firstLine="233"/>
        <w:spacing w:after="0" w:line="291" w:lineRule="auto"/>
        <w:tabs>
          <w:tab w:leader="none" w:pos="39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xml:space="preserve">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59" w:lineRule="exact"/>
        <w:rPr>
          <w:rFonts w:ascii="Arial" w:cs="Arial" w:eastAsia="Arial" w:hAnsi="Arial"/>
          <w:sz w:val="16"/>
          <w:szCs w:val="16"/>
          <w:color w:val="auto"/>
        </w:rPr>
      </w:pPr>
    </w:p>
    <w:p>
      <w:pPr>
        <w:ind w:left="-100" w:right="40" w:firstLine="233"/>
        <w:spacing w:after="0" w:line="286" w:lineRule="auto"/>
        <w:tabs>
          <w:tab w:leader="none" w:pos="3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 Common Stock earned or owned by Employee, at Employee’s election, as the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35" w:right="319" w:bottom="1440" w:gutter="0" w:footer="0" w:header="0"/>
        </w:sectPr>
      </w:pPr>
    </w:p>
    <w:bookmarkStart w:id="12" w:name="page13"/>
    <w:bookmarkEnd w:id="12"/>
    <w:p>
      <w:pPr>
        <w:ind w:right="160"/>
        <w:spacing w:after="0" w:line="342" w:lineRule="auto"/>
        <w:rPr>
          <w:sz w:val="20"/>
          <w:szCs w:val="20"/>
          <w:color w:val="auto"/>
        </w:rPr>
      </w:pPr>
      <w:r>
        <w:rPr>
          <w:rFonts w:ascii="Arial" w:cs="Arial" w:eastAsia="Arial" w:hAnsi="Arial"/>
          <w:sz w:val="16"/>
          <w:szCs w:val="16"/>
          <w:color w:val="auto"/>
        </w:rPr>
        <w:t>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16" w:lineRule="exact"/>
        <w:rPr>
          <w:sz w:val="20"/>
          <w:szCs w:val="20"/>
          <w:color w:val="auto"/>
        </w:rPr>
      </w:pPr>
    </w:p>
    <w:p>
      <w:pPr>
        <w:ind w:right="80" w:firstLine="233"/>
        <w:spacing w:after="0" w:line="264"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xml:space="preserv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73" w:lineRule="exact"/>
        <w:rPr>
          <w:rFonts w:ascii="Arial" w:cs="Arial" w:eastAsia="Arial" w:hAnsi="Arial"/>
          <w:sz w:val="18"/>
          <w:szCs w:val="18"/>
          <w:color w:val="auto"/>
        </w:rPr>
      </w:pPr>
    </w:p>
    <w:p>
      <w:pPr>
        <w:ind w:firstLine="233"/>
        <w:spacing w:after="0" w:line="257"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80" w:lineRule="exact"/>
        <w:rPr>
          <w:rFonts w:ascii="Arial" w:cs="Arial" w:eastAsia="Arial" w:hAnsi="Arial"/>
          <w:sz w:val="18"/>
          <w:szCs w:val="18"/>
          <w:color w:val="auto"/>
        </w:rPr>
      </w:pPr>
    </w:p>
    <w:p>
      <w:pPr>
        <w:ind w:right="120" w:firstLine="233"/>
        <w:spacing w:after="0" w:line="308" w:lineRule="auto"/>
        <w:tabs>
          <w:tab w:leader="none" w:pos="49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Employee to Have no Rights as a Stockholder.</w:t>
      </w:r>
      <w:r>
        <w:rPr>
          <w:rFonts w:ascii="Arial" w:cs="Arial" w:eastAsia="Arial" w:hAnsi="Arial"/>
          <w:sz w:val="17"/>
          <w:szCs w:val="17"/>
          <w:color w:val="auto"/>
        </w:rPr>
        <w:t xml:space="preserve"> Employee shall have no rights as a stockholder with respect to any shares of Common Stock subject to this Award prior to the date on which he or she is recorded as the holder of such shares of Common Stock on the records of the Company.</w:t>
      </w:r>
    </w:p>
    <w:p>
      <w:pPr>
        <w:spacing w:after="0" w:line="38" w:lineRule="exact"/>
        <w:rPr>
          <w:rFonts w:ascii="Arial" w:cs="Arial" w:eastAsia="Arial" w:hAnsi="Arial"/>
          <w:sz w:val="17"/>
          <w:szCs w:val="17"/>
          <w:color w:val="auto"/>
        </w:rPr>
      </w:pPr>
    </w:p>
    <w:p>
      <w:pPr>
        <w:ind w:left="500" w:hanging="267"/>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240" w:firstLine="221"/>
        <w:spacing w:after="0" w:line="264"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73" w:lineRule="exact"/>
        <w:rPr>
          <w:rFonts w:ascii="Arial" w:cs="Arial" w:eastAsia="Arial" w:hAnsi="Arial"/>
          <w:sz w:val="18"/>
          <w:szCs w:val="18"/>
          <w:color w:val="auto"/>
        </w:rPr>
      </w:pPr>
    </w:p>
    <w:p>
      <w:pPr>
        <w:ind w:left="240" w:right="180" w:firstLine="221"/>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rFonts w:ascii="Arial" w:cs="Arial" w:eastAsia="Arial" w:hAnsi="Arial"/>
          <w:sz w:val="18"/>
          <w:szCs w:val="18"/>
          <w:color w:val="auto"/>
        </w:rPr>
      </w:pPr>
    </w:p>
    <w:p>
      <w:pPr>
        <w:ind w:left="240" w:right="640" w:firstLine="221"/>
        <w:spacing w:after="0" w:line="277"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160" w:right="40" w:firstLine="221"/>
        <w:spacing w:after="0" w:line="277"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62" w:lineRule="exact"/>
        <w:rPr>
          <w:rFonts w:ascii="Arial" w:cs="Arial" w:eastAsia="Arial" w:hAnsi="Arial"/>
          <w:sz w:val="18"/>
          <w:szCs w:val="18"/>
          <w:color w:val="auto"/>
        </w:rPr>
      </w:pPr>
    </w:p>
    <w:p>
      <w:pPr>
        <w:ind w:left="620" w:hanging="239"/>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17" w:lineRule="exact"/>
        <w:rPr>
          <w:rFonts w:ascii="Arial" w:cs="Arial" w:eastAsia="Arial" w:hAnsi="Arial"/>
          <w:sz w:val="18"/>
          <w:szCs w:val="18"/>
          <w:color w:val="auto"/>
        </w:rPr>
      </w:pPr>
    </w:p>
    <w:p>
      <w:pPr>
        <w:ind w:left="-80" w:right="180" w:firstLine="233"/>
        <w:spacing w:after="0" w:line="277"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62" w:lineRule="exact"/>
        <w:rPr>
          <w:rFonts w:ascii="Arial" w:cs="Arial" w:eastAsia="Arial" w:hAnsi="Arial"/>
          <w:sz w:val="18"/>
          <w:szCs w:val="18"/>
          <w:color w:val="auto"/>
        </w:rPr>
      </w:pPr>
    </w:p>
    <w:p>
      <w:pPr>
        <w:ind w:left="-80" w:right="60" w:firstLine="233"/>
        <w:spacing w:after="0" w:line="277"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left="-80" w:right="60" w:firstLine="233"/>
        <w:spacing w:after="0" w:line="264"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left="-80" w:firstLine="233"/>
        <w:spacing w:after="0" w:line="264"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24.</w:t>
      </w:r>
    </w:p>
    <w:p>
      <w:pPr>
        <w:spacing w:after="0" w:line="73" w:lineRule="exact"/>
        <w:rPr>
          <w:rFonts w:ascii="Arial" w:cs="Arial" w:eastAsia="Arial" w:hAnsi="Arial"/>
          <w:sz w:val="18"/>
          <w:szCs w:val="18"/>
          <w:color w:val="auto"/>
        </w:rPr>
      </w:pPr>
    </w:p>
    <w:p>
      <w:pPr>
        <w:jc w:val="both"/>
        <w:ind w:left="160" w:right="180" w:firstLine="221"/>
        <w:spacing w:after="0" w:line="342" w:lineRule="auto"/>
        <w:tabs>
          <w:tab w:leader="none" w:pos="63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“Average Return on Invested Capital” is defined to mean (i) average NOPAT for the Performance Period, divided by (ii) average Invested Capital for the Performance Period. For purposes of this Agreement, the Average Return on Invested Capital for the Performance Period will be the product of:</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Numerator: (2009 NOPAT + 2010 NOPAT +2011 NOPAT) / 3</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divided by</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Denominator: (2009 Invested Capital + 2010 Invested Capital + 2011 Invested Capital) / 3</w:t>
      </w:r>
    </w:p>
    <w:p>
      <w:pPr>
        <w:spacing w:after="0" w:line="117" w:lineRule="exact"/>
        <w:rPr>
          <w:sz w:val="20"/>
          <w:szCs w:val="20"/>
          <w:color w:val="auto"/>
        </w:rPr>
      </w:pPr>
    </w:p>
    <w:p>
      <w:pPr>
        <w:ind w:left="640" w:hanging="25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17" w:lineRule="exact"/>
        <w:rPr>
          <w:rFonts w:ascii="Arial" w:cs="Arial" w:eastAsia="Arial" w:hAnsi="Arial"/>
          <w:sz w:val="18"/>
          <w:szCs w:val="18"/>
          <w:color w:val="auto"/>
        </w:rPr>
      </w:pPr>
    </w:p>
    <w:p>
      <w:pPr>
        <w:ind w:left="160" w:right="80" w:firstLine="221"/>
        <w:spacing w:after="0" w:line="277" w:lineRule="auto"/>
        <w:tabs>
          <w:tab w:leader="none" w:pos="6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means cash as reported by the Company in publicly filed financial statements during the Performance Period, plus Short-Term Investments Available for Use.</w:t>
      </w:r>
    </w:p>
    <w:p>
      <w:pPr>
        <w:spacing w:after="0" w:line="62" w:lineRule="exact"/>
        <w:rPr>
          <w:rFonts w:ascii="Arial" w:cs="Arial" w:eastAsia="Arial" w:hAnsi="Arial"/>
          <w:sz w:val="18"/>
          <w:szCs w:val="18"/>
          <w:color w:val="auto"/>
        </w:rPr>
      </w:pPr>
    </w:p>
    <w:p>
      <w:pPr>
        <w:ind w:left="160" w:right="20" w:firstLine="221"/>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5" w:right="299" w:bottom="1440" w:gutter="0" w:footer="0" w:header="0"/>
        </w:sectPr>
      </w:pPr>
    </w:p>
    <w:bookmarkStart w:id="14" w:name="page15"/>
    <w:bookmarkEnd w:id="14"/>
    <w:p>
      <w:pPr>
        <w:ind w:left="4"/>
        <w:spacing w:after="0"/>
        <w:rPr>
          <w:sz w:val="20"/>
          <w:szCs w:val="20"/>
          <w:color w:val="auto"/>
        </w:rPr>
      </w:pPr>
      <w:r>
        <w:rPr>
          <w:rFonts w:ascii="Arial" w:cs="Arial" w:eastAsia="Arial" w:hAnsi="Arial"/>
          <w:sz w:val="17"/>
          <w:szCs w:val="17"/>
          <w:color w:val="auto"/>
        </w:rPr>
        <w:t>sickness, illness, injury, death or disability) and Employee fails to cure such nonperformance within ten (10) days of receipt of said written notice;</w:t>
      </w:r>
    </w:p>
    <w:p>
      <w:pPr>
        <w:spacing w:after="0" w:line="35" w:lineRule="exact"/>
        <w:rPr>
          <w:sz w:val="20"/>
          <w:szCs w:val="20"/>
          <w:color w:val="auto"/>
        </w:rPr>
      </w:pPr>
    </w:p>
    <w:p>
      <w:pPr>
        <w:ind w:left="4" w:right="160" w:hanging="4"/>
        <w:spacing w:after="0" w:line="253" w:lineRule="auto"/>
        <w:tabs>
          <w:tab w:leader="none" w:pos="2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breach of any statutory or common law duty of loyalty to the Company; (iii) Employee has been convicted of, or pleaded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83" w:lineRule="exact"/>
        <w:rPr>
          <w:rFonts w:ascii="Arial" w:cs="Arial" w:eastAsia="Arial" w:hAnsi="Arial"/>
          <w:sz w:val="18"/>
          <w:szCs w:val="18"/>
          <w:color w:val="auto"/>
        </w:rPr>
      </w:pPr>
    </w:p>
    <w:p>
      <w:pPr>
        <w:ind w:left="464" w:hanging="239"/>
        <w:spacing w:after="0"/>
        <w:tabs>
          <w:tab w:leader="none" w:pos="4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17" w:lineRule="exact"/>
        <w:rPr>
          <w:rFonts w:ascii="Arial" w:cs="Arial" w:eastAsia="Arial" w:hAnsi="Arial"/>
          <w:sz w:val="18"/>
          <w:szCs w:val="18"/>
          <w:color w:val="auto"/>
        </w:rPr>
      </w:pPr>
    </w:p>
    <w:p>
      <w:pPr>
        <w:ind w:left="224" w:firstLine="229"/>
        <w:spacing w:after="0" w:line="264" w:lineRule="auto"/>
        <w:tabs>
          <w:tab w:leader="none" w:pos="664"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Person, or Persons acting as a group, directly or indirectly, acquires ownership of stock of the Company that, together with stock held by such Person or Persons, represents fifty percent (50%) or more of the total voting power or total fair market value of the Company’s then outstanding securities;</w:t>
      </w:r>
    </w:p>
    <w:p>
      <w:pPr>
        <w:spacing w:after="0" w:line="73" w:lineRule="exact"/>
        <w:rPr>
          <w:rFonts w:ascii="Arial" w:cs="Arial" w:eastAsia="Arial" w:hAnsi="Arial"/>
          <w:sz w:val="18"/>
          <w:szCs w:val="18"/>
          <w:color w:val="auto"/>
        </w:rPr>
      </w:pPr>
    </w:p>
    <w:p>
      <w:pPr>
        <w:ind w:left="224" w:right="40" w:firstLine="229"/>
        <w:spacing w:after="0" w:line="264" w:lineRule="auto"/>
        <w:tabs>
          <w:tab w:leader="none" w:pos="714"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Person, or Persons acting as a group, acquires, (or has acquired during the 12-month period ending on the date of the most recent acquisition by such Person or Persons) directly or indirectly, ownership of the securities of the Company representing thirty percent (30%) or more of the total voting power of the Company’s then outstanding voting securities;</w:t>
      </w:r>
    </w:p>
    <w:p>
      <w:pPr>
        <w:spacing w:after="0" w:line="73" w:lineRule="exact"/>
        <w:rPr>
          <w:rFonts w:ascii="Arial" w:cs="Arial" w:eastAsia="Arial" w:hAnsi="Arial"/>
          <w:sz w:val="18"/>
          <w:szCs w:val="18"/>
          <w:color w:val="auto"/>
        </w:rPr>
      </w:pPr>
    </w:p>
    <w:p>
      <w:pPr>
        <w:ind w:left="224" w:right="100" w:firstLine="229"/>
        <w:spacing w:after="0" w:line="255" w:lineRule="auto"/>
        <w:tabs>
          <w:tab w:leader="none" w:pos="764"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85" w:lineRule="exact"/>
        <w:rPr>
          <w:rFonts w:ascii="Arial" w:cs="Arial" w:eastAsia="Arial" w:hAnsi="Arial"/>
          <w:sz w:val="18"/>
          <w:szCs w:val="18"/>
          <w:color w:val="auto"/>
        </w:rPr>
      </w:pPr>
    </w:p>
    <w:p>
      <w:pPr>
        <w:ind w:left="224" w:right="40" w:firstLine="229"/>
        <w:spacing w:after="0" w:line="276" w:lineRule="auto"/>
        <w:tabs>
          <w:tab w:leader="none" w:pos="754" w:val="left"/>
        </w:tabs>
        <w:numPr>
          <w:ilvl w:val="2"/>
          <w:numId w:val="18"/>
        </w:numPr>
        <w:rPr>
          <w:rFonts w:ascii="Arial" w:cs="Arial" w:eastAsia="Arial" w:hAnsi="Arial"/>
          <w:sz w:val="17"/>
          <w:szCs w:val="17"/>
          <w:color w:val="auto"/>
        </w:rPr>
      </w:pPr>
      <w:r>
        <w:rPr>
          <w:rFonts w:ascii="Arial" w:cs="Arial" w:eastAsia="Arial" w:hAnsi="Arial"/>
          <w:sz w:val="17"/>
          <w:szCs w:val="17"/>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w:t>
      </w:r>
    </w:p>
    <w:p>
      <w:pPr>
        <w:spacing w:after="0" w:line="146"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15" w:name="page16"/>
    <w:bookmarkEnd w:id="15"/>
    <w:p>
      <w:pPr>
        <w:jc w:val="both"/>
        <w:ind w:left="220"/>
        <w:spacing w:after="0" w:line="264" w:lineRule="auto"/>
        <w:rPr>
          <w:sz w:val="20"/>
          <w:szCs w:val="20"/>
          <w:color w:val="auto"/>
        </w:rPr>
      </w:pPr>
      <w:r>
        <w:rPr>
          <w:rFonts w:ascii="Arial" w:cs="Arial" w:eastAsia="Arial" w:hAnsi="Arial"/>
          <w:sz w:val="18"/>
          <w:szCs w:val="18"/>
          <w:color w:val="auto"/>
        </w:rPr>
        <w:t>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980" w:hanging="302"/>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17" w:lineRule="exact"/>
        <w:rPr>
          <w:rFonts w:ascii="Arial" w:cs="Arial" w:eastAsia="Arial" w:hAnsi="Arial"/>
          <w:sz w:val="18"/>
          <w:szCs w:val="18"/>
          <w:color w:val="auto"/>
        </w:rPr>
      </w:pPr>
    </w:p>
    <w:p>
      <w:pPr>
        <w:ind w:left="460" w:right="20" w:firstLine="218"/>
        <w:spacing w:after="0" w:line="257"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80" w:lineRule="exact"/>
        <w:rPr>
          <w:rFonts w:ascii="Arial" w:cs="Arial" w:eastAsia="Arial" w:hAnsi="Arial"/>
          <w:sz w:val="18"/>
          <w:szCs w:val="18"/>
          <w:color w:val="auto"/>
        </w:rPr>
      </w:pPr>
    </w:p>
    <w:p>
      <w:pPr>
        <w:ind w:right="60" w:firstLine="221"/>
        <w:spacing w:after="0" w:line="277" w:lineRule="auto"/>
        <w:tabs>
          <w:tab w:leader="none" w:pos="4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62" w:lineRule="exact"/>
        <w:rPr>
          <w:rFonts w:ascii="Arial" w:cs="Arial" w:eastAsia="Arial" w:hAnsi="Arial"/>
          <w:sz w:val="18"/>
          <w:szCs w:val="18"/>
          <w:color w:val="auto"/>
        </w:rPr>
      </w:pPr>
    </w:p>
    <w:p>
      <w:pPr>
        <w:ind w:right="220" w:firstLine="221"/>
        <w:spacing w:after="0" w:line="27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“Depreciation and Amortization Costs and Expenses”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firstLine="221"/>
        <w:spacing w:after="0" w:line="27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w:t>
      </w:r>
    </w:p>
    <w:p>
      <w:pPr>
        <w:spacing w:after="0" w:line="62" w:lineRule="exact"/>
        <w:rPr>
          <w:rFonts w:ascii="Arial" w:cs="Arial" w:eastAsia="Arial" w:hAnsi="Arial"/>
          <w:sz w:val="18"/>
          <w:szCs w:val="18"/>
          <w:color w:val="auto"/>
        </w:rPr>
      </w:pPr>
    </w:p>
    <w:p>
      <w:pPr>
        <w:ind w:right="240" w:firstLine="221"/>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 means the sum of Operating Revenue, less Operating Costs and Expenses, less Selling, General and Administrative Costs and Expenses, less Depreciation and Amortization Costs and Expenses.</w:t>
      </w:r>
    </w:p>
    <w:p>
      <w:pPr>
        <w:spacing w:after="0" w:line="62" w:lineRule="exact"/>
        <w:rPr>
          <w:rFonts w:ascii="Arial" w:cs="Arial" w:eastAsia="Arial" w:hAnsi="Arial"/>
          <w:sz w:val="18"/>
          <w:szCs w:val="18"/>
          <w:color w:val="auto"/>
        </w:rPr>
      </w:pPr>
    </w:p>
    <w:p>
      <w:pPr>
        <w:ind w:right="120" w:firstLine="221"/>
        <w:spacing w:after="0" w:line="26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means the excess of the cost of an acquired company over the sum of the fair market value of its identifiable individual assets, less the liabilities. For purposes of calculation of this Award, the value of Goodwill shall be the balance of such as reported by the Company in publicly filed financial statements for each applicable year.</w:t>
      </w:r>
    </w:p>
    <w:p>
      <w:pPr>
        <w:spacing w:after="0" w:line="15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5" w:right="319" w:bottom="1440" w:gutter="0" w:footer="0" w:header="0"/>
        </w:sectPr>
      </w:pPr>
    </w:p>
    <w:bookmarkStart w:id="16" w:name="page17"/>
    <w:bookmarkEnd w:id="16"/>
    <w:p>
      <w:pPr>
        <w:ind w:right="60" w:firstLine="221"/>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Before Income Taxes” has the meaning assigned such terms by the Company in publicly filed financial statements during the Performance Period.</w:t>
      </w:r>
    </w:p>
    <w:p>
      <w:pPr>
        <w:spacing w:after="0" w:line="62" w:lineRule="exact"/>
        <w:rPr>
          <w:rFonts w:ascii="Arial" w:cs="Arial" w:eastAsia="Arial" w:hAnsi="Arial"/>
          <w:sz w:val="18"/>
          <w:szCs w:val="18"/>
          <w:color w:val="auto"/>
        </w:rPr>
      </w:pPr>
    </w:p>
    <w:p>
      <w:pPr>
        <w:ind w:right="180" w:firstLine="221"/>
        <w:spacing w:after="0" w:line="259"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“Invested Capital” means economic resources that are expected to help generate future cash inflows or help reduce future cash outflows. Invested Capital is equivalent to current maturities of long-term debt, plus long-term debt, plus stockholders’ equity, less Cash and less Goodwill. For purposes of calculation of this Award, the value of Invested Capital shall be the balance of such as reported by the Company in publicly filed financial statements for each applicable year.</w:t>
      </w:r>
    </w:p>
    <w:p>
      <w:pPr>
        <w:spacing w:after="0" w:line="78" w:lineRule="exact"/>
        <w:rPr>
          <w:rFonts w:ascii="Arial" w:cs="Arial" w:eastAsia="Arial" w:hAnsi="Arial"/>
          <w:sz w:val="18"/>
          <w:szCs w:val="18"/>
          <w:color w:val="auto"/>
        </w:rPr>
      </w:pPr>
    </w:p>
    <w:p>
      <w:pPr>
        <w:ind w:left="520" w:hanging="299"/>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Operating Profit After Taxes” or “NOPAT” means the product of EBIT multiplied by the sum of 1 minus the Tax Rate.</w:t>
      </w:r>
    </w:p>
    <w:p>
      <w:pPr>
        <w:spacing w:after="0" w:line="117" w:lineRule="exact"/>
        <w:rPr>
          <w:rFonts w:ascii="Arial" w:cs="Arial" w:eastAsia="Arial" w:hAnsi="Arial"/>
          <w:sz w:val="18"/>
          <w:szCs w:val="18"/>
          <w:color w:val="auto"/>
        </w:rPr>
      </w:pPr>
    </w:p>
    <w:p>
      <w:pPr>
        <w:ind w:right="60" w:firstLine="221"/>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Costs and Expenses” has the meaning assigned such term by the Company in publicly filed financial statements during the Performance Period, exclusive of Depreciation and Amortization.</w:t>
      </w:r>
    </w:p>
    <w:p>
      <w:pPr>
        <w:spacing w:after="0" w:line="62" w:lineRule="exact"/>
        <w:rPr>
          <w:rFonts w:ascii="Arial" w:cs="Arial" w:eastAsia="Arial" w:hAnsi="Arial"/>
          <w:sz w:val="18"/>
          <w:szCs w:val="18"/>
          <w:color w:val="auto"/>
        </w:rPr>
      </w:pPr>
    </w:p>
    <w:p>
      <w:pPr>
        <w:ind w:left="480" w:hanging="259"/>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Revenue” has the meaning assigned such term by the Company in publicly filed financial statements during the Performance Period.</w:t>
      </w:r>
    </w:p>
    <w:p>
      <w:pPr>
        <w:spacing w:after="0" w:line="140" w:lineRule="exact"/>
        <w:rPr>
          <w:rFonts w:ascii="Arial" w:cs="Arial" w:eastAsia="Arial" w:hAnsi="Arial"/>
          <w:sz w:val="16"/>
          <w:szCs w:val="16"/>
          <w:color w:val="auto"/>
        </w:rPr>
      </w:pPr>
    </w:p>
    <w:p>
      <w:pPr>
        <w:ind w:right="260" w:firstLine="221"/>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 for Income Taxes”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right="100" w:firstLine="221"/>
        <w:spacing w:after="0" w:line="264"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73" w:lineRule="exact"/>
        <w:rPr>
          <w:rFonts w:ascii="Arial" w:cs="Arial" w:eastAsia="Arial" w:hAnsi="Arial"/>
          <w:sz w:val="18"/>
          <w:szCs w:val="18"/>
          <w:color w:val="auto"/>
        </w:rPr>
      </w:pPr>
    </w:p>
    <w:p>
      <w:pPr>
        <w:ind w:right="760" w:firstLine="221"/>
        <w:spacing w:after="0" w:line="277" w:lineRule="auto"/>
        <w:tabs>
          <w:tab w:leader="none" w:pos="4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“Selling, General and Administrative Costs and Expenses”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firstLine="221"/>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16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7" w:name="page18"/>
    <w:bookmarkEnd w:id="17"/>
    <w:p>
      <w:pPr>
        <w:ind w:left="200" w:right="180" w:firstLine="221"/>
        <w:spacing w:after="0" w:line="277" w:lineRule="auto"/>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“Short-Term Investments Available for Use”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left="680" w:hanging="259"/>
        <w:spacing w:after="0"/>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“Tax Rate” means the product of Provision for Income Taxes divided by Income Before Income Taxes.</w:t>
      </w:r>
    </w:p>
    <w:p>
      <w:pPr>
        <w:spacing w:after="0" w:line="117" w:lineRule="exact"/>
        <w:rPr>
          <w:rFonts w:ascii="Arial" w:cs="Arial" w:eastAsia="Arial" w:hAnsi="Arial"/>
          <w:sz w:val="18"/>
          <w:szCs w:val="18"/>
          <w:color w:val="auto"/>
        </w:rPr>
      </w:pPr>
    </w:p>
    <w:p>
      <w:pPr>
        <w:ind w:left="200" w:firstLine="221"/>
        <w:spacing w:after="0" w:line="259" w:lineRule="auto"/>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78" w:lineRule="exact"/>
        <w:rPr>
          <w:rFonts w:ascii="Arial" w:cs="Arial" w:eastAsia="Arial" w:hAnsi="Arial"/>
          <w:sz w:val="18"/>
          <w:szCs w:val="18"/>
          <w:color w:val="auto"/>
        </w:rPr>
      </w:pPr>
    </w:p>
    <w:p>
      <w:pPr>
        <w:ind w:left="200" w:right="80" w:firstLine="221"/>
        <w:spacing w:after="0" w:line="277" w:lineRule="auto"/>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62" w:lineRule="exact"/>
        <w:rPr>
          <w:rFonts w:ascii="Arial" w:cs="Arial" w:eastAsia="Arial" w:hAnsi="Arial"/>
          <w:sz w:val="18"/>
          <w:szCs w:val="18"/>
          <w:color w:val="auto"/>
        </w:rPr>
      </w:pPr>
    </w:p>
    <w:p>
      <w:pPr>
        <w:ind w:left="460" w:hanging="267"/>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0" w:right="60" w:firstLine="221"/>
        <w:spacing w:after="0" w:line="259" w:lineRule="auto"/>
        <w:tabs>
          <w:tab w:leader="none" w:pos="6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hereby acknowledges that he has received, reviewed and accepted the terms and conditions applicable to this Agreement. Employee hereby accepts such terms and conditions, subject to the provisions of the Plan and administrative interpretations thereof including the attainment of the Incentive Formula described therein. Employee further agrees that such terms and conditions will control this Agreement, notwithstanding any provisions in any employment agreement or in any prior awards.</w:t>
      </w:r>
    </w:p>
    <w:p>
      <w:pPr>
        <w:spacing w:after="0" w:line="78" w:lineRule="exact"/>
        <w:rPr>
          <w:rFonts w:ascii="Arial" w:cs="Arial" w:eastAsia="Arial" w:hAnsi="Arial"/>
          <w:sz w:val="18"/>
          <w:szCs w:val="18"/>
          <w:color w:val="auto"/>
        </w:rPr>
      </w:pPr>
    </w:p>
    <w:p>
      <w:pPr>
        <w:ind w:left="200" w:right="500" w:firstLine="221"/>
        <w:spacing w:after="0" w:line="277" w:lineRule="auto"/>
        <w:tabs>
          <w:tab w:leader="none" w:pos="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hereby acknowledges that he is to consult with and rely upon only Employee’s own tax, legal, and financial advisors regarding the consequences and risks of this Agreement and the award of Performance Share Units.</w:t>
      </w:r>
    </w:p>
    <w:p>
      <w:pPr>
        <w:spacing w:after="0" w:line="62" w:lineRule="exact"/>
        <w:rPr>
          <w:rFonts w:ascii="Arial" w:cs="Arial" w:eastAsia="Arial" w:hAnsi="Arial"/>
          <w:sz w:val="18"/>
          <w:szCs w:val="18"/>
          <w:color w:val="auto"/>
        </w:rPr>
      </w:pPr>
    </w:p>
    <w:p>
      <w:pPr>
        <w:ind w:left="200" w:right="220" w:firstLine="221"/>
        <w:spacing w:after="0" w:line="308" w:lineRule="auto"/>
        <w:tabs>
          <w:tab w:leader="none" w:pos="67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38" w:lineRule="exact"/>
        <w:rPr>
          <w:rFonts w:ascii="Arial" w:cs="Arial" w:eastAsia="Arial" w:hAnsi="Arial"/>
          <w:sz w:val="17"/>
          <w:szCs w:val="17"/>
          <w:color w:val="auto"/>
        </w:rPr>
      </w:pPr>
    </w:p>
    <w:p>
      <w:pPr>
        <w:ind w:left="-40" w:right="60" w:firstLine="233"/>
        <w:spacing w:after="0" w:line="259" w:lineRule="auto"/>
        <w:tabs>
          <w:tab w:leader="none" w:pos="45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8" w:name="page19"/>
    <w:bookmarkEnd w:id="18"/>
    <w:p>
      <w:pPr>
        <w:spacing w:after="0" w:line="264" w:lineRule="auto"/>
        <w:rPr>
          <w:sz w:val="20"/>
          <w:szCs w:val="20"/>
          <w:color w:val="auto"/>
        </w:rPr>
      </w:pPr>
      <w:r>
        <w:rPr>
          <w:rFonts w:ascii="Arial" w:cs="Arial" w:eastAsia="Arial" w:hAnsi="Arial"/>
          <w:sz w:val="18"/>
          <w:szCs w:val="18"/>
          <w:color w:val="auto"/>
        </w:rPr>
        <w:t>preserves to the maximum extent possible the intended benefits to Employee. This paragraph 24 does not create an obligation on the part of Company to modify this Agreement and does not guarantee that the amounts or benefits owed under the Agreement will not be subject to interest and penalties under Code Section 409A.</w:t>
      </w:r>
    </w:p>
    <w:p>
      <w:pPr>
        <w:spacing w:after="0" w:line="73" w:lineRule="exact"/>
        <w:rPr>
          <w:sz w:val="20"/>
          <w:szCs w:val="20"/>
          <w:color w:val="auto"/>
        </w:rPr>
      </w:pPr>
    </w:p>
    <w:p>
      <w:pPr>
        <w:ind w:right="280" w:firstLine="233"/>
        <w:spacing w:after="0" w:line="279" w:lineRule="auto"/>
        <w:tabs>
          <w:tab w:leader="none" w:pos="49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63" w:lineRule="exact"/>
        <w:rPr>
          <w:rFonts w:ascii="Arial" w:cs="Arial" w:eastAsia="Arial" w:hAnsi="Arial"/>
          <w:sz w:val="17"/>
          <w:szCs w:val="17"/>
          <w:color w:val="auto"/>
        </w:rPr>
      </w:pPr>
    </w:p>
    <w:p>
      <w:pPr>
        <w:ind w:left="500" w:hanging="267"/>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152400</wp:posOffset>
            </wp:positionV>
            <wp:extent cx="165544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544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Jay Romans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Human Resources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Accepted by electronic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abstractNum>
  <w:abstractNum w:abstractNumId="2">
    <w:nsid w:val="109CF92E"/>
    <w:multiLevelType w:val="hybridMultilevel"/>
    <w:lvl w:ilvl="0">
      <w:lvlJc w:val="left"/>
      <w:lvlText w:val="%1"/>
      <w:numFmt w:val="decimal"/>
      <w:start w:val="1"/>
    </w:lvl>
    <w:lvl w:ilvl="1">
      <w:lvlJc w:val="left"/>
      <w:lvlText w:val="(%2)"/>
      <w:numFmt w:val="lowerLetter"/>
      <w:start w:val="2"/>
    </w:lvl>
  </w:abstractNum>
  <w:abstractNum w:abstractNumId="3">
    <w:nsid w:val="DED7263"/>
    <w:multiLevelType w:val="hybridMultilevel"/>
    <w:lvl w:ilvl="0">
      <w:lvlJc w:val="left"/>
      <w:lvlText w:val="%1."/>
      <w:numFmt w:val="decimal"/>
      <w:start w:val="4"/>
    </w:lvl>
    <w:lvl w:ilvl="1">
      <w:lvlJc w:val="left"/>
      <w:lvlText w:val="%2"/>
      <w:numFmt w:val="lowerLetter"/>
      <w:start w:val="1"/>
    </w:lvl>
  </w:abstractNum>
  <w:abstractNum w:abstractNumId="4">
    <w:nsid w:val="7FDCC233"/>
    <w:multiLevelType w:val="hybridMultilevel"/>
    <w:lvl w:ilvl="0">
      <w:lvlJc w:val="left"/>
      <w:lvlText w:val="%1."/>
      <w:numFmt w:val="decimal"/>
      <w:start w:val="6"/>
    </w:lvl>
    <w:lvl w:ilvl="1">
      <w:lvlJc w:val="left"/>
      <w:lvlText w:val="(%2)"/>
      <w:numFmt w:val="lowerLetter"/>
      <w:start w:val="34"/>
    </w:lvl>
    <w:lvl w:ilvl="2">
      <w:lvlJc w:val="left"/>
      <w:lvlText w:val="(%3)"/>
      <w:numFmt w:val="lowerLetter"/>
      <w:start w:val="1"/>
    </w:lvl>
  </w:abstractNum>
  <w:abstractNum w:abstractNumId="5">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
    <w:nsid w:val="41A7C4C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
    <w:nsid w:val="6B68079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8">
    <w:nsid w:val="4E6AFB66"/>
    <w:multiLevelType w:val="hybridMultilevel"/>
    <w:lvl w:ilvl="0">
      <w:lvlJc w:val="left"/>
      <w:lvlText w:val="(%1)"/>
      <w:numFmt w:val="lowerRoman"/>
      <w:start w:val="2"/>
    </w:lvl>
  </w:abstractNum>
  <w:abstractNum w:abstractNumId="9">
    <w:nsid w:val="25E45D32"/>
    <w:multiLevelType w:val="hybridMultilevel"/>
    <w:lvl w:ilvl="0">
      <w:lvlJc w:val="left"/>
      <w:lvlText w:val="%1."/>
      <w:numFmt w:val="decimal"/>
      <w:start w:val="10"/>
    </w:lvl>
  </w:abstractNum>
  <w:abstractNum w:abstractNumId="10">
    <w:nsid w:val="519B500D"/>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1">
    <w:nsid w:val="431BD7B7"/>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2">
    <w:nsid w:val="3F2DBA31"/>
    <w:multiLevelType w:val="hybridMultilevel"/>
    <w:lvl w:ilvl="0">
      <w:lvlJc w:val="left"/>
      <w:lvlText w:val="%1."/>
      <w:numFmt w:val="decimal"/>
      <w:start w:val="13"/>
    </w:lvl>
    <w:lvl w:ilvl="1">
      <w:lvlJc w:val="left"/>
      <w:lvlText w:val="(%2)"/>
      <w:numFmt w:val="lowerLetter"/>
      <w:start w:val="1"/>
    </w:lvl>
  </w:abstractNum>
  <w:abstractNum w:abstractNumId="13">
    <w:nsid w:val="7C83E458"/>
    <w:multiLevelType w:val="hybridMultilevel"/>
    <w:lvl w:ilvl="0">
      <w:lvlJc w:val="left"/>
      <w:lvlText w:val="%1."/>
      <w:numFmt w:val="decimal"/>
      <w:start w:val="16"/>
    </w:lvl>
    <w:lvl w:ilvl="1">
      <w:lvlJc w:val="left"/>
      <w:lvlText w:val="(%2)"/>
      <w:numFmt w:val="lowerLetter"/>
      <w:start w:val="1"/>
    </w:lvl>
  </w:abstractNum>
  <w:abstractNum w:abstractNumId="14">
    <w:nsid w:val="257130A3"/>
    <w:multiLevelType w:val="hybridMultilevel"/>
    <w:lvl w:ilvl="0">
      <w:lvlJc w:val="left"/>
      <w:lvlText w:val="%1"/>
      <w:numFmt w:val="decimal"/>
      <w:start w:val="1"/>
    </w:lvl>
    <w:lvl w:ilvl="1">
      <w:lvlJc w:val="left"/>
      <w:lvlText w:val="(%2)"/>
      <w:numFmt w:val="lowerLetter"/>
      <w:start w:val="2"/>
    </w:lvl>
  </w:abstractNum>
  <w:abstractNum w:abstractNumId="15">
    <w:nsid w:val="62BBD95A"/>
    <w:multiLevelType w:val="hybridMultilevel"/>
    <w:lvl w:ilvl="0">
      <w:lvlJc w:val="left"/>
      <w:lvlText w:val="%1."/>
      <w:numFmt w:val="decimal"/>
      <w:start w:val="21"/>
    </w:lvl>
    <w:lvl w:ilvl="1">
      <w:lvlJc w:val="left"/>
      <w:lvlText w:val="(%2)"/>
      <w:numFmt w:val="lowerLetter"/>
      <w:start w:val="1"/>
    </w:lvl>
  </w:abstractNum>
  <w:abstractNum w:abstractNumId="16">
    <w:nsid w:val="436C6125"/>
    <w:multiLevelType w:val="hybridMultilevel"/>
    <w:lvl w:ilvl="0">
      <w:lvlJc w:val="left"/>
      <w:lvlText w:val="(%1)"/>
      <w:numFmt w:val="lowerLetter"/>
      <w:start w:val="2"/>
    </w:lvl>
  </w:abstractNum>
  <w:abstractNum w:abstractNumId="17">
    <w:nsid w:val="628C895D"/>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18">
    <w:nsid w:val="333AB105"/>
    <w:multiLevelType w:val="hybridMultilevel"/>
    <w:lvl w:ilvl="0">
      <w:lvlJc w:val="left"/>
      <w:lvlText w:val="%1"/>
      <w:numFmt w:val="lowerLetter"/>
      <w:start w:val="1"/>
    </w:lvl>
    <w:lvl w:ilvl="1">
      <w:lvlJc w:val="left"/>
      <w:lvlText w:val="(%2)"/>
      <w:numFmt w:val="upperLetter"/>
      <w:start w:val="1"/>
    </w:lvl>
  </w:abstractNum>
  <w:abstractNum w:abstractNumId="19">
    <w:nsid w:val="721DA317"/>
    <w:multiLevelType w:val="hybridMultilevel"/>
    <w:lvl w:ilvl="0">
      <w:lvlJc w:val="left"/>
      <w:lvlText w:val="(%1)"/>
      <w:numFmt w:val="lowerLetter"/>
      <w:start w:val="6"/>
    </w:lvl>
    <w:lvl w:ilvl="1">
      <w:lvlJc w:val="left"/>
      <w:lvlText w:val="%2"/>
      <w:numFmt w:val="upperLetter"/>
      <w:start w:val="1"/>
    </w:lvl>
  </w:abstractNum>
  <w:abstractNum w:abstractNumId="20">
    <w:nsid w:val="2443A858"/>
    <w:multiLevelType w:val="hybridMultilevel"/>
    <w:lvl w:ilvl="0">
      <w:lvlJc w:val="left"/>
      <w:lvlText w:val="(%1)"/>
      <w:numFmt w:val="lowerLetter"/>
      <w:start w:val="11"/>
    </w:lvl>
  </w:abstractNum>
  <w:abstractNum w:abstractNumId="21">
    <w:nsid w:val="2D1D5AE9"/>
    <w:multiLevelType w:val="hybridMultilevel"/>
    <w:lvl w:ilvl="0">
      <w:lvlJc w:val="left"/>
      <w:lvlText w:val="%1"/>
      <w:numFmt w:val="decimal"/>
      <w:start w:val="1"/>
    </w:lvl>
    <w:lvl w:ilvl="1">
      <w:lvlJc w:val="left"/>
      <w:lvlText w:val="(%2)"/>
      <w:numFmt w:val="lowerLetter"/>
      <w:start w:val="20"/>
    </w:lvl>
  </w:abstractNum>
  <w:abstractNum w:abstractNumId="22">
    <w:nsid w:val="6763845E"/>
    <w:multiLevelType w:val="hybridMultilevel"/>
    <w:lvl w:ilvl="0">
      <w:lvlJc w:val="left"/>
      <w:lvlText w:val="%1."/>
      <w:numFmt w:val="decimal"/>
      <w:start w:val="25"/>
    </w:lvl>
    <w:lvl w:ilvl="1">
      <w:lvlJc w:val="left"/>
      <w:lvlText w:val="(%2)"/>
      <w:numFmt w:val="lowerLetter"/>
      <w:start w:val="1"/>
    </w:lvl>
  </w:abstractNum>
  <w:abstractNum w:abstractNumId="23">
    <w:nsid w:val="75A2A8D4"/>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2019-12-10T06:41:10Z</dcterms:created>
  <dcterms:modified xsi:type="dcterms:W3CDTF">2019-12-10T06:41:10Z</dcterms:modified>
</cp:coreProperties>
</file>